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3D922">
      <w:pPr>
        <w:rPr>
          <w:rFonts w:hint="eastAsia" w:ascii="宋体" w:hAnsi="宋体" w:eastAsia="宋体" w:cs="宋体"/>
          <w:color w:val="auto"/>
          <w:highlight w:val="none"/>
          <w:lang w:val="en-US" w:eastAsia="zh-CN"/>
        </w:rPr>
      </w:pPr>
    </w:p>
    <w:p w14:paraId="49903544">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drawing>
          <wp:inline distT="0" distB="0" distL="114300" distR="114300">
            <wp:extent cx="6114415" cy="8651240"/>
            <wp:effectExtent l="0" t="0" r="635" b="16510"/>
            <wp:docPr id="3" name="图片 3" descr="招标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招标文件封面_00"/>
                    <pic:cNvPicPr>
                      <a:picLocks noChangeAspect="1"/>
                    </pic:cNvPicPr>
                  </pic:nvPicPr>
                  <pic:blipFill>
                    <a:blip r:embed="rId8"/>
                    <a:stretch>
                      <a:fillRect/>
                    </a:stretch>
                  </pic:blipFill>
                  <pic:spPr>
                    <a:xfrm>
                      <a:off x="0" y="0"/>
                      <a:ext cx="6114415" cy="8651240"/>
                    </a:xfrm>
                    <a:prstGeom prst="rect">
                      <a:avLst/>
                    </a:prstGeom>
                  </pic:spPr>
                </pic:pic>
              </a:graphicData>
            </a:graphic>
          </wp:inline>
        </w:drawing>
      </w:r>
    </w:p>
    <w:p w14:paraId="383A05B9">
      <w:pPr>
        <w:rPr>
          <w:rFonts w:hint="eastAsia" w:ascii="宋体" w:hAnsi="宋体" w:eastAsia="宋体" w:cs="宋体"/>
          <w:color w:val="auto"/>
          <w:highlight w:val="none"/>
        </w:rPr>
        <w:sectPr>
          <w:headerReference r:id="rId3" w:type="default"/>
          <w:footerReference r:id="rId4" w:type="default"/>
          <w:endnotePr>
            <w:numFmt w:val="decimal"/>
          </w:endnotePr>
          <w:pgSz w:w="11907" w:h="16840"/>
          <w:pgMar w:top="1134" w:right="1134" w:bottom="1134" w:left="1134" w:header="850" w:footer="850" w:gutter="0"/>
          <w:pgNumType w:fmt="decimal" w:start="1"/>
          <w:cols w:space="0" w:num="1"/>
          <w:rtlGutter w:val="0"/>
          <w:docGrid w:type="lines" w:linePitch="272" w:charSpace="0"/>
        </w:sectPr>
      </w:pPr>
    </w:p>
    <w:p w14:paraId="224E9E7B">
      <w:pPr>
        <w:rPr>
          <w:rFonts w:hint="eastAsia" w:ascii="宋体" w:hAnsi="宋体" w:eastAsia="宋体" w:cs="宋体"/>
          <w:color w:val="auto"/>
          <w:highlight w:val="none"/>
        </w:rPr>
      </w:pPr>
    </w:p>
    <w:p w14:paraId="2E69B584">
      <w:pPr>
        <w:rPr>
          <w:rFonts w:hint="eastAsia" w:ascii="宋体" w:hAnsi="宋体" w:eastAsia="宋体" w:cs="宋体"/>
          <w:color w:val="auto"/>
          <w:highlight w:val="none"/>
        </w:rPr>
      </w:pPr>
    </w:p>
    <w:p w14:paraId="14252EAF">
      <w:pPr>
        <w:rPr>
          <w:rFonts w:hint="eastAsia" w:ascii="宋体" w:hAnsi="宋体" w:eastAsia="宋体" w:cs="宋体"/>
          <w:color w:val="auto"/>
          <w:highlight w:val="none"/>
        </w:rPr>
      </w:pPr>
    </w:p>
    <w:p w14:paraId="67A294B3">
      <w:pPr>
        <w:rPr>
          <w:rFonts w:hint="eastAsia" w:ascii="宋体" w:hAnsi="宋体" w:eastAsia="宋体" w:cs="宋体"/>
          <w:color w:val="auto"/>
          <w:highlight w:val="none"/>
        </w:rPr>
      </w:pPr>
    </w:p>
    <w:p w14:paraId="4574E4EA">
      <w:pPr>
        <w:rPr>
          <w:rFonts w:hint="eastAsia" w:ascii="宋体" w:hAnsi="宋体" w:eastAsia="宋体" w:cs="宋体"/>
          <w:color w:val="auto"/>
          <w:highlight w:val="none"/>
        </w:rPr>
      </w:pPr>
    </w:p>
    <w:p w14:paraId="0A7EFB58">
      <w:pPr>
        <w:rPr>
          <w:rFonts w:hint="eastAsia" w:ascii="宋体" w:hAnsi="宋体" w:eastAsia="宋体" w:cs="宋体"/>
          <w:color w:val="auto"/>
          <w:highlight w:val="none"/>
        </w:rPr>
      </w:pPr>
    </w:p>
    <w:p w14:paraId="3536EEDA">
      <w:pPr>
        <w:rPr>
          <w:rFonts w:hint="eastAsia" w:ascii="宋体" w:hAnsi="宋体" w:eastAsia="宋体" w:cs="宋体"/>
          <w:color w:val="auto"/>
          <w:highlight w:val="none"/>
        </w:rPr>
      </w:pPr>
    </w:p>
    <w:p w14:paraId="1102C605">
      <w:pPr>
        <w:rPr>
          <w:rFonts w:hint="eastAsia" w:ascii="宋体" w:hAnsi="宋体" w:eastAsia="宋体" w:cs="宋体"/>
          <w:color w:val="auto"/>
          <w:highlight w:val="none"/>
        </w:rPr>
      </w:pPr>
    </w:p>
    <w:p w14:paraId="390024E2">
      <w:pPr>
        <w:rPr>
          <w:rFonts w:hint="eastAsia" w:ascii="宋体" w:hAnsi="宋体" w:eastAsia="宋体" w:cs="宋体"/>
          <w:color w:val="auto"/>
          <w:highlight w:val="none"/>
        </w:rPr>
      </w:pPr>
    </w:p>
    <w:p w14:paraId="1C4E3C60">
      <w:pPr>
        <w:rPr>
          <w:rFonts w:hint="eastAsia" w:ascii="宋体" w:hAnsi="宋体" w:eastAsia="宋体" w:cs="宋体"/>
          <w:color w:val="auto"/>
          <w:highlight w:val="none"/>
        </w:rPr>
      </w:pPr>
    </w:p>
    <w:p w14:paraId="34208DEF">
      <w:pPr>
        <w:rPr>
          <w:rFonts w:hint="eastAsia" w:ascii="宋体" w:hAnsi="宋体" w:eastAsia="宋体" w:cs="宋体"/>
          <w:color w:val="auto"/>
          <w:highlight w:val="none"/>
        </w:rPr>
      </w:pPr>
    </w:p>
    <w:p w14:paraId="7183E678">
      <w:pPr>
        <w:rPr>
          <w:rFonts w:hint="eastAsia" w:ascii="宋体" w:hAnsi="宋体" w:eastAsia="宋体" w:cs="宋体"/>
          <w:color w:val="auto"/>
          <w:highlight w:val="none"/>
        </w:rPr>
      </w:pPr>
    </w:p>
    <w:p w14:paraId="6907C2F1">
      <w:pPr>
        <w:rPr>
          <w:rFonts w:hint="eastAsia" w:ascii="宋体" w:hAnsi="宋体" w:eastAsia="宋体" w:cs="宋体"/>
          <w:color w:val="auto"/>
          <w:highlight w:val="none"/>
        </w:rPr>
      </w:pPr>
    </w:p>
    <w:p w14:paraId="66A6CCB8">
      <w:pPr>
        <w:rPr>
          <w:rFonts w:hint="eastAsia" w:ascii="宋体" w:hAnsi="宋体" w:eastAsia="宋体" w:cs="宋体"/>
          <w:color w:val="auto"/>
          <w:highlight w:val="none"/>
        </w:rPr>
      </w:pPr>
    </w:p>
    <w:p w14:paraId="31AA4B97">
      <w:pPr>
        <w:rPr>
          <w:rFonts w:hint="eastAsia" w:ascii="宋体" w:hAnsi="宋体" w:eastAsia="宋体" w:cs="宋体"/>
          <w:color w:val="auto"/>
          <w:highlight w:val="none"/>
        </w:rPr>
      </w:pPr>
    </w:p>
    <w:p w14:paraId="15B1510D">
      <w:pPr>
        <w:rPr>
          <w:rFonts w:hint="eastAsia" w:ascii="宋体" w:hAnsi="宋体" w:eastAsia="宋体" w:cs="宋体"/>
          <w:color w:val="auto"/>
          <w:highlight w:val="none"/>
        </w:rPr>
      </w:pPr>
    </w:p>
    <w:p w14:paraId="713116AC">
      <w:pPr>
        <w:rPr>
          <w:rFonts w:hint="eastAsia" w:ascii="宋体" w:hAnsi="宋体" w:eastAsia="宋体" w:cs="宋体"/>
          <w:color w:val="auto"/>
          <w:highlight w:val="none"/>
        </w:rPr>
      </w:pPr>
    </w:p>
    <w:p w14:paraId="200BEA02">
      <w:pPr>
        <w:rPr>
          <w:rFonts w:hint="eastAsia" w:ascii="宋体" w:hAnsi="宋体" w:eastAsia="宋体" w:cs="宋体"/>
          <w:color w:val="auto"/>
          <w:highlight w:val="none"/>
        </w:rPr>
      </w:pPr>
    </w:p>
    <w:p w14:paraId="6ED68D39">
      <w:pPr>
        <w:rPr>
          <w:rFonts w:hint="eastAsia" w:ascii="宋体" w:hAnsi="宋体" w:eastAsia="宋体" w:cs="宋体"/>
          <w:color w:val="auto"/>
          <w:highlight w:val="none"/>
        </w:rPr>
      </w:pPr>
    </w:p>
    <w:p w14:paraId="22D24973">
      <w:pPr>
        <w:rPr>
          <w:rFonts w:hint="eastAsia" w:ascii="宋体" w:hAnsi="宋体" w:eastAsia="宋体" w:cs="宋体"/>
          <w:color w:val="auto"/>
          <w:highlight w:val="none"/>
        </w:rPr>
      </w:pPr>
    </w:p>
    <w:p w14:paraId="1B3702D2">
      <w:pPr>
        <w:rPr>
          <w:rFonts w:hint="eastAsia" w:ascii="宋体" w:hAnsi="宋体" w:eastAsia="宋体" w:cs="宋体"/>
          <w:color w:val="auto"/>
          <w:highlight w:val="none"/>
        </w:rPr>
      </w:pPr>
    </w:p>
    <w:p w14:paraId="76245EA3">
      <w:pPr>
        <w:rPr>
          <w:rFonts w:hint="eastAsia" w:ascii="宋体" w:hAnsi="宋体" w:eastAsia="宋体" w:cs="宋体"/>
          <w:color w:val="auto"/>
          <w:highlight w:val="none"/>
        </w:rPr>
      </w:pPr>
    </w:p>
    <w:p w14:paraId="4C59D870">
      <w:pPr>
        <w:rPr>
          <w:rFonts w:hint="eastAsia" w:ascii="宋体" w:hAnsi="宋体" w:eastAsia="宋体" w:cs="宋体"/>
          <w:color w:val="auto"/>
          <w:highlight w:val="none"/>
        </w:rPr>
      </w:pPr>
    </w:p>
    <w:p w14:paraId="6265C82E">
      <w:pPr>
        <w:rPr>
          <w:rFonts w:hint="eastAsia" w:ascii="宋体" w:hAnsi="宋体" w:eastAsia="宋体" w:cs="宋体"/>
          <w:color w:val="auto"/>
          <w:highlight w:val="none"/>
        </w:rPr>
      </w:pPr>
    </w:p>
    <w:p w14:paraId="6074A217">
      <w:pPr>
        <w:rPr>
          <w:rFonts w:hint="eastAsia" w:ascii="宋体" w:hAnsi="宋体" w:eastAsia="宋体" w:cs="宋体"/>
          <w:color w:val="auto"/>
          <w:highlight w:val="none"/>
        </w:rPr>
      </w:pPr>
    </w:p>
    <w:p w14:paraId="35D04332">
      <w:pPr>
        <w:rPr>
          <w:rFonts w:hint="eastAsia" w:ascii="宋体" w:hAnsi="宋体" w:eastAsia="宋体" w:cs="宋体"/>
          <w:color w:val="auto"/>
          <w:highlight w:val="none"/>
        </w:rPr>
      </w:pPr>
    </w:p>
    <w:p w14:paraId="4A369793">
      <w:pPr>
        <w:rPr>
          <w:rFonts w:hint="eastAsia" w:ascii="宋体" w:hAnsi="宋体" w:eastAsia="宋体" w:cs="宋体"/>
          <w:color w:val="auto"/>
          <w:highlight w:val="none"/>
        </w:rPr>
      </w:pPr>
    </w:p>
    <w:p w14:paraId="5B0E6D30">
      <w:pPr>
        <w:jc w:val="center"/>
        <w:rPr>
          <w:rFonts w:hint="eastAsia" w:ascii="宋体" w:hAnsi="宋体" w:eastAsia="宋体" w:cs="宋体"/>
          <w:b/>
          <w:color w:val="auto"/>
          <w:sz w:val="44"/>
          <w:szCs w:val="44"/>
          <w:highlight w:val="none"/>
        </w:rPr>
        <w:sectPr>
          <w:footerReference r:id="rId5" w:type="default"/>
          <w:endnotePr>
            <w:numFmt w:val="decimal"/>
          </w:endnotePr>
          <w:pgSz w:w="11907" w:h="16840"/>
          <w:pgMar w:top="1134" w:right="1134" w:bottom="1134" w:left="1134" w:header="850" w:footer="850" w:gutter="0"/>
          <w:pgNumType w:fmt="decimal" w:start="1"/>
          <w:cols w:space="0" w:num="1"/>
          <w:rtlGutter w:val="0"/>
          <w:docGrid w:type="lines" w:linePitch="272" w:charSpace="0"/>
        </w:sectPr>
      </w:pPr>
    </w:p>
    <w:p w14:paraId="7B2A9E6C">
      <w:pPr>
        <w:tabs>
          <w:tab w:val="left" w:pos="4935"/>
        </w:tabs>
        <w:snapToGrid w:val="0"/>
        <w:spacing w:line="360" w:lineRule="auto"/>
        <w:jc w:val="center"/>
        <w:rPr>
          <w:rFonts w:hint="eastAsia" w:ascii="宋体" w:hAnsi="宋体" w:eastAsia="宋体" w:cs="宋体"/>
          <w:color w:val="auto"/>
          <w:highlight w:val="none"/>
        </w:rPr>
      </w:pPr>
      <w:bookmarkStart w:id="0" w:name="_Toc6107"/>
      <w:bookmarkStart w:id="1" w:name="_Toc24808"/>
      <w:bookmarkStart w:id="2" w:name="_Toc26000"/>
      <w:bookmarkStart w:id="3" w:name="_Toc135054575"/>
      <w:bookmarkStart w:id="4" w:name="_Hlt111690251"/>
      <w:r>
        <w:rPr>
          <w:rStyle w:val="69"/>
          <w:rFonts w:hint="eastAsia" w:ascii="宋体" w:hAnsi="宋体" w:eastAsia="宋体" w:cs="宋体"/>
          <w:b/>
          <w:bCs/>
          <w:color w:val="auto"/>
          <w:kern w:val="0"/>
          <w:sz w:val="36"/>
          <w:szCs w:val="36"/>
          <w:highlight w:val="none"/>
        </w:rPr>
        <w:t>目   录</w:t>
      </w:r>
    </w:p>
    <w:p w14:paraId="686E554E">
      <w:pPr>
        <w:pStyle w:val="22"/>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Style w:val="69"/>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_Toc6228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44"/>
          <w:sz w:val="28"/>
          <w:szCs w:val="28"/>
          <w:highlight w:val="none"/>
        </w:rPr>
        <w:t>第一章</w:t>
      </w:r>
      <w:r>
        <w:rPr>
          <w:rFonts w:hint="eastAsia" w:ascii="宋体" w:hAnsi="宋体" w:eastAsia="宋体" w:cs="宋体"/>
          <w:color w:val="auto"/>
          <w:kern w:val="44"/>
          <w:sz w:val="28"/>
          <w:szCs w:val="28"/>
          <w:highlight w:val="none"/>
          <w:lang w:val="en-US" w:eastAsia="zh-CN"/>
        </w:rPr>
        <w:t xml:space="preserve">   </w:t>
      </w:r>
      <w:r>
        <w:rPr>
          <w:rFonts w:hint="eastAsia" w:ascii="宋体" w:hAnsi="宋体" w:eastAsia="宋体" w:cs="宋体"/>
          <w:color w:val="auto"/>
          <w:kern w:val="44"/>
          <w:sz w:val="28"/>
          <w:szCs w:val="28"/>
          <w:highlight w:val="none"/>
        </w:rPr>
        <w:t>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_Toc6228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EB0EE17">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_Toc29648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rPr>
        <w:t>第一节</w:t>
      </w:r>
      <w:r>
        <w:rPr>
          <w:rFonts w:hint="eastAsia" w:ascii="宋体" w:hAnsi="宋体" w:eastAsia="宋体" w:cs="宋体"/>
          <w:color w:val="auto"/>
          <w:kern w:val="2"/>
          <w:sz w:val="28"/>
          <w:szCs w:val="28"/>
          <w:highlight w:val="none"/>
          <w:lang w:val="en-US" w:eastAsia="zh-CN"/>
        </w:rPr>
        <w:t xml:space="preserve">   </w:t>
      </w:r>
      <w:r>
        <w:rPr>
          <w:rFonts w:hint="eastAsia" w:ascii="宋体" w:hAnsi="宋体" w:eastAsia="宋体" w:cs="宋体"/>
          <w:color w:val="auto"/>
          <w:kern w:val="2"/>
          <w:sz w:val="28"/>
          <w:szCs w:val="28"/>
          <w:highlight w:val="none"/>
        </w:rPr>
        <w:t>投标人须知前附表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_Toc29648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0A9CE62">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_Toc27604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rPr>
        <w:t>第二节</w:t>
      </w:r>
      <w:r>
        <w:rPr>
          <w:rFonts w:hint="eastAsia" w:ascii="宋体" w:hAnsi="宋体" w:eastAsia="宋体" w:cs="宋体"/>
          <w:color w:val="auto"/>
          <w:kern w:val="2"/>
          <w:sz w:val="28"/>
          <w:szCs w:val="28"/>
          <w:highlight w:val="none"/>
          <w:lang w:val="en-US" w:eastAsia="zh-CN"/>
        </w:rPr>
        <w:t xml:space="preserve">   </w:t>
      </w:r>
      <w:r>
        <w:rPr>
          <w:rFonts w:hint="eastAsia" w:ascii="宋体" w:hAnsi="宋体" w:eastAsia="宋体" w:cs="宋体"/>
          <w:color w:val="auto"/>
          <w:kern w:val="2"/>
          <w:sz w:val="28"/>
          <w:szCs w:val="28"/>
          <w:highlight w:val="none"/>
        </w:rPr>
        <w:t>重要事项时间地点一览表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_Toc27604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8DA4D18">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_Toc21519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rPr>
        <w:t>第三节   投标人须知正文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_Toc21519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23837B7">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_Toc7031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1.工程概况综合说明</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_Toc7031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0567F54">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_Toc12835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2.招标范围</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_Toc12835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9A78D26">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_Toc8165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3.工期要求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_Toc8165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2527D22">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_Toc6141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4.投标人资质等级及人员要求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_Toc6141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965D11E">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_Toc10121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5.招标文件获取</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_Toc10121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446B185">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_Toc7574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6.设计工程内容和质量标准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_Toc7574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FB6891C">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_Toc26832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7.现场踏勘</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_Toc26832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C32D7FE">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_Toc27827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8.招标答疑</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_Toc27827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00F3C0F">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_Toc10054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9.最高投标限价的确定及投标报价的约定</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_Toc10054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9499FDB">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10.投标文件的编制要求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92B4F2B">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_Toc2762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11.投标文件的编制依据</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_Toc2762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10992CD">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_Toc24608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12.电子投标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_Toc24608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40FAFBA">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_Toc8493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13.投标文件的提交</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_Toc8493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532A160">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_Toc29956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14.投标有效期</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_Toc29956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04FF99">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_Toc26104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15.开标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_Toc26104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6D5FB7A">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_Toc31079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16.电子投标及评标时突发补救方案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_Toc31079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A62E93D">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_Toc18729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17.评标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_Toc18729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05B270A">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_Toc17632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18.推荐中标候选人</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_Toc17632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AB6452E">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_Toc13617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19.中标候选人公示</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_Toc13617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69A71FA">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_Toc3215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rPr>
        <w:t>第四节   否决投标条件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_Toc3215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6D102BA">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_Toc21873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1.资格评审环节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_Toc21873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26C8935">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_Toc30214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2.形式评审环节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_Toc30214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555C373">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_Toc10758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3.响应性评审环节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_Toc10758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593A43F">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_Toc30332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4.其他</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_Toc30332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172524D">
      <w:pPr>
        <w:pStyle w:val="22"/>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_Toc6829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第二章</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中标人须知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_Toc6829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2D48E56">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_Toc2190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rPr>
        <w:t>1</w:t>
      </w:r>
      <w:r>
        <w:rPr>
          <w:rFonts w:hint="eastAsia" w:ascii="宋体" w:hAnsi="宋体" w:eastAsia="宋体" w:cs="宋体"/>
          <w:color w:val="auto"/>
          <w:kern w:val="2"/>
          <w:sz w:val="28"/>
          <w:szCs w:val="28"/>
          <w:highlight w:val="none"/>
          <w:lang w:val="en-US" w:eastAsia="zh-CN"/>
        </w:rPr>
        <w:t>.</w:t>
      </w:r>
      <w:r>
        <w:rPr>
          <w:rFonts w:hint="eastAsia" w:ascii="宋体" w:hAnsi="宋体" w:eastAsia="宋体" w:cs="宋体"/>
          <w:color w:val="auto"/>
          <w:kern w:val="2"/>
          <w:sz w:val="28"/>
          <w:szCs w:val="28"/>
          <w:highlight w:val="none"/>
        </w:rPr>
        <w:t>中标通知书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_Toc2190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C18BBB3">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_Toc2559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rPr>
        <w:t>2</w:t>
      </w:r>
      <w:r>
        <w:rPr>
          <w:rFonts w:hint="eastAsia" w:ascii="宋体" w:hAnsi="宋体" w:eastAsia="宋体" w:cs="宋体"/>
          <w:color w:val="auto"/>
          <w:kern w:val="2"/>
          <w:sz w:val="28"/>
          <w:szCs w:val="28"/>
          <w:highlight w:val="none"/>
          <w:lang w:val="en-US" w:eastAsia="zh-CN"/>
        </w:rPr>
        <w:t>.</w:t>
      </w:r>
      <w:r>
        <w:rPr>
          <w:rFonts w:hint="eastAsia" w:ascii="宋体" w:hAnsi="宋体" w:eastAsia="宋体" w:cs="宋体"/>
          <w:color w:val="auto"/>
          <w:kern w:val="2"/>
          <w:sz w:val="28"/>
          <w:szCs w:val="28"/>
          <w:highlight w:val="none"/>
        </w:rPr>
        <w:t>中标结果公示</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_Toc2559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CC1BC9F">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_Toc21790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rPr>
        <w:t>3</w:t>
      </w:r>
      <w:r>
        <w:rPr>
          <w:rFonts w:hint="eastAsia" w:ascii="宋体" w:hAnsi="宋体" w:eastAsia="宋体" w:cs="宋体"/>
          <w:color w:val="auto"/>
          <w:kern w:val="2"/>
          <w:sz w:val="28"/>
          <w:szCs w:val="28"/>
          <w:highlight w:val="none"/>
          <w:lang w:val="en-US" w:eastAsia="zh-CN"/>
        </w:rPr>
        <w:t>.</w:t>
      </w:r>
      <w:r>
        <w:rPr>
          <w:rFonts w:hint="eastAsia" w:ascii="宋体" w:hAnsi="宋体" w:eastAsia="宋体" w:cs="宋体"/>
          <w:color w:val="auto"/>
          <w:kern w:val="2"/>
          <w:sz w:val="28"/>
          <w:szCs w:val="28"/>
          <w:highlight w:val="none"/>
        </w:rPr>
        <w:t>履约保证</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_Toc21790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B68D903">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_Toc13146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rPr>
        <w:t>4.合同订立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_Toc13146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FC435A6">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_Toc4110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rPr>
        <w:t>5.放弃中标的处理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_Toc4110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EBCF96B">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_Toc12584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rPr>
        <w:t>6</w:t>
      </w:r>
      <w:r>
        <w:rPr>
          <w:rFonts w:hint="eastAsia" w:ascii="宋体" w:hAnsi="宋体" w:eastAsia="宋体" w:cs="宋体"/>
          <w:color w:val="auto"/>
          <w:kern w:val="2"/>
          <w:sz w:val="28"/>
          <w:szCs w:val="28"/>
          <w:highlight w:val="none"/>
          <w:lang w:val="en-US" w:eastAsia="zh-CN"/>
        </w:rPr>
        <w:t>.</w:t>
      </w:r>
      <w:r>
        <w:rPr>
          <w:rFonts w:hint="eastAsia" w:ascii="宋体" w:hAnsi="宋体" w:eastAsia="宋体" w:cs="宋体"/>
          <w:color w:val="auto"/>
          <w:kern w:val="2"/>
          <w:sz w:val="28"/>
          <w:szCs w:val="28"/>
          <w:highlight w:val="none"/>
        </w:rPr>
        <w:t>项目管理机构</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_Toc12584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A3CBF62">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_Toc4072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rPr>
        <w:t>7</w:t>
      </w:r>
      <w:r>
        <w:rPr>
          <w:rFonts w:hint="eastAsia" w:ascii="宋体" w:hAnsi="宋体" w:eastAsia="宋体" w:cs="宋体"/>
          <w:color w:val="auto"/>
          <w:kern w:val="2"/>
          <w:sz w:val="28"/>
          <w:szCs w:val="28"/>
          <w:highlight w:val="none"/>
          <w:lang w:val="en-US" w:eastAsia="zh-CN"/>
        </w:rPr>
        <w:t>.</w:t>
      </w:r>
      <w:r>
        <w:rPr>
          <w:rFonts w:hint="eastAsia" w:ascii="宋体" w:hAnsi="宋体" w:eastAsia="宋体" w:cs="宋体"/>
          <w:color w:val="auto"/>
          <w:kern w:val="2"/>
          <w:sz w:val="28"/>
          <w:szCs w:val="28"/>
          <w:highlight w:val="none"/>
        </w:rPr>
        <w:t>监督实施</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_Toc4072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FDC2F31">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_Toc13935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rPr>
        <w:t>8</w:t>
      </w:r>
      <w:r>
        <w:rPr>
          <w:rFonts w:hint="eastAsia" w:ascii="宋体" w:hAnsi="宋体" w:eastAsia="宋体" w:cs="宋体"/>
          <w:color w:val="auto"/>
          <w:kern w:val="2"/>
          <w:sz w:val="28"/>
          <w:szCs w:val="28"/>
          <w:highlight w:val="none"/>
          <w:lang w:val="en-US" w:eastAsia="zh-CN"/>
        </w:rPr>
        <w:t>.</w:t>
      </w:r>
      <w:r>
        <w:rPr>
          <w:rFonts w:hint="eastAsia" w:ascii="宋体" w:hAnsi="宋体" w:eastAsia="宋体" w:cs="宋体"/>
          <w:color w:val="auto"/>
          <w:kern w:val="2"/>
          <w:sz w:val="28"/>
          <w:szCs w:val="28"/>
          <w:highlight w:val="none"/>
        </w:rPr>
        <w:t>其他事项</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_Toc13935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1F7D0E7">
      <w:pPr>
        <w:pStyle w:val="22"/>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_Toc8115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第三章</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拟签订合同的主要条款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_Toc8115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52B5895">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_Toc7628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1.工程承包方式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_Toc7628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92F9BA1">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_Toc17540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2.合同价款支付办法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_Toc17540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ACDA6F9">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_Toc16705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snapToGrid w:val="0"/>
          <w:color w:val="auto"/>
          <w:kern w:val="0"/>
          <w:sz w:val="28"/>
          <w:szCs w:val="28"/>
          <w:highlight w:val="none"/>
          <w:lang w:val="en-US" w:eastAsia="zh-CN"/>
        </w:rPr>
        <w:t>3.结算原则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_Toc16705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EEE5204">
      <w:pPr>
        <w:pStyle w:val="22"/>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_Toc15504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第四章</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val="0"/>
          <w:color w:val="auto"/>
          <w:sz w:val="28"/>
          <w:szCs w:val="28"/>
          <w:highlight w:val="none"/>
        </w:rPr>
        <w:t>招标项目的设计要求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_Toc15504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28918F8">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_Toc27009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2"/>
          <w:sz w:val="28"/>
          <w:szCs w:val="28"/>
          <w:highlight w:val="none"/>
          <w:lang w:val="en-US" w:eastAsia="zh-CN"/>
        </w:rPr>
        <w:t>1.工程的技术要求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_Toc27009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62577CC">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_Toc27589 </w:instrText>
      </w:r>
      <w:r>
        <w:rPr>
          <w:rFonts w:hint="eastAsia" w:ascii="宋体" w:hAnsi="宋体" w:eastAsia="宋体" w:cs="宋体"/>
          <w:color w:val="auto"/>
          <w:sz w:val="28"/>
          <w:szCs w:val="28"/>
          <w:highlight w:val="none"/>
        </w:rPr>
        <w:fldChar w:fldCharType="separate"/>
      </w:r>
      <w:r>
        <w:rPr>
          <w:rFonts w:hint="eastAsia" w:ascii="宋体" w:hAnsi="宋体" w:eastAsia="宋体" w:cs="宋体"/>
          <w:snapToGrid w:val="0"/>
          <w:color w:val="auto"/>
          <w:kern w:val="0"/>
          <w:sz w:val="28"/>
          <w:szCs w:val="28"/>
          <w:highlight w:val="none"/>
        </w:rPr>
        <w:t>2</w:t>
      </w:r>
      <w:r>
        <w:rPr>
          <w:rFonts w:hint="eastAsia" w:ascii="宋体" w:hAnsi="宋体" w:eastAsia="宋体" w:cs="宋体"/>
          <w:snapToGrid w:val="0"/>
          <w:color w:val="auto"/>
          <w:kern w:val="0"/>
          <w:sz w:val="28"/>
          <w:szCs w:val="28"/>
          <w:highlight w:val="none"/>
          <w:lang w:val="en-US" w:eastAsia="zh-CN"/>
        </w:rPr>
        <w:t>.</w:t>
      </w:r>
      <w:r>
        <w:rPr>
          <w:rFonts w:hint="eastAsia" w:ascii="宋体" w:hAnsi="宋体" w:eastAsia="宋体" w:cs="宋体"/>
          <w:snapToGrid w:val="0"/>
          <w:color w:val="auto"/>
          <w:kern w:val="0"/>
          <w:sz w:val="28"/>
          <w:szCs w:val="28"/>
          <w:highlight w:val="none"/>
        </w:rPr>
        <w:t>备查要求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_Toc27589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BD5F871">
      <w:pPr>
        <w:pStyle w:val="22"/>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_Toc18997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第五章</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_Toc18997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0A63AF1">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_Toc21348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rPr>
        <w:t>格式一   封面</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_Toc21348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F64436D">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_Toc19165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rPr>
        <w:t>格式二   投标函</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_Toc19165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ACCDC2E">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_Toc25939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rPr>
        <w:t>格式三   工程项目报价表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_Toc25939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02F9702">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_Toc9604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rPr>
        <w:t>格式四   各项承诺一览表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_Toc9604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6F6E0DB">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_Toc16294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rPr>
        <w:t>格式五   投标人基本情况表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_Toc16294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24E91F7">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_Toc1232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rPr>
        <w:t>格式六   设计负责人简历表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_Toc1232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6D1D756">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_Toc20370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rPr>
        <w:t>格式七   本项目拟投入的人员基本情况表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_Toc20370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8727110">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_Toc25024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rPr>
        <w:t>格式八   法定代表人身份证明书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_Toc25024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C700136">
      <w:pPr>
        <w:pStyle w:val="25"/>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_Toc20552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rPr>
        <w:t>格式九   法定代表人授权委托书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_Toc20552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337B324">
      <w:pPr>
        <w:pStyle w:val="22"/>
        <w:tabs>
          <w:tab w:val="right" w:leader="dot" w:pos="9639"/>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_Toc24616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第六章</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其他资料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_Toc24616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10977BA">
      <w:pPr>
        <w:spacing w:line="480" w:lineRule="auto"/>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end"/>
      </w:r>
    </w:p>
    <w:p w14:paraId="583724FF">
      <w:pPr>
        <w:spacing w:line="360" w:lineRule="auto"/>
        <w:rPr>
          <w:rFonts w:hint="eastAsia" w:ascii="宋体" w:hAnsi="宋体" w:eastAsia="宋体" w:cs="宋体"/>
          <w:color w:val="auto"/>
          <w:highlight w:val="none"/>
        </w:rPr>
      </w:pPr>
    </w:p>
    <w:p w14:paraId="46910975">
      <w:pPr>
        <w:rPr>
          <w:rFonts w:hint="eastAsia" w:ascii="宋体" w:hAnsi="宋体" w:eastAsia="宋体" w:cs="宋体"/>
          <w:color w:val="auto"/>
          <w:highlight w:val="none"/>
          <w:lang w:val="en-US" w:eastAsia="zh-CN"/>
        </w:rPr>
      </w:pPr>
    </w:p>
    <w:p w14:paraId="6C85B1FC">
      <w:pPr>
        <w:rPr>
          <w:rFonts w:hint="eastAsia" w:ascii="宋体" w:hAnsi="宋体" w:eastAsia="宋体" w:cs="宋体"/>
          <w:color w:val="auto"/>
          <w:highlight w:val="none"/>
          <w:lang w:val="en-US" w:eastAsia="zh-CN"/>
        </w:rPr>
      </w:pPr>
    </w:p>
    <w:p w14:paraId="2EE2991E">
      <w:pPr>
        <w:rPr>
          <w:rFonts w:hint="eastAsia" w:ascii="宋体" w:hAnsi="宋体" w:eastAsia="宋体" w:cs="宋体"/>
          <w:color w:val="auto"/>
          <w:highlight w:val="none"/>
          <w:lang w:val="en-US" w:eastAsia="zh-CN"/>
        </w:rPr>
      </w:pPr>
    </w:p>
    <w:p w14:paraId="77AAA2D8">
      <w:pPr>
        <w:rPr>
          <w:rFonts w:hint="eastAsia" w:ascii="宋体" w:hAnsi="宋体" w:eastAsia="宋体" w:cs="宋体"/>
          <w:color w:val="auto"/>
          <w:highlight w:val="none"/>
          <w:lang w:val="en-US" w:eastAsia="zh-CN"/>
        </w:rPr>
      </w:pPr>
    </w:p>
    <w:p w14:paraId="5D488D93">
      <w:pPr>
        <w:rPr>
          <w:rFonts w:hint="eastAsia" w:ascii="宋体" w:hAnsi="宋体" w:eastAsia="宋体" w:cs="宋体"/>
          <w:color w:val="auto"/>
          <w:highlight w:val="none"/>
          <w:lang w:val="en-US" w:eastAsia="zh-CN"/>
        </w:rPr>
      </w:pPr>
    </w:p>
    <w:p w14:paraId="338B0C28">
      <w:pPr>
        <w:rPr>
          <w:rFonts w:hint="eastAsia" w:ascii="宋体" w:hAnsi="宋体" w:eastAsia="宋体" w:cs="宋体"/>
          <w:color w:val="auto"/>
          <w:highlight w:val="none"/>
          <w:lang w:val="en-US" w:eastAsia="zh-CN"/>
        </w:rPr>
      </w:pPr>
    </w:p>
    <w:p w14:paraId="6CB271F0">
      <w:pPr>
        <w:rPr>
          <w:rFonts w:hint="eastAsia" w:ascii="宋体" w:hAnsi="宋体" w:eastAsia="宋体" w:cs="宋体"/>
          <w:color w:val="auto"/>
          <w:highlight w:val="none"/>
          <w:lang w:val="en-US" w:eastAsia="zh-CN"/>
        </w:rPr>
      </w:pPr>
    </w:p>
    <w:p w14:paraId="090BC8A6">
      <w:pPr>
        <w:rPr>
          <w:rFonts w:hint="eastAsia" w:ascii="宋体" w:hAnsi="宋体" w:eastAsia="宋体" w:cs="宋体"/>
          <w:color w:val="auto"/>
          <w:highlight w:val="none"/>
          <w:lang w:val="en-US" w:eastAsia="zh-CN"/>
        </w:rPr>
      </w:pPr>
    </w:p>
    <w:p w14:paraId="1CE8773D">
      <w:pPr>
        <w:rPr>
          <w:rFonts w:hint="eastAsia" w:ascii="宋体" w:hAnsi="宋体" w:eastAsia="宋体" w:cs="宋体"/>
          <w:color w:val="auto"/>
          <w:highlight w:val="none"/>
          <w:lang w:val="en-US" w:eastAsia="zh-CN"/>
        </w:rPr>
      </w:pPr>
    </w:p>
    <w:p w14:paraId="75B847C2">
      <w:pPr>
        <w:rPr>
          <w:rFonts w:hint="eastAsia" w:ascii="宋体" w:hAnsi="宋体" w:eastAsia="宋体" w:cs="宋体"/>
          <w:color w:val="auto"/>
          <w:highlight w:val="none"/>
          <w:lang w:val="en-US" w:eastAsia="zh-CN"/>
        </w:rPr>
      </w:pPr>
    </w:p>
    <w:p w14:paraId="15D51BE9">
      <w:pPr>
        <w:rPr>
          <w:rFonts w:hint="eastAsia" w:ascii="宋体" w:hAnsi="宋体" w:eastAsia="宋体" w:cs="宋体"/>
          <w:color w:val="auto"/>
          <w:highlight w:val="none"/>
          <w:lang w:val="en-US" w:eastAsia="zh-CN"/>
        </w:rPr>
      </w:pPr>
    </w:p>
    <w:p w14:paraId="045207F3">
      <w:pPr>
        <w:rPr>
          <w:rFonts w:hint="eastAsia" w:ascii="宋体" w:hAnsi="宋体" w:eastAsia="宋体" w:cs="宋体"/>
          <w:color w:val="auto"/>
          <w:highlight w:val="none"/>
          <w:lang w:val="en-US" w:eastAsia="zh-CN"/>
        </w:rPr>
      </w:pPr>
    </w:p>
    <w:p w14:paraId="7402A5F2">
      <w:pPr>
        <w:rPr>
          <w:rFonts w:hint="eastAsia" w:ascii="宋体" w:hAnsi="宋体" w:eastAsia="宋体" w:cs="宋体"/>
          <w:color w:val="auto"/>
          <w:highlight w:val="none"/>
          <w:lang w:val="en-US" w:eastAsia="zh-CN"/>
        </w:rPr>
      </w:pPr>
    </w:p>
    <w:p w14:paraId="2203E89B">
      <w:pPr>
        <w:rPr>
          <w:rFonts w:hint="eastAsia" w:ascii="宋体" w:hAnsi="宋体" w:eastAsia="宋体" w:cs="宋体"/>
          <w:color w:val="auto"/>
          <w:highlight w:val="none"/>
          <w:lang w:val="en-US" w:eastAsia="zh-CN"/>
        </w:rPr>
      </w:pPr>
    </w:p>
    <w:p w14:paraId="1E155EFD">
      <w:pPr>
        <w:rPr>
          <w:rFonts w:hint="eastAsia" w:ascii="宋体" w:hAnsi="宋体" w:eastAsia="宋体" w:cs="宋体"/>
          <w:color w:val="auto"/>
          <w:highlight w:val="none"/>
          <w:lang w:val="en-US" w:eastAsia="zh-CN"/>
        </w:rPr>
      </w:pPr>
    </w:p>
    <w:p w14:paraId="17F00FA1">
      <w:pPr>
        <w:rPr>
          <w:rFonts w:hint="eastAsia" w:ascii="宋体" w:hAnsi="宋体" w:eastAsia="宋体" w:cs="宋体"/>
          <w:color w:val="auto"/>
          <w:highlight w:val="none"/>
          <w:lang w:val="en-US" w:eastAsia="zh-CN"/>
        </w:rPr>
      </w:pPr>
    </w:p>
    <w:p w14:paraId="6B86E525">
      <w:pPr>
        <w:rPr>
          <w:rFonts w:hint="eastAsia" w:ascii="宋体" w:hAnsi="宋体" w:eastAsia="宋体" w:cs="宋体"/>
          <w:color w:val="auto"/>
          <w:highlight w:val="none"/>
          <w:lang w:val="en-US" w:eastAsia="zh-CN"/>
        </w:rPr>
      </w:pPr>
    </w:p>
    <w:p w14:paraId="73CBF239">
      <w:pPr>
        <w:rPr>
          <w:rFonts w:hint="eastAsia" w:ascii="宋体" w:hAnsi="宋体" w:eastAsia="宋体" w:cs="宋体"/>
          <w:color w:val="auto"/>
          <w:highlight w:val="none"/>
          <w:lang w:val="en-US" w:eastAsia="zh-CN"/>
        </w:rPr>
      </w:pPr>
    </w:p>
    <w:p w14:paraId="13346404">
      <w:pPr>
        <w:rPr>
          <w:rFonts w:hint="eastAsia" w:ascii="宋体" w:hAnsi="宋体" w:eastAsia="宋体" w:cs="宋体"/>
          <w:color w:val="auto"/>
          <w:highlight w:val="none"/>
          <w:lang w:val="en-US" w:eastAsia="zh-CN"/>
        </w:rPr>
      </w:pPr>
    </w:p>
    <w:p w14:paraId="5F468A32">
      <w:pPr>
        <w:rPr>
          <w:rFonts w:hint="eastAsia" w:ascii="宋体" w:hAnsi="宋体" w:eastAsia="宋体" w:cs="宋体"/>
          <w:color w:val="auto"/>
          <w:highlight w:val="none"/>
          <w:lang w:val="en-US" w:eastAsia="zh-CN"/>
        </w:rPr>
      </w:pPr>
    </w:p>
    <w:p w14:paraId="716EA732">
      <w:pPr>
        <w:rPr>
          <w:rFonts w:hint="eastAsia" w:ascii="宋体" w:hAnsi="宋体" w:eastAsia="宋体" w:cs="宋体"/>
          <w:color w:val="auto"/>
          <w:highlight w:val="none"/>
          <w:lang w:val="en-US" w:eastAsia="zh-CN"/>
        </w:rPr>
      </w:pPr>
    </w:p>
    <w:p w14:paraId="0B77DCE1">
      <w:pPr>
        <w:pStyle w:val="185"/>
        <w:keepNext/>
        <w:keepLines/>
        <w:snapToGrid w:val="0"/>
        <w:spacing w:line="360" w:lineRule="exact"/>
        <w:jc w:val="center"/>
        <w:rPr>
          <w:rFonts w:hint="eastAsia" w:ascii="宋体" w:hAnsi="宋体" w:eastAsia="宋体" w:cs="宋体"/>
          <w:b/>
          <w:color w:val="auto"/>
          <w:kern w:val="44"/>
          <w:sz w:val="32"/>
          <w:szCs w:val="22"/>
          <w:highlight w:val="none"/>
        </w:rPr>
      </w:pPr>
      <w:bookmarkStart w:id="5" w:name="_Toc6228"/>
      <w:r>
        <w:rPr>
          <w:rFonts w:hint="eastAsia" w:ascii="宋体" w:hAnsi="宋体" w:eastAsia="宋体" w:cs="宋体"/>
          <w:b/>
          <w:color w:val="auto"/>
          <w:kern w:val="44"/>
          <w:sz w:val="32"/>
          <w:szCs w:val="22"/>
          <w:highlight w:val="none"/>
        </w:rPr>
        <w:t>第一章</w:t>
      </w:r>
      <w:r>
        <w:rPr>
          <w:rFonts w:hint="eastAsia" w:ascii="宋体" w:hAnsi="宋体" w:eastAsia="宋体" w:cs="宋体"/>
          <w:b/>
          <w:color w:val="auto"/>
          <w:kern w:val="44"/>
          <w:sz w:val="32"/>
          <w:szCs w:val="22"/>
          <w:highlight w:val="none"/>
          <w:lang w:val="en-US" w:eastAsia="zh-CN"/>
        </w:rPr>
        <w:t xml:space="preserve">   </w:t>
      </w:r>
      <w:r>
        <w:rPr>
          <w:rFonts w:hint="eastAsia" w:ascii="宋体" w:hAnsi="宋体" w:eastAsia="宋体" w:cs="宋体"/>
          <w:b/>
          <w:color w:val="auto"/>
          <w:kern w:val="44"/>
          <w:sz w:val="32"/>
          <w:szCs w:val="22"/>
          <w:highlight w:val="none"/>
        </w:rPr>
        <w:t>投标人须知</w:t>
      </w:r>
      <w:bookmarkEnd w:id="0"/>
      <w:bookmarkEnd w:id="1"/>
      <w:bookmarkEnd w:id="2"/>
      <w:bookmarkEnd w:id="3"/>
      <w:bookmarkEnd w:id="5"/>
    </w:p>
    <w:p w14:paraId="7334F9D4">
      <w:pPr>
        <w:pStyle w:val="79"/>
        <w:keepNext/>
        <w:keepLines/>
        <w:autoSpaceDE/>
        <w:autoSpaceDN/>
        <w:adjustRightInd/>
        <w:spacing w:before="260" w:after="260" w:line="360" w:lineRule="exact"/>
        <w:jc w:val="both"/>
        <w:rPr>
          <w:rFonts w:hint="eastAsia" w:ascii="宋体" w:hAnsi="宋体" w:eastAsia="宋体" w:cs="宋体"/>
          <w:b/>
          <w:color w:val="auto"/>
          <w:kern w:val="2"/>
          <w:highlight w:val="none"/>
        </w:rPr>
      </w:pPr>
      <w:bookmarkStart w:id="6" w:name="_Hlt127175444"/>
      <w:bookmarkEnd w:id="6"/>
      <w:bookmarkStart w:id="7" w:name="_Toc2102"/>
      <w:bookmarkStart w:id="8" w:name="_Toc29648"/>
      <w:bookmarkStart w:id="9" w:name="_Toc7880"/>
      <w:bookmarkStart w:id="10" w:name="_Toc135054576"/>
      <w:bookmarkStart w:id="11" w:name="_Toc17008"/>
      <w:bookmarkStart w:id="12" w:name="_Toc12674"/>
      <w:bookmarkStart w:id="13" w:name="_Toc30318"/>
      <w:bookmarkStart w:id="14" w:name="_Toc4269"/>
      <w:bookmarkStart w:id="15" w:name="_Hlt120077520"/>
      <w:r>
        <w:rPr>
          <w:rFonts w:hint="eastAsia" w:ascii="宋体" w:hAnsi="宋体" w:eastAsia="宋体" w:cs="宋体"/>
          <w:b/>
          <w:color w:val="auto"/>
          <w:kern w:val="2"/>
          <w:highlight w:val="none"/>
        </w:rPr>
        <w:t>第一节</w:t>
      </w:r>
      <w:r>
        <w:rPr>
          <w:rFonts w:hint="eastAsia" w:ascii="宋体" w:hAnsi="宋体" w:eastAsia="宋体" w:cs="宋体"/>
          <w:b/>
          <w:color w:val="auto"/>
          <w:kern w:val="2"/>
          <w:highlight w:val="none"/>
          <w:lang w:val="en-US" w:eastAsia="zh-CN"/>
        </w:rPr>
        <w:t xml:space="preserve">   </w:t>
      </w:r>
      <w:r>
        <w:rPr>
          <w:rFonts w:hint="eastAsia" w:ascii="宋体" w:hAnsi="宋体" w:eastAsia="宋体" w:cs="宋体"/>
          <w:b/>
          <w:color w:val="auto"/>
          <w:kern w:val="2"/>
          <w:highlight w:val="none"/>
        </w:rPr>
        <w:t>投标人须知前附表</w:t>
      </w:r>
      <w:bookmarkEnd w:id="7"/>
      <w:bookmarkEnd w:id="8"/>
      <w:bookmarkEnd w:id="9"/>
      <w:bookmarkEnd w:id="10"/>
      <w:bookmarkEnd w:id="11"/>
      <w:bookmarkEnd w:id="12"/>
      <w:bookmarkEnd w:id="13"/>
      <w:bookmarkEnd w:id="14"/>
    </w:p>
    <w:bookmarkEnd w:id="15"/>
    <w:tbl>
      <w:tblPr>
        <w:tblStyle w:val="33"/>
        <w:tblW w:w="104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869"/>
        <w:gridCol w:w="1690"/>
        <w:gridCol w:w="7842"/>
      </w:tblGrid>
      <w:tr w14:paraId="19914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ED4AC58">
            <w:pPr>
              <w:pStyle w:val="80"/>
              <w:jc w:val="center"/>
              <w:rPr>
                <w:rFonts w:hint="eastAsia" w:ascii="宋体" w:hAnsi="宋体" w:eastAsia="宋体" w:cs="宋体"/>
                <w:b/>
                <w:bCs/>
                <w:color w:val="auto"/>
                <w:highlight w:val="none"/>
              </w:rPr>
            </w:pPr>
            <w:bookmarkStart w:id="16" w:name="_Toc122859103"/>
            <w:bookmarkStart w:id="17" w:name="_Toc122769943"/>
            <w:bookmarkStart w:id="18" w:name="_Toc122671103"/>
            <w:r>
              <w:rPr>
                <w:rFonts w:hint="eastAsia" w:ascii="宋体" w:hAnsi="宋体" w:eastAsia="宋体" w:cs="宋体"/>
                <w:b/>
                <w:bCs/>
                <w:color w:val="auto"/>
                <w:highlight w:val="none"/>
              </w:rPr>
              <w:t>序号</w:t>
            </w:r>
          </w:p>
        </w:tc>
        <w:tc>
          <w:tcPr>
            <w:tcW w:w="1690" w:type="dxa"/>
            <w:tcBorders>
              <w:top w:val="single" w:color="auto" w:sz="4" w:space="0"/>
              <w:left w:val="single" w:color="auto" w:sz="4" w:space="0"/>
              <w:bottom w:val="single" w:color="auto" w:sz="4" w:space="0"/>
              <w:right w:val="single" w:color="auto" w:sz="4" w:space="0"/>
            </w:tcBorders>
            <w:vAlign w:val="center"/>
          </w:tcPr>
          <w:p w14:paraId="5DBB40E7">
            <w:pPr>
              <w:pStyle w:val="8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内容</w:t>
            </w:r>
          </w:p>
        </w:tc>
        <w:tc>
          <w:tcPr>
            <w:tcW w:w="7842" w:type="dxa"/>
            <w:tcBorders>
              <w:top w:val="single" w:color="auto" w:sz="4" w:space="0"/>
              <w:left w:val="single" w:color="auto" w:sz="4" w:space="0"/>
              <w:bottom w:val="single" w:color="auto" w:sz="4" w:space="0"/>
              <w:right w:val="single" w:color="auto" w:sz="4" w:space="0"/>
            </w:tcBorders>
            <w:vAlign w:val="center"/>
          </w:tcPr>
          <w:p w14:paraId="0C923CAB">
            <w:pPr>
              <w:pStyle w:val="80"/>
              <w:tabs>
                <w:tab w:val="left" w:pos="1180"/>
              </w:tabs>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说明与要求</w:t>
            </w:r>
          </w:p>
        </w:tc>
      </w:tr>
      <w:tr w14:paraId="12481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B8D905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690" w:type="dxa"/>
            <w:tcBorders>
              <w:top w:val="single" w:color="auto" w:sz="4" w:space="0"/>
              <w:left w:val="single" w:color="auto" w:sz="4" w:space="0"/>
              <w:bottom w:val="single" w:color="auto" w:sz="4" w:space="0"/>
              <w:right w:val="single" w:color="auto" w:sz="4" w:space="0"/>
            </w:tcBorders>
            <w:vAlign w:val="center"/>
          </w:tcPr>
          <w:p w14:paraId="4F22F470">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项目名称</w:t>
            </w:r>
          </w:p>
        </w:tc>
        <w:tc>
          <w:tcPr>
            <w:tcW w:w="7842" w:type="dxa"/>
            <w:tcBorders>
              <w:top w:val="single" w:color="auto" w:sz="4" w:space="0"/>
              <w:left w:val="single" w:color="auto" w:sz="4" w:space="0"/>
              <w:bottom w:val="single" w:color="auto" w:sz="4" w:space="0"/>
              <w:right w:val="single" w:color="auto" w:sz="4" w:space="0"/>
            </w:tcBorders>
            <w:vAlign w:val="center"/>
          </w:tcPr>
          <w:p w14:paraId="15D43981">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广东省韶关市武江区农业产业基础设施建设项目-韶关市武江区龙归镇2025年农业产业基础设施建设项目勘察设计</w:t>
            </w:r>
          </w:p>
        </w:tc>
      </w:tr>
      <w:tr w14:paraId="06881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05FDA7B">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690" w:type="dxa"/>
            <w:tcBorders>
              <w:top w:val="single" w:color="auto" w:sz="4" w:space="0"/>
              <w:left w:val="single" w:color="auto" w:sz="4" w:space="0"/>
              <w:bottom w:val="single" w:color="auto" w:sz="4" w:space="0"/>
              <w:right w:val="single" w:color="auto" w:sz="4" w:space="0"/>
            </w:tcBorders>
            <w:vAlign w:val="center"/>
          </w:tcPr>
          <w:p w14:paraId="4C372E3F">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项目业主</w:t>
            </w:r>
          </w:p>
        </w:tc>
        <w:tc>
          <w:tcPr>
            <w:tcW w:w="7842" w:type="dxa"/>
            <w:tcBorders>
              <w:top w:val="single" w:color="auto" w:sz="4" w:space="0"/>
              <w:left w:val="single" w:color="auto" w:sz="4" w:space="0"/>
              <w:bottom w:val="single" w:color="auto" w:sz="4" w:space="0"/>
              <w:right w:val="single" w:color="auto" w:sz="4" w:space="0"/>
            </w:tcBorders>
            <w:vAlign w:val="center"/>
          </w:tcPr>
          <w:p w14:paraId="3FEFD414">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韶关市武江区龙归镇人民政府</w:t>
            </w:r>
          </w:p>
        </w:tc>
      </w:tr>
      <w:tr w14:paraId="0A33C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55F8BE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c>
          <w:tcPr>
            <w:tcW w:w="1690" w:type="dxa"/>
            <w:tcBorders>
              <w:top w:val="single" w:color="auto" w:sz="4" w:space="0"/>
              <w:left w:val="single" w:color="auto" w:sz="4" w:space="0"/>
              <w:bottom w:val="single" w:color="auto" w:sz="4" w:space="0"/>
              <w:right w:val="single" w:color="auto" w:sz="4" w:space="0"/>
            </w:tcBorders>
            <w:vAlign w:val="center"/>
          </w:tcPr>
          <w:p w14:paraId="36F38155">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项目批准部门</w:t>
            </w:r>
          </w:p>
        </w:tc>
        <w:tc>
          <w:tcPr>
            <w:tcW w:w="7842" w:type="dxa"/>
            <w:tcBorders>
              <w:top w:val="single" w:color="auto" w:sz="4" w:space="0"/>
              <w:left w:val="single" w:color="auto" w:sz="4" w:space="0"/>
              <w:bottom w:val="single" w:color="auto" w:sz="4" w:space="0"/>
              <w:right w:val="single" w:color="auto" w:sz="4" w:space="0"/>
            </w:tcBorders>
            <w:vAlign w:val="center"/>
          </w:tcPr>
          <w:p w14:paraId="38021AB7">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韶关市武江区发展和改革局</w:t>
            </w:r>
          </w:p>
        </w:tc>
      </w:tr>
      <w:tr w14:paraId="47545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9C2211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c>
          <w:tcPr>
            <w:tcW w:w="1690" w:type="dxa"/>
            <w:tcBorders>
              <w:top w:val="single" w:color="auto" w:sz="4" w:space="0"/>
              <w:left w:val="single" w:color="auto" w:sz="4" w:space="0"/>
              <w:bottom w:val="single" w:color="auto" w:sz="4" w:space="0"/>
              <w:right w:val="single" w:color="auto" w:sz="4" w:space="0"/>
            </w:tcBorders>
            <w:vAlign w:val="center"/>
          </w:tcPr>
          <w:p w14:paraId="471D31BF">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项目批准文号</w:t>
            </w:r>
          </w:p>
        </w:tc>
        <w:tc>
          <w:tcPr>
            <w:tcW w:w="7842" w:type="dxa"/>
            <w:tcBorders>
              <w:top w:val="single" w:color="auto" w:sz="4" w:space="0"/>
              <w:left w:val="single" w:color="auto" w:sz="4" w:space="0"/>
              <w:bottom w:val="single" w:color="auto" w:sz="4" w:space="0"/>
              <w:right w:val="single" w:color="auto" w:sz="4" w:space="0"/>
            </w:tcBorders>
            <w:vAlign w:val="center"/>
          </w:tcPr>
          <w:p w14:paraId="30D1425E">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韶武发改投审[2024]136号</w:t>
            </w:r>
          </w:p>
        </w:tc>
      </w:tr>
      <w:tr w14:paraId="519D3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6F3B03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c>
          <w:tcPr>
            <w:tcW w:w="1690" w:type="dxa"/>
            <w:tcBorders>
              <w:top w:val="single" w:color="auto" w:sz="4" w:space="0"/>
              <w:left w:val="single" w:color="auto" w:sz="4" w:space="0"/>
              <w:bottom w:val="single" w:color="auto" w:sz="4" w:space="0"/>
              <w:right w:val="single" w:color="auto" w:sz="4" w:space="0"/>
            </w:tcBorders>
            <w:vAlign w:val="center"/>
          </w:tcPr>
          <w:p w14:paraId="19D02216">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项目代码</w:t>
            </w:r>
          </w:p>
        </w:tc>
        <w:tc>
          <w:tcPr>
            <w:tcW w:w="7842" w:type="dxa"/>
            <w:tcBorders>
              <w:top w:val="single" w:color="auto" w:sz="4" w:space="0"/>
              <w:left w:val="single" w:color="auto" w:sz="4" w:space="0"/>
              <w:bottom w:val="single" w:color="auto" w:sz="4" w:space="0"/>
              <w:right w:val="single" w:color="auto" w:sz="4" w:space="0"/>
            </w:tcBorders>
            <w:vAlign w:val="center"/>
          </w:tcPr>
          <w:p w14:paraId="6F05CC57">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2412-440203-20-01-503270</w:t>
            </w:r>
          </w:p>
        </w:tc>
      </w:tr>
      <w:tr w14:paraId="37000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79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21AC30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90" w:type="dxa"/>
            <w:tcBorders>
              <w:top w:val="single" w:color="auto" w:sz="4" w:space="0"/>
              <w:left w:val="single" w:color="auto" w:sz="4" w:space="0"/>
              <w:bottom w:val="single" w:color="auto" w:sz="4" w:space="0"/>
              <w:right w:val="single" w:color="auto" w:sz="4" w:space="0"/>
            </w:tcBorders>
            <w:vAlign w:val="center"/>
          </w:tcPr>
          <w:p w14:paraId="01DD0AE7">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资金来源</w:t>
            </w:r>
          </w:p>
          <w:p w14:paraId="568810D3">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及出资比例</w:t>
            </w:r>
          </w:p>
        </w:tc>
        <w:tc>
          <w:tcPr>
            <w:tcW w:w="7842" w:type="dxa"/>
            <w:tcBorders>
              <w:top w:val="single" w:color="auto" w:sz="4" w:space="0"/>
              <w:left w:val="single" w:color="auto" w:sz="4" w:space="0"/>
              <w:bottom w:val="single" w:color="auto" w:sz="4" w:space="0"/>
              <w:right w:val="single" w:color="auto" w:sz="4" w:space="0"/>
            </w:tcBorders>
            <w:vAlign w:val="center"/>
          </w:tcPr>
          <w:p w14:paraId="47CCC357">
            <w:pPr>
              <w:spacing w:line="24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区财政统筹解决，100%</w:t>
            </w:r>
          </w:p>
        </w:tc>
      </w:tr>
      <w:tr w14:paraId="5C991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F0582C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690" w:type="dxa"/>
            <w:tcBorders>
              <w:top w:val="single" w:color="auto" w:sz="4" w:space="0"/>
              <w:left w:val="single" w:color="auto" w:sz="4" w:space="0"/>
              <w:bottom w:val="single" w:color="auto" w:sz="4" w:space="0"/>
              <w:right w:val="single" w:color="auto" w:sz="4" w:space="0"/>
            </w:tcBorders>
            <w:vAlign w:val="center"/>
          </w:tcPr>
          <w:p w14:paraId="2BEBC1A5">
            <w:pPr>
              <w:spacing w:line="360" w:lineRule="auto"/>
              <w:jc w:val="center"/>
              <w:rPr>
                <w:rFonts w:hint="eastAsia" w:ascii="宋体" w:hAnsi="宋体" w:eastAsia="宋体" w:cs="宋体"/>
                <w:snapToGrid w:val="0"/>
                <w:color w:val="auto"/>
                <w:kern w:val="0"/>
                <w:sz w:val="24"/>
                <w:szCs w:val="24"/>
                <w:highlight w:val="none"/>
              </w:rPr>
            </w:pPr>
            <w:bookmarkStart w:id="19" w:name="_Toc10770"/>
            <w:bookmarkStart w:id="20" w:name="_Toc12075"/>
            <w:bookmarkStart w:id="21" w:name="_Toc7040"/>
            <w:bookmarkStart w:id="22" w:name="_Toc31789"/>
            <w:bookmarkStart w:id="23" w:name="_Toc135054577"/>
            <w:r>
              <w:rPr>
                <w:rFonts w:hint="eastAsia" w:ascii="宋体" w:hAnsi="宋体" w:eastAsia="宋体" w:cs="宋体"/>
                <w:snapToGrid w:val="0"/>
                <w:color w:val="auto"/>
                <w:kern w:val="0"/>
                <w:sz w:val="24"/>
                <w:szCs w:val="24"/>
                <w:highlight w:val="none"/>
              </w:rPr>
              <w:t>招标人</w:t>
            </w:r>
            <w:bookmarkEnd w:id="19"/>
            <w:bookmarkEnd w:id="20"/>
            <w:bookmarkEnd w:id="21"/>
            <w:bookmarkEnd w:id="22"/>
            <w:bookmarkEnd w:id="23"/>
          </w:p>
        </w:tc>
        <w:tc>
          <w:tcPr>
            <w:tcW w:w="7842" w:type="dxa"/>
            <w:tcBorders>
              <w:top w:val="single" w:color="auto" w:sz="4" w:space="0"/>
              <w:left w:val="single" w:color="auto" w:sz="4" w:space="0"/>
              <w:bottom w:val="single" w:color="auto" w:sz="4" w:space="0"/>
              <w:right w:val="single" w:color="auto" w:sz="4" w:space="0"/>
            </w:tcBorders>
            <w:vAlign w:val="center"/>
          </w:tcPr>
          <w:p w14:paraId="3C00A7DF">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韶关市武江区龙归镇人民政府</w:t>
            </w:r>
          </w:p>
        </w:tc>
      </w:tr>
      <w:tr w14:paraId="6D931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7BA544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690" w:type="dxa"/>
            <w:tcBorders>
              <w:top w:val="single" w:color="auto" w:sz="4" w:space="0"/>
              <w:left w:val="single" w:color="auto" w:sz="4" w:space="0"/>
              <w:bottom w:val="single" w:color="auto" w:sz="4" w:space="0"/>
              <w:right w:val="single" w:color="auto" w:sz="4" w:space="0"/>
            </w:tcBorders>
            <w:vAlign w:val="center"/>
          </w:tcPr>
          <w:p w14:paraId="75D0786A">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招标代理机构</w:t>
            </w:r>
          </w:p>
        </w:tc>
        <w:tc>
          <w:tcPr>
            <w:tcW w:w="7842" w:type="dxa"/>
            <w:tcBorders>
              <w:top w:val="single" w:color="auto" w:sz="4" w:space="0"/>
              <w:left w:val="single" w:color="auto" w:sz="4" w:space="0"/>
              <w:bottom w:val="single" w:color="auto" w:sz="4" w:space="0"/>
              <w:right w:val="single" w:color="auto" w:sz="4" w:space="0"/>
            </w:tcBorders>
            <w:vAlign w:val="center"/>
          </w:tcPr>
          <w:p w14:paraId="150DAA21">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广东明正项目管理有限公司</w:t>
            </w:r>
          </w:p>
        </w:tc>
      </w:tr>
      <w:tr w14:paraId="64357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8B929D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690" w:type="dxa"/>
            <w:tcBorders>
              <w:top w:val="single" w:color="auto" w:sz="4" w:space="0"/>
              <w:left w:val="single" w:color="auto" w:sz="4" w:space="0"/>
              <w:bottom w:val="single" w:color="auto" w:sz="4" w:space="0"/>
              <w:right w:val="single" w:color="auto" w:sz="4" w:space="0"/>
            </w:tcBorders>
            <w:vAlign w:val="center"/>
          </w:tcPr>
          <w:p w14:paraId="7A0478E8">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建设地点</w:t>
            </w:r>
          </w:p>
        </w:tc>
        <w:tc>
          <w:tcPr>
            <w:tcW w:w="7842" w:type="dxa"/>
            <w:tcBorders>
              <w:top w:val="single" w:color="auto" w:sz="4" w:space="0"/>
              <w:left w:val="single" w:color="auto" w:sz="4" w:space="0"/>
              <w:bottom w:val="single" w:color="auto" w:sz="4" w:space="0"/>
              <w:right w:val="single" w:color="auto" w:sz="4" w:space="0"/>
            </w:tcBorders>
            <w:vAlign w:val="center"/>
          </w:tcPr>
          <w:p w14:paraId="08D50B47">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韶关市武江区龙归镇</w:t>
            </w:r>
          </w:p>
        </w:tc>
      </w:tr>
      <w:tr w14:paraId="0BF9B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F6EA5D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690" w:type="dxa"/>
            <w:tcBorders>
              <w:top w:val="single" w:color="auto" w:sz="4" w:space="0"/>
              <w:left w:val="single" w:color="auto" w:sz="4" w:space="0"/>
              <w:bottom w:val="single" w:color="auto" w:sz="4" w:space="0"/>
              <w:right w:val="single" w:color="auto" w:sz="4" w:space="0"/>
            </w:tcBorders>
            <w:vAlign w:val="center"/>
          </w:tcPr>
          <w:p w14:paraId="00DDA439">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标段划分</w:t>
            </w:r>
          </w:p>
        </w:tc>
        <w:tc>
          <w:tcPr>
            <w:tcW w:w="7842" w:type="dxa"/>
            <w:tcBorders>
              <w:top w:val="single" w:color="auto" w:sz="4" w:space="0"/>
              <w:left w:val="single" w:color="auto" w:sz="4" w:space="0"/>
              <w:bottom w:val="single" w:color="auto" w:sz="4" w:space="0"/>
              <w:right w:val="single" w:color="auto" w:sz="4" w:space="0"/>
            </w:tcBorders>
            <w:vAlign w:val="center"/>
          </w:tcPr>
          <w:p w14:paraId="6313C98F">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本项目不划分标段</w:t>
            </w:r>
          </w:p>
        </w:tc>
      </w:tr>
      <w:tr w14:paraId="40DE1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36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CBD629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690" w:type="dxa"/>
            <w:tcBorders>
              <w:top w:val="single" w:color="auto" w:sz="4" w:space="0"/>
              <w:left w:val="single" w:color="auto" w:sz="4" w:space="0"/>
              <w:bottom w:val="single" w:color="auto" w:sz="4" w:space="0"/>
              <w:right w:val="single" w:color="auto" w:sz="4" w:space="0"/>
            </w:tcBorders>
            <w:vAlign w:val="center"/>
          </w:tcPr>
          <w:p w14:paraId="0E1D32B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建设内容和规模</w:t>
            </w:r>
          </w:p>
        </w:tc>
        <w:tc>
          <w:tcPr>
            <w:tcW w:w="7842" w:type="dxa"/>
            <w:tcBorders>
              <w:top w:val="single" w:color="auto" w:sz="4" w:space="0"/>
              <w:left w:val="single" w:color="auto" w:sz="4" w:space="0"/>
              <w:bottom w:val="single" w:color="auto" w:sz="4" w:space="0"/>
              <w:right w:val="single" w:color="auto" w:sz="4" w:space="0"/>
            </w:tcBorders>
            <w:vAlign w:val="center"/>
          </w:tcPr>
          <w:p w14:paraId="07A0B794">
            <w:pPr>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土地平整翻耕、土壤改良工程1130亩；新修机耕路、生产道路9公里，新建灌溉水渠8公里，机耕桥2座，修建泵房3座，灌溉陂头2座，新建挡土墙0.6公里，清运耕地杂物200亩。</w:t>
            </w:r>
          </w:p>
        </w:tc>
      </w:tr>
      <w:tr w14:paraId="4DC83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80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C46390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w:t>
            </w:r>
          </w:p>
        </w:tc>
        <w:tc>
          <w:tcPr>
            <w:tcW w:w="1690" w:type="dxa"/>
            <w:tcBorders>
              <w:top w:val="single" w:color="auto" w:sz="4" w:space="0"/>
              <w:left w:val="single" w:color="auto" w:sz="4" w:space="0"/>
              <w:bottom w:val="single" w:color="auto" w:sz="4" w:space="0"/>
              <w:right w:val="single" w:color="auto" w:sz="4" w:space="0"/>
            </w:tcBorders>
            <w:vAlign w:val="center"/>
          </w:tcPr>
          <w:p w14:paraId="2407001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项目总投资</w:t>
            </w:r>
          </w:p>
        </w:tc>
        <w:tc>
          <w:tcPr>
            <w:tcW w:w="7842" w:type="dxa"/>
            <w:tcBorders>
              <w:top w:val="single" w:color="auto" w:sz="4" w:space="0"/>
              <w:left w:val="single" w:color="auto" w:sz="4" w:space="0"/>
              <w:bottom w:val="single" w:color="auto" w:sz="4" w:space="0"/>
              <w:right w:val="single" w:color="auto" w:sz="4" w:space="0"/>
            </w:tcBorders>
            <w:vAlign w:val="center"/>
          </w:tcPr>
          <w:p w14:paraId="18A8BC07">
            <w:pPr>
              <w:pStyle w:val="80"/>
              <w:tabs>
                <w:tab w:val="left" w:pos="7020"/>
              </w:tabs>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工程估算总投资3600.00万元，工程建安费2800.00万元。</w:t>
            </w:r>
          </w:p>
        </w:tc>
      </w:tr>
      <w:tr w14:paraId="27AE9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22635EA">
            <w:pPr>
              <w:pStyle w:val="80"/>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690" w:type="dxa"/>
            <w:tcBorders>
              <w:top w:val="single" w:color="auto" w:sz="4" w:space="0"/>
              <w:left w:val="single" w:color="auto" w:sz="4" w:space="0"/>
              <w:bottom w:val="single" w:color="auto" w:sz="4" w:space="0"/>
              <w:right w:val="single" w:color="auto" w:sz="4" w:space="0"/>
            </w:tcBorders>
            <w:vAlign w:val="center"/>
          </w:tcPr>
          <w:p w14:paraId="2607B902">
            <w:pPr>
              <w:pStyle w:val="80"/>
              <w:jc w:val="center"/>
              <w:rPr>
                <w:rFonts w:hint="eastAsia" w:ascii="宋体" w:hAnsi="宋体" w:eastAsia="宋体" w:cs="宋体"/>
                <w:strike/>
                <w:color w:val="auto"/>
                <w:szCs w:val="24"/>
                <w:highlight w:val="none"/>
              </w:rPr>
            </w:pPr>
            <w:r>
              <w:rPr>
                <w:rFonts w:hint="eastAsia" w:ascii="宋体" w:hAnsi="宋体" w:eastAsia="宋体" w:cs="宋体"/>
                <w:color w:val="auto"/>
                <w:szCs w:val="24"/>
                <w:highlight w:val="none"/>
              </w:rPr>
              <w:t>招标范围</w:t>
            </w:r>
          </w:p>
        </w:tc>
        <w:tc>
          <w:tcPr>
            <w:tcW w:w="7842" w:type="dxa"/>
            <w:tcBorders>
              <w:top w:val="single" w:color="auto" w:sz="4" w:space="0"/>
              <w:left w:val="single" w:color="auto" w:sz="4" w:space="0"/>
              <w:bottom w:val="single" w:color="auto" w:sz="4" w:space="0"/>
              <w:right w:val="single" w:color="auto" w:sz="4" w:space="0"/>
            </w:tcBorders>
            <w:vAlign w:val="center"/>
          </w:tcPr>
          <w:p w14:paraId="4728CFB5">
            <w:pPr>
              <w:spacing w:line="360" w:lineRule="auto"/>
              <w:ind w:firstLine="480" w:firstLineChars="200"/>
              <w:rPr>
                <w:rFonts w:hint="eastAsia" w:ascii="宋体" w:hAnsi="宋体" w:eastAsia="宋体" w:cs="宋体"/>
                <w:color w:val="auto"/>
                <w:sz w:val="24"/>
                <w:szCs w:val="24"/>
                <w:highlight w:val="none"/>
                <w:lang w:val="en-US" w:eastAsia="zh-CN"/>
              </w:rPr>
            </w:pPr>
            <w:bookmarkStart w:id="24" w:name="_Hlt106417017"/>
            <w:bookmarkEnd w:id="24"/>
            <w:r>
              <w:rPr>
                <w:rFonts w:hint="eastAsia" w:ascii="宋体" w:hAnsi="宋体" w:eastAsia="宋体" w:cs="宋体"/>
                <w:color w:val="auto"/>
                <w:sz w:val="24"/>
                <w:szCs w:val="24"/>
                <w:highlight w:val="none"/>
                <w:lang w:val="en-US" w:eastAsia="zh-CN"/>
              </w:rPr>
              <w:t>本次招标所涉及的内容包括但不限于以下（1）-（2）内容：</w:t>
            </w:r>
          </w:p>
          <w:p w14:paraId="3F065BE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snapToGrid w:val="0"/>
                <w:color w:val="auto"/>
                <w:kern w:val="0"/>
                <w:sz w:val="24"/>
                <w:highlight w:val="none"/>
              </w:rPr>
              <w:t>勘察部分（含测量</w:t>
            </w:r>
            <w:r>
              <w:rPr>
                <w:rFonts w:hint="eastAsia" w:ascii="宋体" w:hAnsi="宋体" w:eastAsia="宋体" w:cs="宋体"/>
                <w:snapToGrid w:val="0"/>
                <w:color w:val="auto"/>
                <w:kern w:val="0"/>
                <w:sz w:val="24"/>
                <w:highlight w:val="none"/>
                <w:lang w:val="en-US" w:eastAsia="zh-CN"/>
              </w:rPr>
              <w:t>测绘</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eastAsia="zh-CN"/>
              </w:rPr>
              <w:t>初步勘察、地形图测量等</w:t>
            </w:r>
            <w:r>
              <w:rPr>
                <w:rFonts w:hint="eastAsia" w:ascii="宋体" w:hAnsi="宋体" w:eastAsia="宋体" w:cs="宋体"/>
                <w:snapToGrid w:val="0"/>
                <w:color w:val="auto"/>
                <w:kern w:val="0"/>
                <w:sz w:val="24"/>
                <w:highlight w:val="none"/>
              </w:rPr>
              <w:t>。</w:t>
            </w:r>
          </w:p>
          <w:p w14:paraId="747D2B8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（2）设计部分（为确保项目顺利实施的报建、施工等所需的设计文件，包括但不限于）：</w:t>
            </w:r>
          </w:p>
          <w:p w14:paraId="6D284F2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确保项目顺利实施的报建、报批、施工等所需的设计文件（含此项目设计方案、施工图设计文件）及施工图设计全过程设计服务工作、后续设计配合服务工作并配合施工设计图审查工作（具体的设计范围详见可行性研究报告）；</w:t>
            </w:r>
          </w:p>
          <w:p w14:paraId="712E71C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②调整并优化设计和在工程施工期间指导和解决施工难题；</w:t>
            </w:r>
          </w:p>
          <w:p w14:paraId="49E7C80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③完成招标人提出的与项目相关并确保项目顺利实施的其他要求。</w:t>
            </w:r>
          </w:p>
        </w:tc>
      </w:tr>
      <w:tr w14:paraId="47743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8428D7D">
            <w:pPr>
              <w:pStyle w:val="80"/>
              <w:jc w:val="cente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690" w:type="dxa"/>
            <w:tcBorders>
              <w:top w:val="single" w:color="auto" w:sz="4" w:space="0"/>
              <w:left w:val="single" w:color="auto" w:sz="4" w:space="0"/>
              <w:bottom w:val="single" w:color="auto" w:sz="4" w:space="0"/>
              <w:right w:val="single" w:color="auto" w:sz="4" w:space="0"/>
            </w:tcBorders>
            <w:vAlign w:val="center"/>
          </w:tcPr>
          <w:p w14:paraId="3FE7CD73">
            <w:pPr>
              <w:pStyle w:val="8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工期要求</w:t>
            </w:r>
          </w:p>
        </w:tc>
        <w:tc>
          <w:tcPr>
            <w:tcW w:w="7842" w:type="dxa"/>
            <w:tcBorders>
              <w:top w:val="single" w:color="auto" w:sz="4" w:space="0"/>
              <w:left w:val="single" w:color="auto" w:sz="4" w:space="0"/>
              <w:bottom w:val="single" w:color="auto" w:sz="4" w:space="0"/>
              <w:right w:val="single" w:color="auto" w:sz="4" w:space="0"/>
            </w:tcBorders>
            <w:vAlign w:val="center"/>
          </w:tcPr>
          <w:p w14:paraId="666C414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本次招标项目勘察设计工期：</w:t>
            </w:r>
            <w:r>
              <w:rPr>
                <w:rFonts w:hint="eastAsia" w:ascii="宋体" w:hAnsi="宋体" w:cs="宋体"/>
                <w:color w:val="auto"/>
                <w:sz w:val="24"/>
                <w:szCs w:val="24"/>
                <w:highlight w:val="none"/>
                <w:lang w:val="en-US" w:eastAsia="zh-CN"/>
              </w:rPr>
              <w:t>30个日历天</w:t>
            </w:r>
            <w:r>
              <w:rPr>
                <w:rFonts w:hint="eastAsia" w:ascii="宋体" w:hAnsi="宋体" w:eastAsia="宋体" w:cs="宋体"/>
                <w:color w:val="auto"/>
                <w:sz w:val="24"/>
                <w:szCs w:val="24"/>
                <w:highlight w:val="none"/>
                <w:lang w:val="en-US" w:eastAsia="zh-CN"/>
              </w:rPr>
              <w:t>。</w:t>
            </w:r>
          </w:p>
        </w:tc>
      </w:tr>
      <w:tr w14:paraId="1AE45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717A312">
            <w:pPr>
              <w:pStyle w:val="8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690" w:type="dxa"/>
            <w:tcBorders>
              <w:top w:val="single" w:color="auto" w:sz="4" w:space="0"/>
              <w:left w:val="single" w:color="auto" w:sz="4" w:space="0"/>
              <w:bottom w:val="single" w:color="auto" w:sz="4" w:space="0"/>
              <w:right w:val="single" w:color="auto" w:sz="4" w:space="0"/>
            </w:tcBorders>
            <w:vAlign w:val="center"/>
          </w:tcPr>
          <w:p w14:paraId="7EAE27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房屋建筑工程</w:t>
            </w:r>
          </w:p>
          <w:p w14:paraId="7CC7B86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绿色建筑标准</w:t>
            </w:r>
          </w:p>
        </w:tc>
        <w:tc>
          <w:tcPr>
            <w:tcW w:w="7842" w:type="dxa"/>
            <w:tcBorders>
              <w:top w:val="single" w:color="auto" w:sz="4" w:space="0"/>
              <w:left w:val="single" w:color="auto" w:sz="4" w:space="0"/>
              <w:bottom w:val="single" w:color="auto" w:sz="4" w:space="0"/>
              <w:right w:val="single" w:color="auto" w:sz="4" w:space="0"/>
            </w:tcBorders>
            <w:vAlign w:val="center"/>
          </w:tcPr>
          <w:p w14:paraId="4CC101B9">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本招标项目</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lang w:eastAsia="zh-CN"/>
              </w:rPr>
              <w:t>纳入绿色建设实施范围。</w:t>
            </w:r>
          </w:p>
        </w:tc>
      </w:tr>
      <w:tr w14:paraId="070E7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3CB5B3C">
            <w:pPr>
              <w:pStyle w:val="80"/>
              <w:jc w:val="cente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690" w:type="dxa"/>
            <w:tcBorders>
              <w:top w:val="single" w:color="auto" w:sz="4" w:space="0"/>
              <w:left w:val="single" w:color="auto" w:sz="4" w:space="0"/>
              <w:bottom w:val="single" w:color="auto" w:sz="4" w:space="0"/>
              <w:right w:val="single" w:color="auto" w:sz="4" w:space="0"/>
            </w:tcBorders>
            <w:vAlign w:val="center"/>
          </w:tcPr>
          <w:p w14:paraId="0EF3BAC2">
            <w:pPr>
              <w:pStyle w:val="8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最高投标限价</w:t>
            </w:r>
          </w:p>
        </w:tc>
        <w:tc>
          <w:tcPr>
            <w:tcW w:w="7842" w:type="dxa"/>
            <w:tcBorders>
              <w:top w:val="single" w:color="auto" w:sz="4" w:space="0"/>
              <w:left w:val="single" w:color="auto" w:sz="4" w:space="0"/>
              <w:bottom w:val="single" w:color="auto" w:sz="4" w:space="0"/>
              <w:right w:val="single" w:color="auto" w:sz="4" w:space="0"/>
            </w:tcBorders>
            <w:vAlign w:val="center"/>
          </w:tcPr>
          <w:p w14:paraId="32F61C76">
            <w:pPr>
              <w:ind w:firstLine="480" w:firstLineChars="200"/>
              <w:rPr>
                <w:rFonts w:hint="default"/>
                <w:color w:val="auto"/>
                <w:lang w:val="en-US" w:eastAsia="zh-CN"/>
              </w:rPr>
            </w:pPr>
            <w:r>
              <w:rPr>
                <w:rFonts w:hint="eastAsia" w:ascii="宋体" w:hAnsi="宋体" w:eastAsia="宋体" w:cs="宋体"/>
                <w:color w:val="auto"/>
                <w:sz w:val="24"/>
                <w:szCs w:val="24"/>
                <w:lang w:val="en-US" w:eastAsia="zh-CN"/>
              </w:rPr>
              <w:t>本项目招标最高投标限价为人民币：</w:t>
            </w:r>
            <w:r>
              <w:rPr>
                <w:rFonts w:hint="eastAsia" w:ascii="宋体" w:hAnsi="宋体" w:cs="宋体"/>
                <w:color w:val="auto"/>
                <w:sz w:val="24"/>
                <w:szCs w:val="24"/>
                <w:lang w:val="en-US" w:eastAsia="zh-CN"/>
              </w:rPr>
              <w:t>捌拾玖万零肆佰元整</w:t>
            </w:r>
            <w:r>
              <w:rPr>
                <w:rFonts w:hint="eastAsia" w:ascii="宋体" w:hAnsi="宋体" w:eastAsia="宋体" w:cs="宋体"/>
                <w:color w:val="auto"/>
                <w:sz w:val="24"/>
                <w:szCs w:val="24"/>
                <w:lang w:val="en-US" w:eastAsia="zh-CN"/>
              </w:rPr>
              <w:t>（¥890,400.00元）</w:t>
            </w:r>
          </w:p>
        </w:tc>
      </w:tr>
      <w:tr w14:paraId="201D7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B876704">
            <w:pPr>
              <w:pStyle w:val="80"/>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17</w:t>
            </w:r>
          </w:p>
        </w:tc>
        <w:tc>
          <w:tcPr>
            <w:tcW w:w="1690" w:type="dxa"/>
            <w:tcBorders>
              <w:top w:val="single" w:color="auto" w:sz="4" w:space="0"/>
              <w:left w:val="single" w:color="auto" w:sz="4" w:space="0"/>
              <w:bottom w:val="single" w:color="auto" w:sz="4" w:space="0"/>
              <w:right w:val="single" w:color="auto" w:sz="4" w:space="0"/>
            </w:tcBorders>
            <w:vAlign w:val="center"/>
          </w:tcPr>
          <w:p w14:paraId="6540CDA3">
            <w:pPr>
              <w:shd w:val="clear" w:color="auto" w:fill="auto"/>
              <w:wordWrap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装配式建筑标准</w:t>
            </w:r>
          </w:p>
        </w:tc>
        <w:tc>
          <w:tcPr>
            <w:tcW w:w="7842" w:type="dxa"/>
            <w:tcBorders>
              <w:top w:val="single" w:color="auto" w:sz="4" w:space="0"/>
              <w:left w:val="single" w:color="auto" w:sz="4" w:space="0"/>
              <w:bottom w:val="single" w:color="auto" w:sz="4" w:space="0"/>
              <w:right w:val="single" w:color="auto" w:sz="4" w:space="0"/>
            </w:tcBorders>
            <w:vAlign w:val="center"/>
          </w:tcPr>
          <w:p w14:paraId="1D4C1AA7">
            <w:pPr>
              <w:pStyle w:val="10"/>
              <w:shd w:val="clear" w:color="auto" w:fil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w:t>
            </w:r>
          </w:p>
        </w:tc>
      </w:tr>
      <w:tr w14:paraId="47F9E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FF48016">
            <w:pPr>
              <w:pStyle w:val="8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hAnsi="宋体" w:cs="宋体"/>
                <w:color w:val="auto"/>
                <w:highlight w:val="none"/>
                <w:lang w:val="en-US" w:eastAsia="zh-CN"/>
              </w:rPr>
              <w:t>8</w:t>
            </w:r>
          </w:p>
        </w:tc>
        <w:tc>
          <w:tcPr>
            <w:tcW w:w="1690" w:type="dxa"/>
            <w:tcBorders>
              <w:top w:val="single" w:color="auto" w:sz="4" w:space="0"/>
              <w:left w:val="single" w:color="auto" w:sz="4" w:space="0"/>
              <w:bottom w:val="single" w:color="auto" w:sz="4" w:space="0"/>
              <w:right w:val="single" w:color="auto" w:sz="4" w:space="0"/>
            </w:tcBorders>
            <w:vAlign w:val="center"/>
          </w:tcPr>
          <w:p w14:paraId="76E019BA">
            <w:pPr>
              <w:pStyle w:val="80"/>
              <w:jc w:val="center"/>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7842" w:type="dxa"/>
            <w:tcBorders>
              <w:top w:val="single" w:color="auto" w:sz="4" w:space="0"/>
              <w:left w:val="single" w:color="auto" w:sz="4" w:space="0"/>
              <w:bottom w:val="single" w:color="auto" w:sz="4" w:space="0"/>
              <w:right w:val="single" w:color="auto" w:sz="4" w:space="0"/>
            </w:tcBorders>
            <w:vAlign w:val="center"/>
          </w:tcPr>
          <w:p w14:paraId="773BDF3D">
            <w:pPr>
              <w:spacing w:line="48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测绘勘察要求的质量标准：符合住建部颁布的现行有关测绘勘察规范要求。</w:t>
            </w:r>
          </w:p>
          <w:p w14:paraId="39F37A31">
            <w:pPr>
              <w:spacing w:line="48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设计要求的质量标准：符合现行的国家及地方的有关规划、设计的规范要求，并通过有关部门的审查，若需进行审图则必须经有资质的审图公司审图合格。</w:t>
            </w:r>
          </w:p>
        </w:tc>
      </w:tr>
      <w:tr w14:paraId="563C9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8F34E79">
            <w:pPr>
              <w:pStyle w:val="8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hAnsi="宋体" w:cs="宋体"/>
                <w:color w:val="auto"/>
                <w:highlight w:val="none"/>
                <w:lang w:val="en-US" w:eastAsia="zh-CN"/>
              </w:rPr>
              <w:t>9</w:t>
            </w:r>
          </w:p>
        </w:tc>
        <w:tc>
          <w:tcPr>
            <w:tcW w:w="1690" w:type="dxa"/>
            <w:tcBorders>
              <w:top w:val="single" w:color="auto" w:sz="4" w:space="0"/>
              <w:left w:val="single" w:color="auto" w:sz="4" w:space="0"/>
              <w:bottom w:val="single" w:color="auto" w:sz="4" w:space="0"/>
              <w:right w:val="single" w:color="auto" w:sz="4" w:space="0"/>
            </w:tcBorders>
            <w:vAlign w:val="center"/>
          </w:tcPr>
          <w:p w14:paraId="5F0CFB53">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投标人资质</w:t>
            </w:r>
          </w:p>
          <w:p w14:paraId="06F1D67E">
            <w:pPr>
              <w:pStyle w:val="80"/>
              <w:jc w:val="center"/>
              <w:rPr>
                <w:rFonts w:hint="eastAsia" w:ascii="宋体" w:hAnsi="宋体" w:eastAsia="宋体" w:cs="宋体"/>
                <w:color w:val="auto"/>
                <w:highlight w:val="none"/>
              </w:rPr>
            </w:pPr>
            <w:r>
              <w:rPr>
                <w:rFonts w:hint="eastAsia" w:ascii="宋体" w:hAnsi="宋体" w:eastAsia="宋体" w:cs="宋体"/>
                <w:color w:val="auto"/>
                <w:szCs w:val="22"/>
                <w:highlight w:val="none"/>
              </w:rPr>
              <w:t>及条件要求</w:t>
            </w:r>
          </w:p>
        </w:tc>
        <w:tc>
          <w:tcPr>
            <w:tcW w:w="7842" w:type="dxa"/>
            <w:tcBorders>
              <w:top w:val="single" w:color="auto" w:sz="4" w:space="0"/>
              <w:left w:val="single" w:color="auto" w:sz="4" w:space="0"/>
              <w:bottom w:val="single" w:color="auto" w:sz="4" w:space="0"/>
              <w:right w:val="single" w:color="auto" w:sz="4" w:space="0"/>
            </w:tcBorders>
            <w:vAlign w:val="center"/>
          </w:tcPr>
          <w:p w14:paraId="5E5AE3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本次招标</w:t>
            </w:r>
            <w:r>
              <w:rPr>
                <w:rFonts w:hint="eastAsia" w:ascii="宋体" w:hAnsi="宋体" w:eastAsia="宋体" w:cs="宋体"/>
                <w:color w:val="auto"/>
                <w:sz w:val="24"/>
                <w:szCs w:val="24"/>
                <w:highlight w:val="none"/>
                <w:u w:val="single"/>
                <w:lang w:val="en-US" w:eastAsia="zh-CN"/>
              </w:rPr>
              <w:t>不</w:t>
            </w:r>
            <w:r>
              <w:rPr>
                <w:rFonts w:hint="eastAsia" w:ascii="宋体" w:hAnsi="宋体" w:eastAsia="宋体" w:cs="宋体"/>
                <w:color w:val="auto"/>
                <w:sz w:val="24"/>
                <w:szCs w:val="24"/>
                <w:highlight w:val="none"/>
                <w:u w:val="single"/>
              </w:rPr>
              <w:t>接受</w:t>
            </w:r>
            <w:r>
              <w:rPr>
                <w:rFonts w:hint="eastAsia" w:ascii="宋体" w:hAnsi="宋体" w:eastAsia="宋体" w:cs="宋体"/>
                <w:color w:val="auto"/>
                <w:sz w:val="24"/>
                <w:szCs w:val="24"/>
                <w:highlight w:val="none"/>
              </w:rPr>
              <w:t>联合体投标。</w:t>
            </w:r>
          </w:p>
          <w:p w14:paraId="1FB8DD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2.资质要求</w:t>
            </w:r>
          </w:p>
          <w:p w14:paraId="2D0590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2.1投标人须具备独立法人资格，按国家法律经营。</w:t>
            </w:r>
          </w:p>
          <w:p w14:paraId="0CD795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2.2投标人须具备建设行政主管部门颁发的以下资质之一：</w:t>
            </w:r>
          </w:p>
          <w:p w14:paraId="4DE207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①工程设计综合甲级资质；</w:t>
            </w:r>
          </w:p>
          <w:p w14:paraId="629EB67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②工程设计市政行业乙级以上（含乙级）资质；</w:t>
            </w:r>
          </w:p>
          <w:p w14:paraId="623712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③工程设计市政行业(燃气工程、轨道交通工程除外)乙级以上（含乙级）资质；</w:t>
            </w:r>
          </w:p>
          <w:p w14:paraId="6C0388A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④工程设计市政行业（排水工程）专业乙级以上（含乙级）资质。</w:t>
            </w:r>
          </w:p>
          <w:p w14:paraId="2407E1D7">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注：投标人如不具备相应测绘勘察资质的，则待中标后必须在招标人的监督管理下委托具备相应资质及能力的单位来完成该部分工作。</w:t>
            </w:r>
          </w:p>
          <w:p w14:paraId="1013AD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根据有关文件精神，投标人的企业相关证书、人员资质、资格有效期到期的，均按该证书的发证机构相关行业主管部门最新文件执行（如自动顺延或推迟办理延期业务的通知），投标人必须将相关文件附在该证书后面中，证明在开标日继续有效的。</w:t>
            </w:r>
          </w:p>
          <w:p w14:paraId="3B5A90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3.相关人员要求</w:t>
            </w:r>
          </w:p>
          <w:p w14:paraId="053E26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3.1投标人拟委派担任本工程的</w:t>
            </w:r>
            <w:r>
              <w:rPr>
                <w:rFonts w:hint="eastAsia" w:ascii="宋体" w:hAnsi="宋体" w:eastAsia="宋体" w:cs="宋体"/>
                <w:color w:val="auto"/>
                <w:sz w:val="24"/>
                <w:szCs w:val="24"/>
                <w:highlight w:val="none"/>
                <w:u w:val="single"/>
              </w:rPr>
              <w:t>项目负责人（即设计负责人）须具有二级或以上注册建筑师执业资格证书。</w:t>
            </w:r>
          </w:p>
          <w:p w14:paraId="74F8A0D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lang w:eastAsia="zh-CN"/>
              </w:rPr>
              <w:t>投标人与其拟派往本项目所有人员之间必须具备合法的劳动聘用关系，需提供缴纳社保的证明或退休证(附返聘证明）扫描件（由非独立法人分支机构出具的社保证明，予以认可）。拟派人员中具备注册执业资格的，其注册单位须与投标人保持一致。</w:t>
            </w:r>
          </w:p>
          <w:p w14:paraId="12D421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4.禁止投标条款</w:t>
            </w:r>
          </w:p>
          <w:p w14:paraId="413F52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4.1投标人不得存在下列情形之一：</w:t>
            </w:r>
          </w:p>
          <w:p w14:paraId="21F286C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（1）为招标人不具有独立法人资格的附属机构（单位）；</w:t>
            </w:r>
          </w:p>
          <w:p w14:paraId="71A6ADB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（2）与招标人存在利害关系且可能影响招标公正性；</w:t>
            </w:r>
          </w:p>
          <w:p w14:paraId="69CB9E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（3）与本招标项目的其他投标人为同一个单位负责人；</w:t>
            </w:r>
          </w:p>
          <w:p w14:paraId="342CF0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（4）与本招标项目的其他投标人存在控股、管理关系；</w:t>
            </w:r>
          </w:p>
          <w:p w14:paraId="5485250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（5）为本招标项目的代建人；</w:t>
            </w:r>
          </w:p>
          <w:p w14:paraId="726A23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（6）为本招标项目的招标代理机构；</w:t>
            </w:r>
          </w:p>
          <w:p w14:paraId="2619DA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（7）与本招标项目的代建人或招标代理机构同为一个法定代表人；</w:t>
            </w:r>
          </w:p>
          <w:p w14:paraId="6953A2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（8）与本招标项目的代建人或招标代理机构存在控股或参股关系；</w:t>
            </w:r>
          </w:p>
          <w:p w14:paraId="469A28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（9）与本招标项目的代建人或招标代理机构存在相互任职或工作关系；</w:t>
            </w:r>
          </w:p>
          <w:p w14:paraId="57BDF0B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（10）被依法暂停或者取消投标资格；</w:t>
            </w:r>
          </w:p>
          <w:p w14:paraId="72AF11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（11）被责令停产停业、暂扣或者吊销许可证、暂扣或者吊销执照；</w:t>
            </w:r>
          </w:p>
          <w:p w14:paraId="27AC20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（12）进入清算程序，或被宣告破产，或其他丧失履约能力的情形；</w:t>
            </w:r>
          </w:p>
          <w:p w14:paraId="06BFA2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（13）在最近三年内发生重大质量问题（以相关行业主管部门的行政处罚决定或司法机关出具的有关法律文书为准）；</w:t>
            </w:r>
          </w:p>
          <w:p w14:paraId="1D850B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（14）被“信用中国”网站（https://www.creditchina.gov.cn）发布的《法人和非法人组织公共信用信息报告》列为严重失信主体名单的。</w:t>
            </w:r>
          </w:p>
          <w:p w14:paraId="013A09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4.2招标人拒绝以下名单中的单位参加本次投标：</w:t>
            </w:r>
          </w:p>
          <w:tbl>
            <w:tblPr>
              <w:tblStyle w:val="33"/>
              <w:tblW w:w="7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387"/>
              <w:gridCol w:w="3356"/>
            </w:tblGrid>
            <w:tr w14:paraId="18D4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54E4657B">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3387" w:type="dxa"/>
                  <w:vAlign w:val="center"/>
                </w:tcPr>
                <w:p w14:paraId="5430E50C">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w:t>
                  </w:r>
                </w:p>
              </w:tc>
              <w:tc>
                <w:tcPr>
                  <w:tcW w:w="3356" w:type="dxa"/>
                  <w:vAlign w:val="center"/>
                </w:tcPr>
                <w:p w14:paraId="7F1FBC2D">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拒绝原因</w:t>
                  </w:r>
                </w:p>
              </w:tc>
            </w:tr>
            <w:tr w14:paraId="0F32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0788213E">
                  <w:pPr>
                    <w:pStyle w:val="150"/>
                    <w:spacing w:line="36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w:t>
                  </w:r>
                </w:p>
              </w:tc>
              <w:tc>
                <w:tcPr>
                  <w:tcW w:w="3387" w:type="dxa"/>
                  <w:vAlign w:val="center"/>
                </w:tcPr>
                <w:p w14:paraId="5853AC37">
                  <w:pPr>
                    <w:pStyle w:val="15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韶关市武江区龙归镇人民政府</w:t>
                  </w:r>
                </w:p>
              </w:tc>
              <w:tc>
                <w:tcPr>
                  <w:tcW w:w="3356" w:type="dxa"/>
                  <w:vAlign w:val="center"/>
                </w:tcPr>
                <w:p w14:paraId="07598446">
                  <w:pPr>
                    <w:pStyle w:val="15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为本招标项目的招标人</w:t>
                  </w:r>
                </w:p>
              </w:tc>
            </w:tr>
            <w:tr w14:paraId="1B5D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7A9B85A1">
                  <w:pPr>
                    <w:pStyle w:val="150"/>
                    <w:spacing w:line="36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w:t>
                  </w:r>
                </w:p>
              </w:tc>
              <w:tc>
                <w:tcPr>
                  <w:tcW w:w="3387" w:type="dxa"/>
                  <w:vAlign w:val="center"/>
                </w:tcPr>
                <w:p w14:paraId="16713F35">
                  <w:pPr>
                    <w:wordWrap w:val="0"/>
                    <w:adjustRightInd w:val="0"/>
                    <w:snapToGrid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广东明正项目管理有限公司</w:t>
                  </w:r>
                </w:p>
              </w:tc>
              <w:tc>
                <w:tcPr>
                  <w:tcW w:w="3356" w:type="dxa"/>
                  <w:vAlign w:val="center"/>
                </w:tcPr>
                <w:p w14:paraId="00C58C6C">
                  <w:pPr>
                    <w:pStyle w:val="150"/>
                    <w:wordWrap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为本招标项目的招标代理机构</w:t>
                  </w:r>
                </w:p>
              </w:tc>
            </w:tr>
            <w:tr w14:paraId="350B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0325D0E8">
                  <w:pPr>
                    <w:pStyle w:val="150"/>
                    <w:spacing w:line="36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w:t>
                  </w:r>
                </w:p>
              </w:tc>
              <w:tc>
                <w:tcPr>
                  <w:tcW w:w="3387" w:type="dxa"/>
                  <w:vAlign w:val="center"/>
                </w:tcPr>
                <w:p w14:paraId="219B529E">
                  <w:pPr>
                    <w:keepNext w:val="0"/>
                    <w:keepLines w:val="0"/>
                    <w:widowControl/>
                    <w:suppressLineNumbers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华伦中建建设股份有限公司</w:t>
                  </w:r>
                </w:p>
              </w:tc>
              <w:tc>
                <w:tcPr>
                  <w:tcW w:w="3356" w:type="dxa"/>
                  <w:vAlign w:val="center"/>
                </w:tcPr>
                <w:p w14:paraId="73D2136F">
                  <w:pPr>
                    <w:pStyle w:val="150"/>
                    <w:wordWrap w:val="0"/>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为本招标项目的可研编制单位</w:t>
                  </w:r>
                </w:p>
              </w:tc>
            </w:tr>
          </w:tbl>
          <w:p w14:paraId="33668F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其他要求</w:t>
            </w:r>
          </w:p>
          <w:p w14:paraId="3FD0BDD9">
            <w:pPr>
              <w:spacing w:line="360" w:lineRule="auto"/>
              <w:ind w:firstLine="480" w:firstLineChars="200"/>
              <w:rPr>
                <w:rFonts w:hint="eastAsia" w:ascii="宋体" w:hAnsi="宋体" w:eastAsia="宋体" w:cs="宋体"/>
                <w:color w:val="auto"/>
                <w:kern w:val="0"/>
                <w:highlight w:val="none"/>
              </w:rPr>
            </w:pPr>
            <w:r>
              <w:rPr>
                <w:rFonts w:hint="eastAsia" w:ascii="宋体" w:hAnsi="宋体" w:eastAsia="宋体" w:cs="宋体"/>
                <w:color w:val="auto"/>
                <w:sz w:val="24"/>
                <w:szCs w:val="24"/>
                <w:highlight w:val="none"/>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tc>
      </w:tr>
      <w:tr w14:paraId="60C36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51581A9">
            <w:pPr>
              <w:pStyle w:val="80"/>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20</w:t>
            </w:r>
          </w:p>
        </w:tc>
        <w:tc>
          <w:tcPr>
            <w:tcW w:w="1690" w:type="dxa"/>
            <w:tcBorders>
              <w:top w:val="single" w:color="auto" w:sz="4" w:space="0"/>
              <w:left w:val="single" w:color="auto" w:sz="4" w:space="0"/>
              <w:bottom w:val="single" w:color="auto" w:sz="4" w:space="0"/>
              <w:right w:val="single" w:color="auto" w:sz="4" w:space="0"/>
            </w:tcBorders>
            <w:vAlign w:val="center"/>
          </w:tcPr>
          <w:p w14:paraId="5885C47D">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投标保证金</w:t>
            </w:r>
          </w:p>
        </w:tc>
        <w:tc>
          <w:tcPr>
            <w:tcW w:w="7842" w:type="dxa"/>
            <w:tcBorders>
              <w:top w:val="single" w:color="auto" w:sz="4" w:space="0"/>
              <w:left w:val="single" w:color="auto" w:sz="4" w:space="0"/>
              <w:bottom w:val="single" w:color="auto" w:sz="4" w:space="0"/>
              <w:right w:val="single" w:color="auto" w:sz="4" w:space="0"/>
            </w:tcBorders>
            <w:vAlign w:val="center"/>
          </w:tcPr>
          <w:p w14:paraId="693429C5">
            <w:pPr>
              <w:spacing w:line="360" w:lineRule="auto"/>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1．投标人须缴纳金额为人民币</w:t>
            </w:r>
            <w:r>
              <w:rPr>
                <w:rFonts w:hint="eastAsia" w:ascii="宋体" w:hAnsi="宋体" w:eastAsia="宋体" w:cs="宋体"/>
                <w:snapToGrid w:val="0"/>
                <w:color w:val="auto"/>
                <w:kern w:val="0"/>
                <w:sz w:val="24"/>
                <w:szCs w:val="24"/>
                <w:highlight w:val="none"/>
                <w:u w:val="single"/>
                <w:lang w:val="en-US" w:eastAsia="zh-CN"/>
              </w:rPr>
              <w:t>壹</w:t>
            </w:r>
            <w:r>
              <w:rPr>
                <w:rFonts w:hint="eastAsia" w:ascii="宋体" w:hAnsi="宋体" w:eastAsia="宋体" w:cs="宋体"/>
                <w:snapToGrid w:val="0"/>
                <w:color w:val="auto"/>
                <w:kern w:val="0"/>
                <w:sz w:val="24"/>
                <w:szCs w:val="24"/>
                <w:highlight w:val="none"/>
                <w:u w:val="single"/>
              </w:rPr>
              <w:t>万元整（¥</w:t>
            </w:r>
            <w:r>
              <w:rPr>
                <w:rFonts w:hint="eastAsia" w:ascii="宋体" w:hAnsi="宋体" w:eastAsia="宋体" w:cs="宋体"/>
                <w:snapToGrid w:val="0"/>
                <w:color w:val="auto"/>
                <w:kern w:val="0"/>
                <w:sz w:val="24"/>
                <w:szCs w:val="24"/>
                <w:highlight w:val="none"/>
                <w:u w:val="single"/>
                <w:lang w:val="en-US" w:eastAsia="zh-CN"/>
              </w:rPr>
              <w:t>1</w:t>
            </w:r>
            <w:r>
              <w:rPr>
                <w:rFonts w:hint="eastAsia" w:ascii="宋体" w:hAnsi="宋体" w:eastAsia="宋体" w:cs="宋体"/>
                <w:snapToGrid w:val="0"/>
                <w:color w:val="auto"/>
                <w:kern w:val="0"/>
                <w:sz w:val="24"/>
                <w:szCs w:val="24"/>
                <w:highlight w:val="none"/>
                <w:u w:val="single"/>
              </w:rPr>
              <w:t>0000.00元</w:t>
            </w:r>
            <w:r>
              <w:rPr>
                <w:rFonts w:hint="eastAsia" w:ascii="宋体" w:hAnsi="宋体" w:eastAsia="宋体" w:cs="宋体"/>
                <w:snapToGrid w:val="0"/>
                <w:color w:val="auto"/>
                <w:kern w:val="0"/>
                <w:sz w:val="24"/>
                <w:szCs w:val="24"/>
                <w:highlight w:val="none"/>
                <w:u w:val="single"/>
                <w:lang w:eastAsia="zh-CN"/>
              </w:rPr>
              <w:t>）</w:t>
            </w:r>
            <w:r>
              <w:rPr>
                <w:rFonts w:hint="eastAsia" w:ascii="宋体" w:hAnsi="宋体" w:eastAsia="宋体" w:cs="宋体"/>
                <w:snapToGrid w:val="0"/>
                <w:color w:val="auto"/>
                <w:kern w:val="0"/>
                <w:sz w:val="24"/>
                <w:szCs w:val="24"/>
                <w:highlight w:val="none"/>
              </w:rPr>
              <w:t>的投标保证。</w:t>
            </w:r>
          </w:p>
          <w:p w14:paraId="42BA3A4F">
            <w:pPr>
              <w:spacing w:line="360" w:lineRule="auto"/>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2．投标保证的形式包括投标保证金、投标保证担保、投标保证保险三种，由投标人自主选择。</w:t>
            </w:r>
          </w:p>
          <w:p w14:paraId="29EB4BA6">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采用投标保证金的，投标人在建设工程交易系统报名完毕后，即可在系统申请缴纳投标保证金，获取本次招标投标保证金缴纳账号。投标人必须于投标保证金到账截止时间（详见“重要事项时间地点一览表”）前，从其基本账户将投标保证金转账到指定的缴纳账号。逾期到账的、从非投标人基本账户转出的，其投标无效。</w:t>
            </w:r>
          </w:p>
          <w:p w14:paraId="01F67983">
            <w:pPr>
              <w:spacing w:line="360" w:lineRule="auto"/>
              <w:ind w:firstLine="480" w:firstLineChars="20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采用投标保证担保的，投标人应提交有效的电子保函，电子保函的有效期不得短于投标有效期。投标人必须在投标保证担保截止时间（详见“重要事项时间地点一览表”）前，使用工程建设交易系统完成网上办理电子保函</w:t>
            </w:r>
            <w:r>
              <w:rPr>
                <w:rFonts w:hint="eastAsia" w:ascii="宋体" w:hAnsi="宋体" w:eastAsia="宋体" w:cs="宋体"/>
                <w:snapToGrid w:val="0"/>
                <w:color w:val="auto"/>
                <w:kern w:val="0"/>
                <w:sz w:val="24"/>
                <w:szCs w:val="24"/>
                <w:highlight w:val="none"/>
                <w:lang w:eastAsia="zh-CN"/>
              </w:rPr>
              <w:t>。</w:t>
            </w:r>
          </w:p>
          <w:p w14:paraId="48C41B6A">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采用投标保证保险的，投标人须在投标保证保险投保截止时间（详见“重要事项时间地点一览表”）前，使用建设工程交易系统完成网上投保。投标人可在系统选择保险机构、录入投保信息、支付保费、打印电子保单，电子保单的有效期不得短于投标有效期。投标人可登录投标人可登录全国公共资源交易平台（广东省·韶关市）（https://ygp.gdzwfw.gov.cn/ggzy-portal/#/440200/index），在【服务指引】栏目中下载《建设工程网上交易系统保险保证金缴纳操作指南》，了解网上投保具体操作流程。逾期投保的，其投标无效。</w:t>
            </w:r>
          </w:p>
          <w:p w14:paraId="393623E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24A5B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9CCEB0F">
            <w:pPr>
              <w:pStyle w:val="8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hAnsi="宋体" w:cs="宋体"/>
                <w:color w:val="auto"/>
                <w:highlight w:val="none"/>
                <w:lang w:val="en-US" w:eastAsia="zh-CN"/>
              </w:rPr>
              <w:t>1</w:t>
            </w:r>
          </w:p>
        </w:tc>
        <w:tc>
          <w:tcPr>
            <w:tcW w:w="1690" w:type="dxa"/>
            <w:tcBorders>
              <w:top w:val="single" w:color="auto" w:sz="4" w:space="0"/>
              <w:left w:val="single" w:color="auto" w:sz="4" w:space="0"/>
              <w:bottom w:val="single" w:color="auto" w:sz="4" w:space="0"/>
              <w:right w:val="single" w:color="auto" w:sz="4" w:space="0"/>
            </w:tcBorders>
            <w:vAlign w:val="center"/>
          </w:tcPr>
          <w:p w14:paraId="02B3EAF7">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合同价款支付</w:t>
            </w:r>
          </w:p>
        </w:tc>
        <w:tc>
          <w:tcPr>
            <w:tcW w:w="7842" w:type="dxa"/>
            <w:tcBorders>
              <w:top w:val="single" w:color="auto" w:sz="4" w:space="0"/>
              <w:left w:val="single" w:color="auto" w:sz="4" w:space="0"/>
              <w:bottom w:val="single" w:color="auto" w:sz="4" w:space="0"/>
              <w:right w:val="single" w:color="auto" w:sz="4" w:space="0"/>
            </w:tcBorders>
            <w:vAlign w:val="center"/>
          </w:tcPr>
          <w:p w14:paraId="75903974">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详见本招标文件第三章拟签订合同的主要条款。</w:t>
            </w:r>
          </w:p>
        </w:tc>
      </w:tr>
      <w:tr w14:paraId="353A6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E6DD402">
            <w:pPr>
              <w:pStyle w:val="8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hAnsi="宋体" w:cs="宋体"/>
                <w:color w:val="auto"/>
                <w:highlight w:val="none"/>
                <w:lang w:val="en-US" w:eastAsia="zh-CN"/>
              </w:rPr>
              <w:t>2</w:t>
            </w:r>
          </w:p>
        </w:tc>
        <w:tc>
          <w:tcPr>
            <w:tcW w:w="1690" w:type="dxa"/>
            <w:tcBorders>
              <w:top w:val="single" w:color="auto" w:sz="4" w:space="0"/>
              <w:left w:val="single" w:color="auto" w:sz="4" w:space="0"/>
              <w:bottom w:val="single" w:color="auto" w:sz="4" w:space="0"/>
              <w:right w:val="single" w:color="auto" w:sz="4" w:space="0"/>
            </w:tcBorders>
            <w:vAlign w:val="center"/>
          </w:tcPr>
          <w:p w14:paraId="465E610C">
            <w:pPr>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投标有效期</w:t>
            </w:r>
          </w:p>
        </w:tc>
        <w:tc>
          <w:tcPr>
            <w:tcW w:w="7842" w:type="dxa"/>
            <w:tcBorders>
              <w:top w:val="single" w:color="auto" w:sz="4" w:space="0"/>
              <w:left w:val="single" w:color="auto" w:sz="4" w:space="0"/>
              <w:bottom w:val="single" w:color="auto" w:sz="4" w:space="0"/>
              <w:right w:val="single" w:color="auto" w:sz="4" w:space="0"/>
            </w:tcBorders>
            <w:vAlign w:val="center"/>
          </w:tcPr>
          <w:p w14:paraId="42C151FD">
            <w:pPr>
              <w:spacing w:line="360" w:lineRule="auto"/>
              <w:ind w:firstLine="480" w:firstLineChars="20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本次招标的投标有效期为</w:t>
            </w:r>
            <w:r>
              <w:rPr>
                <w:rFonts w:hint="eastAsia" w:ascii="宋体" w:hAnsi="宋体" w:eastAsia="宋体" w:cs="宋体"/>
                <w:snapToGrid w:val="0"/>
                <w:color w:val="auto"/>
                <w:kern w:val="0"/>
                <w:sz w:val="24"/>
                <w:szCs w:val="24"/>
                <w:highlight w:val="none"/>
                <w:u w:val="single"/>
              </w:rPr>
              <w:t>90</w:t>
            </w:r>
            <w:r>
              <w:rPr>
                <w:rFonts w:hint="eastAsia" w:ascii="宋体" w:hAnsi="宋体" w:eastAsia="宋体" w:cs="宋体"/>
                <w:snapToGrid w:val="0"/>
                <w:color w:val="auto"/>
                <w:kern w:val="0"/>
                <w:sz w:val="24"/>
                <w:szCs w:val="24"/>
                <w:highlight w:val="none"/>
              </w:rPr>
              <w:t>个日历天。</w:t>
            </w:r>
          </w:p>
        </w:tc>
      </w:tr>
      <w:tr w14:paraId="2BB78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F05B1C9">
            <w:pPr>
              <w:pStyle w:val="8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hAnsi="宋体" w:cs="宋体"/>
                <w:color w:val="auto"/>
                <w:highlight w:val="none"/>
                <w:lang w:val="en-US" w:eastAsia="zh-CN"/>
              </w:rPr>
              <w:t>3</w:t>
            </w:r>
          </w:p>
        </w:tc>
        <w:tc>
          <w:tcPr>
            <w:tcW w:w="1690" w:type="dxa"/>
            <w:tcBorders>
              <w:top w:val="single" w:color="auto" w:sz="4" w:space="0"/>
              <w:left w:val="single" w:color="auto" w:sz="4" w:space="0"/>
              <w:bottom w:val="single" w:color="auto" w:sz="4" w:space="0"/>
              <w:right w:val="single" w:color="auto" w:sz="4" w:space="0"/>
            </w:tcBorders>
            <w:vAlign w:val="center"/>
          </w:tcPr>
          <w:p w14:paraId="5B833D11">
            <w:pPr>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投标文件组成</w:t>
            </w:r>
          </w:p>
        </w:tc>
        <w:tc>
          <w:tcPr>
            <w:tcW w:w="7842" w:type="dxa"/>
            <w:tcBorders>
              <w:top w:val="single" w:color="auto" w:sz="4" w:space="0"/>
              <w:left w:val="single" w:color="auto" w:sz="4" w:space="0"/>
              <w:bottom w:val="single" w:color="auto" w:sz="4" w:space="0"/>
              <w:right w:val="single" w:color="auto" w:sz="4" w:space="0"/>
            </w:tcBorders>
            <w:vAlign w:val="center"/>
          </w:tcPr>
          <w:p w14:paraId="62B411BD">
            <w:pPr>
              <w:spacing w:line="360" w:lineRule="auto"/>
              <w:ind w:firstLine="480" w:firstLineChars="20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投标文件包括商务经济标书、技术标书两个分册。</w:t>
            </w:r>
          </w:p>
        </w:tc>
      </w:tr>
      <w:tr w14:paraId="60AAB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ABE42A6">
            <w:pPr>
              <w:pStyle w:val="8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hAnsi="宋体" w:cs="宋体"/>
                <w:color w:val="auto"/>
                <w:highlight w:val="none"/>
                <w:lang w:val="en-US" w:eastAsia="zh-CN"/>
              </w:rPr>
              <w:t>4</w:t>
            </w:r>
          </w:p>
        </w:tc>
        <w:tc>
          <w:tcPr>
            <w:tcW w:w="1690" w:type="dxa"/>
            <w:tcBorders>
              <w:top w:val="single" w:color="auto" w:sz="4" w:space="0"/>
              <w:left w:val="single" w:color="auto" w:sz="4" w:space="0"/>
              <w:bottom w:val="single" w:color="auto" w:sz="4" w:space="0"/>
              <w:right w:val="single" w:color="auto" w:sz="4" w:space="0"/>
            </w:tcBorders>
            <w:vAlign w:val="center"/>
          </w:tcPr>
          <w:p w14:paraId="06B8FDB4">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技术标书</w:t>
            </w:r>
          </w:p>
          <w:p w14:paraId="487A16CC">
            <w:pPr>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评审方式</w:t>
            </w:r>
          </w:p>
        </w:tc>
        <w:tc>
          <w:tcPr>
            <w:tcW w:w="7842" w:type="dxa"/>
            <w:tcBorders>
              <w:top w:val="single" w:color="auto" w:sz="4" w:space="0"/>
              <w:left w:val="single" w:color="auto" w:sz="4" w:space="0"/>
              <w:bottom w:val="single" w:color="auto" w:sz="4" w:space="0"/>
              <w:right w:val="single" w:color="auto" w:sz="4" w:space="0"/>
            </w:tcBorders>
            <w:vAlign w:val="center"/>
          </w:tcPr>
          <w:p w14:paraId="0A06F9A8">
            <w:pPr>
              <w:spacing w:line="360" w:lineRule="auto"/>
              <w:ind w:firstLine="480" w:firstLineChars="20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本次招标技术标书</w:t>
            </w:r>
            <w:r>
              <w:rPr>
                <w:rFonts w:hint="eastAsia" w:ascii="宋体" w:hAnsi="宋体" w:eastAsia="宋体" w:cs="宋体"/>
                <w:snapToGrid w:val="0"/>
                <w:color w:val="auto"/>
                <w:kern w:val="0"/>
                <w:sz w:val="24"/>
                <w:szCs w:val="24"/>
                <w:highlight w:val="none"/>
                <w:u w:val="single"/>
              </w:rPr>
              <w:t>不采用</w:t>
            </w:r>
            <w:r>
              <w:rPr>
                <w:rFonts w:hint="eastAsia" w:ascii="宋体" w:hAnsi="宋体" w:eastAsia="宋体" w:cs="宋体"/>
                <w:snapToGrid w:val="0"/>
                <w:color w:val="auto"/>
                <w:kern w:val="0"/>
                <w:sz w:val="24"/>
                <w:szCs w:val="24"/>
                <w:highlight w:val="none"/>
              </w:rPr>
              <w:t>“暗标”方式进行评审。</w:t>
            </w:r>
          </w:p>
        </w:tc>
      </w:tr>
      <w:tr w14:paraId="18D1D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4805AA6">
            <w:pPr>
              <w:pStyle w:val="8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hAnsi="宋体" w:cs="宋体"/>
                <w:color w:val="auto"/>
                <w:highlight w:val="none"/>
                <w:lang w:val="en-US" w:eastAsia="zh-CN"/>
              </w:rPr>
              <w:t>5</w:t>
            </w:r>
          </w:p>
        </w:tc>
        <w:tc>
          <w:tcPr>
            <w:tcW w:w="1690" w:type="dxa"/>
            <w:tcBorders>
              <w:top w:val="single" w:color="auto" w:sz="4" w:space="0"/>
              <w:left w:val="single" w:color="auto" w:sz="4" w:space="0"/>
              <w:bottom w:val="single" w:color="auto" w:sz="4" w:space="0"/>
              <w:right w:val="single" w:color="auto" w:sz="4" w:space="0"/>
            </w:tcBorders>
            <w:vAlign w:val="center"/>
          </w:tcPr>
          <w:p w14:paraId="0B5D09C0">
            <w:pPr>
              <w:pStyle w:val="8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highlight w:val="none"/>
              </w:rPr>
              <w:t>评标委员会组成</w:t>
            </w:r>
          </w:p>
        </w:tc>
        <w:tc>
          <w:tcPr>
            <w:tcW w:w="7842" w:type="dxa"/>
            <w:tcBorders>
              <w:top w:val="single" w:color="auto" w:sz="4" w:space="0"/>
              <w:left w:val="single" w:color="auto" w:sz="4" w:space="0"/>
              <w:bottom w:val="single" w:color="auto" w:sz="4" w:space="0"/>
              <w:right w:val="single" w:color="auto" w:sz="4" w:space="0"/>
            </w:tcBorders>
            <w:vAlign w:val="center"/>
          </w:tcPr>
          <w:p w14:paraId="1EF4F103">
            <w:pPr>
              <w:pStyle w:val="80"/>
              <w:ind w:firstLine="480" w:firstLineChars="200"/>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color w:val="auto"/>
                <w:kern w:val="0"/>
                <w:szCs w:val="24"/>
                <w:highlight w:val="none"/>
              </w:rPr>
              <w:t>评标委员会由</w:t>
            </w:r>
            <w:r>
              <w:rPr>
                <w:rFonts w:hint="eastAsia" w:ascii="宋体" w:hAnsi="宋体" w:eastAsia="宋体" w:cs="宋体"/>
                <w:color w:val="auto"/>
                <w:kern w:val="0"/>
                <w:szCs w:val="24"/>
                <w:highlight w:val="none"/>
                <w:u w:val="single"/>
                <w:lang w:val="en-US" w:eastAsia="zh-CN"/>
              </w:rPr>
              <w:t>5</w:t>
            </w:r>
            <w:r>
              <w:rPr>
                <w:rFonts w:hint="eastAsia" w:ascii="宋体" w:hAnsi="宋体" w:eastAsia="宋体" w:cs="宋体"/>
                <w:color w:val="auto"/>
                <w:kern w:val="0"/>
                <w:szCs w:val="24"/>
                <w:highlight w:val="none"/>
              </w:rPr>
              <w:t>人组成，其中招标人代表</w:t>
            </w:r>
            <w:r>
              <w:rPr>
                <w:rFonts w:hint="eastAsia" w:ascii="宋体" w:hAnsi="宋体" w:eastAsia="宋体" w:cs="宋体"/>
                <w:color w:val="auto"/>
                <w:kern w:val="0"/>
                <w:szCs w:val="24"/>
                <w:highlight w:val="none"/>
                <w:u w:val="single"/>
              </w:rPr>
              <w:t>0</w:t>
            </w:r>
            <w:r>
              <w:rPr>
                <w:rFonts w:hint="eastAsia" w:ascii="宋体" w:hAnsi="宋体" w:eastAsia="宋体" w:cs="宋体"/>
                <w:color w:val="auto"/>
                <w:kern w:val="0"/>
                <w:szCs w:val="24"/>
                <w:highlight w:val="none"/>
              </w:rPr>
              <w:t>人，专家</w:t>
            </w:r>
            <w:r>
              <w:rPr>
                <w:rFonts w:hint="eastAsia" w:ascii="宋体" w:hAnsi="宋体" w:eastAsia="宋体" w:cs="宋体"/>
                <w:color w:val="auto"/>
                <w:kern w:val="0"/>
                <w:szCs w:val="24"/>
                <w:highlight w:val="none"/>
                <w:u w:val="single"/>
                <w:lang w:val="en-US" w:eastAsia="zh-CN"/>
              </w:rPr>
              <w:t>5</w:t>
            </w:r>
            <w:r>
              <w:rPr>
                <w:rFonts w:hint="eastAsia" w:ascii="宋体" w:hAnsi="宋体" w:eastAsia="宋体" w:cs="宋体"/>
                <w:color w:val="auto"/>
                <w:kern w:val="0"/>
                <w:szCs w:val="24"/>
                <w:highlight w:val="none"/>
              </w:rPr>
              <w:t>人。专家从广东省综合评标评审专家库</w:t>
            </w:r>
            <w:r>
              <w:rPr>
                <w:rFonts w:hint="eastAsia" w:ascii="宋体" w:hAnsi="宋体" w:eastAsia="宋体" w:cs="宋体"/>
                <w:snapToGrid w:val="0"/>
                <w:color w:val="auto"/>
                <w:kern w:val="0"/>
                <w:szCs w:val="24"/>
                <w:highlight w:val="none"/>
              </w:rPr>
              <w:t>-韶关区域</w:t>
            </w:r>
            <w:r>
              <w:rPr>
                <w:rFonts w:hint="eastAsia" w:ascii="宋体" w:hAnsi="宋体" w:eastAsia="宋体" w:cs="宋体"/>
                <w:color w:val="auto"/>
                <w:kern w:val="0"/>
                <w:szCs w:val="24"/>
                <w:highlight w:val="none"/>
              </w:rPr>
              <w:t>中随机抽取，其中技术类专家</w:t>
            </w:r>
            <w:r>
              <w:rPr>
                <w:rFonts w:hint="eastAsia" w:ascii="宋体" w:hAnsi="宋体" w:eastAsia="宋体" w:cs="宋体"/>
                <w:color w:val="auto"/>
                <w:kern w:val="0"/>
                <w:szCs w:val="24"/>
                <w:highlight w:val="none"/>
                <w:u w:val="single"/>
                <w:lang w:val="en-US" w:eastAsia="zh-CN"/>
              </w:rPr>
              <w:t>3</w:t>
            </w:r>
            <w:r>
              <w:rPr>
                <w:rFonts w:hint="eastAsia" w:ascii="宋体" w:hAnsi="宋体" w:eastAsia="宋体" w:cs="宋体"/>
                <w:color w:val="auto"/>
                <w:kern w:val="0"/>
                <w:szCs w:val="24"/>
                <w:highlight w:val="none"/>
              </w:rPr>
              <w:t>人，经济类专家</w:t>
            </w:r>
            <w:r>
              <w:rPr>
                <w:rFonts w:hint="eastAsia" w:ascii="宋体" w:hAnsi="宋体" w:eastAsia="宋体" w:cs="宋体"/>
                <w:color w:val="auto"/>
                <w:kern w:val="0"/>
                <w:szCs w:val="24"/>
                <w:highlight w:val="none"/>
                <w:u w:val="single"/>
              </w:rPr>
              <w:t>2</w:t>
            </w:r>
            <w:r>
              <w:rPr>
                <w:rFonts w:hint="eastAsia" w:ascii="宋体" w:hAnsi="宋体" w:eastAsia="宋体" w:cs="宋体"/>
                <w:color w:val="auto"/>
                <w:kern w:val="0"/>
                <w:szCs w:val="24"/>
                <w:highlight w:val="none"/>
              </w:rPr>
              <w:t>人。</w:t>
            </w:r>
          </w:p>
        </w:tc>
      </w:tr>
      <w:tr w14:paraId="35C5C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7A8AEE9">
            <w:pPr>
              <w:pStyle w:val="8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hAnsi="宋体" w:cs="宋体"/>
                <w:color w:val="auto"/>
                <w:highlight w:val="none"/>
                <w:lang w:val="en-US" w:eastAsia="zh-CN"/>
              </w:rPr>
              <w:t>6</w:t>
            </w:r>
          </w:p>
        </w:tc>
        <w:tc>
          <w:tcPr>
            <w:tcW w:w="1690" w:type="dxa"/>
            <w:tcBorders>
              <w:top w:val="single" w:color="auto" w:sz="4" w:space="0"/>
              <w:left w:val="single" w:color="auto" w:sz="4" w:space="0"/>
              <w:bottom w:val="single" w:color="auto" w:sz="4" w:space="0"/>
              <w:right w:val="single" w:color="auto" w:sz="4" w:space="0"/>
            </w:tcBorders>
            <w:vAlign w:val="center"/>
          </w:tcPr>
          <w:p w14:paraId="73AC0247">
            <w:pPr>
              <w:pStyle w:val="8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highlight w:val="none"/>
              </w:rPr>
              <w:t>评标定标方法</w:t>
            </w:r>
          </w:p>
        </w:tc>
        <w:tc>
          <w:tcPr>
            <w:tcW w:w="7842" w:type="dxa"/>
            <w:tcBorders>
              <w:top w:val="single" w:color="auto" w:sz="4" w:space="0"/>
              <w:left w:val="single" w:color="auto" w:sz="4" w:space="0"/>
              <w:bottom w:val="single" w:color="auto" w:sz="4" w:space="0"/>
              <w:right w:val="single" w:color="auto" w:sz="4" w:space="0"/>
            </w:tcBorders>
            <w:vAlign w:val="center"/>
          </w:tcPr>
          <w:p w14:paraId="51BA0E83">
            <w:pPr>
              <w:pStyle w:val="80"/>
              <w:ind w:firstLine="480" w:firstLineChars="200"/>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highlight w:val="none"/>
              </w:rPr>
              <w:t>综合评分法</w:t>
            </w:r>
          </w:p>
        </w:tc>
      </w:tr>
      <w:tr w14:paraId="63F24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F918671">
            <w:pPr>
              <w:pStyle w:val="8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hAnsi="宋体" w:cs="宋体"/>
                <w:color w:val="auto"/>
                <w:highlight w:val="none"/>
                <w:lang w:val="en-US" w:eastAsia="zh-CN"/>
              </w:rPr>
              <w:t>7</w:t>
            </w:r>
          </w:p>
        </w:tc>
        <w:tc>
          <w:tcPr>
            <w:tcW w:w="1690" w:type="dxa"/>
            <w:tcBorders>
              <w:top w:val="single" w:color="auto" w:sz="4" w:space="0"/>
              <w:left w:val="single" w:color="auto" w:sz="4" w:space="0"/>
              <w:bottom w:val="single" w:color="auto" w:sz="4" w:space="0"/>
              <w:right w:val="single" w:color="auto" w:sz="4" w:space="0"/>
            </w:tcBorders>
            <w:vAlign w:val="center"/>
          </w:tcPr>
          <w:p w14:paraId="529B961B">
            <w:pPr>
              <w:pStyle w:val="8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Cs w:val="24"/>
                <w:highlight w:val="none"/>
              </w:rPr>
              <w:t>招标代理服务费</w:t>
            </w:r>
          </w:p>
        </w:tc>
        <w:tc>
          <w:tcPr>
            <w:tcW w:w="7842" w:type="dxa"/>
            <w:tcBorders>
              <w:top w:val="single" w:color="auto" w:sz="4" w:space="0"/>
              <w:left w:val="single" w:color="auto" w:sz="4" w:space="0"/>
              <w:bottom w:val="single" w:color="auto" w:sz="4" w:space="0"/>
              <w:right w:val="single" w:color="auto" w:sz="4" w:space="0"/>
            </w:tcBorders>
            <w:vAlign w:val="center"/>
          </w:tcPr>
          <w:p w14:paraId="44747B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highlight w:val="none"/>
                <w:lang w:val="en-US" w:eastAsia="zh-CN" w:bidi="ar-SA"/>
              </w:rPr>
              <w:t>参照《招标代理服务收费管理暂行办法》计价格[2002]1980号文，以最终中标金额为计算基数计算，由中标单位支付。中标人须在中标候选人公示结束后,领取中标通知书前须向招标代理机构一次性付清招标代理服务费，方可领取中标通知书。</w:t>
            </w:r>
          </w:p>
        </w:tc>
      </w:tr>
      <w:tr w14:paraId="6675D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4EE12D3">
            <w:pPr>
              <w:pStyle w:val="8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highlight w:val="none"/>
                <w:lang w:val="en-US" w:eastAsia="zh-CN"/>
              </w:rPr>
              <w:t>2</w:t>
            </w:r>
            <w:r>
              <w:rPr>
                <w:rFonts w:hint="eastAsia" w:hAnsi="宋体" w:cs="宋体"/>
                <w:color w:val="auto"/>
                <w:highlight w:val="none"/>
                <w:lang w:val="en-US" w:eastAsia="zh-CN"/>
              </w:rPr>
              <w:t>8</w:t>
            </w:r>
          </w:p>
        </w:tc>
        <w:tc>
          <w:tcPr>
            <w:tcW w:w="1690" w:type="dxa"/>
            <w:tcBorders>
              <w:top w:val="single" w:color="auto" w:sz="4" w:space="0"/>
              <w:left w:val="single" w:color="auto" w:sz="4" w:space="0"/>
              <w:bottom w:val="single" w:color="auto" w:sz="4" w:space="0"/>
              <w:right w:val="single" w:color="auto" w:sz="4" w:space="0"/>
            </w:tcBorders>
            <w:vAlign w:val="center"/>
          </w:tcPr>
          <w:p w14:paraId="5C1E6659">
            <w:pPr>
              <w:pStyle w:val="8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招标人</w:t>
            </w:r>
          </w:p>
          <w:p w14:paraId="066D914E">
            <w:pPr>
              <w:pStyle w:val="80"/>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Cs w:val="24"/>
                <w:highlight w:val="none"/>
              </w:rPr>
              <w:t>联系方法</w:t>
            </w:r>
          </w:p>
        </w:tc>
        <w:tc>
          <w:tcPr>
            <w:tcW w:w="7842" w:type="dxa"/>
            <w:tcBorders>
              <w:top w:val="single" w:color="auto" w:sz="4" w:space="0"/>
              <w:left w:val="single" w:color="auto" w:sz="4" w:space="0"/>
              <w:bottom w:val="single" w:color="auto" w:sz="4" w:space="0"/>
              <w:right w:val="single" w:color="auto" w:sz="4" w:space="0"/>
            </w:tcBorders>
            <w:vAlign w:val="center"/>
          </w:tcPr>
          <w:p w14:paraId="0BD5B142">
            <w:pPr>
              <w:widowControl w:val="0"/>
              <w:wordWrap w:val="0"/>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单位名称：韶关市武江区龙归镇人民政府</w:t>
            </w:r>
          </w:p>
          <w:p w14:paraId="4DE88777">
            <w:pPr>
              <w:widowControl w:val="0"/>
              <w:wordWrap w:val="0"/>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办公地址：广东省韶关市武江区龙归镇兴龙路57号</w:t>
            </w:r>
          </w:p>
          <w:p w14:paraId="613BF70A">
            <w:pPr>
              <w:widowControl w:val="0"/>
              <w:wordWrap w:val="0"/>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梁工</w:t>
            </w:r>
          </w:p>
          <w:p w14:paraId="71E5154F">
            <w:pPr>
              <w:spacing w:line="360" w:lineRule="auto"/>
              <w:jc w:val="left"/>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 w:val="24"/>
                <w:szCs w:val="24"/>
                <w:highlight w:val="none"/>
                <w:lang w:val="en-US" w:eastAsia="zh-CN"/>
              </w:rPr>
              <w:t>联系电话：0751-6451199</w:t>
            </w:r>
          </w:p>
        </w:tc>
      </w:tr>
      <w:tr w14:paraId="6FAA7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4B0716E">
            <w:pPr>
              <w:pStyle w:val="8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highlight w:val="none"/>
                <w:lang w:val="en-US" w:eastAsia="zh-CN"/>
              </w:rPr>
              <w:t>2</w:t>
            </w:r>
            <w:r>
              <w:rPr>
                <w:rFonts w:hint="eastAsia" w:hAnsi="宋体" w:cs="宋体"/>
                <w:color w:val="auto"/>
                <w:highlight w:val="none"/>
                <w:lang w:val="en-US" w:eastAsia="zh-CN"/>
              </w:rPr>
              <w:t>9</w:t>
            </w:r>
          </w:p>
        </w:tc>
        <w:tc>
          <w:tcPr>
            <w:tcW w:w="1690" w:type="dxa"/>
            <w:tcBorders>
              <w:top w:val="single" w:color="auto" w:sz="4" w:space="0"/>
              <w:left w:val="single" w:color="auto" w:sz="4" w:space="0"/>
              <w:bottom w:val="single" w:color="auto" w:sz="4" w:space="0"/>
              <w:right w:val="single" w:color="auto" w:sz="4" w:space="0"/>
            </w:tcBorders>
            <w:vAlign w:val="center"/>
          </w:tcPr>
          <w:p w14:paraId="1F28683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p w14:paraId="7E5B32D0">
            <w:pPr>
              <w:spacing w:line="360" w:lineRule="auto"/>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szCs w:val="24"/>
                <w:highlight w:val="none"/>
              </w:rPr>
              <w:t>联系方法</w:t>
            </w:r>
          </w:p>
        </w:tc>
        <w:tc>
          <w:tcPr>
            <w:tcW w:w="7842" w:type="dxa"/>
            <w:tcBorders>
              <w:top w:val="single" w:color="auto" w:sz="4" w:space="0"/>
              <w:left w:val="single" w:color="auto" w:sz="4" w:space="0"/>
              <w:bottom w:val="single" w:color="auto" w:sz="4" w:space="0"/>
              <w:right w:val="single" w:color="auto" w:sz="4" w:space="0"/>
            </w:tcBorders>
            <w:vAlign w:val="center"/>
          </w:tcPr>
          <w:p w14:paraId="319A0822">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单位名称：广东明正项目管理有限公司</w:t>
            </w:r>
          </w:p>
          <w:p w14:paraId="0459BA5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办公地址：韶关市武江区惠民北路428号7楼</w:t>
            </w:r>
          </w:p>
          <w:p w14:paraId="529CA11C">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联系人：杨工</w:t>
            </w:r>
            <w:r>
              <w:rPr>
                <w:rFonts w:hint="eastAsia" w:ascii="宋体" w:hAnsi="宋体" w:cs="宋体"/>
                <w:color w:val="auto"/>
                <w:sz w:val="24"/>
                <w:szCs w:val="24"/>
                <w:highlight w:val="none"/>
                <w:lang w:val="en-US" w:eastAsia="zh-CN"/>
              </w:rPr>
              <w:t>、潘工</w:t>
            </w:r>
          </w:p>
          <w:p w14:paraId="24C80094">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联系电话：0751-8606998</w:t>
            </w:r>
          </w:p>
        </w:tc>
      </w:tr>
      <w:tr w14:paraId="62ADF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F0C3B17">
            <w:pPr>
              <w:pStyle w:val="80"/>
              <w:jc w:val="center"/>
              <w:rPr>
                <w:rFonts w:hint="default" w:ascii="宋体" w:hAnsi="宋体" w:eastAsia="宋体" w:cs="宋体"/>
                <w:color w:val="auto"/>
                <w:kern w:val="2"/>
                <w:sz w:val="24"/>
                <w:szCs w:val="20"/>
                <w:highlight w:val="none"/>
                <w:lang w:val="en-US" w:eastAsia="zh-CN" w:bidi="ar-SA"/>
              </w:rPr>
            </w:pPr>
            <w:r>
              <w:rPr>
                <w:rFonts w:hint="eastAsia" w:hAnsi="宋体" w:cs="宋体"/>
                <w:color w:val="auto"/>
                <w:highlight w:val="none"/>
                <w:lang w:val="en-US" w:eastAsia="zh-CN"/>
              </w:rPr>
              <w:t>30</w:t>
            </w:r>
          </w:p>
        </w:tc>
        <w:tc>
          <w:tcPr>
            <w:tcW w:w="1690" w:type="dxa"/>
            <w:tcBorders>
              <w:top w:val="single" w:color="auto" w:sz="4" w:space="0"/>
              <w:left w:val="single" w:color="auto" w:sz="4" w:space="0"/>
              <w:bottom w:val="single" w:color="auto" w:sz="4" w:space="0"/>
              <w:right w:val="single" w:color="auto" w:sz="4" w:space="0"/>
            </w:tcBorders>
            <w:vAlign w:val="center"/>
          </w:tcPr>
          <w:p w14:paraId="5A650D7E">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交易场所</w:t>
            </w:r>
          </w:p>
          <w:p w14:paraId="73D7EF82">
            <w:pPr>
              <w:widowControl/>
              <w:spacing w:line="360" w:lineRule="auto"/>
              <w:jc w:val="center"/>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bCs/>
                <w:color w:val="auto"/>
                <w:kern w:val="0"/>
                <w:sz w:val="24"/>
                <w:szCs w:val="24"/>
                <w:highlight w:val="none"/>
              </w:rPr>
              <w:t>联系方法</w:t>
            </w:r>
          </w:p>
        </w:tc>
        <w:tc>
          <w:tcPr>
            <w:tcW w:w="7842" w:type="dxa"/>
            <w:tcBorders>
              <w:top w:val="single" w:color="auto" w:sz="4" w:space="0"/>
              <w:left w:val="single" w:color="auto" w:sz="4" w:space="0"/>
              <w:bottom w:val="single" w:color="auto" w:sz="4" w:space="0"/>
              <w:right w:val="single" w:color="auto" w:sz="4" w:space="0"/>
            </w:tcBorders>
            <w:vAlign w:val="center"/>
          </w:tcPr>
          <w:p w14:paraId="33912B49">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单位名称：韶关市公共资源交易中心</w:t>
            </w:r>
          </w:p>
          <w:p w14:paraId="1C4BA972">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办公地址：广东省韶关市武江区西联镇</w:t>
            </w:r>
          </w:p>
          <w:p w14:paraId="56E6E056">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联系人（部门）：工程交易部</w:t>
            </w:r>
          </w:p>
          <w:p w14:paraId="1EE605C8">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联系电话：0751-8633071、0751-8633211</w:t>
            </w:r>
          </w:p>
        </w:tc>
      </w:tr>
      <w:tr w14:paraId="5BC77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AF943D7">
            <w:pPr>
              <w:pStyle w:val="8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hAnsi="宋体" w:cs="宋体"/>
                <w:color w:val="auto"/>
                <w:highlight w:val="none"/>
                <w:lang w:val="en-US" w:eastAsia="zh-CN"/>
              </w:rPr>
              <w:t>1</w:t>
            </w:r>
          </w:p>
        </w:tc>
        <w:tc>
          <w:tcPr>
            <w:tcW w:w="1690" w:type="dxa"/>
            <w:tcBorders>
              <w:top w:val="single" w:color="auto" w:sz="4" w:space="0"/>
              <w:left w:val="single" w:color="auto" w:sz="4" w:space="0"/>
              <w:bottom w:val="single" w:color="auto" w:sz="4" w:space="0"/>
              <w:right w:val="single" w:color="auto" w:sz="4" w:space="0"/>
            </w:tcBorders>
            <w:vAlign w:val="center"/>
          </w:tcPr>
          <w:p w14:paraId="73556123">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行政监督部门</w:t>
            </w:r>
          </w:p>
          <w:p w14:paraId="31505B21">
            <w:pPr>
              <w:widowControl/>
              <w:spacing w:line="360" w:lineRule="auto"/>
              <w:jc w:val="center"/>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bCs/>
                <w:color w:val="auto"/>
                <w:kern w:val="0"/>
                <w:sz w:val="24"/>
                <w:szCs w:val="24"/>
                <w:highlight w:val="none"/>
              </w:rPr>
              <w:t>联系方式</w:t>
            </w:r>
          </w:p>
        </w:tc>
        <w:tc>
          <w:tcPr>
            <w:tcW w:w="7842" w:type="dxa"/>
            <w:tcBorders>
              <w:top w:val="single" w:color="auto" w:sz="4" w:space="0"/>
              <w:left w:val="single" w:color="auto" w:sz="4" w:space="0"/>
              <w:bottom w:val="single" w:color="auto" w:sz="4" w:space="0"/>
              <w:right w:val="single" w:color="auto" w:sz="4" w:space="0"/>
            </w:tcBorders>
            <w:vAlign w:val="center"/>
          </w:tcPr>
          <w:p w14:paraId="47C2C199">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单位名称：韶关市武江区农业农村局</w:t>
            </w:r>
          </w:p>
          <w:p w14:paraId="765E97A7">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办公地址：广东省韶关市武江区惠民南路128号</w:t>
            </w:r>
          </w:p>
          <w:p w14:paraId="3B628CB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联系人（部门）：梁工</w:t>
            </w:r>
          </w:p>
          <w:p w14:paraId="5E5E65C9">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联系电话：0751-8623830</w:t>
            </w:r>
          </w:p>
        </w:tc>
      </w:tr>
    </w:tbl>
    <w:p w14:paraId="43B0C6A5">
      <w:pPr>
        <w:spacing w:line="360" w:lineRule="auto"/>
        <w:rPr>
          <w:rFonts w:hint="eastAsia" w:ascii="宋体" w:hAnsi="宋体" w:eastAsia="宋体" w:cs="宋体"/>
          <w:color w:val="auto"/>
          <w:highlight w:val="none"/>
        </w:rPr>
      </w:pPr>
    </w:p>
    <w:p w14:paraId="30D2A22A">
      <w:pPr>
        <w:spacing w:line="360" w:lineRule="auto"/>
        <w:rPr>
          <w:rFonts w:hint="eastAsia" w:ascii="宋体" w:hAnsi="宋体" w:eastAsia="宋体" w:cs="宋体"/>
          <w:color w:val="auto"/>
          <w:highlight w:val="none"/>
        </w:rPr>
      </w:pPr>
    </w:p>
    <w:p w14:paraId="38159774">
      <w:pPr>
        <w:spacing w:line="360" w:lineRule="auto"/>
        <w:rPr>
          <w:rFonts w:hint="eastAsia" w:ascii="宋体" w:hAnsi="宋体" w:eastAsia="宋体" w:cs="宋体"/>
          <w:color w:val="auto"/>
          <w:highlight w:val="none"/>
        </w:rPr>
      </w:pPr>
    </w:p>
    <w:p w14:paraId="300FC6D8">
      <w:pPr>
        <w:spacing w:line="360" w:lineRule="auto"/>
        <w:rPr>
          <w:rFonts w:hint="eastAsia" w:ascii="宋体" w:hAnsi="宋体" w:eastAsia="宋体" w:cs="宋体"/>
          <w:color w:val="auto"/>
          <w:highlight w:val="none"/>
        </w:rPr>
      </w:pPr>
    </w:p>
    <w:p w14:paraId="2B789F1C">
      <w:pPr>
        <w:spacing w:line="360" w:lineRule="auto"/>
        <w:rPr>
          <w:rFonts w:hint="eastAsia" w:ascii="宋体" w:hAnsi="宋体" w:eastAsia="宋体" w:cs="宋体"/>
          <w:color w:val="auto"/>
          <w:highlight w:val="none"/>
        </w:rPr>
      </w:pPr>
    </w:p>
    <w:p w14:paraId="122D1807">
      <w:pPr>
        <w:spacing w:line="360" w:lineRule="auto"/>
        <w:rPr>
          <w:rFonts w:hint="eastAsia"/>
        </w:rPr>
      </w:pPr>
    </w:p>
    <w:p w14:paraId="6DAA0DA9">
      <w:pPr>
        <w:spacing w:line="360" w:lineRule="auto"/>
        <w:rPr>
          <w:rFonts w:hint="eastAsia"/>
        </w:rPr>
      </w:pPr>
    </w:p>
    <w:p w14:paraId="3A322045">
      <w:pPr>
        <w:spacing w:line="360" w:lineRule="auto"/>
        <w:rPr>
          <w:rFonts w:hint="eastAsia"/>
        </w:rPr>
      </w:pPr>
    </w:p>
    <w:p w14:paraId="6367A3B2">
      <w:pPr>
        <w:spacing w:line="360" w:lineRule="auto"/>
        <w:rPr>
          <w:rFonts w:hint="eastAsia"/>
        </w:rPr>
      </w:pPr>
    </w:p>
    <w:p w14:paraId="63BEF321">
      <w:pPr>
        <w:spacing w:line="360" w:lineRule="auto"/>
        <w:rPr>
          <w:rFonts w:hint="eastAsia"/>
        </w:rPr>
      </w:pPr>
    </w:p>
    <w:p w14:paraId="15293F26">
      <w:pPr>
        <w:spacing w:line="360" w:lineRule="auto"/>
        <w:rPr>
          <w:rFonts w:hint="eastAsia"/>
        </w:rPr>
      </w:pPr>
    </w:p>
    <w:p w14:paraId="3CAF6AC2">
      <w:pPr>
        <w:spacing w:line="360" w:lineRule="auto"/>
        <w:rPr>
          <w:rFonts w:hint="eastAsia" w:ascii="宋体" w:hAnsi="宋体" w:eastAsia="宋体" w:cs="宋体"/>
          <w:color w:val="auto"/>
          <w:highlight w:val="none"/>
        </w:rPr>
      </w:pPr>
    </w:p>
    <w:bookmarkEnd w:id="16"/>
    <w:bookmarkEnd w:id="17"/>
    <w:bookmarkEnd w:id="18"/>
    <w:p w14:paraId="2872FD57">
      <w:pPr>
        <w:spacing w:line="360" w:lineRule="auto"/>
        <w:rPr>
          <w:rFonts w:hint="eastAsia"/>
        </w:rPr>
      </w:pPr>
      <w:bookmarkStart w:id="25" w:name="_Toc15635"/>
      <w:bookmarkStart w:id="26" w:name="_Toc2151"/>
      <w:bookmarkStart w:id="27" w:name="_Toc27206"/>
      <w:bookmarkStart w:id="28" w:name="_Toc24375"/>
      <w:bookmarkStart w:id="29" w:name="_Toc27604"/>
    </w:p>
    <w:p w14:paraId="3A180361">
      <w:pPr>
        <w:pStyle w:val="79"/>
        <w:keepNext/>
        <w:keepLines/>
        <w:autoSpaceDE/>
        <w:autoSpaceDN/>
        <w:adjustRightInd/>
        <w:spacing w:before="260" w:after="260" w:line="360" w:lineRule="exact"/>
        <w:jc w:val="both"/>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第二节</w:t>
      </w:r>
      <w:r>
        <w:rPr>
          <w:rFonts w:hint="eastAsia" w:ascii="宋体" w:hAnsi="宋体" w:eastAsia="宋体" w:cs="宋体"/>
          <w:b/>
          <w:color w:val="auto"/>
          <w:kern w:val="2"/>
          <w:highlight w:val="none"/>
          <w:lang w:val="en-US" w:eastAsia="zh-CN"/>
        </w:rPr>
        <w:t xml:space="preserve">   </w:t>
      </w:r>
      <w:r>
        <w:rPr>
          <w:rFonts w:hint="eastAsia" w:ascii="宋体" w:hAnsi="宋体" w:eastAsia="宋体" w:cs="宋体"/>
          <w:b/>
          <w:color w:val="auto"/>
          <w:kern w:val="2"/>
          <w:highlight w:val="none"/>
        </w:rPr>
        <w:t>重要事项时间地点一览表</w:t>
      </w:r>
      <w:bookmarkEnd w:id="25"/>
      <w:bookmarkEnd w:id="26"/>
      <w:bookmarkEnd w:id="27"/>
      <w:bookmarkEnd w:id="28"/>
      <w:bookmarkEnd w:id="29"/>
    </w:p>
    <w:tbl>
      <w:tblPr>
        <w:tblStyle w:val="33"/>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950"/>
        <w:gridCol w:w="7508"/>
      </w:tblGrid>
      <w:tr w14:paraId="298C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578" w:type="dxa"/>
            <w:vAlign w:val="center"/>
          </w:tcPr>
          <w:p w14:paraId="1C3E1E27">
            <w:pPr>
              <w:pStyle w:val="150"/>
              <w:wordWrap w:val="0"/>
              <w:adjustRightInd w:val="0"/>
              <w:snapToGrid w:val="0"/>
              <w:spacing w:line="356"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1950" w:type="dxa"/>
            <w:vAlign w:val="center"/>
          </w:tcPr>
          <w:p w14:paraId="631E3FEB">
            <w:pPr>
              <w:pStyle w:val="150"/>
              <w:wordWrap w:val="0"/>
              <w:adjustRightInd w:val="0"/>
              <w:snapToGrid w:val="0"/>
              <w:spacing w:line="356"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招标公告</w:t>
            </w:r>
          </w:p>
          <w:p w14:paraId="02A9F982">
            <w:pPr>
              <w:pStyle w:val="150"/>
              <w:wordWrap w:val="0"/>
              <w:adjustRightInd w:val="0"/>
              <w:snapToGrid w:val="0"/>
              <w:spacing w:line="356"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发布时间</w:t>
            </w:r>
          </w:p>
        </w:tc>
        <w:tc>
          <w:tcPr>
            <w:tcW w:w="7508" w:type="dxa"/>
            <w:vAlign w:val="center"/>
          </w:tcPr>
          <w:p w14:paraId="1E9629A1">
            <w:pPr>
              <w:pStyle w:val="150"/>
              <w:wordWrap w:val="0"/>
              <w:adjustRightInd w:val="0"/>
              <w:snapToGrid w:val="0"/>
              <w:spacing w:line="356" w:lineRule="exact"/>
              <w:jc w:val="left"/>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lang w:val="en-US" w:eastAsia="zh-CN"/>
              </w:rPr>
              <w:t>2025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03</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05</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17</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w:t>
            </w:r>
          </w:p>
        </w:tc>
      </w:tr>
      <w:tr w14:paraId="185A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578" w:type="dxa"/>
            <w:vAlign w:val="center"/>
          </w:tcPr>
          <w:p w14:paraId="1C7493C5">
            <w:pPr>
              <w:pStyle w:val="150"/>
              <w:wordWrap w:val="0"/>
              <w:adjustRightInd w:val="0"/>
              <w:snapToGrid w:val="0"/>
              <w:spacing w:line="356"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1950" w:type="dxa"/>
            <w:vAlign w:val="center"/>
          </w:tcPr>
          <w:p w14:paraId="6818C71A">
            <w:pPr>
              <w:pStyle w:val="150"/>
              <w:wordWrap w:val="0"/>
              <w:adjustRightInd w:val="0"/>
              <w:snapToGrid w:val="0"/>
              <w:spacing w:line="356"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获取招标文</w:t>
            </w:r>
          </w:p>
          <w:p w14:paraId="7EB50FC1">
            <w:pPr>
              <w:pStyle w:val="150"/>
              <w:wordWrap w:val="0"/>
              <w:adjustRightInd w:val="0"/>
              <w:snapToGrid w:val="0"/>
              <w:spacing w:line="356"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件截止时间</w:t>
            </w:r>
          </w:p>
        </w:tc>
        <w:tc>
          <w:tcPr>
            <w:tcW w:w="7508" w:type="dxa"/>
            <w:vAlign w:val="center"/>
          </w:tcPr>
          <w:p w14:paraId="02D45AEC">
            <w:pPr>
              <w:pStyle w:val="150"/>
              <w:wordWrap w:val="0"/>
              <w:adjustRightInd w:val="0"/>
              <w:snapToGrid w:val="0"/>
              <w:spacing w:line="356" w:lineRule="exact"/>
              <w:jc w:val="left"/>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lang w:val="en-US" w:eastAsia="zh-CN"/>
              </w:rPr>
              <w:t>2025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03</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27</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14:paraId="5688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578" w:type="dxa"/>
            <w:vAlign w:val="center"/>
          </w:tcPr>
          <w:p w14:paraId="612E60C1">
            <w:pPr>
              <w:pStyle w:val="150"/>
              <w:wordWrap w:val="0"/>
              <w:adjustRightInd w:val="0"/>
              <w:snapToGrid w:val="0"/>
              <w:spacing w:line="356"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1950" w:type="dxa"/>
            <w:vAlign w:val="center"/>
          </w:tcPr>
          <w:p w14:paraId="47F7FE22">
            <w:pPr>
              <w:pStyle w:val="150"/>
              <w:wordWrap w:val="0"/>
              <w:adjustRightInd w:val="0"/>
              <w:snapToGrid w:val="0"/>
              <w:spacing w:line="356"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网上提问</w:t>
            </w:r>
          </w:p>
          <w:p w14:paraId="57B87EEC">
            <w:pPr>
              <w:pStyle w:val="150"/>
              <w:wordWrap w:val="0"/>
              <w:adjustRightInd w:val="0"/>
              <w:snapToGrid w:val="0"/>
              <w:spacing w:line="356"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7508" w:type="dxa"/>
            <w:vAlign w:val="center"/>
          </w:tcPr>
          <w:p w14:paraId="0986D0EF">
            <w:pPr>
              <w:pStyle w:val="150"/>
              <w:shd w:val="clear" w:color="auto" w:fill="auto"/>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2"/>
                <w:sz w:val="24"/>
                <w:szCs w:val="20"/>
                <w:highlight w:val="none"/>
                <w:u w:val="single"/>
                <w:lang w:val="en-US" w:eastAsia="zh-CN" w:bidi="ar-SA"/>
              </w:rPr>
              <w:t>2025</w:t>
            </w:r>
            <w:r>
              <w:rPr>
                <w:rFonts w:hint="eastAsia" w:ascii="宋体" w:hAnsi="宋体" w:eastAsia="宋体" w:cs="宋体"/>
                <w:color w:val="auto"/>
                <w:kern w:val="2"/>
                <w:sz w:val="24"/>
                <w:szCs w:val="20"/>
                <w:highlight w:val="none"/>
                <w:lang w:val="en-US" w:eastAsia="zh-CN" w:bidi="ar-SA"/>
              </w:rPr>
              <w:t>年</w:t>
            </w:r>
            <w:r>
              <w:rPr>
                <w:rFonts w:hint="eastAsia" w:ascii="宋体" w:hAnsi="宋体" w:eastAsia="宋体" w:cs="宋体"/>
                <w:color w:val="auto"/>
                <w:kern w:val="2"/>
                <w:sz w:val="24"/>
                <w:szCs w:val="20"/>
                <w:highlight w:val="none"/>
                <w:u w:val="single"/>
                <w:lang w:val="en-US" w:eastAsia="zh-CN" w:bidi="ar-SA"/>
              </w:rPr>
              <w:t>03</w:t>
            </w:r>
            <w:r>
              <w:rPr>
                <w:rFonts w:hint="eastAsia" w:ascii="宋体" w:hAnsi="宋体" w:eastAsia="宋体" w:cs="宋体"/>
                <w:color w:val="auto"/>
                <w:kern w:val="2"/>
                <w:sz w:val="24"/>
                <w:szCs w:val="20"/>
                <w:highlight w:val="none"/>
                <w:lang w:val="en-US" w:eastAsia="zh-CN" w:bidi="ar-SA"/>
              </w:rPr>
              <w:t>月</w:t>
            </w:r>
            <w:r>
              <w:rPr>
                <w:rFonts w:hint="eastAsia" w:ascii="宋体" w:hAnsi="宋体" w:eastAsia="宋体" w:cs="宋体"/>
                <w:color w:val="auto"/>
                <w:kern w:val="2"/>
                <w:sz w:val="24"/>
                <w:szCs w:val="20"/>
                <w:highlight w:val="none"/>
                <w:u w:val="single"/>
                <w:lang w:val="en-US" w:eastAsia="zh-CN" w:bidi="ar-SA"/>
              </w:rPr>
              <w:t>17</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00</w:t>
            </w:r>
            <w:r>
              <w:rPr>
                <w:rFonts w:hint="eastAsia" w:ascii="宋体" w:hAnsi="宋体" w:eastAsia="宋体" w:cs="宋体"/>
                <w:snapToGrid w:val="0"/>
                <w:color w:val="auto"/>
                <w:kern w:val="0"/>
                <w:sz w:val="24"/>
                <w:szCs w:val="24"/>
                <w:highlight w:val="none"/>
              </w:rPr>
              <w:t>分</w:t>
            </w:r>
          </w:p>
        </w:tc>
      </w:tr>
      <w:tr w14:paraId="3497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578" w:type="dxa"/>
            <w:vAlign w:val="center"/>
          </w:tcPr>
          <w:p w14:paraId="3DFDA489">
            <w:pPr>
              <w:pStyle w:val="150"/>
              <w:wordWrap w:val="0"/>
              <w:adjustRightInd w:val="0"/>
              <w:snapToGrid w:val="0"/>
              <w:spacing w:line="356"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1950" w:type="dxa"/>
            <w:vAlign w:val="center"/>
          </w:tcPr>
          <w:p w14:paraId="34F314D4">
            <w:pPr>
              <w:pStyle w:val="150"/>
              <w:wordWrap w:val="0"/>
              <w:adjustRightInd w:val="0"/>
              <w:snapToGrid w:val="0"/>
              <w:spacing w:line="356"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网上答疑</w:t>
            </w:r>
          </w:p>
          <w:p w14:paraId="587F2E7C">
            <w:pPr>
              <w:pStyle w:val="150"/>
              <w:wordWrap w:val="0"/>
              <w:adjustRightInd w:val="0"/>
              <w:snapToGrid w:val="0"/>
              <w:spacing w:line="356"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时间</w:t>
            </w:r>
          </w:p>
        </w:tc>
        <w:tc>
          <w:tcPr>
            <w:tcW w:w="7508" w:type="dxa"/>
            <w:vAlign w:val="center"/>
          </w:tcPr>
          <w:p w14:paraId="2C30AA0B">
            <w:pPr>
              <w:pStyle w:val="150"/>
              <w:shd w:val="clear" w:color="auto" w:fill="auto"/>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2"/>
                <w:sz w:val="24"/>
                <w:szCs w:val="20"/>
                <w:highlight w:val="none"/>
                <w:u w:val="single"/>
                <w:lang w:val="en-US" w:eastAsia="zh-CN" w:bidi="ar-SA"/>
              </w:rPr>
              <w:t>2025</w:t>
            </w:r>
            <w:r>
              <w:rPr>
                <w:rFonts w:hint="eastAsia" w:ascii="宋体" w:hAnsi="宋体" w:eastAsia="宋体" w:cs="宋体"/>
                <w:color w:val="auto"/>
                <w:kern w:val="2"/>
                <w:sz w:val="24"/>
                <w:szCs w:val="20"/>
                <w:highlight w:val="none"/>
                <w:lang w:val="en-US" w:eastAsia="zh-CN" w:bidi="ar-SA"/>
              </w:rPr>
              <w:t>年</w:t>
            </w:r>
            <w:r>
              <w:rPr>
                <w:rFonts w:hint="eastAsia" w:ascii="宋体" w:hAnsi="宋体" w:eastAsia="宋体" w:cs="宋体"/>
                <w:color w:val="auto"/>
                <w:kern w:val="2"/>
                <w:sz w:val="24"/>
                <w:szCs w:val="20"/>
                <w:highlight w:val="none"/>
                <w:u w:val="single"/>
                <w:lang w:val="en-US" w:eastAsia="zh-CN" w:bidi="ar-SA"/>
              </w:rPr>
              <w:t>03</w:t>
            </w:r>
            <w:r>
              <w:rPr>
                <w:rFonts w:hint="eastAsia" w:ascii="宋体" w:hAnsi="宋体" w:eastAsia="宋体" w:cs="宋体"/>
                <w:color w:val="auto"/>
                <w:kern w:val="2"/>
                <w:sz w:val="24"/>
                <w:szCs w:val="20"/>
                <w:highlight w:val="none"/>
                <w:lang w:val="en-US" w:eastAsia="zh-CN" w:bidi="ar-SA"/>
              </w:rPr>
              <w:t>月</w:t>
            </w:r>
            <w:r>
              <w:rPr>
                <w:rFonts w:hint="eastAsia" w:ascii="宋体" w:hAnsi="宋体" w:eastAsia="宋体" w:cs="宋体"/>
                <w:color w:val="auto"/>
                <w:kern w:val="2"/>
                <w:sz w:val="24"/>
                <w:szCs w:val="20"/>
                <w:highlight w:val="none"/>
                <w:u w:val="single"/>
                <w:lang w:val="en-US" w:eastAsia="zh-CN" w:bidi="ar-SA"/>
              </w:rPr>
              <w:t>17</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30</w:t>
            </w:r>
            <w:r>
              <w:rPr>
                <w:rFonts w:hint="eastAsia" w:ascii="宋体" w:hAnsi="宋体" w:eastAsia="宋体" w:cs="宋体"/>
                <w:snapToGrid w:val="0"/>
                <w:color w:val="auto"/>
                <w:kern w:val="0"/>
                <w:sz w:val="24"/>
                <w:szCs w:val="24"/>
                <w:highlight w:val="none"/>
              </w:rPr>
              <w:t>分至</w:t>
            </w:r>
            <w:r>
              <w:rPr>
                <w:rFonts w:hint="eastAsia" w:ascii="宋体" w:hAnsi="宋体" w:eastAsia="宋体" w:cs="宋体"/>
                <w:color w:val="auto"/>
                <w:kern w:val="2"/>
                <w:sz w:val="24"/>
                <w:szCs w:val="20"/>
                <w:highlight w:val="none"/>
                <w:u w:val="single"/>
                <w:lang w:val="en-US" w:eastAsia="zh-CN" w:bidi="ar-SA"/>
              </w:rPr>
              <w:t>2025</w:t>
            </w:r>
            <w:r>
              <w:rPr>
                <w:rFonts w:hint="eastAsia" w:ascii="宋体" w:hAnsi="宋体" w:eastAsia="宋体" w:cs="宋体"/>
                <w:color w:val="auto"/>
                <w:kern w:val="2"/>
                <w:sz w:val="24"/>
                <w:szCs w:val="20"/>
                <w:highlight w:val="none"/>
                <w:lang w:val="en-US" w:eastAsia="zh-CN" w:bidi="ar-SA"/>
              </w:rPr>
              <w:t>年</w:t>
            </w:r>
            <w:r>
              <w:rPr>
                <w:rFonts w:hint="eastAsia" w:ascii="宋体" w:hAnsi="宋体" w:eastAsia="宋体" w:cs="宋体"/>
                <w:color w:val="auto"/>
                <w:kern w:val="2"/>
                <w:sz w:val="24"/>
                <w:szCs w:val="20"/>
                <w:highlight w:val="none"/>
                <w:u w:val="single"/>
                <w:lang w:val="en-US" w:eastAsia="zh-CN" w:bidi="ar-SA"/>
              </w:rPr>
              <w:t>03</w:t>
            </w:r>
            <w:r>
              <w:rPr>
                <w:rFonts w:hint="eastAsia" w:ascii="宋体" w:hAnsi="宋体" w:eastAsia="宋体" w:cs="宋体"/>
                <w:color w:val="auto"/>
                <w:kern w:val="2"/>
                <w:sz w:val="24"/>
                <w:szCs w:val="20"/>
                <w:highlight w:val="none"/>
                <w:lang w:val="en-US" w:eastAsia="zh-CN" w:bidi="ar-SA"/>
              </w:rPr>
              <w:t>月</w:t>
            </w:r>
            <w:r>
              <w:rPr>
                <w:rFonts w:hint="eastAsia" w:ascii="宋体" w:hAnsi="宋体" w:eastAsia="宋体" w:cs="宋体"/>
                <w:color w:val="auto"/>
                <w:kern w:val="2"/>
                <w:sz w:val="24"/>
                <w:szCs w:val="20"/>
                <w:highlight w:val="none"/>
                <w:u w:val="single"/>
                <w:lang w:val="en-US" w:eastAsia="zh-CN" w:bidi="ar-SA"/>
              </w:rPr>
              <w:t>20</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00</w:t>
            </w:r>
            <w:r>
              <w:rPr>
                <w:rFonts w:hint="eastAsia" w:ascii="宋体" w:hAnsi="宋体" w:eastAsia="宋体" w:cs="宋体"/>
                <w:snapToGrid w:val="0"/>
                <w:color w:val="auto"/>
                <w:kern w:val="0"/>
                <w:sz w:val="24"/>
                <w:szCs w:val="24"/>
                <w:highlight w:val="none"/>
              </w:rPr>
              <w:t>分</w:t>
            </w:r>
          </w:p>
        </w:tc>
      </w:tr>
      <w:tr w14:paraId="7184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578" w:type="dxa"/>
            <w:vAlign w:val="center"/>
          </w:tcPr>
          <w:p w14:paraId="6B525C6B">
            <w:pPr>
              <w:pStyle w:val="150"/>
              <w:wordWrap w:val="0"/>
              <w:adjustRightInd w:val="0"/>
              <w:snapToGrid w:val="0"/>
              <w:spacing w:line="356"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1950" w:type="dxa"/>
            <w:vAlign w:val="center"/>
          </w:tcPr>
          <w:p w14:paraId="107545BB">
            <w:pPr>
              <w:pStyle w:val="150"/>
              <w:wordWrap w:val="0"/>
              <w:adjustRightInd w:val="0"/>
              <w:snapToGrid w:val="0"/>
              <w:spacing w:line="356"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投标保证缴</w:t>
            </w:r>
          </w:p>
          <w:p w14:paraId="05745EAD">
            <w:pPr>
              <w:pStyle w:val="150"/>
              <w:wordWrap w:val="0"/>
              <w:adjustRightInd w:val="0"/>
              <w:snapToGrid w:val="0"/>
              <w:spacing w:line="356"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纳截止时间</w:t>
            </w:r>
          </w:p>
        </w:tc>
        <w:tc>
          <w:tcPr>
            <w:tcW w:w="7508" w:type="dxa"/>
            <w:vAlign w:val="center"/>
          </w:tcPr>
          <w:p w14:paraId="03EA9C13">
            <w:pPr>
              <w:pStyle w:val="150"/>
              <w:shd w:val="clear" w:color="auto" w:fill="auto"/>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投标保证金到账截止时间：</w:t>
            </w:r>
            <w:r>
              <w:rPr>
                <w:rFonts w:hint="eastAsia" w:ascii="宋体" w:hAnsi="宋体" w:eastAsia="宋体" w:cs="宋体"/>
                <w:color w:val="auto"/>
                <w:kern w:val="2"/>
                <w:sz w:val="24"/>
                <w:szCs w:val="20"/>
                <w:highlight w:val="none"/>
                <w:u w:val="single"/>
                <w:lang w:val="en-US" w:eastAsia="zh-CN" w:bidi="ar-SA"/>
              </w:rPr>
              <w:t>2025</w:t>
            </w:r>
            <w:r>
              <w:rPr>
                <w:rFonts w:hint="eastAsia" w:ascii="宋体" w:hAnsi="宋体" w:eastAsia="宋体" w:cs="宋体"/>
                <w:color w:val="auto"/>
                <w:kern w:val="2"/>
                <w:sz w:val="24"/>
                <w:szCs w:val="20"/>
                <w:highlight w:val="none"/>
                <w:lang w:val="en-US" w:eastAsia="zh-CN" w:bidi="ar-SA"/>
              </w:rPr>
              <w:t>年</w:t>
            </w:r>
            <w:r>
              <w:rPr>
                <w:rFonts w:hint="eastAsia" w:ascii="宋体" w:hAnsi="宋体" w:eastAsia="宋体" w:cs="宋体"/>
                <w:color w:val="auto"/>
                <w:kern w:val="2"/>
                <w:sz w:val="24"/>
                <w:szCs w:val="20"/>
                <w:highlight w:val="none"/>
                <w:u w:val="single"/>
                <w:lang w:val="en-US" w:eastAsia="zh-CN" w:bidi="ar-SA"/>
              </w:rPr>
              <w:t>03</w:t>
            </w:r>
            <w:r>
              <w:rPr>
                <w:rFonts w:hint="eastAsia" w:ascii="宋体" w:hAnsi="宋体" w:eastAsia="宋体" w:cs="宋体"/>
                <w:color w:val="auto"/>
                <w:kern w:val="2"/>
                <w:sz w:val="24"/>
                <w:szCs w:val="20"/>
                <w:highlight w:val="none"/>
                <w:lang w:val="en-US" w:eastAsia="zh-CN" w:bidi="ar-SA"/>
              </w:rPr>
              <w:t>月</w:t>
            </w:r>
            <w:r>
              <w:rPr>
                <w:rFonts w:hint="eastAsia" w:ascii="宋体" w:hAnsi="宋体" w:eastAsia="宋体" w:cs="宋体"/>
                <w:color w:val="auto"/>
                <w:kern w:val="2"/>
                <w:sz w:val="24"/>
                <w:szCs w:val="20"/>
                <w:highlight w:val="none"/>
                <w:u w:val="single"/>
                <w:lang w:val="en-US" w:eastAsia="zh-CN" w:bidi="ar-SA"/>
              </w:rPr>
              <w:t>26</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30</w:t>
            </w:r>
            <w:r>
              <w:rPr>
                <w:rFonts w:hint="eastAsia" w:ascii="宋体" w:hAnsi="宋体" w:eastAsia="宋体" w:cs="宋体"/>
                <w:snapToGrid w:val="0"/>
                <w:color w:val="auto"/>
                <w:kern w:val="0"/>
                <w:sz w:val="24"/>
                <w:szCs w:val="24"/>
                <w:highlight w:val="none"/>
              </w:rPr>
              <w:t>分；</w:t>
            </w:r>
          </w:p>
          <w:p w14:paraId="710381DD">
            <w:pPr>
              <w:pStyle w:val="150"/>
              <w:shd w:val="clear" w:color="auto" w:fill="auto"/>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投标保证担保提交截止时间：</w:t>
            </w:r>
            <w:r>
              <w:rPr>
                <w:rFonts w:hint="eastAsia" w:ascii="宋体" w:hAnsi="宋体" w:eastAsia="宋体" w:cs="宋体"/>
                <w:color w:val="auto"/>
                <w:kern w:val="2"/>
                <w:sz w:val="24"/>
                <w:szCs w:val="20"/>
                <w:highlight w:val="none"/>
                <w:u w:val="single"/>
                <w:lang w:val="en-US" w:eastAsia="zh-CN" w:bidi="ar-SA"/>
              </w:rPr>
              <w:t>2025</w:t>
            </w:r>
            <w:r>
              <w:rPr>
                <w:rFonts w:hint="eastAsia" w:ascii="宋体" w:hAnsi="宋体" w:eastAsia="宋体" w:cs="宋体"/>
                <w:color w:val="auto"/>
                <w:kern w:val="2"/>
                <w:sz w:val="24"/>
                <w:szCs w:val="20"/>
                <w:highlight w:val="none"/>
                <w:lang w:val="en-US" w:eastAsia="zh-CN" w:bidi="ar-SA"/>
              </w:rPr>
              <w:t>年</w:t>
            </w:r>
            <w:r>
              <w:rPr>
                <w:rFonts w:hint="eastAsia" w:ascii="宋体" w:hAnsi="宋体" w:eastAsia="宋体" w:cs="宋体"/>
                <w:color w:val="auto"/>
                <w:kern w:val="2"/>
                <w:sz w:val="24"/>
                <w:szCs w:val="20"/>
                <w:highlight w:val="none"/>
                <w:u w:val="single"/>
                <w:lang w:val="en-US" w:eastAsia="zh-CN" w:bidi="ar-SA"/>
              </w:rPr>
              <w:t>03</w:t>
            </w:r>
            <w:r>
              <w:rPr>
                <w:rFonts w:hint="eastAsia" w:ascii="宋体" w:hAnsi="宋体" w:eastAsia="宋体" w:cs="宋体"/>
                <w:color w:val="auto"/>
                <w:kern w:val="2"/>
                <w:sz w:val="24"/>
                <w:szCs w:val="20"/>
                <w:highlight w:val="none"/>
                <w:lang w:val="en-US" w:eastAsia="zh-CN" w:bidi="ar-SA"/>
              </w:rPr>
              <w:t>月</w:t>
            </w:r>
            <w:r>
              <w:rPr>
                <w:rFonts w:hint="eastAsia" w:ascii="宋体" w:hAnsi="宋体" w:eastAsia="宋体" w:cs="宋体"/>
                <w:color w:val="auto"/>
                <w:kern w:val="2"/>
                <w:sz w:val="24"/>
                <w:szCs w:val="20"/>
                <w:highlight w:val="none"/>
                <w:u w:val="single"/>
                <w:lang w:val="en-US" w:eastAsia="zh-CN" w:bidi="ar-SA"/>
              </w:rPr>
              <w:t>26</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30</w:t>
            </w:r>
            <w:r>
              <w:rPr>
                <w:rFonts w:hint="eastAsia" w:ascii="宋体" w:hAnsi="宋体" w:eastAsia="宋体" w:cs="宋体"/>
                <w:snapToGrid w:val="0"/>
                <w:color w:val="auto"/>
                <w:kern w:val="0"/>
                <w:sz w:val="24"/>
                <w:szCs w:val="24"/>
                <w:highlight w:val="none"/>
              </w:rPr>
              <w:t>分；</w:t>
            </w:r>
          </w:p>
          <w:p w14:paraId="20CE286E">
            <w:pPr>
              <w:pStyle w:val="150"/>
              <w:shd w:val="clear" w:color="auto" w:fill="auto"/>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投标保证保险投保截止时间：</w:t>
            </w:r>
            <w:r>
              <w:rPr>
                <w:rFonts w:hint="eastAsia" w:ascii="宋体" w:hAnsi="宋体" w:eastAsia="宋体" w:cs="宋体"/>
                <w:color w:val="auto"/>
                <w:kern w:val="2"/>
                <w:sz w:val="24"/>
                <w:szCs w:val="20"/>
                <w:highlight w:val="none"/>
                <w:u w:val="single"/>
                <w:lang w:val="en-US" w:eastAsia="zh-CN" w:bidi="ar-SA"/>
              </w:rPr>
              <w:t>2025</w:t>
            </w:r>
            <w:r>
              <w:rPr>
                <w:rFonts w:hint="eastAsia" w:ascii="宋体" w:hAnsi="宋体" w:eastAsia="宋体" w:cs="宋体"/>
                <w:color w:val="auto"/>
                <w:kern w:val="2"/>
                <w:sz w:val="24"/>
                <w:szCs w:val="20"/>
                <w:highlight w:val="none"/>
                <w:lang w:val="en-US" w:eastAsia="zh-CN" w:bidi="ar-SA"/>
              </w:rPr>
              <w:t>年</w:t>
            </w:r>
            <w:r>
              <w:rPr>
                <w:rFonts w:hint="eastAsia" w:ascii="宋体" w:hAnsi="宋体" w:eastAsia="宋体" w:cs="宋体"/>
                <w:color w:val="auto"/>
                <w:kern w:val="2"/>
                <w:sz w:val="24"/>
                <w:szCs w:val="20"/>
                <w:highlight w:val="none"/>
                <w:u w:val="single"/>
                <w:lang w:val="en-US" w:eastAsia="zh-CN" w:bidi="ar-SA"/>
              </w:rPr>
              <w:t>03</w:t>
            </w:r>
            <w:r>
              <w:rPr>
                <w:rFonts w:hint="eastAsia" w:ascii="宋体" w:hAnsi="宋体" w:eastAsia="宋体" w:cs="宋体"/>
                <w:color w:val="auto"/>
                <w:kern w:val="2"/>
                <w:sz w:val="24"/>
                <w:szCs w:val="20"/>
                <w:highlight w:val="none"/>
                <w:lang w:val="en-US" w:eastAsia="zh-CN" w:bidi="ar-SA"/>
              </w:rPr>
              <w:t>月</w:t>
            </w:r>
            <w:r>
              <w:rPr>
                <w:rFonts w:hint="eastAsia" w:ascii="宋体" w:hAnsi="宋体" w:eastAsia="宋体" w:cs="宋体"/>
                <w:color w:val="auto"/>
                <w:kern w:val="2"/>
                <w:sz w:val="24"/>
                <w:szCs w:val="20"/>
                <w:highlight w:val="none"/>
                <w:u w:val="single"/>
                <w:lang w:val="en-US" w:eastAsia="zh-CN" w:bidi="ar-SA"/>
              </w:rPr>
              <w:t>26</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30</w:t>
            </w:r>
            <w:r>
              <w:rPr>
                <w:rFonts w:hint="eastAsia" w:ascii="宋体" w:hAnsi="宋体" w:eastAsia="宋体" w:cs="宋体"/>
                <w:snapToGrid w:val="0"/>
                <w:color w:val="auto"/>
                <w:kern w:val="0"/>
                <w:sz w:val="24"/>
                <w:szCs w:val="24"/>
                <w:highlight w:val="none"/>
              </w:rPr>
              <w:t>分。</w:t>
            </w:r>
          </w:p>
        </w:tc>
      </w:tr>
      <w:tr w14:paraId="3DB4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578" w:type="dxa"/>
            <w:vAlign w:val="center"/>
          </w:tcPr>
          <w:p w14:paraId="2C664BE3">
            <w:pPr>
              <w:pStyle w:val="150"/>
              <w:wordWrap w:val="0"/>
              <w:adjustRightInd w:val="0"/>
              <w:snapToGrid w:val="0"/>
              <w:spacing w:line="356"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1950" w:type="dxa"/>
            <w:vAlign w:val="center"/>
          </w:tcPr>
          <w:p w14:paraId="602434BE">
            <w:pPr>
              <w:pStyle w:val="150"/>
              <w:wordWrap w:val="0"/>
              <w:adjustRightInd w:val="0"/>
              <w:snapToGrid w:val="0"/>
              <w:spacing w:line="356"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电子投标</w:t>
            </w:r>
          </w:p>
          <w:p w14:paraId="45079BBA">
            <w:pPr>
              <w:pStyle w:val="150"/>
              <w:wordWrap w:val="0"/>
              <w:adjustRightInd w:val="0"/>
              <w:snapToGrid w:val="0"/>
              <w:spacing w:line="356"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7508" w:type="dxa"/>
            <w:vAlign w:val="center"/>
          </w:tcPr>
          <w:p w14:paraId="2FDAB3D7">
            <w:pPr>
              <w:pStyle w:val="26"/>
              <w:shd w:val="clear" w:color="auto" w:fill="auto"/>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2"/>
                <w:sz w:val="24"/>
                <w:szCs w:val="20"/>
                <w:highlight w:val="none"/>
                <w:u w:val="single"/>
                <w:lang w:val="en-US" w:eastAsia="zh-CN" w:bidi="ar-SA"/>
              </w:rPr>
              <w:t>2025</w:t>
            </w:r>
            <w:r>
              <w:rPr>
                <w:rFonts w:hint="eastAsia" w:ascii="宋体" w:hAnsi="宋体" w:eastAsia="宋体" w:cs="宋体"/>
                <w:color w:val="auto"/>
                <w:kern w:val="2"/>
                <w:sz w:val="24"/>
                <w:szCs w:val="20"/>
                <w:highlight w:val="none"/>
                <w:lang w:val="en-US" w:eastAsia="zh-CN" w:bidi="ar-SA"/>
              </w:rPr>
              <w:t>年</w:t>
            </w:r>
            <w:r>
              <w:rPr>
                <w:rFonts w:hint="eastAsia" w:ascii="宋体" w:hAnsi="宋体" w:eastAsia="宋体" w:cs="宋体"/>
                <w:color w:val="auto"/>
                <w:kern w:val="2"/>
                <w:sz w:val="24"/>
                <w:szCs w:val="20"/>
                <w:highlight w:val="none"/>
                <w:u w:val="single"/>
                <w:lang w:val="en-US" w:eastAsia="zh-CN" w:bidi="ar-SA"/>
              </w:rPr>
              <w:t>03</w:t>
            </w:r>
            <w:r>
              <w:rPr>
                <w:rFonts w:hint="eastAsia" w:ascii="宋体" w:hAnsi="宋体" w:eastAsia="宋体" w:cs="宋体"/>
                <w:color w:val="auto"/>
                <w:kern w:val="2"/>
                <w:sz w:val="24"/>
                <w:szCs w:val="20"/>
                <w:highlight w:val="none"/>
                <w:lang w:val="en-US" w:eastAsia="zh-CN" w:bidi="ar-SA"/>
              </w:rPr>
              <w:t>月</w:t>
            </w:r>
            <w:r>
              <w:rPr>
                <w:rFonts w:hint="eastAsia" w:ascii="宋体" w:hAnsi="宋体" w:eastAsia="宋体" w:cs="宋体"/>
                <w:color w:val="auto"/>
                <w:kern w:val="2"/>
                <w:sz w:val="24"/>
                <w:szCs w:val="20"/>
                <w:highlight w:val="none"/>
                <w:u w:val="single"/>
                <w:lang w:val="en-US" w:eastAsia="zh-CN" w:bidi="ar-SA"/>
              </w:rPr>
              <w:t>27</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30</w:t>
            </w:r>
            <w:r>
              <w:rPr>
                <w:rFonts w:hint="eastAsia" w:ascii="宋体" w:hAnsi="宋体" w:eastAsia="宋体" w:cs="宋体"/>
                <w:snapToGrid w:val="0"/>
                <w:color w:val="auto"/>
                <w:kern w:val="0"/>
                <w:sz w:val="24"/>
                <w:szCs w:val="24"/>
                <w:highlight w:val="none"/>
              </w:rPr>
              <w:t>分</w:t>
            </w:r>
          </w:p>
        </w:tc>
      </w:tr>
      <w:tr w14:paraId="15EF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78" w:type="dxa"/>
            <w:vAlign w:val="center"/>
          </w:tcPr>
          <w:p w14:paraId="446F1502">
            <w:pPr>
              <w:wordWrap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1950" w:type="dxa"/>
            <w:vAlign w:val="center"/>
          </w:tcPr>
          <w:p w14:paraId="129AE983">
            <w:pPr>
              <w:wordWrap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投标评审原件(如有)递交时间</w:t>
            </w:r>
          </w:p>
        </w:tc>
        <w:tc>
          <w:tcPr>
            <w:tcW w:w="7508" w:type="dxa"/>
            <w:vAlign w:val="center"/>
          </w:tcPr>
          <w:p w14:paraId="7B1C15B6">
            <w:pPr>
              <w:pStyle w:val="26"/>
              <w:shd w:val="clear" w:color="auto" w:fill="auto"/>
              <w:wordWrap w:val="0"/>
              <w:adjustRightInd w:val="0"/>
              <w:snapToGrid w:val="0"/>
              <w:spacing w:line="400" w:lineRule="exact"/>
              <w:jc w:val="left"/>
              <w:rPr>
                <w:rFonts w:hint="eastAsia" w:ascii="宋体" w:hAnsi="宋体" w:eastAsia="宋体" w:cs="宋体"/>
                <w:snapToGrid w:val="0"/>
                <w:color w:val="auto"/>
                <w:kern w:val="0"/>
                <w:sz w:val="24"/>
                <w:szCs w:val="24"/>
                <w:highlight w:val="none"/>
                <w:u w:val="single"/>
                <w:lang w:eastAsia="zh-CN"/>
              </w:rPr>
            </w:pPr>
            <w:r>
              <w:rPr>
                <w:rFonts w:hint="eastAsia" w:ascii="宋体" w:hAnsi="宋体" w:eastAsia="宋体" w:cs="宋体"/>
                <w:color w:val="auto"/>
                <w:kern w:val="2"/>
                <w:sz w:val="24"/>
                <w:szCs w:val="20"/>
                <w:highlight w:val="none"/>
                <w:u w:val="single"/>
                <w:lang w:val="en-US" w:eastAsia="zh-CN" w:bidi="ar-SA"/>
              </w:rPr>
              <w:t>2025</w:t>
            </w:r>
            <w:r>
              <w:rPr>
                <w:rFonts w:hint="eastAsia" w:ascii="宋体" w:hAnsi="宋体" w:eastAsia="宋体" w:cs="宋体"/>
                <w:color w:val="auto"/>
                <w:kern w:val="2"/>
                <w:sz w:val="24"/>
                <w:szCs w:val="20"/>
                <w:highlight w:val="none"/>
                <w:lang w:val="en-US" w:eastAsia="zh-CN" w:bidi="ar-SA"/>
              </w:rPr>
              <w:t>年</w:t>
            </w:r>
            <w:r>
              <w:rPr>
                <w:rFonts w:hint="eastAsia" w:ascii="宋体" w:hAnsi="宋体" w:eastAsia="宋体" w:cs="宋体"/>
                <w:color w:val="auto"/>
                <w:kern w:val="2"/>
                <w:sz w:val="24"/>
                <w:szCs w:val="20"/>
                <w:highlight w:val="none"/>
                <w:u w:val="single"/>
                <w:lang w:val="en-US" w:eastAsia="zh-CN" w:bidi="ar-SA"/>
              </w:rPr>
              <w:t>03</w:t>
            </w:r>
            <w:r>
              <w:rPr>
                <w:rFonts w:hint="eastAsia" w:ascii="宋体" w:hAnsi="宋体" w:eastAsia="宋体" w:cs="宋体"/>
                <w:color w:val="auto"/>
                <w:kern w:val="2"/>
                <w:sz w:val="24"/>
                <w:szCs w:val="20"/>
                <w:highlight w:val="none"/>
                <w:lang w:val="en-US" w:eastAsia="zh-CN" w:bidi="ar-SA"/>
              </w:rPr>
              <w:t>月</w:t>
            </w:r>
            <w:r>
              <w:rPr>
                <w:rFonts w:hint="eastAsia" w:ascii="宋体" w:hAnsi="宋体" w:eastAsia="宋体" w:cs="宋体"/>
                <w:color w:val="auto"/>
                <w:kern w:val="2"/>
                <w:sz w:val="24"/>
                <w:szCs w:val="20"/>
                <w:highlight w:val="none"/>
                <w:u w:val="single"/>
                <w:lang w:val="en-US" w:eastAsia="zh-CN" w:bidi="ar-SA"/>
              </w:rPr>
              <w:t>27</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w:t>
            </w:r>
            <w:r>
              <w:rPr>
                <w:rFonts w:hint="eastAsia" w:ascii="宋体" w:hAnsi="宋体" w:eastAsia="宋体" w:cs="宋体"/>
                <w:snapToGrid w:val="0"/>
                <w:color w:val="auto"/>
                <w:kern w:val="0"/>
                <w:sz w:val="24"/>
                <w:szCs w:val="24"/>
                <w:highlight w:val="none"/>
                <w:lang w:eastAsia="zh-CN"/>
              </w:rPr>
              <w:t>至</w:t>
            </w:r>
            <w:r>
              <w:rPr>
                <w:rFonts w:hint="eastAsia" w:ascii="宋体" w:hAnsi="宋体" w:eastAsia="宋体" w:cs="宋体"/>
                <w:color w:val="auto"/>
                <w:kern w:val="2"/>
                <w:sz w:val="24"/>
                <w:szCs w:val="20"/>
                <w:highlight w:val="none"/>
                <w:u w:val="single"/>
                <w:lang w:val="en-US" w:eastAsia="zh-CN" w:bidi="ar-SA"/>
              </w:rPr>
              <w:t>2025</w:t>
            </w:r>
            <w:r>
              <w:rPr>
                <w:rFonts w:hint="eastAsia" w:ascii="宋体" w:hAnsi="宋体" w:eastAsia="宋体" w:cs="宋体"/>
                <w:color w:val="auto"/>
                <w:kern w:val="2"/>
                <w:sz w:val="24"/>
                <w:szCs w:val="20"/>
                <w:highlight w:val="none"/>
                <w:lang w:val="en-US" w:eastAsia="zh-CN" w:bidi="ar-SA"/>
              </w:rPr>
              <w:t>年</w:t>
            </w:r>
            <w:r>
              <w:rPr>
                <w:rFonts w:hint="eastAsia" w:ascii="宋体" w:hAnsi="宋体" w:eastAsia="宋体" w:cs="宋体"/>
                <w:color w:val="auto"/>
                <w:kern w:val="2"/>
                <w:sz w:val="24"/>
                <w:szCs w:val="20"/>
                <w:highlight w:val="none"/>
                <w:u w:val="single"/>
                <w:lang w:val="en-US" w:eastAsia="zh-CN" w:bidi="ar-SA"/>
              </w:rPr>
              <w:t>03</w:t>
            </w:r>
            <w:r>
              <w:rPr>
                <w:rFonts w:hint="eastAsia" w:ascii="宋体" w:hAnsi="宋体" w:eastAsia="宋体" w:cs="宋体"/>
                <w:color w:val="auto"/>
                <w:kern w:val="2"/>
                <w:sz w:val="24"/>
                <w:szCs w:val="20"/>
                <w:highlight w:val="none"/>
                <w:lang w:val="en-US" w:eastAsia="zh-CN" w:bidi="ar-SA"/>
              </w:rPr>
              <w:t>月</w:t>
            </w:r>
            <w:r>
              <w:rPr>
                <w:rFonts w:hint="eastAsia" w:ascii="宋体" w:hAnsi="宋体" w:eastAsia="宋体" w:cs="宋体"/>
                <w:color w:val="auto"/>
                <w:kern w:val="2"/>
                <w:sz w:val="24"/>
                <w:szCs w:val="20"/>
                <w:highlight w:val="none"/>
                <w:u w:val="single"/>
                <w:lang w:val="en-US" w:eastAsia="zh-CN" w:bidi="ar-SA"/>
              </w:rPr>
              <w:t>27</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14:paraId="3CF4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578" w:type="dxa"/>
            <w:shd w:val="clear" w:color="auto" w:fill="auto"/>
            <w:vAlign w:val="center"/>
          </w:tcPr>
          <w:p w14:paraId="1336F089">
            <w:pPr>
              <w:wordWrap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8</w:t>
            </w:r>
          </w:p>
        </w:tc>
        <w:tc>
          <w:tcPr>
            <w:tcW w:w="1950" w:type="dxa"/>
            <w:shd w:val="clear" w:color="auto" w:fill="auto"/>
            <w:vAlign w:val="center"/>
          </w:tcPr>
          <w:p w14:paraId="45367D29">
            <w:pPr>
              <w:wordWrap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投标评审原件(如有)递交地点</w:t>
            </w:r>
          </w:p>
        </w:tc>
        <w:tc>
          <w:tcPr>
            <w:tcW w:w="7508" w:type="dxa"/>
            <w:shd w:val="clear" w:color="auto" w:fill="auto"/>
            <w:vAlign w:val="center"/>
          </w:tcPr>
          <w:p w14:paraId="648BE5D9">
            <w:pPr>
              <w:pStyle w:val="26"/>
              <w:pageBreakBefore w:val="0"/>
              <w:kinsoku/>
              <w:wordWrap w:val="0"/>
              <w:overflowPunct/>
              <w:topLinePunct w:val="0"/>
              <w:autoSpaceDE/>
              <w:autoSpaceDN/>
              <w:bidi w:val="0"/>
              <w:adjustRightInd w:val="0"/>
              <w:snapToGrid w:val="0"/>
              <w:spacing w:line="356"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开标场所：</w:t>
            </w:r>
            <w:r>
              <w:rPr>
                <w:rFonts w:hint="eastAsia" w:ascii="宋体" w:hAnsi="宋体" w:eastAsia="宋体" w:cs="宋体"/>
                <w:snapToGrid w:val="0"/>
                <w:color w:val="auto"/>
                <w:kern w:val="0"/>
                <w:sz w:val="24"/>
                <w:szCs w:val="24"/>
                <w:highlight w:val="none"/>
                <w:lang w:val="en-US" w:eastAsia="zh-CN" w:bidi="ar-SA"/>
              </w:rPr>
              <w:t>韶关市公共资源交易中心，</w:t>
            </w:r>
          </w:p>
          <w:p w14:paraId="244254DD">
            <w:pPr>
              <w:pStyle w:val="26"/>
              <w:wordWrap w:val="0"/>
              <w:adjustRightInd w:val="0"/>
              <w:snapToGrid w:val="0"/>
              <w:spacing w:line="400" w:lineRule="exact"/>
              <w:jc w:val="left"/>
              <w:rPr>
                <w:rFonts w:hint="eastAsia" w:ascii="宋体" w:hAnsi="宋体" w:eastAsia="宋体" w:cs="宋体"/>
                <w:snapToGrid w:val="0"/>
                <w:color w:val="auto"/>
                <w:kern w:val="0"/>
                <w:sz w:val="24"/>
                <w:szCs w:val="24"/>
                <w:highlight w:val="none"/>
                <w:u w:val="single"/>
                <w:lang w:val="en-US" w:eastAsia="zh-CN" w:bidi="ar-SA"/>
              </w:rPr>
            </w:pPr>
            <w:r>
              <w:rPr>
                <w:rFonts w:hint="eastAsia" w:ascii="宋体" w:hAnsi="宋体" w:eastAsia="宋体" w:cs="宋体"/>
                <w:snapToGrid w:val="0"/>
                <w:color w:val="auto"/>
                <w:kern w:val="0"/>
                <w:sz w:val="24"/>
                <w:szCs w:val="24"/>
                <w:highlight w:val="none"/>
                <w:lang w:val="en-US" w:eastAsia="zh-CN" w:bidi="ar-SA"/>
              </w:rPr>
              <w:t>地址：广东省韶关市武江区西联镇,具体房间号以当日现场通知为准。</w:t>
            </w:r>
          </w:p>
        </w:tc>
      </w:tr>
      <w:tr w14:paraId="4254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578" w:type="dxa"/>
            <w:vAlign w:val="center"/>
          </w:tcPr>
          <w:p w14:paraId="1C97BA67">
            <w:pPr>
              <w:pStyle w:val="150"/>
              <w:wordWrap w:val="0"/>
              <w:adjustRightInd w:val="0"/>
              <w:snapToGrid w:val="0"/>
              <w:spacing w:line="356" w:lineRule="exact"/>
              <w:jc w:val="center"/>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val="en-US" w:eastAsia="zh-CN"/>
              </w:rPr>
              <w:t>9</w:t>
            </w:r>
          </w:p>
        </w:tc>
        <w:tc>
          <w:tcPr>
            <w:tcW w:w="1950" w:type="dxa"/>
            <w:vAlign w:val="center"/>
          </w:tcPr>
          <w:p w14:paraId="1496457B">
            <w:pPr>
              <w:pStyle w:val="150"/>
              <w:shd w:val="clear" w:color="auto" w:fill="auto"/>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snapToGrid w:val="0"/>
                <w:color w:val="auto"/>
                <w:kern w:val="0"/>
                <w:sz w:val="24"/>
                <w:szCs w:val="24"/>
                <w:highlight w:val="none"/>
              </w:rPr>
              <w:t xml:space="preserve">开标时间 </w:t>
            </w:r>
          </w:p>
        </w:tc>
        <w:tc>
          <w:tcPr>
            <w:tcW w:w="7508" w:type="dxa"/>
            <w:vAlign w:val="center"/>
          </w:tcPr>
          <w:p w14:paraId="69F3122A">
            <w:pPr>
              <w:pStyle w:val="26"/>
              <w:shd w:val="clear" w:color="auto" w:fill="auto"/>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2"/>
                <w:sz w:val="24"/>
                <w:szCs w:val="20"/>
                <w:highlight w:val="none"/>
                <w:u w:val="single"/>
                <w:lang w:val="en-US" w:eastAsia="zh-CN" w:bidi="ar-SA"/>
              </w:rPr>
              <w:t>2025</w:t>
            </w:r>
            <w:r>
              <w:rPr>
                <w:rFonts w:hint="eastAsia" w:ascii="宋体" w:hAnsi="宋体" w:eastAsia="宋体" w:cs="宋体"/>
                <w:color w:val="auto"/>
                <w:kern w:val="2"/>
                <w:sz w:val="24"/>
                <w:szCs w:val="20"/>
                <w:highlight w:val="none"/>
                <w:lang w:val="en-US" w:eastAsia="zh-CN" w:bidi="ar-SA"/>
              </w:rPr>
              <w:t>年</w:t>
            </w:r>
            <w:r>
              <w:rPr>
                <w:rFonts w:hint="eastAsia" w:ascii="宋体" w:hAnsi="宋体" w:eastAsia="宋体" w:cs="宋体"/>
                <w:color w:val="auto"/>
                <w:kern w:val="2"/>
                <w:sz w:val="24"/>
                <w:szCs w:val="20"/>
                <w:highlight w:val="none"/>
                <w:u w:val="single"/>
                <w:lang w:val="en-US" w:eastAsia="zh-CN" w:bidi="ar-SA"/>
              </w:rPr>
              <w:t>03</w:t>
            </w:r>
            <w:r>
              <w:rPr>
                <w:rFonts w:hint="eastAsia" w:ascii="宋体" w:hAnsi="宋体" w:eastAsia="宋体" w:cs="宋体"/>
                <w:color w:val="auto"/>
                <w:kern w:val="2"/>
                <w:sz w:val="24"/>
                <w:szCs w:val="20"/>
                <w:highlight w:val="none"/>
                <w:lang w:val="en-US" w:eastAsia="zh-CN" w:bidi="ar-SA"/>
              </w:rPr>
              <w:t>月</w:t>
            </w:r>
            <w:r>
              <w:rPr>
                <w:rFonts w:hint="eastAsia" w:ascii="宋体" w:hAnsi="宋体" w:eastAsia="宋体" w:cs="宋体"/>
                <w:color w:val="auto"/>
                <w:kern w:val="2"/>
                <w:sz w:val="24"/>
                <w:szCs w:val="20"/>
                <w:highlight w:val="none"/>
                <w:u w:val="single"/>
                <w:lang w:val="en-US" w:eastAsia="zh-CN" w:bidi="ar-SA"/>
              </w:rPr>
              <w:t>27</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30</w:t>
            </w:r>
            <w:r>
              <w:rPr>
                <w:rFonts w:hint="eastAsia" w:ascii="宋体" w:hAnsi="宋体" w:eastAsia="宋体" w:cs="宋体"/>
                <w:snapToGrid w:val="0"/>
                <w:color w:val="auto"/>
                <w:kern w:val="0"/>
                <w:sz w:val="24"/>
                <w:szCs w:val="24"/>
                <w:highlight w:val="none"/>
              </w:rPr>
              <w:t>分</w:t>
            </w:r>
          </w:p>
        </w:tc>
      </w:tr>
      <w:tr w14:paraId="6740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78" w:type="dxa"/>
            <w:vAlign w:val="center"/>
          </w:tcPr>
          <w:p w14:paraId="5478A4C5">
            <w:pPr>
              <w:pStyle w:val="150"/>
              <w:wordWrap w:val="0"/>
              <w:adjustRightInd w:val="0"/>
              <w:snapToGrid w:val="0"/>
              <w:spacing w:line="356" w:lineRule="exact"/>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10</w:t>
            </w:r>
          </w:p>
        </w:tc>
        <w:tc>
          <w:tcPr>
            <w:tcW w:w="1950" w:type="dxa"/>
            <w:vAlign w:val="center"/>
          </w:tcPr>
          <w:p w14:paraId="4FEB6723">
            <w:pPr>
              <w:pStyle w:val="150"/>
              <w:wordWrap w:val="0"/>
              <w:adjustRightInd w:val="0"/>
              <w:snapToGrid w:val="0"/>
              <w:spacing w:line="356"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开标地点</w:t>
            </w:r>
          </w:p>
        </w:tc>
        <w:tc>
          <w:tcPr>
            <w:tcW w:w="7508" w:type="dxa"/>
            <w:vAlign w:val="center"/>
          </w:tcPr>
          <w:p w14:paraId="2DEB9E4F">
            <w:pPr>
              <w:pStyle w:val="26"/>
              <w:pageBreakBefore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开标场所：</w:t>
            </w:r>
            <w:r>
              <w:rPr>
                <w:rFonts w:hint="eastAsia" w:ascii="宋体" w:hAnsi="宋体" w:eastAsia="宋体" w:cs="宋体"/>
                <w:snapToGrid w:val="0"/>
                <w:color w:val="auto"/>
                <w:kern w:val="0"/>
                <w:sz w:val="24"/>
                <w:szCs w:val="24"/>
                <w:highlight w:val="none"/>
                <w:lang w:val="en-US" w:eastAsia="zh-CN" w:bidi="ar-SA"/>
              </w:rPr>
              <w:t>韶关市公共资源交易中心，</w:t>
            </w:r>
          </w:p>
          <w:p w14:paraId="3A4A7B57">
            <w:pPr>
              <w:pStyle w:val="26"/>
              <w:wordWrap w:val="0"/>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bidi="ar-SA"/>
              </w:rPr>
              <w:t>地址：广东省韶关市武江区西联镇,具体房间号以当日现场通知为准。</w:t>
            </w:r>
          </w:p>
        </w:tc>
      </w:tr>
      <w:tr w14:paraId="5864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578" w:type="dxa"/>
            <w:vAlign w:val="center"/>
          </w:tcPr>
          <w:p w14:paraId="47E5DB50">
            <w:pPr>
              <w:pStyle w:val="150"/>
              <w:wordWrap w:val="0"/>
              <w:adjustRightInd w:val="0"/>
              <w:snapToGrid w:val="0"/>
              <w:spacing w:line="356" w:lineRule="exact"/>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1</w:t>
            </w:r>
          </w:p>
        </w:tc>
        <w:tc>
          <w:tcPr>
            <w:tcW w:w="1950" w:type="dxa"/>
            <w:vAlign w:val="center"/>
          </w:tcPr>
          <w:p w14:paraId="4A58FF11">
            <w:pPr>
              <w:pStyle w:val="150"/>
              <w:wordWrap w:val="0"/>
              <w:adjustRightInd w:val="0"/>
              <w:snapToGrid w:val="0"/>
              <w:spacing w:line="356"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备注</w:t>
            </w:r>
          </w:p>
        </w:tc>
        <w:tc>
          <w:tcPr>
            <w:tcW w:w="7508" w:type="dxa"/>
            <w:vAlign w:val="center"/>
          </w:tcPr>
          <w:p w14:paraId="61B021F1">
            <w:pPr>
              <w:pStyle w:val="150"/>
              <w:wordWrap w:val="0"/>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自行下载招标文件、资料文件及招标答疑书等。若由于投标人自身原因未能及时取得上述资料的，由此发生的任何责任由投标人自负。</w:t>
            </w:r>
          </w:p>
        </w:tc>
      </w:tr>
    </w:tbl>
    <w:p w14:paraId="091C626B">
      <w:pPr>
        <w:rPr>
          <w:rFonts w:hint="eastAsia" w:ascii="宋体" w:hAnsi="宋体" w:eastAsia="宋体" w:cs="宋体"/>
          <w:color w:val="auto"/>
          <w:highlight w:val="none"/>
        </w:rPr>
      </w:pPr>
    </w:p>
    <w:p w14:paraId="417D515F">
      <w:pPr>
        <w:rPr>
          <w:rFonts w:hint="eastAsia" w:ascii="宋体" w:hAnsi="宋体" w:eastAsia="宋体" w:cs="宋体"/>
          <w:color w:val="auto"/>
          <w:highlight w:val="none"/>
        </w:rPr>
      </w:pPr>
    </w:p>
    <w:p w14:paraId="036EA72B">
      <w:pPr>
        <w:rPr>
          <w:rFonts w:hint="eastAsia" w:ascii="宋体" w:hAnsi="宋体" w:eastAsia="宋体" w:cs="宋体"/>
          <w:color w:val="auto"/>
          <w:highlight w:val="none"/>
        </w:rPr>
      </w:pPr>
    </w:p>
    <w:p w14:paraId="652A6763">
      <w:pPr>
        <w:pStyle w:val="79"/>
        <w:keepNext/>
        <w:keepLines/>
        <w:autoSpaceDE/>
        <w:autoSpaceDN/>
        <w:adjustRightInd/>
        <w:spacing w:before="260" w:after="260" w:line="360" w:lineRule="exact"/>
        <w:jc w:val="both"/>
        <w:rPr>
          <w:rFonts w:hint="eastAsia" w:ascii="宋体" w:hAnsi="宋体" w:eastAsia="宋体" w:cs="宋体"/>
          <w:b/>
          <w:color w:val="auto"/>
          <w:kern w:val="2"/>
          <w:highlight w:val="none"/>
        </w:rPr>
      </w:pPr>
      <w:bookmarkStart w:id="30" w:name="_Hlt69669159"/>
      <w:bookmarkEnd w:id="30"/>
      <w:bookmarkStart w:id="31" w:name="_Toc8876"/>
      <w:bookmarkStart w:id="32" w:name="_Toc21519"/>
      <w:bookmarkStart w:id="33" w:name="_Toc19397"/>
      <w:bookmarkStart w:id="34" w:name="_Toc135054579"/>
      <w:bookmarkStart w:id="35" w:name="_Toc28465"/>
      <w:bookmarkStart w:id="36" w:name="_Hlt69698705"/>
      <w:bookmarkStart w:id="37" w:name="_Hlt69698754"/>
      <w:r>
        <w:rPr>
          <w:rFonts w:hint="eastAsia" w:ascii="宋体" w:hAnsi="宋体" w:eastAsia="宋体" w:cs="宋体"/>
          <w:b/>
          <w:color w:val="auto"/>
          <w:kern w:val="2"/>
          <w:highlight w:val="none"/>
          <w:lang w:val="en-US" w:eastAsia="zh-CN"/>
        </w:rPr>
        <w:t>第三节   投标人须知正文</w:t>
      </w:r>
      <w:bookmarkEnd w:id="31"/>
      <w:bookmarkEnd w:id="32"/>
      <w:bookmarkEnd w:id="33"/>
      <w:bookmarkEnd w:id="34"/>
      <w:bookmarkEnd w:id="35"/>
    </w:p>
    <w:bookmarkEnd w:id="36"/>
    <w:bookmarkEnd w:id="37"/>
    <w:p w14:paraId="0DD64712">
      <w:pPr>
        <w:keepNext w:val="0"/>
        <w:keepLines w:val="0"/>
        <w:pageBreakBefore w:val="0"/>
        <w:widowControl/>
        <w:suppressLineNumbers w:val="0"/>
        <w:shd w:val="clear" w:color="auto" w:fill="auto"/>
        <w:kinsoku/>
        <w:wordWrap w:val="0"/>
        <w:overflowPunct/>
        <w:topLinePunct w:val="0"/>
        <w:autoSpaceDE/>
        <w:autoSpaceDN/>
        <w:bidi w:val="0"/>
        <w:adjustRightInd/>
        <w:snapToGrid/>
        <w:ind w:firstLine="480" w:firstLineChars="200"/>
        <w:jc w:val="left"/>
        <w:textAlignment w:val="auto"/>
        <w:rPr>
          <w:rFonts w:hint="eastAsia" w:ascii="宋体" w:hAnsi="宋体" w:eastAsia="宋体" w:cs="宋体"/>
          <w:snapToGrid w:val="0"/>
          <w:kern w:val="0"/>
          <w:sz w:val="24"/>
          <w:szCs w:val="24"/>
        </w:rPr>
      </w:pPr>
      <w:bookmarkStart w:id="38" w:name="_Hlt87948285"/>
      <w:bookmarkEnd w:id="38"/>
      <w:bookmarkStart w:id="39" w:name="_Hlt109358474"/>
      <w:bookmarkEnd w:id="39"/>
      <w:bookmarkStart w:id="40" w:name="_Hlt74474735"/>
      <w:bookmarkEnd w:id="40"/>
      <w:bookmarkStart w:id="41" w:name="_Hlt78795222"/>
      <w:bookmarkEnd w:id="41"/>
      <w:bookmarkStart w:id="42" w:name="_Hlt119991399"/>
      <w:bookmarkEnd w:id="42"/>
      <w:bookmarkStart w:id="43" w:name="_Toc135054580"/>
      <w:bookmarkStart w:id="44" w:name="_Toc7031"/>
      <w:bookmarkStart w:id="45" w:name="_Toc18834"/>
      <w:bookmarkStart w:id="46" w:name="_Toc1531"/>
      <w:bookmarkStart w:id="47" w:name="_Toc10343"/>
      <w:bookmarkStart w:id="48" w:name="_Toc13328"/>
      <w:r>
        <w:rPr>
          <w:rFonts w:hint="eastAsia" w:ascii="宋体" w:hAnsi="宋体" w:eastAsia="宋体" w:cs="宋体"/>
          <w:snapToGrid w:val="0"/>
          <w:kern w:val="0"/>
          <w:sz w:val="24"/>
          <w:szCs w:val="24"/>
          <w:u w:val="single"/>
          <w:lang w:val="en-US" w:eastAsia="zh-CN"/>
        </w:rPr>
        <w:t>广东省韶关市武江区农业产业基础设施建设项目-韶关市武江区龙归镇2025年农业产业基础设施建设项目勘察设计</w:t>
      </w:r>
      <w:r>
        <w:rPr>
          <w:rFonts w:hint="eastAsia" w:ascii="宋体" w:hAnsi="宋体" w:eastAsia="宋体" w:cs="宋体"/>
          <w:snapToGrid w:val="0"/>
          <w:kern w:val="0"/>
          <w:sz w:val="24"/>
          <w:szCs w:val="24"/>
        </w:rPr>
        <w:t>经</w:t>
      </w:r>
      <w:r>
        <w:rPr>
          <w:rFonts w:hint="eastAsia" w:ascii="宋体" w:hAnsi="宋体" w:eastAsia="宋体" w:cs="宋体"/>
          <w:snapToGrid w:val="0"/>
          <w:kern w:val="0"/>
          <w:sz w:val="24"/>
          <w:szCs w:val="24"/>
          <w:u w:val="single"/>
          <w:lang w:eastAsia="zh-CN"/>
        </w:rPr>
        <w:t>韶关市武江区发展和改革</w:t>
      </w:r>
      <w:r>
        <w:rPr>
          <w:rFonts w:hint="eastAsia" w:ascii="宋体" w:hAnsi="宋体" w:eastAsia="宋体" w:cs="宋体"/>
          <w:snapToGrid w:val="0"/>
          <w:kern w:val="0"/>
          <w:sz w:val="24"/>
          <w:szCs w:val="24"/>
          <w:u w:val="single"/>
          <w:lang w:val="en-US" w:eastAsia="zh-CN"/>
        </w:rPr>
        <w:t>局以《韶关市武江区发展和改革局关于广东省韶关市武江区农业产业基础设施建设项目可行性研究报告的批复》（</w:t>
      </w:r>
      <w:r>
        <w:rPr>
          <w:rFonts w:hint="eastAsia" w:ascii="宋体" w:hAnsi="宋体" w:cs="宋体"/>
          <w:snapToGrid w:val="0"/>
          <w:kern w:val="0"/>
          <w:sz w:val="24"/>
          <w:szCs w:val="24"/>
          <w:u w:val="single"/>
          <w:lang w:val="en-US" w:eastAsia="zh-CN"/>
        </w:rPr>
        <w:t>韶武发改投审[2024]136号</w:t>
      </w:r>
      <w:r>
        <w:rPr>
          <w:rFonts w:hint="eastAsia" w:ascii="宋体" w:hAnsi="宋体" w:eastAsia="宋体" w:cs="宋体"/>
          <w:snapToGrid w:val="0"/>
          <w:kern w:val="0"/>
          <w:sz w:val="24"/>
          <w:szCs w:val="24"/>
          <w:u w:val="single"/>
          <w:lang w:val="en-US" w:eastAsia="zh-CN"/>
        </w:rPr>
        <w:t>）批准建设，项目代码为2412-440203-20-01-503270</w:t>
      </w:r>
      <w:r>
        <w:rPr>
          <w:rFonts w:hint="eastAsia" w:ascii="宋体" w:hAnsi="宋体" w:eastAsia="宋体" w:cs="宋体"/>
          <w:snapToGrid w:val="0"/>
          <w:kern w:val="0"/>
          <w:sz w:val="24"/>
          <w:szCs w:val="24"/>
        </w:rPr>
        <w:t>。</w:t>
      </w:r>
      <w:r>
        <w:rPr>
          <w:rFonts w:hint="eastAsia" w:ascii="宋体" w:hAnsi="宋体" w:eastAsia="宋体" w:cs="宋体"/>
          <w:snapToGrid w:val="0"/>
          <w:color w:val="000000"/>
          <w:kern w:val="0"/>
          <w:sz w:val="24"/>
          <w:szCs w:val="24"/>
        </w:rPr>
        <w:t>本工程项目业主为</w:t>
      </w:r>
      <w:r>
        <w:rPr>
          <w:rFonts w:hint="eastAsia" w:ascii="宋体" w:hAnsi="宋体" w:eastAsia="宋体" w:cs="宋体"/>
          <w:bCs/>
          <w:snapToGrid w:val="0"/>
          <w:color w:val="auto"/>
          <w:kern w:val="0"/>
          <w:sz w:val="24"/>
          <w:szCs w:val="24"/>
          <w:highlight w:val="none"/>
          <w:u w:val="single"/>
          <w:lang w:eastAsia="zh-CN"/>
        </w:rPr>
        <w:t>韶关市武江区龙归镇人民政府</w:t>
      </w:r>
      <w:r>
        <w:rPr>
          <w:rFonts w:hint="eastAsia" w:ascii="宋体" w:hAnsi="宋体" w:eastAsia="宋体" w:cs="宋体"/>
          <w:snapToGrid w:val="0"/>
          <w:color w:val="000000"/>
          <w:kern w:val="0"/>
          <w:sz w:val="24"/>
          <w:szCs w:val="24"/>
        </w:rPr>
        <w:t>，建设资金来自</w:t>
      </w:r>
      <w:r>
        <w:rPr>
          <w:rFonts w:hint="eastAsia" w:ascii="宋体" w:hAnsi="宋体" w:eastAsia="宋体" w:cs="宋体"/>
          <w:snapToGrid w:val="0"/>
          <w:color w:val="000000"/>
          <w:kern w:val="0"/>
          <w:sz w:val="24"/>
          <w:szCs w:val="24"/>
          <w:u w:val="single"/>
          <w:lang w:eastAsia="zh-CN"/>
        </w:rPr>
        <w:t>区财政统筹</w:t>
      </w:r>
      <w:r>
        <w:rPr>
          <w:rFonts w:hint="eastAsia" w:ascii="宋体" w:hAnsi="宋体" w:cs="宋体"/>
          <w:snapToGrid w:val="0"/>
          <w:color w:val="000000"/>
          <w:kern w:val="0"/>
          <w:sz w:val="24"/>
          <w:szCs w:val="24"/>
          <w:u w:val="single"/>
          <w:lang w:eastAsia="zh-CN"/>
        </w:rPr>
        <w:t>解决</w:t>
      </w:r>
      <w:r>
        <w:rPr>
          <w:rFonts w:hint="eastAsia" w:ascii="宋体" w:hAnsi="宋体" w:eastAsia="宋体" w:cs="宋体"/>
          <w:snapToGrid w:val="0"/>
          <w:color w:val="000000"/>
          <w:kern w:val="0"/>
          <w:sz w:val="24"/>
          <w:szCs w:val="24"/>
        </w:rPr>
        <w:t>，出资比例为</w:t>
      </w:r>
      <w:r>
        <w:rPr>
          <w:rFonts w:hint="eastAsia" w:ascii="宋体" w:hAnsi="宋体" w:eastAsia="宋体" w:cs="宋体"/>
          <w:snapToGrid w:val="0"/>
          <w:color w:val="000000"/>
          <w:kern w:val="0"/>
          <w:sz w:val="24"/>
          <w:szCs w:val="24"/>
          <w:u w:val="single"/>
        </w:rPr>
        <w:t>100%</w:t>
      </w:r>
      <w:r>
        <w:rPr>
          <w:rFonts w:hint="eastAsia" w:ascii="宋体" w:hAnsi="宋体" w:eastAsia="宋体" w:cs="宋体"/>
          <w:snapToGrid w:val="0"/>
          <w:color w:val="000000"/>
          <w:kern w:val="0"/>
          <w:sz w:val="24"/>
          <w:szCs w:val="24"/>
        </w:rPr>
        <w:t>，招标人为</w:t>
      </w:r>
      <w:r>
        <w:rPr>
          <w:rFonts w:hint="eastAsia" w:ascii="宋体" w:hAnsi="宋体" w:eastAsia="宋体" w:cs="宋体"/>
          <w:bCs/>
          <w:snapToGrid w:val="0"/>
          <w:color w:val="auto"/>
          <w:kern w:val="0"/>
          <w:sz w:val="24"/>
          <w:szCs w:val="24"/>
          <w:highlight w:val="none"/>
          <w:u w:val="single"/>
          <w:lang w:eastAsia="zh-CN"/>
        </w:rPr>
        <w:t>韶关市武江区龙归镇人民政府</w:t>
      </w:r>
      <w:r>
        <w:rPr>
          <w:rFonts w:hint="eastAsia" w:ascii="宋体" w:hAnsi="宋体" w:eastAsia="宋体" w:cs="宋体"/>
          <w:snapToGrid w:val="0"/>
          <w:color w:val="000000"/>
          <w:kern w:val="0"/>
          <w:sz w:val="24"/>
          <w:szCs w:val="24"/>
        </w:rPr>
        <w:t>，招标代理机构为</w:t>
      </w:r>
      <w:r>
        <w:rPr>
          <w:rFonts w:hint="eastAsia" w:ascii="宋体" w:hAnsi="宋体" w:eastAsia="宋体" w:cs="宋体"/>
          <w:snapToGrid w:val="0"/>
          <w:color w:val="000000"/>
          <w:kern w:val="0"/>
          <w:sz w:val="24"/>
          <w:szCs w:val="24"/>
          <w:u w:val="single"/>
          <w:lang w:eastAsia="zh-CN"/>
        </w:rPr>
        <w:t>广东明正项目管理有限公司</w:t>
      </w:r>
      <w:r>
        <w:rPr>
          <w:rFonts w:hint="eastAsia" w:ascii="宋体" w:hAnsi="宋体" w:eastAsia="宋体" w:cs="宋体"/>
          <w:snapToGrid w:val="0"/>
          <w:kern w:val="0"/>
          <w:sz w:val="24"/>
          <w:szCs w:val="24"/>
        </w:rPr>
        <w:t>。项目已具备招标条件，现对该项目的</w:t>
      </w:r>
      <w:r>
        <w:rPr>
          <w:rFonts w:hint="eastAsia" w:ascii="宋体" w:hAnsi="宋体" w:eastAsia="宋体" w:cs="宋体"/>
          <w:snapToGrid w:val="0"/>
          <w:kern w:val="0"/>
          <w:sz w:val="24"/>
          <w:szCs w:val="24"/>
          <w:u w:val="single"/>
        </w:rPr>
        <w:t>勘察设计</w:t>
      </w:r>
      <w:r>
        <w:rPr>
          <w:rFonts w:hint="eastAsia" w:ascii="宋体" w:hAnsi="宋体" w:eastAsia="宋体" w:cs="宋体"/>
          <w:snapToGrid w:val="0"/>
          <w:kern w:val="0"/>
          <w:sz w:val="24"/>
          <w:szCs w:val="24"/>
        </w:rPr>
        <w:t>进行公开招标。</w:t>
      </w:r>
    </w:p>
    <w:p w14:paraId="776408D5">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r>
        <w:rPr>
          <w:rFonts w:hint="eastAsia" w:ascii="宋体" w:hAnsi="宋体" w:eastAsia="宋体" w:cs="宋体"/>
          <w:b/>
          <w:bCs/>
          <w:snapToGrid w:val="0"/>
          <w:color w:val="auto"/>
          <w:kern w:val="0"/>
          <w:sz w:val="24"/>
          <w:highlight w:val="none"/>
          <w:lang w:val="en-US" w:eastAsia="zh-CN"/>
        </w:rPr>
        <w:t>1.工程概况综合说明</w:t>
      </w:r>
      <w:bookmarkEnd w:id="43"/>
      <w:bookmarkEnd w:id="44"/>
      <w:bookmarkEnd w:id="45"/>
      <w:bookmarkEnd w:id="46"/>
      <w:bookmarkEnd w:id="47"/>
      <w:bookmarkEnd w:id="48"/>
    </w:p>
    <w:p w14:paraId="21972ADF">
      <w:pPr>
        <w:pStyle w:val="80"/>
        <w:tabs>
          <w:tab w:val="left" w:pos="7020"/>
        </w:tabs>
        <w:spacing w:line="360" w:lineRule="auto"/>
        <w:ind w:firstLine="480" w:firstLineChars="200"/>
        <w:rPr>
          <w:rFonts w:hint="eastAsia" w:ascii="宋体" w:hAnsi="宋体" w:eastAsia="宋体" w:cs="宋体"/>
          <w:color w:val="auto"/>
          <w:kern w:val="0"/>
          <w:szCs w:val="22"/>
          <w:highlight w:val="none"/>
          <w:u w:val="single"/>
          <w:lang w:eastAsia="zh-CN"/>
        </w:rPr>
      </w:pPr>
      <w:r>
        <w:rPr>
          <w:rFonts w:hint="eastAsia" w:ascii="宋体" w:hAnsi="宋体" w:eastAsia="宋体" w:cs="宋体"/>
          <w:color w:val="auto"/>
          <w:szCs w:val="24"/>
          <w:highlight w:val="none"/>
        </w:rPr>
        <w:t>1.1招标人：</w:t>
      </w:r>
      <w:r>
        <w:rPr>
          <w:rFonts w:hint="eastAsia" w:hAnsi="宋体" w:cs="宋体"/>
          <w:color w:val="auto"/>
          <w:kern w:val="0"/>
          <w:szCs w:val="22"/>
          <w:highlight w:val="none"/>
          <w:u w:val="single"/>
          <w:lang w:eastAsia="zh-CN"/>
        </w:rPr>
        <w:t>韶关市武江区龙归镇人民政府</w:t>
      </w:r>
      <w:r>
        <w:rPr>
          <w:rFonts w:hint="eastAsia" w:ascii="宋体" w:hAnsi="宋体" w:eastAsia="宋体" w:cs="宋体"/>
          <w:color w:val="auto"/>
          <w:kern w:val="0"/>
          <w:szCs w:val="22"/>
          <w:highlight w:val="none"/>
          <w:u w:val="single"/>
          <w:lang w:eastAsia="zh-CN"/>
        </w:rPr>
        <w:t>。</w:t>
      </w:r>
    </w:p>
    <w:p w14:paraId="1B9D7787">
      <w:pPr>
        <w:pStyle w:val="80"/>
        <w:tabs>
          <w:tab w:val="left" w:pos="7020"/>
        </w:tabs>
        <w:spacing w:line="360" w:lineRule="auto"/>
        <w:ind w:firstLine="480" w:firstLineChars="200"/>
        <w:jc w:val="left"/>
        <w:rPr>
          <w:rFonts w:hint="eastAsia" w:ascii="宋体" w:hAnsi="宋体" w:eastAsia="宋体" w:cs="宋体"/>
          <w:color w:val="auto"/>
          <w:highlight w:val="none"/>
          <w:lang w:val="en-US"/>
        </w:rPr>
      </w:pPr>
      <w:r>
        <w:rPr>
          <w:rFonts w:hint="eastAsia" w:ascii="宋体" w:hAnsi="宋体" w:eastAsia="宋体" w:cs="宋体"/>
          <w:color w:val="auto"/>
          <w:highlight w:val="none"/>
        </w:rPr>
        <w:t>1.2工程地点：</w:t>
      </w:r>
      <w:r>
        <w:rPr>
          <w:rFonts w:hint="eastAsia" w:hAnsi="宋体" w:cs="宋体"/>
          <w:color w:val="auto"/>
          <w:highlight w:val="none"/>
          <w:u w:val="single"/>
          <w:lang w:val="en-US" w:eastAsia="zh-CN"/>
        </w:rPr>
        <w:t>韶关市武江区龙归镇</w:t>
      </w:r>
      <w:r>
        <w:rPr>
          <w:rFonts w:hint="eastAsia" w:ascii="宋体" w:hAnsi="宋体" w:eastAsia="宋体" w:cs="宋体"/>
          <w:color w:val="auto"/>
          <w:highlight w:val="none"/>
          <w:u w:val="single"/>
          <w:lang w:val="en-US" w:eastAsia="zh-CN"/>
        </w:rPr>
        <w:t>。</w:t>
      </w:r>
    </w:p>
    <w:p w14:paraId="4FC3A65E">
      <w:pPr>
        <w:pStyle w:val="80"/>
        <w:tabs>
          <w:tab w:val="left" w:pos="7020"/>
        </w:tabs>
        <w:spacing w:line="360" w:lineRule="auto"/>
        <w:ind w:firstLine="480" w:firstLineChars="200"/>
        <w:jc w:val="left"/>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1.3工程主要建设规模及建设内容：</w:t>
      </w:r>
      <w:r>
        <w:rPr>
          <w:rFonts w:hint="eastAsia" w:hAnsi="宋体" w:cs="宋体"/>
          <w:color w:val="auto"/>
          <w:highlight w:val="none"/>
          <w:u w:val="single"/>
          <w:lang w:val="en-US" w:eastAsia="zh-CN"/>
        </w:rPr>
        <w:t>土地平整翻耕、土壤改良工程1130亩；新修机耕路、生产道路9公里；新建灌溉水渠8公里，机耕桥2座，修建泵房3座，灌溉陂头2座，新建挡土墙0.6公里，清运耕地杂物200亩。</w:t>
      </w:r>
    </w:p>
    <w:p w14:paraId="50E2CADA">
      <w:pPr>
        <w:pStyle w:val="80"/>
        <w:tabs>
          <w:tab w:val="left" w:pos="7020"/>
        </w:tabs>
        <w:spacing w:line="360" w:lineRule="auto"/>
        <w:ind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Cs w:val="24"/>
          <w:highlight w:val="none"/>
        </w:rPr>
        <w:t>1.4项目总投资：</w:t>
      </w:r>
      <w:r>
        <w:rPr>
          <w:rFonts w:hint="eastAsia" w:hAnsi="宋体" w:cs="宋体"/>
          <w:color w:val="auto"/>
          <w:sz w:val="24"/>
          <w:szCs w:val="24"/>
          <w:highlight w:val="none"/>
          <w:u w:val="single"/>
          <w:lang w:eastAsia="zh-CN"/>
        </w:rPr>
        <w:t>工程估算总投资3600.00万元，工程建安费2800.00万元</w:t>
      </w:r>
      <w:r>
        <w:rPr>
          <w:rFonts w:hint="eastAsia" w:ascii="宋体" w:hAnsi="宋体" w:eastAsia="宋体" w:cs="宋体"/>
          <w:color w:val="auto"/>
          <w:sz w:val="24"/>
          <w:szCs w:val="24"/>
          <w:highlight w:val="none"/>
          <w:u w:val="single"/>
          <w:lang w:eastAsia="zh-CN"/>
        </w:rPr>
        <w:t>。</w:t>
      </w:r>
    </w:p>
    <w:p w14:paraId="0CA1BCE0">
      <w:pPr>
        <w:pStyle w:val="80"/>
        <w:tabs>
          <w:tab w:val="left" w:pos="7020"/>
        </w:tabs>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1.5标段划分：本招标项目不划分标段。</w:t>
      </w:r>
      <w:bookmarkStart w:id="49" w:name="_Toc496132995"/>
      <w:bookmarkStart w:id="50" w:name="_Toc71813686"/>
      <w:bookmarkStart w:id="51" w:name="_Toc71813180"/>
      <w:bookmarkStart w:id="52" w:name="_Toc3580"/>
      <w:bookmarkStart w:id="53" w:name="_Toc71811066"/>
      <w:bookmarkStart w:id="54" w:name="_Toc8182"/>
      <w:bookmarkStart w:id="55" w:name="_Toc71811299"/>
      <w:bookmarkStart w:id="56" w:name="_Toc22197"/>
    </w:p>
    <w:p w14:paraId="4E071AD1">
      <w:pPr>
        <w:pStyle w:val="80"/>
        <w:tabs>
          <w:tab w:val="left" w:pos="7020"/>
        </w:tabs>
        <w:spacing w:line="360" w:lineRule="auto"/>
        <w:ind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highlight w:val="none"/>
        </w:rPr>
        <w:t>1.</w:t>
      </w:r>
      <w:bookmarkEnd w:id="49"/>
      <w:r>
        <w:rPr>
          <w:rFonts w:hint="eastAsia" w:ascii="宋体" w:hAnsi="宋体" w:eastAsia="宋体" w:cs="宋体"/>
          <w:color w:val="auto"/>
          <w:highlight w:val="none"/>
        </w:rPr>
        <w:t>6投标费用：投标人应承担所有准备和参加投标的相关费用，招标人均无义务和责任承担这些费用</w:t>
      </w:r>
      <w:r>
        <w:rPr>
          <w:rFonts w:hint="eastAsia" w:ascii="宋体" w:hAnsi="宋体" w:eastAsia="宋体" w:cs="宋体"/>
          <w:color w:val="auto"/>
          <w:szCs w:val="24"/>
          <w:highlight w:val="none"/>
        </w:rPr>
        <w:t>。</w:t>
      </w:r>
      <w:bookmarkEnd w:id="50"/>
      <w:bookmarkEnd w:id="51"/>
      <w:bookmarkEnd w:id="52"/>
      <w:bookmarkEnd w:id="53"/>
      <w:bookmarkEnd w:id="54"/>
      <w:bookmarkEnd w:id="55"/>
      <w:bookmarkEnd w:id="56"/>
    </w:p>
    <w:p w14:paraId="1F75C627">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57" w:name="_Toc9668"/>
      <w:bookmarkStart w:id="58" w:name="_Toc106184808"/>
      <w:bookmarkStart w:id="59" w:name="_Toc1328"/>
      <w:bookmarkStart w:id="60" w:name="_Toc235"/>
      <w:bookmarkStart w:id="61" w:name="_Toc18751"/>
      <w:bookmarkStart w:id="62" w:name="_Toc12835"/>
      <w:bookmarkStart w:id="63" w:name="_Toc135054581"/>
      <w:r>
        <w:rPr>
          <w:rFonts w:hint="eastAsia" w:ascii="宋体" w:hAnsi="宋体" w:eastAsia="宋体" w:cs="宋体"/>
          <w:b/>
          <w:bCs/>
          <w:snapToGrid w:val="0"/>
          <w:color w:val="auto"/>
          <w:kern w:val="0"/>
          <w:sz w:val="24"/>
          <w:highlight w:val="none"/>
          <w:lang w:val="en-US" w:eastAsia="zh-CN"/>
        </w:rPr>
        <w:t>2.招标范围</w:t>
      </w:r>
      <w:bookmarkEnd w:id="57"/>
      <w:bookmarkEnd w:id="58"/>
      <w:bookmarkEnd w:id="59"/>
      <w:bookmarkEnd w:id="60"/>
      <w:bookmarkEnd w:id="61"/>
      <w:bookmarkEnd w:id="62"/>
      <w:bookmarkEnd w:id="63"/>
      <w:bookmarkStart w:id="64" w:name="_Hlt91408212"/>
      <w:bookmarkEnd w:id="64"/>
    </w:p>
    <w:p w14:paraId="6835201E">
      <w:pPr>
        <w:spacing w:line="360" w:lineRule="auto"/>
        <w:ind w:firstLine="480" w:firstLineChars="200"/>
        <w:rPr>
          <w:rFonts w:hint="eastAsia" w:ascii="宋体" w:hAnsi="宋体" w:eastAsia="宋体" w:cs="宋体"/>
          <w:color w:val="auto"/>
          <w:sz w:val="24"/>
          <w:szCs w:val="24"/>
          <w:highlight w:val="none"/>
          <w:lang w:val="en-US" w:eastAsia="zh-CN"/>
        </w:rPr>
      </w:pPr>
      <w:bookmarkStart w:id="65" w:name="_Toc28822"/>
      <w:bookmarkStart w:id="66" w:name="_Toc135054582"/>
      <w:bookmarkStart w:id="67" w:name="_Toc22447"/>
      <w:r>
        <w:rPr>
          <w:rFonts w:hint="eastAsia" w:ascii="宋体" w:hAnsi="宋体" w:eastAsia="宋体" w:cs="宋体"/>
          <w:color w:val="auto"/>
          <w:sz w:val="24"/>
          <w:szCs w:val="24"/>
          <w:highlight w:val="none"/>
          <w:lang w:val="en-US" w:eastAsia="zh-CN"/>
        </w:rPr>
        <w:t>本次招标所涉及的内容包括但不限于以下（1）-（2）内容：</w:t>
      </w:r>
    </w:p>
    <w:p w14:paraId="446C4DB9">
      <w:pPr>
        <w:spacing w:line="360" w:lineRule="auto"/>
        <w:ind w:firstLine="480" w:firstLineChars="200"/>
        <w:rPr>
          <w:rFonts w:hint="eastAsia" w:ascii="宋体" w:hAnsi="宋体" w:eastAsia="宋体" w:cs="宋体"/>
          <w:color w:val="auto"/>
          <w:sz w:val="24"/>
          <w:szCs w:val="24"/>
          <w:highlight w:val="none"/>
          <w:lang w:val="en-US" w:eastAsia="zh-CN"/>
        </w:rPr>
      </w:pPr>
      <w:bookmarkStart w:id="68" w:name="_Toc8165"/>
      <w:r>
        <w:rPr>
          <w:rFonts w:hint="eastAsia" w:ascii="宋体" w:hAnsi="宋体" w:eastAsia="宋体" w:cs="宋体"/>
          <w:color w:val="auto"/>
          <w:sz w:val="24"/>
          <w:szCs w:val="24"/>
          <w:highlight w:val="none"/>
          <w:lang w:val="en-US" w:eastAsia="zh-CN"/>
        </w:rPr>
        <w:t>（1）</w:t>
      </w:r>
      <w:r>
        <w:rPr>
          <w:rFonts w:hint="eastAsia" w:ascii="宋体" w:hAnsi="宋体" w:eastAsia="宋体" w:cs="宋体"/>
          <w:snapToGrid w:val="0"/>
          <w:color w:val="auto"/>
          <w:kern w:val="0"/>
          <w:sz w:val="24"/>
          <w:highlight w:val="none"/>
        </w:rPr>
        <w:t>勘察部分（含测量</w:t>
      </w:r>
      <w:r>
        <w:rPr>
          <w:rFonts w:hint="eastAsia" w:ascii="宋体" w:hAnsi="宋体" w:eastAsia="宋体" w:cs="宋体"/>
          <w:snapToGrid w:val="0"/>
          <w:color w:val="auto"/>
          <w:kern w:val="0"/>
          <w:sz w:val="24"/>
          <w:highlight w:val="none"/>
          <w:lang w:val="en-US" w:eastAsia="zh-CN"/>
        </w:rPr>
        <w:t>测绘</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eastAsia="zh-CN"/>
        </w:rPr>
        <w:t>初步勘察、地形图测量等</w:t>
      </w:r>
      <w:r>
        <w:rPr>
          <w:rFonts w:hint="eastAsia" w:ascii="宋体" w:hAnsi="宋体" w:eastAsia="宋体" w:cs="宋体"/>
          <w:snapToGrid w:val="0"/>
          <w:color w:val="auto"/>
          <w:kern w:val="0"/>
          <w:sz w:val="24"/>
          <w:highlight w:val="none"/>
        </w:rPr>
        <w:t>。</w:t>
      </w:r>
    </w:p>
    <w:p w14:paraId="42D66CC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（2）设计部分（为确保项目顺利实施的报建、施工等所需的设计文件，包括但不限于）：</w:t>
      </w:r>
    </w:p>
    <w:p w14:paraId="186ABDF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确保项目顺利实施的报建、报批、施工等所需的设计文件（含此项目设计方案、施工图设计文件）及施工图设计全过程设计服务工作、后续设计配合服务工作并配合施工设计图审查工作（具体的设计范围详见可行性研究报告）；</w:t>
      </w:r>
    </w:p>
    <w:p w14:paraId="5045217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②调整并优化设计和在工程施工期间指导和解决施工难题；</w:t>
      </w:r>
    </w:p>
    <w:p w14:paraId="3BA36C0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③完成招标人提出的与项目相关并确保项目顺利实施的其他要求。</w:t>
      </w:r>
    </w:p>
    <w:p w14:paraId="702E8F40">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r>
        <w:rPr>
          <w:rFonts w:hint="eastAsia" w:ascii="宋体" w:hAnsi="宋体" w:eastAsia="宋体" w:cs="宋体"/>
          <w:b/>
          <w:bCs/>
          <w:snapToGrid w:val="0"/>
          <w:color w:val="auto"/>
          <w:kern w:val="0"/>
          <w:sz w:val="24"/>
          <w:highlight w:val="none"/>
          <w:lang w:val="en-US" w:eastAsia="zh-CN"/>
        </w:rPr>
        <w:t>3</w:t>
      </w:r>
      <w:bookmarkEnd w:id="65"/>
      <w:bookmarkStart w:id="69" w:name="_Hlt66187826"/>
      <w:bookmarkEnd w:id="69"/>
      <w:r>
        <w:rPr>
          <w:rFonts w:hint="eastAsia" w:ascii="宋体" w:hAnsi="宋体" w:eastAsia="宋体" w:cs="宋体"/>
          <w:b/>
          <w:bCs/>
          <w:snapToGrid w:val="0"/>
          <w:color w:val="auto"/>
          <w:kern w:val="0"/>
          <w:sz w:val="24"/>
          <w:highlight w:val="none"/>
          <w:lang w:val="en-US" w:eastAsia="zh-CN"/>
        </w:rPr>
        <w:t>.工期要求</w:t>
      </w:r>
      <w:bookmarkEnd w:id="66"/>
      <w:bookmarkEnd w:id="67"/>
      <w:bookmarkEnd w:id="68"/>
      <w:bookmarkStart w:id="70" w:name="_Toc22115"/>
    </w:p>
    <w:p w14:paraId="21F71EFE">
      <w:pPr>
        <w:pStyle w:val="80"/>
        <w:spacing w:line="360" w:lineRule="auto"/>
        <w:ind w:firstLine="240" w:firstLineChars="1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本次</w:t>
      </w:r>
      <w:r>
        <w:rPr>
          <w:rFonts w:hint="eastAsia" w:ascii="宋体" w:hAnsi="宋体" w:eastAsia="宋体" w:cs="宋体"/>
          <w:color w:val="auto"/>
          <w:sz w:val="24"/>
          <w:szCs w:val="24"/>
          <w:highlight w:val="none"/>
        </w:rPr>
        <w:t>招标项目勘察设计工期：</w:t>
      </w:r>
      <w:r>
        <w:rPr>
          <w:rFonts w:hint="eastAsia" w:hAnsi="宋体" w:cs="宋体"/>
          <w:color w:val="auto"/>
          <w:sz w:val="24"/>
          <w:szCs w:val="24"/>
          <w:highlight w:val="none"/>
          <w:lang w:eastAsia="zh-CN"/>
        </w:rPr>
        <w:t>30个日历天</w:t>
      </w:r>
      <w:r>
        <w:rPr>
          <w:rFonts w:hint="eastAsia" w:ascii="宋体" w:hAnsi="宋体" w:eastAsia="宋体" w:cs="宋体"/>
          <w:color w:val="auto"/>
          <w:sz w:val="24"/>
          <w:szCs w:val="24"/>
          <w:highlight w:val="none"/>
        </w:rPr>
        <w:t>。</w:t>
      </w:r>
    </w:p>
    <w:p w14:paraId="2F3A43AC">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71" w:name="_Toc608"/>
      <w:bookmarkStart w:id="72" w:name="_Toc22995"/>
      <w:bookmarkStart w:id="73" w:name="_Toc6141"/>
      <w:bookmarkStart w:id="74" w:name="_Toc135054583"/>
      <w:bookmarkStart w:id="75" w:name="_Toc19735"/>
      <w:r>
        <w:rPr>
          <w:rFonts w:hint="eastAsia" w:ascii="宋体" w:hAnsi="宋体" w:eastAsia="宋体" w:cs="宋体"/>
          <w:b/>
          <w:bCs/>
          <w:snapToGrid w:val="0"/>
          <w:color w:val="auto"/>
          <w:kern w:val="0"/>
          <w:sz w:val="24"/>
          <w:highlight w:val="none"/>
          <w:lang w:val="en-US" w:eastAsia="zh-CN"/>
        </w:rPr>
        <w:t>4</w:t>
      </w:r>
      <w:bookmarkEnd w:id="70"/>
      <w:bookmarkStart w:id="76" w:name="_Hlt74496495"/>
      <w:bookmarkEnd w:id="76"/>
      <w:r>
        <w:rPr>
          <w:rFonts w:hint="eastAsia" w:ascii="宋体" w:hAnsi="宋体" w:eastAsia="宋体" w:cs="宋体"/>
          <w:b/>
          <w:bCs/>
          <w:snapToGrid w:val="0"/>
          <w:color w:val="auto"/>
          <w:kern w:val="0"/>
          <w:sz w:val="24"/>
          <w:highlight w:val="none"/>
          <w:lang w:val="en-US" w:eastAsia="zh-CN"/>
        </w:rPr>
        <w:t>.投标人资质等级及人员要求</w:t>
      </w:r>
      <w:bookmarkEnd w:id="71"/>
      <w:bookmarkEnd w:id="72"/>
      <w:bookmarkEnd w:id="73"/>
      <w:bookmarkEnd w:id="74"/>
      <w:bookmarkEnd w:id="75"/>
      <w:bookmarkStart w:id="77" w:name="_Toc11378"/>
    </w:p>
    <w:bookmarkEnd w:id="77"/>
    <w:p w14:paraId="0893C8EC">
      <w:pPr>
        <w:widowControl/>
        <w:shd w:val="clear" w:color="auto" w:fill="FFFFFF"/>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bookmarkStart w:id="78" w:name="_Toc4341"/>
      <w:r>
        <w:rPr>
          <w:rFonts w:hint="eastAsia" w:ascii="宋体" w:hAnsi="宋体" w:eastAsia="宋体" w:cs="宋体"/>
          <w:color w:val="auto"/>
          <w:kern w:val="0"/>
          <w:sz w:val="24"/>
          <w:szCs w:val="24"/>
          <w:highlight w:val="none"/>
        </w:rPr>
        <w:t>4.1本工程</w:t>
      </w:r>
      <w:r>
        <w:rPr>
          <w:rFonts w:hint="eastAsia" w:ascii="宋体" w:hAnsi="宋体" w:eastAsia="宋体" w:cs="宋体"/>
          <w:color w:val="auto"/>
          <w:kern w:val="0"/>
          <w:sz w:val="24"/>
          <w:szCs w:val="24"/>
          <w:highlight w:val="none"/>
          <w:u w:val="single"/>
        </w:rPr>
        <w:t>不接受</w:t>
      </w:r>
      <w:r>
        <w:rPr>
          <w:rFonts w:hint="eastAsia" w:ascii="宋体" w:hAnsi="宋体" w:eastAsia="宋体" w:cs="宋体"/>
          <w:color w:val="auto"/>
          <w:kern w:val="0"/>
          <w:sz w:val="24"/>
          <w:szCs w:val="24"/>
          <w:highlight w:val="none"/>
        </w:rPr>
        <w:t>联合体投标。</w:t>
      </w:r>
    </w:p>
    <w:p w14:paraId="593C813B">
      <w:pPr>
        <w:widowControl/>
        <w:shd w:val="clear" w:color="auto" w:fill="FFFFFF"/>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4.2资质要求</w:t>
      </w:r>
    </w:p>
    <w:p w14:paraId="37C6934D">
      <w:pPr>
        <w:widowControl/>
        <w:shd w:val="clear" w:color="auto" w:fill="FFFFFF"/>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4.2.1投标人须具备独立法人资格，按国家法律经营。</w:t>
      </w:r>
    </w:p>
    <w:p w14:paraId="330AE1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2.2投标人须具备建设行政主管部门颁发的以下资质之一：</w:t>
      </w:r>
    </w:p>
    <w:p w14:paraId="262CF9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①工程设计综合甲级资质；</w:t>
      </w:r>
    </w:p>
    <w:p w14:paraId="6BDA52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②工程设计市政行业乙级以上（含乙级）资质；</w:t>
      </w:r>
    </w:p>
    <w:p w14:paraId="778BF37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③工程设计市政行业(燃气工程、轨道交通工程除外)乙级以上（含乙级）资质；</w:t>
      </w:r>
    </w:p>
    <w:p w14:paraId="35346D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④工程设计市政行业（排水工程）专业乙级以上（含乙级）资质。</w:t>
      </w:r>
    </w:p>
    <w:p w14:paraId="17686468">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注：投标人如不具备相应测绘勘察资质的，则待中标后必须在招标人的监督管理下委托具备相应资质及能力的单位来完成该部分工作。</w:t>
      </w:r>
    </w:p>
    <w:p w14:paraId="5B4AC28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4.2.3根据有关文件精神，投标人的企业相关证书、人员资质、资格有效期到期的，均按该证书的发证机构相关行业主管部门最新文件执行（如自动顺延或推迟办理延期业务的通知），投标人必须将相关文件附在该证书后面</w:t>
      </w:r>
      <w:r>
        <w:rPr>
          <w:rFonts w:hint="eastAsia" w:ascii="宋体" w:hAnsi="宋体" w:eastAsia="宋体" w:cs="宋体"/>
          <w:color w:val="auto"/>
          <w:kern w:val="0"/>
          <w:sz w:val="24"/>
          <w:szCs w:val="24"/>
          <w:highlight w:val="none"/>
        </w:rPr>
        <w:t>中，证明在开标日继续有效的。</w:t>
      </w:r>
    </w:p>
    <w:p w14:paraId="4799ACA1">
      <w:pPr>
        <w:widowControl/>
        <w:shd w:val="clear" w:color="auto" w:fill="FFFFFF"/>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4.3相关人员要求</w:t>
      </w:r>
    </w:p>
    <w:p w14:paraId="783362FE">
      <w:pPr>
        <w:widowControl/>
        <w:shd w:val="clear" w:color="auto" w:fill="FFFFFF"/>
        <w:adjustRightInd w:val="0"/>
        <w:snapToGrid w:val="0"/>
        <w:spacing w:beforeLines="0" w:afterLines="0" w:line="360" w:lineRule="auto"/>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kern w:val="0"/>
          <w:sz w:val="24"/>
          <w:szCs w:val="24"/>
          <w:highlight w:val="none"/>
          <w:u w:val="none"/>
        </w:rPr>
        <w:t>4.3.1</w:t>
      </w:r>
      <w:r>
        <w:rPr>
          <w:rFonts w:hint="eastAsia" w:ascii="宋体" w:hAnsi="宋体" w:eastAsia="宋体" w:cs="宋体"/>
          <w:color w:val="auto"/>
          <w:sz w:val="24"/>
          <w:szCs w:val="24"/>
          <w:highlight w:val="none"/>
          <w:u w:val="none"/>
        </w:rPr>
        <w:t>投标人拟委派担任本工程的项目负责人（即设计负责人）须具有二级或以上注册建筑师执业资格证书。</w:t>
      </w:r>
    </w:p>
    <w:p w14:paraId="151FF224">
      <w:pPr>
        <w:widowControl/>
        <w:shd w:val="clear" w:color="auto" w:fill="FFFFFF"/>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4.3.</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投标人与其拟派往本项目所有人员之间必须具备合法的劳动聘用关系，需提供缴纳社保的证明或退休证(附返聘证明）扫描件（由非独立法人分支机构出具的社保证明，予以认可）。拟派人员中具备注册执业资格的，其注册单位须与投标人保持一致。</w:t>
      </w:r>
    </w:p>
    <w:p w14:paraId="1C776692">
      <w:pPr>
        <w:pStyle w:val="150"/>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4.4禁止投标条款</w:t>
      </w:r>
    </w:p>
    <w:p w14:paraId="1E686F82">
      <w:pPr>
        <w:pStyle w:val="150"/>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4.4.1投标人不得存在下列情形之一：</w:t>
      </w:r>
    </w:p>
    <w:p w14:paraId="3162F923">
      <w:pPr>
        <w:pStyle w:val="150"/>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（1）为招标人不具有独立法人资格的附属机构（单位）；</w:t>
      </w:r>
    </w:p>
    <w:p w14:paraId="35A27F39">
      <w:pPr>
        <w:pStyle w:val="150"/>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（2）与招标人存在利害关系且可能影响招标公正性；</w:t>
      </w:r>
    </w:p>
    <w:p w14:paraId="3293186A">
      <w:pPr>
        <w:pStyle w:val="150"/>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（3）与本招标项目的其他投标人为同一个单位负责人；</w:t>
      </w:r>
    </w:p>
    <w:p w14:paraId="35372E76">
      <w:pPr>
        <w:pStyle w:val="150"/>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（4）与本招标项目的其他投标人存在控股、管理关系；</w:t>
      </w:r>
    </w:p>
    <w:p w14:paraId="5A01EAFF">
      <w:pPr>
        <w:pStyle w:val="150"/>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（5）为本招标项目的代建人；</w:t>
      </w:r>
    </w:p>
    <w:p w14:paraId="31F697D8">
      <w:pPr>
        <w:pStyle w:val="150"/>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（6）为本招标项目的招标代理机构；</w:t>
      </w:r>
    </w:p>
    <w:p w14:paraId="0B4B180A">
      <w:pPr>
        <w:pStyle w:val="150"/>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（7）与本招标项目的代建人或招标代理机构同为一个法定代表人；</w:t>
      </w:r>
    </w:p>
    <w:p w14:paraId="7A9B791C">
      <w:pPr>
        <w:pStyle w:val="150"/>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（8）与本招标项目的代建人或招标代理机构存在控股或参股关系；</w:t>
      </w:r>
    </w:p>
    <w:p w14:paraId="3446DCD2">
      <w:pPr>
        <w:pStyle w:val="150"/>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（9）与本招标项目的代建人或招标代理机构存在相互任职或工作关系；</w:t>
      </w:r>
    </w:p>
    <w:p w14:paraId="385C0B18">
      <w:pPr>
        <w:pStyle w:val="150"/>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（10）被依法暂停或者取消投标资格；</w:t>
      </w:r>
    </w:p>
    <w:p w14:paraId="62057475">
      <w:pPr>
        <w:pStyle w:val="150"/>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（11）被责令停产停业、暂扣或者吊销许可证、暂扣或者吊销执照；</w:t>
      </w:r>
    </w:p>
    <w:p w14:paraId="2B580361">
      <w:pPr>
        <w:pStyle w:val="150"/>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（12）进入清算程序，或被宣告破产，或其他丧失履约能力的情形；</w:t>
      </w:r>
    </w:p>
    <w:p w14:paraId="63A442CF">
      <w:pPr>
        <w:pStyle w:val="150"/>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（13）在最近三年内发生重大质量问题（以相关行业主管部门的行政处罚决定或司法机关出具的有关法律文书为准）；</w:t>
      </w:r>
    </w:p>
    <w:p w14:paraId="09064E43">
      <w:pPr>
        <w:pStyle w:val="150"/>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（14）被“信用中国”网站（https://www.creditchina.gov.cn）发布的《法人和非法人组织公共信用信息报告》列为严重失信主体名单的。</w:t>
      </w:r>
    </w:p>
    <w:p w14:paraId="1F7F4EF4">
      <w:pPr>
        <w:pStyle w:val="150"/>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4.4.2招标人拒绝以下名单中的单位参加本次投标：</w:t>
      </w:r>
    </w:p>
    <w:tbl>
      <w:tblPr>
        <w:tblStyle w:val="33"/>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361"/>
        <w:gridCol w:w="4044"/>
      </w:tblGrid>
      <w:tr w14:paraId="058F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3" w:type="dxa"/>
            <w:vAlign w:val="center"/>
          </w:tcPr>
          <w:p w14:paraId="021E0B4A">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4361" w:type="dxa"/>
            <w:vAlign w:val="center"/>
          </w:tcPr>
          <w:p w14:paraId="5C707A28">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w:t>
            </w:r>
          </w:p>
        </w:tc>
        <w:tc>
          <w:tcPr>
            <w:tcW w:w="4044" w:type="dxa"/>
            <w:vAlign w:val="center"/>
          </w:tcPr>
          <w:p w14:paraId="35A461A8">
            <w:pPr>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拒绝原因</w:t>
            </w:r>
          </w:p>
        </w:tc>
      </w:tr>
      <w:tr w14:paraId="4862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3" w:type="dxa"/>
            <w:vAlign w:val="center"/>
          </w:tcPr>
          <w:p w14:paraId="0716963A">
            <w:pPr>
              <w:pStyle w:val="150"/>
              <w:spacing w:line="36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w:t>
            </w:r>
          </w:p>
        </w:tc>
        <w:tc>
          <w:tcPr>
            <w:tcW w:w="4361" w:type="dxa"/>
            <w:vAlign w:val="center"/>
          </w:tcPr>
          <w:p w14:paraId="5AC67952">
            <w:pPr>
              <w:pStyle w:val="150"/>
              <w:spacing w:line="360" w:lineRule="auto"/>
              <w:jc w:val="center"/>
              <w:rPr>
                <w:rFonts w:hint="eastAsia" w:ascii="宋体" w:hAnsi="宋体" w:eastAsia="宋体" w:cs="宋体"/>
                <w:snapToGrid w:val="0"/>
                <w:color w:val="auto"/>
                <w:kern w:val="0"/>
                <w:sz w:val="24"/>
                <w:highlight w:val="none"/>
                <w:lang w:eastAsia="zh-CN"/>
              </w:rPr>
            </w:pPr>
            <w:r>
              <w:rPr>
                <w:rFonts w:hint="eastAsia" w:ascii="宋体" w:hAnsi="宋体" w:cs="宋体"/>
                <w:color w:val="auto"/>
                <w:sz w:val="24"/>
                <w:highlight w:val="none"/>
                <w:lang w:eastAsia="zh-CN"/>
              </w:rPr>
              <w:t>韶关市武江区龙归镇人民政府</w:t>
            </w:r>
          </w:p>
        </w:tc>
        <w:tc>
          <w:tcPr>
            <w:tcW w:w="4044" w:type="dxa"/>
            <w:vAlign w:val="center"/>
          </w:tcPr>
          <w:p w14:paraId="256BA174">
            <w:pPr>
              <w:pStyle w:val="150"/>
              <w:spacing w:line="36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为本招标项目的招标人</w:t>
            </w:r>
          </w:p>
        </w:tc>
      </w:tr>
      <w:tr w14:paraId="647C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3" w:type="dxa"/>
            <w:vAlign w:val="center"/>
          </w:tcPr>
          <w:p w14:paraId="7FFD0BEF">
            <w:pPr>
              <w:pStyle w:val="150"/>
              <w:spacing w:line="36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w:t>
            </w:r>
          </w:p>
        </w:tc>
        <w:tc>
          <w:tcPr>
            <w:tcW w:w="4361" w:type="dxa"/>
            <w:vAlign w:val="center"/>
          </w:tcPr>
          <w:p w14:paraId="6714678B">
            <w:pPr>
              <w:wordWrap w:val="0"/>
              <w:adjustRightInd w:val="0"/>
              <w:snapToGrid w:val="0"/>
              <w:spacing w:line="360" w:lineRule="auto"/>
              <w:jc w:val="center"/>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szCs w:val="24"/>
                <w:highlight w:val="none"/>
                <w:lang w:eastAsia="zh-CN"/>
              </w:rPr>
              <w:t>广东明正项目管理有限公司</w:t>
            </w:r>
          </w:p>
        </w:tc>
        <w:tc>
          <w:tcPr>
            <w:tcW w:w="4044" w:type="dxa"/>
            <w:vAlign w:val="center"/>
          </w:tcPr>
          <w:p w14:paraId="33A13539">
            <w:pPr>
              <w:pStyle w:val="150"/>
              <w:wordWrap w:val="0"/>
              <w:adjustRightInd w:val="0"/>
              <w:snapToGrid w:val="0"/>
              <w:spacing w:line="36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为本招标项目的招标代理机构</w:t>
            </w:r>
          </w:p>
        </w:tc>
      </w:tr>
      <w:tr w14:paraId="77CE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3" w:type="dxa"/>
            <w:vAlign w:val="center"/>
          </w:tcPr>
          <w:p w14:paraId="407BB0F6">
            <w:pPr>
              <w:pStyle w:val="150"/>
              <w:spacing w:line="360" w:lineRule="auto"/>
              <w:jc w:val="center"/>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3</w:t>
            </w:r>
          </w:p>
        </w:tc>
        <w:tc>
          <w:tcPr>
            <w:tcW w:w="4361" w:type="dxa"/>
            <w:vAlign w:val="center"/>
          </w:tcPr>
          <w:p w14:paraId="592532D6">
            <w:pPr>
              <w:wordWrap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cs="宋体"/>
                <w:color w:val="auto"/>
                <w:kern w:val="2"/>
                <w:sz w:val="24"/>
                <w:szCs w:val="24"/>
                <w:highlight w:val="none"/>
                <w:lang w:val="en-US" w:eastAsia="zh-CN" w:bidi="ar-SA"/>
              </w:rPr>
              <w:t>华伦中建建设股份有限公司</w:t>
            </w:r>
          </w:p>
        </w:tc>
        <w:tc>
          <w:tcPr>
            <w:tcW w:w="4044" w:type="dxa"/>
            <w:vAlign w:val="center"/>
          </w:tcPr>
          <w:p w14:paraId="51409A3A">
            <w:pPr>
              <w:pStyle w:val="150"/>
              <w:wordWrap w:val="0"/>
              <w:adjustRightInd w:val="0"/>
              <w:snapToGrid w:val="0"/>
              <w:spacing w:line="36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为本招标项目的</w:t>
            </w:r>
            <w:r>
              <w:rPr>
                <w:rFonts w:hint="eastAsia" w:ascii="宋体" w:hAnsi="宋体" w:eastAsia="宋体" w:cs="宋体"/>
                <w:snapToGrid w:val="0"/>
                <w:color w:val="auto"/>
                <w:kern w:val="0"/>
                <w:sz w:val="24"/>
                <w:highlight w:val="none"/>
                <w:lang w:val="en-US" w:eastAsia="zh-CN"/>
              </w:rPr>
              <w:t>可研编制单位</w:t>
            </w:r>
          </w:p>
        </w:tc>
      </w:tr>
    </w:tbl>
    <w:p w14:paraId="65F8E62B">
      <w:pPr>
        <w:pStyle w:val="150"/>
        <w:spacing w:line="360" w:lineRule="auto"/>
        <w:ind w:firstLine="240" w:firstLineChars="1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4.5其他要求</w:t>
      </w:r>
      <w:bookmarkStart w:id="79" w:name="_Toc16097"/>
      <w:bookmarkStart w:id="80" w:name="_Toc135054584"/>
    </w:p>
    <w:p w14:paraId="446E89DC">
      <w:pPr>
        <w:pStyle w:val="15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bookmarkEnd w:id="79"/>
    </w:p>
    <w:p w14:paraId="359F29CA">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81" w:name="_Toc10121"/>
      <w:bookmarkStart w:id="82" w:name="_Toc17599"/>
      <w:bookmarkStart w:id="83" w:name="_Toc22179"/>
      <w:bookmarkStart w:id="84" w:name="_Toc8715"/>
      <w:r>
        <w:rPr>
          <w:rFonts w:hint="eastAsia" w:ascii="宋体" w:hAnsi="宋体" w:eastAsia="宋体" w:cs="宋体"/>
          <w:b/>
          <w:bCs/>
          <w:snapToGrid w:val="0"/>
          <w:color w:val="auto"/>
          <w:kern w:val="0"/>
          <w:sz w:val="24"/>
          <w:highlight w:val="none"/>
          <w:lang w:val="en-US" w:eastAsia="zh-CN"/>
        </w:rPr>
        <w:t>5</w:t>
      </w:r>
      <w:bookmarkEnd w:id="78"/>
      <w:r>
        <w:rPr>
          <w:rFonts w:hint="eastAsia" w:ascii="宋体" w:hAnsi="宋体" w:eastAsia="宋体" w:cs="宋体"/>
          <w:b/>
          <w:bCs/>
          <w:snapToGrid w:val="0"/>
          <w:color w:val="auto"/>
          <w:kern w:val="0"/>
          <w:sz w:val="24"/>
          <w:highlight w:val="none"/>
          <w:lang w:val="en-US" w:eastAsia="zh-CN"/>
        </w:rPr>
        <w:t>.招标文件获取</w:t>
      </w:r>
      <w:bookmarkEnd w:id="80"/>
      <w:bookmarkEnd w:id="81"/>
      <w:bookmarkEnd w:id="82"/>
      <w:bookmarkEnd w:id="83"/>
      <w:bookmarkEnd w:id="84"/>
    </w:p>
    <w:p w14:paraId="7C046DEA">
      <w:pPr>
        <w:tabs>
          <w:tab w:val="left" w:pos="7020"/>
        </w:tabs>
        <w:spacing w:line="360" w:lineRule="auto"/>
        <w:ind w:firstLine="480" w:firstLineChars="200"/>
        <w:rPr>
          <w:rFonts w:hint="eastAsia" w:ascii="宋体" w:hAnsi="宋体" w:eastAsia="宋体" w:cs="宋体"/>
          <w:snapToGrid w:val="0"/>
          <w:color w:val="auto"/>
          <w:sz w:val="24"/>
          <w:highlight w:val="none"/>
        </w:rPr>
      </w:pPr>
      <w:bookmarkStart w:id="85" w:name="_Toc358"/>
      <w:r>
        <w:rPr>
          <w:rFonts w:hint="eastAsia" w:ascii="宋体" w:hAnsi="宋体" w:eastAsia="宋体" w:cs="宋体"/>
          <w:color w:val="auto"/>
          <w:sz w:val="24"/>
          <w:highlight w:val="none"/>
        </w:rPr>
        <w:t>5.1</w:t>
      </w:r>
      <w:r>
        <w:rPr>
          <w:rFonts w:hint="eastAsia" w:ascii="宋体" w:hAnsi="宋体" w:eastAsia="宋体" w:cs="宋体"/>
          <w:snapToGrid w:val="0"/>
          <w:color w:val="auto"/>
          <w:sz w:val="24"/>
          <w:highlight w:val="none"/>
        </w:rPr>
        <w:t>本次招标实行电子投标。本项目招标文件随招标公告一并在广东省招标投标监管网（https://www.gdzwfw.gov.cn/ztbjg-portal/#/index）、全国公共资源交易平台（广东省·韶关市）（https://ygp.gdzwfw.gov.cn/ggzy-portal/#/440200/index）网站发布。招标文件一经广东省招标投标监管网、全国公共资源交易平台（广东省·韶关市）发布，视为发送投标人，招标文件及相关附件由投标人自行在全国公共资源交易平台（广东省·韶关市）网站下载。请于招标文件获取期间,（见“重要事项时间地点一览表”）招标文件获取期间与招标公告发布时间一致，投标人须登录全国公共资源交易平台（广东省·韶关市）（https://ygp.gdzwfw.gov.cn/ggzy-portal/#/440200/index），使用新建设工程交易系统进行下载招标文件及相关附件，并于电子投标截止时间（见“重要事项时间地点一览表”）前完成电子投标。投标人可登录全国公共资源交易平台（广东省·韶关市）（https://ygp.gdzwfw.gov.cn/ggzy-portal/#/440200/index），在【服务指南】栏目中下载《韶关市公共资源建设工程交易系统-投标人操作指南（电子评标）V1.3》，了解网上获取招标文件操作流程。技术咨询电话：18819797080/0751-8379671伍先生，业务咨询电话：0751-8633211、8633071。</w:t>
      </w:r>
    </w:p>
    <w:p w14:paraId="18D847B3">
      <w:pPr>
        <w:tabs>
          <w:tab w:val="left" w:pos="7020"/>
        </w:tabs>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5.2只有申领了数字证书（CA）、“粤企签”或GDCA/SZCA/NETCA等符合法律法规规定的电子印章，并在交易系统中完成企业信息数据入库的投标人，方可使用建设工程交易系统进行招标文件及附件获取和电子投标。</w:t>
      </w:r>
    </w:p>
    <w:p w14:paraId="22FB3B60">
      <w:pPr>
        <w:tabs>
          <w:tab w:val="left" w:pos="7020"/>
        </w:tabs>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首次在韶关市参与建设工程招标投标活动的投标人，必须在平台系统上传企业相关资料办理企业入库事宜。投标人可登录全国公共资源交易平台（广东省·韶关市）（https://ygp.gdzwfw.gov.cn/ggzy-portal/#/440200/index）办理办理企业入库、数字证书及电子印章事宜，具体请在平台查阅相应的交易指引。</w:t>
      </w:r>
    </w:p>
    <w:p w14:paraId="16177442">
      <w:pPr>
        <w:tabs>
          <w:tab w:val="left" w:pos="7020"/>
        </w:tabs>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已入库企业有关信息（如单位名称、基本账号、资质、人员等）发生变化的，须及时在交易系统进行相应变更。投标人未及时变更信息而造成的损失和后果，由投标人自行承担。</w:t>
      </w:r>
    </w:p>
    <w:p w14:paraId="352F1DB2">
      <w:pPr>
        <w:tabs>
          <w:tab w:val="left" w:pos="7020"/>
        </w:tabs>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snapToGrid w:val="0"/>
          <w:color w:val="auto"/>
          <w:sz w:val="24"/>
          <w:highlight w:val="none"/>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41932DF4">
      <w:pPr>
        <w:tabs>
          <w:tab w:val="left" w:pos="7020"/>
        </w:tabs>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5.3投标保证</w:t>
      </w:r>
    </w:p>
    <w:p w14:paraId="3FA24180">
      <w:pPr>
        <w:tabs>
          <w:tab w:val="left" w:pos="7020"/>
        </w:tabs>
        <w:spacing w:line="360" w:lineRule="auto"/>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color w:val="auto"/>
          <w:kern w:val="0"/>
          <w:sz w:val="24"/>
          <w:szCs w:val="24"/>
          <w:highlight w:val="none"/>
        </w:rPr>
        <w:t>5.3.1</w:t>
      </w:r>
      <w:r>
        <w:rPr>
          <w:rFonts w:hint="eastAsia" w:ascii="宋体" w:hAnsi="宋体" w:eastAsia="宋体" w:cs="宋体"/>
          <w:snapToGrid w:val="0"/>
          <w:color w:val="auto"/>
          <w:kern w:val="0"/>
          <w:sz w:val="24"/>
          <w:szCs w:val="22"/>
          <w:highlight w:val="none"/>
        </w:rPr>
        <w:t>投标人须缴纳金额为人民币</w:t>
      </w:r>
      <w:r>
        <w:rPr>
          <w:rFonts w:hint="eastAsia" w:ascii="宋体" w:hAnsi="宋体" w:eastAsia="宋体" w:cs="宋体"/>
          <w:snapToGrid w:val="0"/>
          <w:color w:val="auto"/>
          <w:kern w:val="0"/>
          <w:sz w:val="24"/>
          <w:szCs w:val="22"/>
          <w:highlight w:val="none"/>
          <w:u w:val="single"/>
          <w:lang w:val="en-US" w:eastAsia="zh-CN"/>
        </w:rPr>
        <w:t>壹</w:t>
      </w:r>
      <w:r>
        <w:rPr>
          <w:rFonts w:hint="eastAsia" w:ascii="宋体" w:hAnsi="宋体" w:eastAsia="宋体" w:cs="宋体"/>
          <w:snapToGrid w:val="0"/>
          <w:color w:val="auto"/>
          <w:kern w:val="0"/>
          <w:sz w:val="24"/>
          <w:szCs w:val="22"/>
          <w:highlight w:val="none"/>
          <w:u w:val="single"/>
        </w:rPr>
        <w:t>万元整（¥</w:t>
      </w:r>
      <w:r>
        <w:rPr>
          <w:rFonts w:hint="eastAsia" w:ascii="宋体" w:hAnsi="宋体" w:eastAsia="宋体" w:cs="宋体"/>
          <w:snapToGrid w:val="0"/>
          <w:color w:val="auto"/>
          <w:kern w:val="0"/>
          <w:sz w:val="24"/>
          <w:szCs w:val="22"/>
          <w:highlight w:val="none"/>
          <w:u w:val="single"/>
          <w:lang w:val="en-US" w:eastAsia="zh-CN"/>
        </w:rPr>
        <w:t>1</w:t>
      </w:r>
      <w:r>
        <w:rPr>
          <w:rFonts w:hint="eastAsia" w:ascii="宋体" w:hAnsi="宋体" w:eastAsia="宋体" w:cs="宋体"/>
          <w:snapToGrid w:val="0"/>
          <w:color w:val="auto"/>
          <w:kern w:val="0"/>
          <w:sz w:val="24"/>
          <w:szCs w:val="22"/>
          <w:highlight w:val="none"/>
          <w:u w:val="single"/>
        </w:rPr>
        <w:t>0000.00元）</w:t>
      </w:r>
      <w:r>
        <w:rPr>
          <w:rFonts w:hint="eastAsia" w:ascii="宋体" w:hAnsi="宋体" w:eastAsia="宋体" w:cs="宋体"/>
          <w:snapToGrid w:val="0"/>
          <w:color w:val="auto"/>
          <w:kern w:val="0"/>
          <w:sz w:val="24"/>
          <w:szCs w:val="22"/>
          <w:highlight w:val="none"/>
        </w:rPr>
        <w:t>的投标保证。</w:t>
      </w:r>
    </w:p>
    <w:p w14:paraId="24DACBA9">
      <w:pPr>
        <w:tabs>
          <w:tab w:val="left" w:pos="7020"/>
        </w:tabs>
        <w:spacing w:line="360" w:lineRule="auto"/>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color w:val="auto"/>
          <w:kern w:val="0"/>
          <w:sz w:val="24"/>
          <w:szCs w:val="24"/>
          <w:highlight w:val="none"/>
        </w:rPr>
        <w:t>5.3.2</w:t>
      </w:r>
      <w:r>
        <w:rPr>
          <w:rFonts w:hint="eastAsia" w:ascii="宋体" w:hAnsi="宋体" w:eastAsia="宋体" w:cs="宋体"/>
          <w:snapToGrid w:val="0"/>
          <w:color w:val="auto"/>
          <w:kern w:val="0"/>
          <w:sz w:val="24"/>
          <w:szCs w:val="22"/>
          <w:highlight w:val="none"/>
        </w:rPr>
        <w:t>投标保证的形式包括投标保证金、投标保证担保、投标保证保险三种，由投标人自主选择。</w:t>
      </w:r>
    </w:p>
    <w:p w14:paraId="7D80C101">
      <w:pPr>
        <w:tabs>
          <w:tab w:val="left" w:pos="7020"/>
        </w:tabs>
        <w:spacing w:line="360" w:lineRule="auto"/>
        <w:ind w:firstLine="480" w:firstLineChars="200"/>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采用投标保证金的，投标人在建设工程交易系统获取招标文件完毕后，即可在系统申请缴纳投标保证金，获取本次招标投标保证金缴纳账号。投标人必须于投标保证金到账截止时间（“重要事项时间地点一览表”）前，从其基本账户将投标保证金转账到指定的缴纳账号。逾期到账的、从非投标人基本账户转出的，其投标无效。</w:t>
      </w:r>
    </w:p>
    <w:p w14:paraId="131F94A6">
      <w:pPr>
        <w:tabs>
          <w:tab w:val="left" w:pos="7020"/>
        </w:tabs>
        <w:spacing w:line="360" w:lineRule="auto"/>
        <w:ind w:firstLine="480" w:firstLineChars="200"/>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采用投标保证担保的，投标人应提交有效的电子保函，电子保函的有效期不得短于投标有效期。投标人必须在投标保证担保截止时间（详见“重要事项时间地点一览表”）前，使用工程建设交易系统完成网上办理电子保函。</w:t>
      </w:r>
    </w:p>
    <w:p w14:paraId="5C7409AC">
      <w:pPr>
        <w:tabs>
          <w:tab w:val="left" w:pos="7020"/>
        </w:tabs>
        <w:spacing w:line="360" w:lineRule="auto"/>
        <w:ind w:firstLine="480" w:firstLineChars="200"/>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采用投标保证保险的，投标人须在投标保证保险投保截止时间（见“重要事项时间地点一览表”）前，使用建设工程交易系统完成网上投保。投标人可在系统选择保险机构、录入投保信息、支付保费、打印电子保单，电子保单的有效期不得短于投标有效期。投标人可登录投标人可登录全国公共资源交易平台（广东省·韶关市）（https://ygp.gdzwfw.gov.cn/ggzy-portal/#/440200/index），在【服务指南】栏目中下载《韶关市公共资源建设工程交易系统-投标人操作指南（电子评标）V1.3》，了解网上投保具体操作流程。逾期投保的，其投标无效。</w:t>
      </w:r>
    </w:p>
    <w:p w14:paraId="1D1C6236">
      <w:pPr>
        <w:tabs>
          <w:tab w:val="left" w:pos="7020"/>
        </w:tabs>
        <w:spacing w:line="360" w:lineRule="auto"/>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color w:val="auto"/>
          <w:kern w:val="0"/>
          <w:sz w:val="24"/>
          <w:szCs w:val="24"/>
          <w:highlight w:val="none"/>
          <w:shd w:val="clear" w:color="auto" w:fill="FFFFFF"/>
        </w:rPr>
        <w:t>温馨提醒：1.投标人采用投标保证担保或投标保证保险的，为避免在评标过程中因有效期发生争议，建议投标人将银行保函或电子保单有效期设置为较招标文件规定的投标有效期延长不少于20个日历天。</w:t>
      </w:r>
    </w:p>
    <w:p w14:paraId="2C8359F9">
      <w:pPr>
        <w:tabs>
          <w:tab w:val="left" w:pos="7020"/>
        </w:tabs>
        <w:spacing w:line="360" w:lineRule="auto"/>
        <w:ind w:firstLine="480" w:firstLineChars="200"/>
        <w:rPr>
          <w:rFonts w:hint="eastAsia" w:ascii="宋体" w:hAnsi="宋体" w:eastAsia="宋体" w:cs="宋体"/>
          <w:snapToGrid w:val="0"/>
          <w:color w:val="auto"/>
          <w:sz w:val="24"/>
          <w:szCs w:val="22"/>
          <w:highlight w:val="none"/>
        </w:rPr>
      </w:pPr>
      <w:r>
        <w:rPr>
          <w:rFonts w:hint="eastAsia" w:ascii="宋体" w:hAnsi="宋体" w:eastAsia="宋体" w:cs="宋体"/>
          <w:color w:val="auto"/>
          <w:kern w:val="0"/>
          <w:sz w:val="24"/>
          <w:szCs w:val="24"/>
          <w:highlight w:val="none"/>
        </w:rPr>
        <w:t>5.4</w:t>
      </w:r>
      <w:r>
        <w:rPr>
          <w:rFonts w:hint="eastAsia" w:ascii="宋体" w:hAnsi="宋体" w:eastAsia="宋体" w:cs="宋体"/>
          <w:snapToGrid w:val="0"/>
          <w:color w:val="auto"/>
          <w:sz w:val="24"/>
          <w:szCs w:val="22"/>
          <w:highlight w:val="none"/>
        </w:rPr>
        <w:t>若投标人因自身原因未能正确完成</w:t>
      </w:r>
      <w:r>
        <w:rPr>
          <w:rFonts w:hint="eastAsia" w:ascii="宋体" w:hAnsi="宋体" w:eastAsia="宋体" w:cs="宋体"/>
          <w:color w:val="auto"/>
          <w:kern w:val="0"/>
          <w:sz w:val="24"/>
          <w:szCs w:val="24"/>
          <w:highlight w:val="none"/>
          <w:shd w:val="clear" w:color="auto" w:fill="FFFFFF"/>
        </w:rPr>
        <w:t>获取招标文件</w:t>
      </w:r>
      <w:r>
        <w:rPr>
          <w:rFonts w:hint="eastAsia" w:ascii="宋体" w:hAnsi="宋体" w:eastAsia="宋体" w:cs="宋体"/>
          <w:snapToGrid w:val="0"/>
          <w:color w:val="auto"/>
          <w:sz w:val="24"/>
          <w:szCs w:val="22"/>
          <w:highlight w:val="none"/>
        </w:rPr>
        <w:t>、电子投标、缴纳投标保证的，其投标无效。</w:t>
      </w:r>
    </w:p>
    <w:p w14:paraId="5274B666">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86" w:name="_Toc135054585"/>
      <w:bookmarkStart w:id="87" w:name="_Toc423"/>
      <w:bookmarkStart w:id="88" w:name="_Toc740"/>
      <w:bookmarkStart w:id="89" w:name="_Toc1639"/>
      <w:bookmarkStart w:id="90" w:name="_Toc7574"/>
      <w:r>
        <w:rPr>
          <w:rFonts w:hint="eastAsia" w:ascii="宋体" w:hAnsi="宋体" w:eastAsia="宋体" w:cs="宋体"/>
          <w:b/>
          <w:bCs/>
          <w:snapToGrid w:val="0"/>
          <w:color w:val="auto"/>
          <w:kern w:val="0"/>
          <w:sz w:val="24"/>
          <w:highlight w:val="none"/>
          <w:lang w:val="en-US" w:eastAsia="zh-CN"/>
        </w:rPr>
        <w:t>6</w:t>
      </w:r>
      <w:bookmarkEnd w:id="85"/>
      <w:r>
        <w:rPr>
          <w:rFonts w:hint="eastAsia" w:ascii="宋体" w:hAnsi="宋体" w:eastAsia="宋体" w:cs="宋体"/>
          <w:b/>
          <w:bCs/>
          <w:snapToGrid w:val="0"/>
          <w:color w:val="auto"/>
          <w:kern w:val="0"/>
          <w:sz w:val="24"/>
          <w:highlight w:val="none"/>
          <w:lang w:val="en-US" w:eastAsia="zh-CN"/>
        </w:rPr>
        <w:t>.设计工程内容和质量标准</w:t>
      </w:r>
      <w:bookmarkEnd w:id="86"/>
      <w:bookmarkEnd w:id="87"/>
      <w:bookmarkEnd w:id="88"/>
      <w:bookmarkEnd w:id="89"/>
      <w:bookmarkEnd w:id="90"/>
    </w:p>
    <w:p w14:paraId="3D3DCC44">
      <w:pPr>
        <w:spacing w:line="48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6.1建设内容与规模：</w:t>
      </w:r>
      <w:bookmarkStart w:id="91" w:name="_Toc7567"/>
      <w:r>
        <w:rPr>
          <w:rFonts w:hint="eastAsia" w:ascii="宋体" w:hAnsi="宋体" w:cs="宋体"/>
          <w:color w:val="auto"/>
          <w:sz w:val="24"/>
          <w:szCs w:val="24"/>
          <w:highlight w:val="none"/>
          <w:lang w:val="en-US" w:eastAsia="zh-CN"/>
        </w:rPr>
        <w:t>土地平整翻耕、土壤改良工程1130亩；新修机耕路、生产道路9公里；新建灌溉水渠8公里，机耕桥2座，修建泵房3座，灌溉陂头2座，新建挡土墙0.6公里，清运耕地杂物200亩。</w:t>
      </w:r>
    </w:p>
    <w:p w14:paraId="18C1A719">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6.2承包内容：</w:t>
      </w:r>
    </w:p>
    <w:p w14:paraId="618C165D">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6.2.1</w:t>
      </w:r>
      <w:r>
        <w:rPr>
          <w:rFonts w:hint="eastAsia" w:ascii="宋体" w:hAnsi="宋体" w:eastAsia="宋体" w:cs="宋体"/>
          <w:sz w:val="24"/>
          <w:szCs w:val="24"/>
        </w:rPr>
        <w:t>勘察（含测量测绘）承包内容：初步勘察、详细勘察、地形图测量等。</w:t>
      </w:r>
    </w:p>
    <w:p w14:paraId="48192D49">
      <w:pPr>
        <w:spacing w:line="48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测绘成果文件提交要求：测绘报告8套（不包含送审稿），审定的施工图8套，项目计算书8套及原始数据，提供的所有资料均含电子光盘3张（含可编辑的CAD文件和PDF文件格式）。本工程测绘勘察成果文件必须满足施工图设计及审图合格的要求。</w:t>
      </w:r>
    </w:p>
    <w:p w14:paraId="0A15D371">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6.2.3</w:t>
      </w:r>
      <w:r>
        <w:rPr>
          <w:rFonts w:hint="eastAsia" w:ascii="宋体" w:hAnsi="宋体" w:eastAsia="宋体" w:cs="宋体"/>
          <w:sz w:val="24"/>
          <w:szCs w:val="24"/>
        </w:rPr>
        <w:t>设计承包内容：本项目设计为确保本项目顺利报建、报批、施工所需的设计文件及施工图审查（若需要）并确保审查合格，包含此项目初步设计、施工图设计、建设期间的服务等内容。设计费已包含初步设计编制费，不再额外支付费用。</w:t>
      </w:r>
    </w:p>
    <w:p w14:paraId="37677758">
      <w:pPr>
        <w:spacing w:line="480" w:lineRule="auto"/>
        <w:ind w:firstLine="480" w:firstLineChars="200"/>
        <w:rPr>
          <w:rFonts w:hint="eastAsia" w:ascii="宋体" w:hAnsi="宋体" w:eastAsia="宋体" w:cs="宋体"/>
          <w:color w:val="auto"/>
          <w:sz w:val="24"/>
          <w:szCs w:val="24"/>
          <w:highlight w:val="none"/>
        </w:rPr>
      </w:pPr>
      <w:bookmarkStart w:id="92" w:name="_Toc135054586"/>
      <w:r>
        <w:rPr>
          <w:rFonts w:hint="eastAsia" w:ascii="宋体" w:hAnsi="宋体" w:eastAsia="宋体" w:cs="宋体"/>
          <w:color w:val="auto"/>
          <w:sz w:val="24"/>
          <w:szCs w:val="24"/>
          <w:highlight w:val="none"/>
          <w:lang w:val="en-US" w:eastAsia="zh-CN"/>
        </w:rPr>
        <w:t>6.2.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设计成果提交要求：本</w:t>
      </w:r>
      <w:r>
        <w:rPr>
          <w:rFonts w:hint="eastAsia" w:ascii="宋体" w:hAnsi="宋体" w:eastAsia="宋体" w:cs="宋体"/>
          <w:color w:val="auto"/>
          <w:sz w:val="24"/>
          <w:szCs w:val="24"/>
          <w:highlight w:val="none"/>
        </w:rPr>
        <w:t>项目完善方案设计及方案深化</w:t>
      </w:r>
      <w:r>
        <w:rPr>
          <w:rFonts w:hint="eastAsia" w:ascii="宋体" w:hAnsi="宋体" w:eastAsia="宋体" w:cs="宋体"/>
          <w:color w:val="auto"/>
          <w:sz w:val="24"/>
          <w:szCs w:val="24"/>
          <w:highlight w:val="none"/>
          <w:lang w:eastAsia="zh-CN"/>
        </w:rPr>
        <w:t>方案设计</w:t>
      </w:r>
      <w:r>
        <w:rPr>
          <w:rFonts w:hint="eastAsia" w:ascii="宋体" w:hAnsi="宋体" w:eastAsia="宋体" w:cs="宋体"/>
          <w:color w:val="auto"/>
          <w:sz w:val="24"/>
          <w:szCs w:val="24"/>
          <w:highlight w:val="none"/>
        </w:rPr>
        <w:t>5套（不包含送审稿），审定的施工图10套，提供的所有资料均含电子光盘1张（含可编辑的CAD文件和PDF文件格式）。</w:t>
      </w:r>
    </w:p>
    <w:p w14:paraId="2FCE30B4">
      <w:pPr>
        <w:spacing w:line="48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6.3测绘勘察、设计质量标准：</w:t>
      </w:r>
    </w:p>
    <w:p w14:paraId="2B950067">
      <w:pPr>
        <w:spacing w:line="48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6.3.1测绘勘察要求的质量标准：符合住建部颁布的现行有关测绘勘察规范要求。</w:t>
      </w:r>
    </w:p>
    <w:p w14:paraId="407386F6">
      <w:pPr>
        <w:spacing w:line="48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6.3.2设计要求的质量标准：符合现行的国家及地方的有关规划、设计的规范要求，并通过有关部门的审查，若需进行审图则必须经有资质的审图公司审图合格。</w:t>
      </w:r>
    </w:p>
    <w:p w14:paraId="4E931290">
      <w:pPr>
        <w:spacing w:line="48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6.4本招标项目不纳入绿色建设实施范围。</w:t>
      </w:r>
    </w:p>
    <w:p w14:paraId="4B5B7CD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6.5勘察设计</w:t>
      </w:r>
      <w:r>
        <w:rPr>
          <w:rFonts w:hint="eastAsia" w:ascii="宋体" w:hAnsi="宋体" w:eastAsia="宋体" w:cs="宋体"/>
          <w:color w:val="auto"/>
          <w:sz w:val="24"/>
          <w:szCs w:val="24"/>
          <w:highlight w:val="none"/>
        </w:rPr>
        <w:t>人要根据现场实际情况、按照批准的相关资料、业主要求来控制施工图设计及工程造价，即限额设计。勘察设计人要无条件对设计文件出现的遗漏或错误负责修改或补充，直到满足要求。</w:t>
      </w:r>
    </w:p>
    <w:p w14:paraId="000E8FB7">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.6施工期间若遇到工程变更、突发事件或不可遇见的事件等情况，勘察、设计人员接到建设单位或监理单位通知后应当立即（24小时内）到达施工现场，研究并及时处理问题。</w:t>
      </w:r>
    </w:p>
    <w:p w14:paraId="28C9B298">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关于设计深度的要求</w:t>
      </w:r>
    </w:p>
    <w:p w14:paraId="26E178F5">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.1按国家及地方现行的勘察设计文件深度规定等有关技术标准、设计规范（标准）要求。</w:t>
      </w:r>
    </w:p>
    <w:p w14:paraId="3646596A">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.2各专业设计应同步进行，涉及单位应指定总体设计人统筹布局，做好各项设施的协调和衔接、位置预留，不得留待施工中临时变更。</w:t>
      </w:r>
    </w:p>
    <w:p w14:paraId="69F82BF7">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.3对技术复杂或造价、规模较大的主要分项工程应作方案比较。</w:t>
      </w:r>
    </w:p>
    <w:p w14:paraId="680C8E85">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.4施工图设计文件的深度，应当满足编制施工招标文件及设备材料采购，非标准设备制作和施工的需要，并注明建设工程合理使用年限。</w:t>
      </w:r>
    </w:p>
    <w:p w14:paraId="342DE668">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.5相关的配套外部接口方案均需取得政府主管部门或规划部门认可。</w:t>
      </w:r>
    </w:p>
    <w:p w14:paraId="5345B846">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施工图设计文件应考虑交通维护、临时施工便道、基坑支护、对周边建筑物的影响等因素，以指导现场施工及过程评审。</w:t>
      </w:r>
    </w:p>
    <w:p w14:paraId="4A9E696D">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设计后期配合施工工作</w:t>
      </w:r>
    </w:p>
    <w:p w14:paraId="2D0B24F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施工图设计完成并经有关单位审查后，进入施工、监理招标及施工阶段，设计单位必须按投标文件的承诺至少派1名参与并熟悉本项目勘察设计、有现场处理经验的设计代表配合施工、监理招标及施工，建设管理单位不另外支付配合施工费用。</w:t>
      </w:r>
    </w:p>
    <w:p w14:paraId="03C3A946">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.2设计单位配合施工、监理招标及施工的工作内容如下：</w:t>
      </w:r>
    </w:p>
    <w:p w14:paraId="532B1492">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（1）施工图设计（技术）交底；</w:t>
      </w:r>
    </w:p>
    <w:p w14:paraId="6518B22D">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（2）配合勘察单位现场交桩；</w:t>
      </w:r>
    </w:p>
    <w:p w14:paraId="43373DB3">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（3）变更设计和所有补充设计；</w:t>
      </w:r>
    </w:p>
    <w:p w14:paraId="18E8A6B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（4）会签设计变更审批表；</w:t>
      </w:r>
    </w:p>
    <w:p w14:paraId="39863FA5">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（5）参加处理施工中发生的工程质量和安全事故；</w:t>
      </w:r>
    </w:p>
    <w:p w14:paraId="729A5F6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（6）参加隐蔽工程及工程竣工验收；</w:t>
      </w:r>
    </w:p>
    <w:p w14:paraId="140DA1CD">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（7）解决与设计有关的施工问题；</w:t>
      </w:r>
    </w:p>
    <w:p w14:paraId="60817830">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（8）配合质量检测；</w:t>
      </w:r>
    </w:p>
    <w:p w14:paraId="34FC87E7">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（9）参加审查施工单位的施工组织设计和专项施工方案；</w:t>
      </w:r>
    </w:p>
    <w:p w14:paraId="3A143DE4">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（10）参加本项目建设有关会议；</w:t>
      </w:r>
    </w:p>
    <w:p w14:paraId="48F7CFBC">
      <w:pPr>
        <w:spacing w:line="48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（11）在施工、监理招标期间配合建设及相关单位解释及完善施工图相关内容</w:t>
      </w:r>
      <w:r>
        <w:rPr>
          <w:rFonts w:hint="eastAsia" w:ascii="宋体" w:hAnsi="宋体" w:eastAsia="宋体" w:cs="宋体"/>
          <w:color w:val="auto"/>
          <w:sz w:val="24"/>
          <w:szCs w:val="24"/>
          <w:highlight w:val="none"/>
          <w:lang w:eastAsia="zh-CN"/>
        </w:rPr>
        <w:t>。</w:t>
      </w:r>
    </w:p>
    <w:p w14:paraId="720C97C8">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.3设计工作技术总结</w:t>
      </w:r>
    </w:p>
    <w:p w14:paraId="5AD9833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对设计文件及施工过程中发生的补充设计进行检查，并提出设计文件质量检查报告，在竣工验收前交发包人。工程完工后，设计人应组织设计技术工作人员将全部资料进行整理并撰写工程技术总结，并于竣工后十五个日历天内完成，交发包人。</w:t>
      </w:r>
    </w:p>
    <w:p w14:paraId="44ED1508">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限额设计要求</w:t>
      </w:r>
    </w:p>
    <w:p w14:paraId="45DE356E">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初步设计中的建安工程费不得超过投资估算中的建安工程费，施工图预算中的建安工程费不得超过初步设计中的建安工程费，在保证设计质量的前提下，设计人应按投资限额进行设计，严格控制设计变更，确保工程概算和预算不突破限额目标。如超过则必须进行方案修改，并承诺该修改不改变有关设计和规划的原则、内容与要求，不改变原方案设计的构思，不降低使用功能与设计质量标准，无条件进行优化设计且不计取任何费用，直至不超过投资估算限额为止。</w:t>
      </w:r>
    </w:p>
    <w:p w14:paraId="673B9783">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.2若第三方造价咨询单位按施工图编制的建安工程费预算价高于</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.1条规定时，承包人必须无条件对施工图进行修改，直至满足限额设计要求。由此造成造价咨询单位重复编制施工图预算的费用、施工图设计重复审查的费用和其他费用由承包人承担，结算时在设计费中扣除。</w:t>
      </w:r>
    </w:p>
    <w:p w14:paraId="16C0FB40">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设计时需要考虑与周边地块的开发相结合。</w:t>
      </w:r>
    </w:p>
    <w:p w14:paraId="1BE8FE6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凡参加本次招标的投标人被视为已充分认识和理解了任何与本项目有关的影响事项和困难等情况。</w:t>
      </w:r>
    </w:p>
    <w:p w14:paraId="3B5EDD10">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（注：上述招标内容具体详见可行性研究报告，同时招标人在实施过程中可根据实际情况对工程规模、任务内容等进行合理、适当调整。）</w:t>
      </w:r>
    </w:p>
    <w:p w14:paraId="11B0ECB3">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93" w:name="_Toc26832"/>
      <w:bookmarkStart w:id="94" w:name="_Toc4844"/>
      <w:bookmarkStart w:id="95" w:name="_Toc13342"/>
      <w:bookmarkStart w:id="96" w:name="_Toc13345"/>
      <w:r>
        <w:rPr>
          <w:rFonts w:hint="eastAsia" w:ascii="宋体" w:hAnsi="宋体" w:eastAsia="宋体" w:cs="宋体"/>
          <w:b/>
          <w:bCs/>
          <w:snapToGrid w:val="0"/>
          <w:color w:val="auto"/>
          <w:kern w:val="0"/>
          <w:sz w:val="24"/>
          <w:highlight w:val="none"/>
          <w:lang w:val="en-US" w:eastAsia="zh-CN"/>
        </w:rPr>
        <w:t>7</w:t>
      </w:r>
      <w:bookmarkEnd w:id="91"/>
      <w:r>
        <w:rPr>
          <w:rFonts w:hint="eastAsia" w:ascii="宋体" w:hAnsi="宋体" w:eastAsia="宋体" w:cs="宋体"/>
          <w:b/>
          <w:bCs/>
          <w:snapToGrid w:val="0"/>
          <w:color w:val="auto"/>
          <w:kern w:val="0"/>
          <w:sz w:val="24"/>
          <w:highlight w:val="none"/>
          <w:lang w:val="en-US" w:eastAsia="zh-CN"/>
        </w:rPr>
        <w:t>.现场踏勘</w:t>
      </w:r>
      <w:bookmarkEnd w:id="92"/>
      <w:bookmarkEnd w:id="93"/>
      <w:bookmarkEnd w:id="94"/>
      <w:bookmarkEnd w:id="95"/>
      <w:bookmarkEnd w:id="96"/>
    </w:p>
    <w:p w14:paraId="2F2BB955">
      <w:pPr>
        <w:pStyle w:val="8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7.1招标人不集中现场踏勘。投标人需要了解现场情况的，可自行进行现场踏勘。</w:t>
      </w:r>
    </w:p>
    <w:p w14:paraId="78F14EA9">
      <w:pPr>
        <w:pStyle w:val="8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7.2在现场踏勘过程中，投标人应确保自身安全，投标人如果发生人身伤亡、财物或其他损失，法律法规有规定的按有关规定处理，没有规定的由投标人自行负责。</w:t>
      </w:r>
    </w:p>
    <w:p w14:paraId="2B65ACBD">
      <w:pPr>
        <w:pStyle w:val="8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7.3现场踏勘期间的交通、食宿由投标人自行安排，费用自理。</w:t>
      </w:r>
    </w:p>
    <w:p w14:paraId="1DF4A947">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97" w:name="_Toc28123"/>
      <w:bookmarkStart w:id="98" w:name="_Toc135054587"/>
      <w:bookmarkStart w:id="99" w:name="_Toc27827"/>
      <w:bookmarkStart w:id="100" w:name="_Toc16722"/>
      <w:bookmarkStart w:id="101" w:name="_Toc6699"/>
      <w:bookmarkStart w:id="102" w:name="_Toc19778"/>
      <w:r>
        <w:rPr>
          <w:rFonts w:hint="eastAsia" w:ascii="宋体" w:hAnsi="宋体" w:eastAsia="宋体" w:cs="宋体"/>
          <w:b/>
          <w:bCs/>
          <w:snapToGrid w:val="0"/>
          <w:color w:val="auto"/>
          <w:kern w:val="0"/>
          <w:sz w:val="24"/>
          <w:highlight w:val="none"/>
          <w:lang w:val="en-US" w:eastAsia="zh-CN"/>
        </w:rPr>
        <w:t>8.招标答疑</w:t>
      </w:r>
      <w:bookmarkEnd w:id="97"/>
      <w:bookmarkEnd w:id="98"/>
      <w:bookmarkEnd w:id="99"/>
      <w:bookmarkEnd w:id="100"/>
      <w:bookmarkEnd w:id="101"/>
      <w:bookmarkEnd w:id="102"/>
      <w:bookmarkStart w:id="103" w:name="_Hlt74496410"/>
      <w:bookmarkEnd w:id="103"/>
    </w:p>
    <w:p w14:paraId="3F24FDDD">
      <w:pPr>
        <w:pStyle w:val="80"/>
        <w:ind w:firstLine="480" w:firstLineChars="200"/>
        <w:rPr>
          <w:rFonts w:hint="eastAsia" w:ascii="宋体" w:hAnsi="宋体" w:eastAsia="宋体" w:cs="宋体"/>
          <w:color w:val="auto"/>
          <w:highlight w:val="none"/>
        </w:rPr>
      </w:pPr>
      <w:bookmarkStart w:id="104" w:name="_Hlt69699188"/>
      <w:bookmarkEnd w:id="104"/>
      <w:bookmarkStart w:id="105" w:name="_Hlt92513711"/>
      <w:bookmarkEnd w:id="105"/>
      <w:bookmarkStart w:id="106" w:name="_Hlt92513715"/>
      <w:bookmarkEnd w:id="106"/>
      <w:r>
        <w:rPr>
          <w:rFonts w:hint="eastAsia" w:ascii="宋体" w:hAnsi="宋体" w:eastAsia="宋体" w:cs="宋体"/>
          <w:color w:val="auto"/>
          <w:highlight w:val="none"/>
        </w:rPr>
        <w:t>8.1招标人及招标代理机构不集中组织答疑，实行网上答疑。招标人在提问截止时间(见本章“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2F184EDD">
      <w:pPr>
        <w:pStyle w:val="8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8.2若由于投标人自身原因未及时获得答疑书（或补充通知），由此发生的任何责任由投标人自行承担。</w:t>
      </w:r>
    </w:p>
    <w:p w14:paraId="5F6FF936">
      <w:pPr>
        <w:pStyle w:val="8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8.3答疑书（或补充通知）对招标文件的修改或补充内容作为招标文件的组成部分，具有约束作用。招标文件的澄清、修改、补充等内容均以答疑书（或补充通知）中明确的内容为准。当招标文件、招标文件的澄清、修改、补充等文件在同一内容的表述上不一致时，以最后发出的答疑书（或补充通知）为准。</w:t>
      </w:r>
    </w:p>
    <w:p w14:paraId="54035807">
      <w:pPr>
        <w:pStyle w:val="8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8.4投标人在规定的时间内未对招标文件提出澄清或疑问的，招标人将视其为无异议。对招标文件中描述有歧义或前后不一致的地方，评标委员会有权进行评判，但对同一条款的评判应适用于每个投标人。</w:t>
      </w:r>
    </w:p>
    <w:p w14:paraId="694C5C59">
      <w:pPr>
        <w:pStyle w:val="8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8.5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14:paraId="237B6974">
      <w:pPr>
        <w:ind w:firstLine="480" w:firstLineChars="200"/>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8.6招标代理服务费:参照《招标代理服务收费管理暂行办法》计价格[2002]1980号文，以最终中标金额为计算基数计算，由中标单位支付；评标专家酬劳由招标代理机构先垫付；中标人须在中标公告公示期结束后，领取中标通知书前须向招标代理机构一次性付清招标代理服务费及评标专家酬劳，方可领取中标通知书。</w:t>
      </w:r>
    </w:p>
    <w:p w14:paraId="5B4C7005">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107" w:name="_Toc10054"/>
      <w:bookmarkStart w:id="108" w:name="_Toc17131"/>
      <w:bookmarkStart w:id="109" w:name="_Toc15525"/>
      <w:bookmarkStart w:id="110" w:name="_Toc135054588"/>
      <w:bookmarkStart w:id="111" w:name="_Toc11860"/>
      <w:r>
        <w:rPr>
          <w:rFonts w:hint="eastAsia" w:ascii="宋体" w:hAnsi="宋体" w:eastAsia="宋体" w:cs="宋体"/>
          <w:b/>
          <w:bCs/>
          <w:snapToGrid w:val="0"/>
          <w:color w:val="auto"/>
          <w:kern w:val="0"/>
          <w:sz w:val="24"/>
          <w:highlight w:val="none"/>
          <w:lang w:val="en-US" w:eastAsia="zh-CN"/>
        </w:rPr>
        <w:t>9.最高投标限价的确定及投标报价的约定</w:t>
      </w:r>
      <w:bookmarkEnd w:id="107"/>
      <w:bookmarkEnd w:id="108"/>
      <w:bookmarkEnd w:id="109"/>
      <w:bookmarkEnd w:id="110"/>
      <w:bookmarkEnd w:id="111"/>
    </w:p>
    <w:p w14:paraId="52453783">
      <w:pPr>
        <w:pStyle w:val="80"/>
        <w:ind w:firstLine="480" w:firstLineChars="200"/>
        <w:rPr>
          <w:rFonts w:hint="eastAsia" w:ascii="宋体" w:hAnsi="宋体" w:eastAsia="宋体" w:cs="宋体"/>
          <w:color w:val="auto"/>
          <w:highlight w:val="none"/>
        </w:rPr>
      </w:pPr>
      <w:bookmarkStart w:id="112" w:name="_Toc13887"/>
      <w:bookmarkStart w:id="113" w:name="_Toc30738"/>
      <w:bookmarkStart w:id="114" w:name="_Toc135054589"/>
      <w:bookmarkStart w:id="115" w:name="_Toc15385"/>
      <w:bookmarkStart w:id="116" w:name="_Toc5187"/>
      <w:bookmarkStart w:id="117" w:name="_Toc20886"/>
      <w:bookmarkStart w:id="118" w:name="_Toc17907"/>
      <w:bookmarkStart w:id="119" w:name="_Toc17731"/>
      <w:bookmarkStart w:id="120" w:name="_Toc71813188"/>
      <w:bookmarkStart w:id="121" w:name="_Toc21136"/>
      <w:bookmarkStart w:id="122" w:name="_Toc71813695"/>
      <w:r>
        <w:rPr>
          <w:rFonts w:hint="eastAsia" w:ascii="宋体" w:hAnsi="宋体" w:eastAsia="宋体" w:cs="宋体"/>
          <w:color w:val="auto"/>
          <w:highlight w:val="none"/>
        </w:rPr>
        <w:t>9.1最高投标限价的确定</w:t>
      </w:r>
      <w:bookmarkEnd w:id="112"/>
      <w:bookmarkEnd w:id="113"/>
      <w:bookmarkEnd w:id="114"/>
      <w:bookmarkEnd w:id="115"/>
      <w:bookmarkEnd w:id="116"/>
      <w:bookmarkEnd w:id="117"/>
      <w:bookmarkEnd w:id="118"/>
      <w:bookmarkEnd w:id="119"/>
      <w:bookmarkEnd w:id="120"/>
      <w:bookmarkEnd w:id="121"/>
      <w:bookmarkEnd w:id="122"/>
    </w:p>
    <w:p w14:paraId="1DB3AEDB">
      <w:pPr>
        <w:pStyle w:val="80"/>
        <w:ind w:firstLine="480" w:firstLineChars="200"/>
        <w:rPr>
          <w:rFonts w:hint="eastAsia" w:ascii="宋体" w:hAnsi="宋体" w:eastAsia="宋体" w:cs="宋体"/>
          <w:color w:val="auto"/>
          <w:highlight w:val="none"/>
        </w:rPr>
      </w:pPr>
      <w:bookmarkStart w:id="123" w:name="_Hlt126039060"/>
      <w:bookmarkEnd w:id="123"/>
      <w:bookmarkStart w:id="124" w:name="_Hlt75685913"/>
      <w:bookmarkEnd w:id="124"/>
      <w:bookmarkStart w:id="125" w:name="_Hlt75685561"/>
      <w:bookmarkEnd w:id="125"/>
      <w:bookmarkStart w:id="126" w:name="_Hlt121630579"/>
      <w:bookmarkEnd w:id="126"/>
      <w:bookmarkStart w:id="127" w:name="_Toc18975"/>
      <w:bookmarkStart w:id="128" w:name="_Hlt69335617"/>
      <w:bookmarkStart w:id="129" w:name="_Hlt121629839"/>
      <w:r>
        <w:rPr>
          <w:rFonts w:hint="eastAsia" w:ascii="宋体" w:hAnsi="宋体" w:eastAsia="宋体" w:cs="宋体"/>
          <w:color w:val="auto"/>
          <w:highlight w:val="none"/>
        </w:rPr>
        <w:t>经招标人研究确定，本项目招标最高投标限价为人民币：</w:t>
      </w:r>
      <w:r>
        <w:rPr>
          <w:rFonts w:hint="eastAsia" w:hAnsi="宋体" w:cs="宋体"/>
          <w:color w:val="auto"/>
          <w:highlight w:val="none"/>
          <w:lang w:eastAsia="zh-CN"/>
        </w:rPr>
        <w:t>捌拾玖万零肆佰元整</w:t>
      </w:r>
      <w:r>
        <w:rPr>
          <w:rFonts w:hint="eastAsia" w:ascii="宋体" w:hAnsi="宋体" w:eastAsia="宋体" w:cs="宋体"/>
          <w:color w:val="auto"/>
          <w:highlight w:val="none"/>
        </w:rPr>
        <w:t>（¥</w:t>
      </w:r>
      <w:r>
        <w:rPr>
          <w:rFonts w:hint="eastAsia" w:hAnsi="宋体" w:cs="宋体"/>
          <w:color w:val="auto"/>
          <w:highlight w:val="none"/>
          <w:lang w:val="en-US" w:eastAsia="zh-CN"/>
        </w:rPr>
        <w:t>890,400.00</w:t>
      </w:r>
      <w:r>
        <w:rPr>
          <w:rFonts w:hint="eastAsia" w:ascii="宋体" w:hAnsi="宋体" w:eastAsia="宋体" w:cs="宋体"/>
          <w:color w:val="auto"/>
          <w:highlight w:val="none"/>
        </w:rPr>
        <w:t>元）。具体详见下表：</w:t>
      </w:r>
    </w:p>
    <w:tbl>
      <w:tblPr>
        <w:tblStyle w:val="33"/>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44"/>
        <w:gridCol w:w="1821"/>
        <w:gridCol w:w="2595"/>
        <w:gridCol w:w="3244"/>
      </w:tblGrid>
      <w:tr w14:paraId="52F5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1" w:type="dxa"/>
            <w:noWrap w:val="0"/>
            <w:vAlign w:val="center"/>
          </w:tcPr>
          <w:p w14:paraId="288C3907">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44" w:type="dxa"/>
            <w:noWrap w:val="0"/>
            <w:vAlign w:val="center"/>
          </w:tcPr>
          <w:p w14:paraId="2EB7D8AA">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821" w:type="dxa"/>
            <w:noWrap w:val="0"/>
            <w:vAlign w:val="center"/>
          </w:tcPr>
          <w:p w14:paraId="5E3F6C21">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投标下浮率</w:t>
            </w:r>
          </w:p>
        </w:tc>
        <w:tc>
          <w:tcPr>
            <w:tcW w:w="2595" w:type="dxa"/>
            <w:noWrap w:val="0"/>
            <w:vAlign w:val="center"/>
          </w:tcPr>
          <w:p w14:paraId="6B742301">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最高投标限价（元）</w:t>
            </w:r>
          </w:p>
        </w:tc>
        <w:tc>
          <w:tcPr>
            <w:tcW w:w="3244" w:type="dxa"/>
            <w:noWrap w:val="0"/>
            <w:vAlign w:val="center"/>
          </w:tcPr>
          <w:p w14:paraId="0595B6A6">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42B6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jc w:val="center"/>
        </w:trPr>
        <w:tc>
          <w:tcPr>
            <w:tcW w:w="851" w:type="dxa"/>
            <w:noWrap w:val="0"/>
            <w:vAlign w:val="center"/>
          </w:tcPr>
          <w:p w14:paraId="782FC1C8">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w:t>
            </w:r>
          </w:p>
        </w:tc>
        <w:tc>
          <w:tcPr>
            <w:tcW w:w="1444" w:type="dxa"/>
            <w:shd w:val="clear" w:color="auto" w:fill="auto"/>
            <w:noWrap w:val="0"/>
            <w:vAlign w:val="center"/>
          </w:tcPr>
          <w:p w14:paraId="78BFB9F3">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宋体"/>
                <w:i w:val="0"/>
                <w:iCs w:val="0"/>
                <w:caps w:val="0"/>
                <w:color w:val="auto"/>
                <w:spacing w:val="0"/>
                <w:sz w:val="24"/>
                <w:szCs w:val="24"/>
                <w:highlight w:val="none"/>
                <w:shd w:val="clear" w:fill="FFFFFF"/>
              </w:rPr>
              <w:t>勘察费</w:t>
            </w:r>
          </w:p>
        </w:tc>
        <w:tc>
          <w:tcPr>
            <w:tcW w:w="1821" w:type="dxa"/>
            <w:shd w:val="clear" w:color="auto" w:fill="auto"/>
            <w:noWrap w:val="0"/>
            <w:vAlign w:val="center"/>
          </w:tcPr>
          <w:p w14:paraId="01CABB1B">
            <w:pPr>
              <w:shd w:val="clear" w:color="auto" w:fill="auto"/>
              <w:spacing w:line="240" w:lineRule="auto"/>
              <w:jc w:val="center"/>
              <w:rPr>
                <w:rFonts w:hint="eastAsia" w:ascii="宋体" w:hAnsi="宋体" w:eastAsia="宋体" w:cs="宋体"/>
                <w:b w:val="0"/>
                <w:bCs w:val="0"/>
                <w:i w:val="0"/>
                <w:iCs w:val="0"/>
                <w:caps w:val="0"/>
                <w:color w:val="auto"/>
                <w:spacing w:val="0"/>
                <w:kern w:val="2"/>
                <w:sz w:val="24"/>
                <w:szCs w:val="24"/>
                <w:highlight w:val="none"/>
                <w:shd w:val="clear" w:fill="FFFFFF"/>
                <w:lang w:val="en-US" w:eastAsia="zh-CN" w:bidi="ar-SA"/>
              </w:rPr>
            </w:pPr>
            <w:r>
              <w:rPr>
                <w:rFonts w:hint="eastAsia" w:ascii="宋体" w:hAnsi="宋体" w:eastAsia="宋体" w:cs="宋体"/>
                <w:b w:val="0"/>
                <w:bCs w:val="0"/>
                <w:color w:val="auto"/>
                <w:kern w:val="2"/>
                <w:sz w:val="24"/>
                <w:szCs w:val="24"/>
                <w:highlight w:val="none"/>
                <w:lang w:val="en-US" w:eastAsia="zh-CN" w:bidi="ar-SA"/>
              </w:rPr>
              <w:t>≧ 0.00</w:t>
            </w:r>
            <w:r>
              <w:rPr>
                <w:rFonts w:hint="eastAsia" w:ascii="宋体" w:hAnsi="宋体" w:cs="宋体"/>
                <w:b w:val="0"/>
                <w:bCs w:val="0"/>
                <w:color w:val="auto"/>
                <w:kern w:val="2"/>
                <w:sz w:val="24"/>
                <w:szCs w:val="24"/>
                <w:highlight w:val="none"/>
                <w:lang w:val="en-US" w:eastAsia="zh-CN" w:bidi="ar-SA"/>
              </w:rPr>
              <w:t>0</w:t>
            </w:r>
            <w:r>
              <w:rPr>
                <w:rFonts w:hint="eastAsia" w:ascii="宋体" w:hAnsi="宋体" w:eastAsia="宋体" w:cs="宋体"/>
                <w:b w:val="0"/>
                <w:bCs w:val="0"/>
                <w:color w:val="auto"/>
                <w:kern w:val="2"/>
                <w:sz w:val="24"/>
                <w:szCs w:val="24"/>
                <w:highlight w:val="none"/>
                <w:lang w:val="en-US" w:eastAsia="zh-CN" w:bidi="ar-SA"/>
              </w:rPr>
              <w:t>%</w:t>
            </w:r>
          </w:p>
        </w:tc>
        <w:tc>
          <w:tcPr>
            <w:tcW w:w="2595" w:type="dxa"/>
            <w:shd w:val="clear" w:color="auto" w:fill="auto"/>
            <w:noWrap w:val="0"/>
            <w:vAlign w:val="center"/>
          </w:tcPr>
          <w:p w14:paraId="049F1093">
            <w:pPr>
              <w:pageBreakBefore w:val="0"/>
              <w:kinsoku/>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cs="宋体"/>
                <w:color w:val="auto"/>
                <w:sz w:val="24"/>
                <w:szCs w:val="24"/>
                <w:highlight w:val="none"/>
                <w:lang w:val="en-US" w:eastAsia="zh-CN"/>
              </w:rPr>
              <w:t>112,000.00</w:t>
            </w:r>
          </w:p>
        </w:tc>
        <w:tc>
          <w:tcPr>
            <w:tcW w:w="3244" w:type="dxa"/>
            <w:shd w:val="clear" w:color="auto" w:fill="auto"/>
            <w:noWrap w:val="0"/>
            <w:vAlign w:val="center"/>
          </w:tcPr>
          <w:p w14:paraId="5ED00F8F">
            <w:pPr>
              <w:pageBreakBefore w:val="0"/>
              <w:kinsoku/>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宋体"/>
                <w:i w:val="0"/>
                <w:iCs w:val="0"/>
                <w:caps w:val="0"/>
                <w:color w:val="auto"/>
                <w:spacing w:val="0"/>
                <w:sz w:val="24"/>
                <w:szCs w:val="24"/>
                <w:highlight w:val="none"/>
                <w:shd w:val="clear" w:fill="FFFFFF"/>
              </w:rPr>
              <w:t>结算时按</w:t>
            </w:r>
            <w:r>
              <w:rPr>
                <w:rFonts w:hint="eastAsia" w:ascii="宋体" w:hAnsi="宋体" w:cs="宋体"/>
                <w:i w:val="0"/>
                <w:iCs w:val="0"/>
                <w:caps w:val="0"/>
                <w:color w:val="auto"/>
                <w:spacing w:val="0"/>
                <w:sz w:val="24"/>
                <w:szCs w:val="24"/>
                <w:highlight w:val="none"/>
                <w:shd w:val="clear" w:fill="FFFFFF"/>
                <w:lang w:eastAsia="zh-CN"/>
              </w:rPr>
              <w:t>预算</w:t>
            </w:r>
            <w:r>
              <w:rPr>
                <w:rFonts w:hint="eastAsia" w:ascii="宋体" w:hAnsi="宋体" w:eastAsia="宋体" w:cs="宋体"/>
                <w:i w:val="0"/>
                <w:iCs w:val="0"/>
                <w:caps w:val="0"/>
                <w:color w:val="auto"/>
                <w:spacing w:val="0"/>
                <w:sz w:val="24"/>
                <w:szCs w:val="24"/>
                <w:highlight w:val="none"/>
                <w:shd w:val="clear" w:fill="FFFFFF"/>
              </w:rPr>
              <w:t>审定的勘察费*（1-下浮率），投标人应分别报投标下浮率和勘察费。</w:t>
            </w:r>
          </w:p>
        </w:tc>
      </w:tr>
      <w:tr w14:paraId="63E4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exact"/>
          <w:jc w:val="center"/>
        </w:trPr>
        <w:tc>
          <w:tcPr>
            <w:tcW w:w="851" w:type="dxa"/>
            <w:noWrap w:val="0"/>
            <w:vAlign w:val="center"/>
          </w:tcPr>
          <w:p w14:paraId="298C8E4E">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2</w:t>
            </w:r>
          </w:p>
        </w:tc>
        <w:tc>
          <w:tcPr>
            <w:tcW w:w="1444" w:type="dxa"/>
            <w:shd w:val="clear" w:color="auto" w:fill="auto"/>
            <w:noWrap w:val="0"/>
            <w:vAlign w:val="center"/>
          </w:tcPr>
          <w:p w14:paraId="57E830CC">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宋体"/>
                <w:i w:val="0"/>
                <w:iCs w:val="0"/>
                <w:caps w:val="0"/>
                <w:color w:val="auto"/>
                <w:spacing w:val="0"/>
                <w:sz w:val="24"/>
                <w:szCs w:val="24"/>
                <w:highlight w:val="none"/>
                <w:shd w:val="clear" w:fill="FFFFFF"/>
              </w:rPr>
              <w:t>设计费</w:t>
            </w:r>
          </w:p>
        </w:tc>
        <w:tc>
          <w:tcPr>
            <w:tcW w:w="1821" w:type="dxa"/>
            <w:shd w:val="clear" w:color="auto" w:fill="auto"/>
            <w:noWrap w:val="0"/>
            <w:vAlign w:val="center"/>
          </w:tcPr>
          <w:p w14:paraId="479AE710">
            <w:pPr>
              <w:shd w:val="clear" w:color="auto" w:fill="auto"/>
              <w:spacing w:line="240" w:lineRule="auto"/>
              <w:jc w:val="center"/>
              <w:rPr>
                <w:rFonts w:hint="eastAsia" w:ascii="宋体" w:hAnsi="宋体" w:eastAsia="宋体" w:cs="宋体"/>
                <w:b w:val="0"/>
                <w:bCs w:val="0"/>
                <w:i w:val="0"/>
                <w:iCs w:val="0"/>
                <w:caps w:val="0"/>
                <w:color w:val="auto"/>
                <w:spacing w:val="0"/>
                <w:kern w:val="2"/>
                <w:sz w:val="24"/>
                <w:szCs w:val="24"/>
                <w:highlight w:val="none"/>
                <w:shd w:val="clear" w:fill="FFFFFF"/>
                <w:lang w:val="en-US" w:eastAsia="zh-CN" w:bidi="ar-SA"/>
              </w:rPr>
            </w:pPr>
            <w:r>
              <w:rPr>
                <w:rFonts w:hint="eastAsia" w:ascii="宋体" w:hAnsi="宋体" w:eastAsia="宋体" w:cs="宋体"/>
                <w:b w:val="0"/>
                <w:bCs w:val="0"/>
                <w:color w:val="auto"/>
                <w:kern w:val="2"/>
                <w:sz w:val="24"/>
                <w:szCs w:val="24"/>
                <w:highlight w:val="none"/>
                <w:lang w:val="en-US" w:eastAsia="zh-CN" w:bidi="ar-SA"/>
              </w:rPr>
              <w:t>≧ 0.00</w:t>
            </w:r>
            <w:r>
              <w:rPr>
                <w:rFonts w:hint="eastAsia" w:ascii="宋体" w:hAnsi="宋体" w:cs="宋体"/>
                <w:b w:val="0"/>
                <w:bCs w:val="0"/>
                <w:color w:val="auto"/>
                <w:kern w:val="2"/>
                <w:sz w:val="24"/>
                <w:szCs w:val="24"/>
                <w:highlight w:val="none"/>
                <w:lang w:val="en-US" w:eastAsia="zh-CN" w:bidi="ar-SA"/>
              </w:rPr>
              <w:t>0</w:t>
            </w:r>
            <w:r>
              <w:rPr>
                <w:rFonts w:hint="eastAsia" w:ascii="宋体" w:hAnsi="宋体" w:eastAsia="宋体" w:cs="宋体"/>
                <w:b w:val="0"/>
                <w:bCs w:val="0"/>
                <w:color w:val="auto"/>
                <w:kern w:val="2"/>
                <w:sz w:val="24"/>
                <w:szCs w:val="24"/>
                <w:highlight w:val="none"/>
                <w:lang w:val="en-US" w:eastAsia="zh-CN" w:bidi="ar-SA"/>
              </w:rPr>
              <w:t>%</w:t>
            </w:r>
          </w:p>
        </w:tc>
        <w:tc>
          <w:tcPr>
            <w:tcW w:w="2595" w:type="dxa"/>
            <w:shd w:val="clear" w:color="auto" w:fill="auto"/>
            <w:noWrap w:val="0"/>
            <w:vAlign w:val="center"/>
          </w:tcPr>
          <w:p w14:paraId="0024D440">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color w:val="auto"/>
                <w:sz w:val="24"/>
                <w:szCs w:val="24"/>
                <w:highlight w:val="none"/>
              </w:rPr>
              <w:t>778,400.00</w:t>
            </w:r>
          </w:p>
        </w:tc>
        <w:tc>
          <w:tcPr>
            <w:tcW w:w="3244" w:type="dxa"/>
            <w:shd w:val="clear" w:color="auto" w:fill="auto"/>
            <w:noWrap w:val="0"/>
            <w:vAlign w:val="center"/>
          </w:tcPr>
          <w:p w14:paraId="7126826C">
            <w:pPr>
              <w:pageBreakBefore w:val="0"/>
              <w:kinsoku/>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宋体"/>
                <w:i w:val="0"/>
                <w:iCs w:val="0"/>
                <w:caps w:val="0"/>
                <w:color w:val="auto"/>
                <w:spacing w:val="0"/>
                <w:sz w:val="24"/>
                <w:szCs w:val="24"/>
                <w:highlight w:val="none"/>
                <w:shd w:val="clear" w:fill="FFFFFF"/>
              </w:rPr>
              <w:t>结算时按</w:t>
            </w:r>
            <w:r>
              <w:rPr>
                <w:rFonts w:hint="eastAsia" w:ascii="宋体" w:hAnsi="宋体" w:cs="宋体"/>
                <w:i w:val="0"/>
                <w:iCs w:val="0"/>
                <w:caps w:val="0"/>
                <w:color w:val="auto"/>
                <w:spacing w:val="0"/>
                <w:sz w:val="24"/>
                <w:szCs w:val="24"/>
                <w:highlight w:val="none"/>
                <w:shd w:val="clear" w:fill="FFFFFF"/>
                <w:lang w:eastAsia="zh-CN"/>
              </w:rPr>
              <w:t>预算</w:t>
            </w:r>
            <w:r>
              <w:rPr>
                <w:rFonts w:hint="eastAsia" w:ascii="宋体" w:hAnsi="宋体" w:eastAsia="宋体" w:cs="宋体"/>
                <w:i w:val="0"/>
                <w:iCs w:val="0"/>
                <w:caps w:val="0"/>
                <w:color w:val="auto"/>
                <w:spacing w:val="0"/>
                <w:sz w:val="24"/>
                <w:szCs w:val="24"/>
                <w:highlight w:val="none"/>
                <w:shd w:val="clear" w:fill="FFFFFF"/>
              </w:rPr>
              <w:t>审定的设计费*（1-下浮率），投标人应分别报投标下浮率和设计费。</w:t>
            </w:r>
          </w:p>
        </w:tc>
      </w:tr>
      <w:tr w14:paraId="08B5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16" w:type="dxa"/>
            <w:gridSpan w:val="3"/>
            <w:noWrap w:val="0"/>
            <w:vAlign w:val="center"/>
          </w:tcPr>
          <w:p w14:paraId="298CC66E">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合计1+2（元）</w:t>
            </w:r>
          </w:p>
        </w:tc>
        <w:tc>
          <w:tcPr>
            <w:tcW w:w="2595" w:type="dxa"/>
            <w:shd w:val="clear" w:color="auto" w:fill="auto"/>
            <w:noWrap w:val="0"/>
            <w:vAlign w:val="center"/>
          </w:tcPr>
          <w:p w14:paraId="0FBDA917">
            <w:pPr>
              <w:pageBreakBefore w:val="0"/>
              <w:kinsoku/>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cs="宋体"/>
                <w:color w:val="auto"/>
                <w:sz w:val="24"/>
                <w:szCs w:val="24"/>
                <w:highlight w:val="none"/>
                <w:lang w:val="en-US" w:eastAsia="zh-CN"/>
              </w:rPr>
              <w:t>890,400.00</w:t>
            </w:r>
          </w:p>
        </w:tc>
        <w:tc>
          <w:tcPr>
            <w:tcW w:w="3244" w:type="dxa"/>
            <w:noWrap w:val="0"/>
            <w:vAlign w:val="center"/>
          </w:tcPr>
          <w:p w14:paraId="565694DE">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w:t>
            </w:r>
          </w:p>
        </w:tc>
      </w:tr>
    </w:tbl>
    <w:p w14:paraId="6AFB01AF">
      <w:pPr>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1、各单项或合计投标报价超过最高投标限价为无效报价。</w:t>
      </w:r>
    </w:p>
    <w:p w14:paraId="09ED375E">
      <w:pPr>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eastAsia="zh-CN"/>
        </w:rPr>
        <w:t>投标报价按</w:t>
      </w:r>
      <w:r>
        <w:rPr>
          <w:rFonts w:hint="eastAsia" w:ascii="宋体" w:hAnsi="宋体" w:eastAsia="宋体" w:cs="宋体"/>
          <w:color w:val="auto"/>
          <w:sz w:val="24"/>
          <w:szCs w:val="24"/>
          <w:highlight w:val="none"/>
          <w:lang w:eastAsia="zh-CN"/>
        </w:rPr>
        <w:t>“四舍五入原则”精确到</w:t>
      </w:r>
      <w:r>
        <w:rPr>
          <w:rFonts w:hint="eastAsia" w:ascii="宋体" w:hAnsi="宋体" w:cs="宋体"/>
          <w:color w:val="auto"/>
          <w:sz w:val="24"/>
          <w:szCs w:val="24"/>
          <w:highlight w:val="none"/>
          <w:lang w:eastAsia="zh-CN"/>
        </w:rPr>
        <w:t>两</w:t>
      </w:r>
      <w:r>
        <w:rPr>
          <w:rFonts w:hint="eastAsia" w:ascii="宋体" w:hAnsi="宋体" w:eastAsia="宋体" w:cs="宋体"/>
          <w:color w:val="auto"/>
          <w:sz w:val="24"/>
          <w:szCs w:val="24"/>
          <w:highlight w:val="none"/>
          <w:lang w:eastAsia="zh-CN"/>
        </w:rPr>
        <w:t>位小数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投标下浮率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按“四舍五入原则”精确到</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lang w:eastAsia="zh-CN"/>
        </w:rPr>
        <w:t>位小数</w:t>
      </w:r>
      <w:r>
        <w:rPr>
          <w:rFonts w:hint="eastAsia" w:ascii="宋体" w:hAnsi="宋体" w:cs="宋体"/>
          <w:color w:val="auto"/>
          <w:sz w:val="24"/>
          <w:szCs w:val="24"/>
          <w:highlight w:val="none"/>
          <w:lang w:eastAsia="zh-CN"/>
        </w:rPr>
        <w:t>。</w:t>
      </w:r>
    </w:p>
    <w:p w14:paraId="681F0CA6">
      <w:pPr>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3、以上投标报价均为含税报价（增值税）。</w:t>
      </w:r>
    </w:p>
    <w:p w14:paraId="3F266FAB">
      <w:pPr>
        <w:pStyle w:val="80"/>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9.2</w:t>
      </w:r>
      <w:bookmarkStart w:id="130" w:name="_Hlt74498519"/>
      <w:bookmarkEnd w:id="130"/>
      <w:r>
        <w:rPr>
          <w:rFonts w:hint="eastAsia" w:ascii="宋体" w:hAnsi="宋体" w:eastAsia="宋体" w:cs="宋体"/>
          <w:b/>
          <w:bCs/>
          <w:color w:val="auto"/>
          <w:highlight w:val="none"/>
        </w:rPr>
        <w:t>投标报价的约定</w:t>
      </w:r>
    </w:p>
    <w:p w14:paraId="723FF125">
      <w:pPr>
        <w:spacing w:line="360" w:lineRule="auto"/>
        <w:ind w:firstLine="480" w:firstLineChars="200"/>
        <w:outlineLvl w:val="9"/>
        <w:rPr>
          <w:rFonts w:hint="eastAsia" w:ascii="宋体" w:hAnsi="宋体" w:eastAsia="宋体" w:cs="宋体"/>
          <w:color w:val="auto"/>
          <w:sz w:val="24"/>
          <w:szCs w:val="24"/>
          <w:highlight w:val="none"/>
        </w:rPr>
      </w:pPr>
      <w:bookmarkStart w:id="131" w:name="_Toc135054590"/>
      <w:r>
        <w:rPr>
          <w:rFonts w:hint="eastAsia" w:ascii="宋体" w:hAnsi="宋体" w:eastAsia="宋体" w:cs="宋体"/>
          <w:color w:val="auto"/>
          <w:sz w:val="24"/>
          <w:szCs w:val="24"/>
          <w:highlight w:val="none"/>
        </w:rPr>
        <w:t>9.1本次招标采用填报</w:t>
      </w:r>
      <w:r>
        <w:rPr>
          <w:rFonts w:hint="eastAsia" w:ascii="宋体" w:hAnsi="宋体" w:eastAsia="宋体" w:cs="宋体"/>
          <w:color w:val="auto"/>
          <w:sz w:val="24"/>
          <w:szCs w:val="24"/>
          <w:highlight w:val="none"/>
          <w:u w:val="single"/>
        </w:rPr>
        <w:t>投标报价</w:t>
      </w:r>
      <w:r>
        <w:rPr>
          <w:rFonts w:hint="eastAsia" w:ascii="宋体" w:hAnsi="宋体" w:eastAsia="宋体" w:cs="宋体"/>
          <w:color w:val="auto"/>
          <w:sz w:val="24"/>
          <w:szCs w:val="24"/>
          <w:highlight w:val="none"/>
          <w:u w:val="single"/>
          <w:lang w:val="en-US" w:eastAsia="zh-CN"/>
        </w:rPr>
        <w:t>及</w:t>
      </w:r>
      <w:r>
        <w:rPr>
          <w:rFonts w:hint="eastAsia" w:ascii="宋体" w:hAnsi="宋体" w:cs="宋体"/>
          <w:color w:val="auto"/>
          <w:sz w:val="24"/>
          <w:szCs w:val="24"/>
          <w:highlight w:val="none"/>
          <w:u w:val="single"/>
          <w:lang w:val="en-US" w:eastAsia="zh-CN"/>
        </w:rPr>
        <w:t>投标下浮率</w:t>
      </w:r>
      <w:r>
        <w:rPr>
          <w:rFonts w:hint="eastAsia" w:ascii="宋体" w:hAnsi="宋体" w:eastAsia="宋体" w:cs="宋体"/>
          <w:color w:val="auto"/>
          <w:sz w:val="24"/>
          <w:szCs w:val="24"/>
          <w:highlight w:val="none"/>
        </w:rPr>
        <w:t>的方式进行报价。</w:t>
      </w:r>
    </w:p>
    <w:p w14:paraId="49308A75">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9.2</w:t>
      </w:r>
      <w:r>
        <w:rPr>
          <w:rFonts w:hint="eastAsia" w:ascii="宋体" w:hAnsi="宋体" w:eastAsia="宋体" w:cs="宋体"/>
          <w:color w:val="auto"/>
          <w:sz w:val="24"/>
          <w:szCs w:val="24"/>
          <w:highlight w:val="none"/>
        </w:rPr>
        <w:t>所有报价均以人民币“元”为单位，并保留两位小数；</w:t>
      </w:r>
      <w:r>
        <w:rPr>
          <w:rFonts w:hint="eastAsia" w:ascii="宋体" w:hAnsi="宋体" w:cs="宋体"/>
          <w:color w:val="auto"/>
          <w:sz w:val="24"/>
          <w:szCs w:val="24"/>
          <w:highlight w:val="none"/>
          <w:lang w:eastAsia="zh-CN"/>
        </w:rPr>
        <w:t>投标下浮率</w:t>
      </w:r>
      <w:r>
        <w:rPr>
          <w:rFonts w:hint="eastAsia" w:ascii="宋体" w:hAnsi="宋体" w:eastAsia="宋体" w:cs="宋体"/>
          <w:color w:val="auto"/>
          <w:sz w:val="24"/>
          <w:szCs w:val="24"/>
          <w:highlight w:val="none"/>
          <w:lang w:eastAsia="zh-CN"/>
        </w:rPr>
        <w:t>按“四舍五入”原则精确到三位小数</w:t>
      </w:r>
      <w:r>
        <w:rPr>
          <w:rFonts w:hint="eastAsia" w:ascii="宋体" w:hAnsi="宋体" w:eastAsia="宋体" w:cs="宋体"/>
          <w:color w:val="auto"/>
          <w:sz w:val="24"/>
          <w:szCs w:val="24"/>
          <w:highlight w:val="none"/>
        </w:rPr>
        <w:t>。投标人以</w:t>
      </w:r>
      <w:r>
        <w:rPr>
          <w:rFonts w:hint="eastAsia" w:ascii="宋体" w:hAnsi="宋体" w:eastAsia="宋体" w:cs="宋体"/>
          <w:color w:val="auto"/>
          <w:sz w:val="24"/>
          <w:szCs w:val="24"/>
          <w:highlight w:val="none"/>
          <w:lang w:val="en-US" w:eastAsia="zh-CN"/>
        </w:rPr>
        <w:t>勘察</w:t>
      </w:r>
      <w:r>
        <w:rPr>
          <w:rFonts w:hint="eastAsia" w:ascii="宋体" w:hAnsi="宋体" w:eastAsia="宋体" w:cs="宋体"/>
          <w:color w:val="auto"/>
          <w:sz w:val="24"/>
          <w:szCs w:val="24"/>
          <w:highlight w:val="none"/>
        </w:rPr>
        <w:t>设计费进行投标报价。</w:t>
      </w:r>
      <w:r>
        <w:rPr>
          <w:rFonts w:hint="eastAsia" w:ascii="宋体" w:hAnsi="宋体" w:eastAsia="宋体" w:cs="宋体"/>
          <w:color w:val="auto"/>
          <w:sz w:val="24"/>
          <w:szCs w:val="24"/>
          <w:highlight w:val="none"/>
          <w:lang w:val="en-US" w:eastAsia="zh-CN"/>
        </w:rPr>
        <w:t>勘察</w:t>
      </w:r>
      <w:r>
        <w:rPr>
          <w:rFonts w:hint="eastAsia" w:ascii="宋体" w:hAnsi="宋体" w:eastAsia="宋体" w:cs="宋体"/>
          <w:color w:val="auto"/>
          <w:sz w:val="24"/>
          <w:szCs w:val="24"/>
          <w:highlight w:val="none"/>
        </w:rPr>
        <w:t>设计费可参照《工程勘察设计收费标准》（2002年版）的标准和结合企业自身情况分别进行报价。</w:t>
      </w:r>
    </w:p>
    <w:p w14:paraId="793EB440">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9.3勘察</w:t>
      </w:r>
      <w:r>
        <w:rPr>
          <w:rFonts w:hint="eastAsia" w:ascii="宋体" w:hAnsi="宋体" w:eastAsia="宋体" w:cs="宋体"/>
          <w:color w:val="auto"/>
          <w:sz w:val="24"/>
          <w:szCs w:val="24"/>
          <w:highlight w:val="none"/>
        </w:rPr>
        <w:t>设计费投标报价：在最高投标限价范围内，投标人自行报价。</w:t>
      </w:r>
      <w:r>
        <w:rPr>
          <w:rFonts w:hint="eastAsia" w:ascii="宋体" w:hAnsi="宋体" w:eastAsia="宋体" w:cs="宋体"/>
          <w:color w:val="auto"/>
          <w:sz w:val="24"/>
          <w:szCs w:val="24"/>
          <w:highlight w:val="none"/>
          <w:lang w:val="en-US" w:eastAsia="zh-CN"/>
        </w:rPr>
        <w:t>勘察</w:t>
      </w:r>
      <w:r>
        <w:rPr>
          <w:rFonts w:hint="eastAsia" w:ascii="宋体" w:hAnsi="宋体" w:eastAsia="宋体" w:cs="宋体"/>
          <w:color w:val="auto"/>
          <w:sz w:val="24"/>
          <w:szCs w:val="24"/>
          <w:highlight w:val="none"/>
        </w:rPr>
        <w:t>设计费的报价应包括招标文件中招标内容（范围）和可行性研究报告所规定的所有</w:t>
      </w:r>
      <w:r>
        <w:rPr>
          <w:rFonts w:hint="eastAsia" w:ascii="宋体" w:hAnsi="宋体" w:eastAsia="宋体" w:cs="宋体"/>
          <w:color w:val="auto"/>
          <w:sz w:val="24"/>
          <w:szCs w:val="24"/>
          <w:highlight w:val="none"/>
          <w:lang w:val="en-US" w:eastAsia="zh-CN"/>
        </w:rPr>
        <w:t>勘察</w:t>
      </w:r>
      <w:r>
        <w:rPr>
          <w:rFonts w:hint="eastAsia" w:ascii="宋体" w:hAnsi="宋体" w:eastAsia="宋体" w:cs="宋体"/>
          <w:color w:val="auto"/>
          <w:sz w:val="24"/>
          <w:szCs w:val="24"/>
          <w:highlight w:val="none"/>
        </w:rPr>
        <w:t>设计工作的所有费用，还应考虑招标人提出的与项目相关的其他要求所产生的费用。</w:t>
      </w:r>
    </w:p>
    <w:p w14:paraId="6212BDB5">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9.4</w:t>
      </w:r>
      <w:r>
        <w:rPr>
          <w:rFonts w:hint="eastAsia" w:ascii="宋体" w:hAnsi="宋体" w:eastAsia="宋体" w:cs="宋体"/>
          <w:color w:val="auto"/>
          <w:sz w:val="24"/>
          <w:szCs w:val="24"/>
          <w:highlight w:val="none"/>
        </w:rPr>
        <w:t>勘察设计成果必须按要求满足勘察设计规定的深度。所报的勘察费、设计费应包含投标人自投标之日起至工程验收合格所需的费用。若勘察设计深度不够，导致设计更改、工程量增加、费用增加的，由中标单位以勘察费、设计费为限承担责任。</w:t>
      </w:r>
    </w:p>
    <w:p w14:paraId="11D6CE26">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9.5本项目投标报价应综合考虑勘察设计总包服务费、各阶段成果文件的审查费、专家评审费以及所有专业及工程复杂程度相关的调整系数以及报建工作所需的内容等所包含的一切费用，还应考虑任何阶段性设计修改不增加任何费用的风险。设计费的报价应包含进行优化设计或修改设计所增加的设计费用。</w:t>
      </w:r>
    </w:p>
    <w:p w14:paraId="096D5AC8">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9.6</w:t>
      </w:r>
      <w:r>
        <w:rPr>
          <w:rFonts w:hint="eastAsia" w:ascii="宋体" w:hAnsi="宋体" w:eastAsia="宋体" w:cs="宋体"/>
          <w:color w:val="auto"/>
          <w:sz w:val="24"/>
          <w:szCs w:val="24"/>
          <w:highlight w:val="none"/>
        </w:rPr>
        <w:t>投标报价时应充分考虑“中标人须知”及“拟签订合同的主要条款”中所列条款的要求及风险。</w:t>
      </w:r>
    </w:p>
    <w:p w14:paraId="4E407DA7">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132" w:name="_Toc28532"/>
      <w:bookmarkStart w:id="133" w:name="_Toc26339"/>
      <w:bookmarkStart w:id="134" w:name="_Toc25147"/>
      <w:bookmarkStart w:id="135" w:name="_Toc7"/>
      <w:r>
        <w:rPr>
          <w:rFonts w:hint="eastAsia" w:ascii="宋体" w:hAnsi="宋体" w:eastAsia="宋体" w:cs="宋体"/>
          <w:b/>
          <w:bCs/>
          <w:snapToGrid w:val="0"/>
          <w:color w:val="auto"/>
          <w:kern w:val="0"/>
          <w:sz w:val="24"/>
          <w:highlight w:val="none"/>
          <w:lang w:val="en-US" w:eastAsia="zh-CN"/>
        </w:rPr>
        <w:t>10.投标文件的编制</w:t>
      </w:r>
      <w:bookmarkStart w:id="136" w:name="_Hlt69332370"/>
      <w:bookmarkEnd w:id="136"/>
      <w:bookmarkStart w:id="137" w:name="_Hlt69208262"/>
      <w:bookmarkEnd w:id="137"/>
      <w:r>
        <w:rPr>
          <w:rFonts w:hint="eastAsia" w:ascii="宋体" w:hAnsi="宋体" w:eastAsia="宋体" w:cs="宋体"/>
          <w:b/>
          <w:bCs/>
          <w:snapToGrid w:val="0"/>
          <w:color w:val="auto"/>
          <w:kern w:val="0"/>
          <w:sz w:val="24"/>
          <w:highlight w:val="none"/>
          <w:lang w:val="en-US" w:eastAsia="zh-CN"/>
        </w:rPr>
        <w:t>要求</w:t>
      </w:r>
      <w:bookmarkEnd w:id="127"/>
      <w:bookmarkEnd w:id="131"/>
      <w:bookmarkEnd w:id="132"/>
      <w:bookmarkEnd w:id="133"/>
      <w:bookmarkEnd w:id="134"/>
      <w:bookmarkEnd w:id="135"/>
    </w:p>
    <w:p w14:paraId="65296FFB">
      <w:pPr>
        <w:pStyle w:val="178"/>
        <w:spacing w:before="0" w:after="0" w:line="360" w:lineRule="auto"/>
        <w:ind w:firstLine="482" w:firstLineChars="200"/>
        <w:jc w:val="both"/>
        <w:outlineLvl w:val="9"/>
        <w:rPr>
          <w:rFonts w:hint="eastAsia" w:ascii="宋体" w:hAnsi="宋体" w:eastAsia="宋体" w:cs="宋体"/>
          <w:b/>
          <w:color w:val="auto"/>
          <w:highlight w:val="none"/>
        </w:rPr>
      </w:pPr>
      <w:bookmarkStart w:id="138" w:name="_Hlt74495594"/>
      <w:bookmarkEnd w:id="138"/>
      <w:bookmarkStart w:id="139" w:name="_Hlt78768224"/>
      <w:bookmarkEnd w:id="139"/>
      <w:bookmarkStart w:id="140" w:name="_Hlt74497202"/>
      <w:bookmarkEnd w:id="140"/>
      <w:bookmarkStart w:id="141" w:name="_Toc27568"/>
      <w:bookmarkStart w:id="142" w:name="_Toc29107"/>
      <w:bookmarkStart w:id="143" w:name="_Toc21394"/>
      <w:r>
        <w:rPr>
          <w:rFonts w:hint="eastAsia" w:ascii="宋体" w:hAnsi="宋体" w:eastAsia="宋体" w:cs="宋体"/>
          <w:b/>
          <w:color w:val="auto"/>
          <w:highlight w:val="none"/>
        </w:rPr>
        <w:t>10.1一般要求</w:t>
      </w:r>
      <w:bookmarkEnd w:id="141"/>
      <w:bookmarkEnd w:id="142"/>
      <w:bookmarkEnd w:id="143"/>
    </w:p>
    <w:p w14:paraId="0D17305D">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投标文件应按第五章 投标文件格式规定的内容，投标人提交的投标文件应当使用招标文件所提供的投标文件全部格式。</w:t>
      </w:r>
    </w:p>
    <w:p w14:paraId="0EC1AD24">
      <w:pPr>
        <w:spacing w:line="360" w:lineRule="auto"/>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10.1.1</w:t>
      </w:r>
      <w:r>
        <w:rPr>
          <w:rFonts w:hint="eastAsia" w:ascii="宋体" w:hAnsi="宋体" w:eastAsia="宋体" w:cs="宋体"/>
          <w:color w:val="auto"/>
          <w:sz w:val="24"/>
          <w:szCs w:val="24"/>
          <w:highlight w:val="none"/>
        </w:rPr>
        <w:t>投标人必须响应招标文件，并在充分理解招标人提供的全部文件、设计图纸、资料及现场条件的基础上编制投标文件。因投标文件不符合招标文件的要求而造成的损失和后果，由投标人自行承担。</w:t>
      </w:r>
    </w:p>
    <w:p w14:paraId="4E01C64E">
      <w:pPr>
        <w:spacing w:line="360" w:lineRule="auto"/>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10.1.2</w:t>
      </w:r>
      <w:r>
        <w:rPr>
          <w:rFonts w:hint="eastAsia" w:ascii="宋体" w:hAnsi="宋体" w:eastAsia="宋体" w:cs="宋体"/>
          <w:color w:val="auto"/>
          <w:sz w:val="24"/>
          <w:szCs w:val="24"/>
          <w:highlight w:val="none"/>
        </w:rPr>
        <w:t>投标文件在电子投标时全部采用电子文档（中标人自中标通知书发出之日起五个工作日内提供纸质版投标文件给招标人存档），投标文件所附证书证件均为彩色扫描件，并采用单位数字证书，按招标文件要求在相应位置加盖电子印章。投标文件中需个人签字或盖章的，应加盖个人电子印章或在线下完成后扫描上传。按照交易平台关于全流程电子化项目的相关指南进行操作。详见《韶关市公共资源建设工程交易系统-投标人操作指南（电子评标）V1.3》。</w:t>
      </w:r>
    </w:p>
    <w:p w14:paraId="530919F7">
      <w:pPr>
        <w:spacing w:line="360" w:lineRule="auto"/>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10.1.3</w:t>
      </w:r>
      <w:r>
        <w:rPr>
          <w:rFonts w:hint="eastAsia" w:ascii="宋体" w:hAnsi="宋体" w:eastAsia="宋体" w:cs="宋体"/>
          <w:color w:val="auto"/>
          <w:sz w:val="24"/>
          <w:szCs w:val="24"/>
          <w:highlight w:val="none"/>
        </w:rPr>
        <w:t>投标文件需按以下要求签字、盖章：</w:t>
      </w:r>
    </w:p>
    <w:p w14:paraId="366189F3">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w:t>
      </w:r>
    </w:p>
    <w:p w14:paraId="384BBB17">
      <w:pPr>
        <w:spacing w:line="360" w:lineRule="auto"/>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10.1.3.1</w:t>
      </w:r>
      <w:r>
        <w:rPr>
          <w:rFonts w:hint="eastAsia" w:ascii="宋体" w:hAnsi="宋体" w:eastAsia="宋体" w:cs="宋体"/>
          <w:color w:val="auto"/>
          <w:sz w:val="24"/>
          <w:szCs w:val="24"/>
          <w:highlight w:val="none"/>
        </w:rPr>
        <w:t>投标文件封面、组成内容中凡注明“签字”处由要求的人员签字或电子签章；凡注明“签字或盖章”处由要求的人员签字或盖其私章（电子印章）；凡注明“签字并盖执业印章”处由要求的人员签字并盖其执业印章。</w:t>
      </w:r>
    </w:p>
    <w:p w14:paraId="6124FC4E">
      <w:pPr>
        <w:spacing w:line="360" w:lineRule="auto"/>
        <w:ind w:firstLine="482"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10.1.3.2</w:t>
      </w:r>
      <w:r>
        <w:rPr>
          <w:rFonts w:hint="eastAsia" w:ascii="宋体" w:hAnsi="宋体" w:eastAsia="宋体" w:cs="宋体"/>
          <w:color w:val="auto"/>
          <w:sz w:val="24"/>
          <w:szCs w:val="24"/>
          <w:highlight w:val="none"/>
        </w:rPr>
        <w:t>投标文件封套、封面、组成内容中凡要求录入投标人名称且注明“盖单位章”处盖单位法人公章（电子印章）。</w:t>
      </w:r>
    </w:p>
    <w:p w14:paraId="7A30D07F">
      <w:pPr>
        <w:spacing w:line="360" w:lineRule="auto"/>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10.1.3.3</w:t>
      </w:r>
      <w:r>
        <w:rPr>
          <w:rFonts w:hint="eastAsia" w:ascii="宋体" w:hAnsi="宋体" w:eastAsia="宋体" w:cs="宋体"/>
          <w:color w:val="auto"/>
          <w:sz w:val="24"/>
          <w:szCs w:val="24"/>
          <w:highlight w:val="none"/>
        </w:rPr>
        <w:t>投标文件的签字均为签字人本人亲笔署名或签章（电子印章），其余部分的彩色扫描件无须另行签字、盖章。</w:t>
      </w:r>
    </w:p>
    <w:p w14:paraId="6B279AC5">
      <w:pPr>
        <w:pStyle w:val="178"/>
        <w:spacing w:before="0" w:after="0" w:line="360" w:lineRule="auto"/>
        <w:ind w:firstLine="482" w:firstLineChars="200"/>
        <w:jc w:val="both"/>
        <w:outlineLvl w:val="9"/>
        <w:rPr>
          <w:rFonts w:hint="eastAsia" w:ascii="宋体" w:hAnsi="宋体" w:eastAsia="宋体" w:cs="宋体"/>
          <w:b/>
          <w:color w:val="auto"/>
          <w:highlight w:val="none"/>
        </w:rPr>
      </w:pPr>
      <w:bookmarkStart w:id="144" w:name="_Toc274313880"/>
      <w:bookmarkStart w:id="145" w:name="_Toc257031159"/>
      <w:bookmarkStart w:id="146" w:name="_Toc135054592"/>
      <w:bookmarkStart w:id="147" w:name="_Toc6742"/>
      <w:bookmarkStart w:id="148" w:name="_Toc496133009"/>
      <w:bookmarkStart w:id="149" w:name="_Toc71811309"/>
      <w:bookmarkStart w:id="150" w:name="_Toc71813699"/>
      <w:bookmarkStart w:id="151" w:name="_Toc15920"/>
      <w:bookmarkStart w:id="152" w:name="_Toc71811176"/>
      <w:bookmarkStart w:id="153" w:name="_Toc3442"/>
      <w:bookmarkStart w:id="154" w:name="_Toc11655"/>
      <w:bookmarkStart w:id="155" w:name="_Toc4518"/>
      <w:bookmarkStart w:id="156" w:name="_Toc8420"/>
      <w:bookmarkStart w:id="157" w:name="_Toc32104"/>
      <w:bookmarkStart w:id="158" w:name="_Toc7377"/>
      <w:bookmarkStart w:id="159" w:name="_Toc24067"/>
      <w:bookmarkStart w:id="160" w:name="_Toc31553"/>
      <w:bookmarkStart w:id="161" w:name="_Toc71811078"/>
      <w:bookmarkStart w:id="162" w:name="_Toc7351"/>
      <w:bookmarkStart w:id="163" w:name="_Toc22855"/>
      <w:r>
        <w:rPr>
          <w:rFonts w:hint="eastAsia" w:ascii="宋体" w:hAnsi="宋体" w:eastAsia="宋体" w:cs="宋体"/>
          <w:b/>
          <w:color w:val="auto"/>
          <w:highlight w:val="none"/>
        </w:rPr>
        <w:t>10.2商务经济标书的编制要求</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1465A25">
      <w:pPr>
        <w:pStyle w:val="80"/>
        <w:ind w:firstLine="480" w:firstLineChars="200"/>
        <w:outlineLvl w:val="9"/>
        <w:rPr>
          <w:rFonts w:hint="eastAsia" w:ascii="宋体" w:hAnsi="宋体" w:eastAsia="宋体" w:cs="宋体"/>
          <w:color w:val="auto"/>
          <w:szCs w:val="18"/>
          <w:highlight w:val="none"/>
        </w:rPr>
      </w:pPr>
      <w:r>
        <w:rPr>
          <w:rFonts w:hint="eastAsia" w:ascii="宋体" w:hAnsi="宋体" w:eastAsia="宋体" w:cs="宋体"/>
          <w:color w:val="auto"/>
          <w:szCs w:val="18"/>
          <w:highlight w:val="none"/>
        </w:rPr>
        <w:t>10.2.1商务经济标书包括但不限于以下内容：</w:t>
      </w:r>
    </w:p>
    <w:p w14:paraId="6F151FE9">
      <w:pPr>
        <w:pStyle w:val="80"/>
        <w:ind w:firstLine="480" w:firstLineChars="200"/>
        <w:outlineLvl w:val="9"/>
        <w:rPr>
          <w:rFonts w:hint="eastAsia" w:ascii="宋体" w:hAnsi="宋体" w:eastAsia="宋体" w:cs="宋体"/>
          <w:color w:val="auto"/>
          <w:szCs w:val="18"/>
          <w:highlight w:val="none"/>
        </w:rPr>
      </w:pPr>
      <w:r>
        <w:rPr>
          <w:rFonts w:hint="eastAsia" w:ascii="宋体" w:hAnsi="宋体" w:eastAsia="宋体" w:cs="宋体"/>
          <w:color w:val="auto"/>
          <w:szCs w:val="18"/>
          <w:highlight w:val="none"/>
        </w:rPr>
        <w:t>（1）封面（格式一）；</w:t>
      </w:r>
    </w:p>
    <w:p w14:paraId="31AA8A0B">
      <w:pPr>
        <w:pStyle w:val="80"/>
        <w:ind w:firstLine="480" w:firstLineChars="200"/>
        <w:outlineLvl w:val="9"/>
        <w:rPr>
          <w:rFonts w:hint="eastAsia" w:ascii="宋体" w:hAnsi="宋体" w:eastAsia="宋体" w:cs="宋体"/>
          <w:color w:val="auto"/>
          <w:szCs w:val="18"/>
          <w:highlight w:val="none"/>
        </w:rPr>
      </w:pPr>
      <w:r>
        <w:rPr>
          <w:rFonts w:hint="eastAsia" w:ascii="宋体" w:hAnsi="宋体" w:eastAsia="宋体" w:cs="宋体"/>
          <w:color w:val="auto"/>
          <w:szCs w:val="18"/>
          <w:highlight w:val="none"/>
        </w:rPr>
        <w:t>（2）目录；</w:t>
      </w:r>
    </w:p>
    <w:p w14:paraId="71E359A5">
      <w:pPr>
        <w:pStyle w:val="80"/>
        <w:ind w:firstLine="480" w:firstLineChars="200"/>
        <w:outlineLvl w:val="9"/>
        <w:rPr>
          <w:rFonts w:hint="eastAsia" w:ascii="宋体" w:hAnsi="宋体" w:eastAsia="宋体" w:cs="宋体"/>
          <w:color w:val="auto"/>
          <w:szCs w:val="18"/>
          <w:highlight w:val="none"/>
        </w:rPr>
      </w:pPr>
      <w:r>
        <w:rPr>
          <w:rFonts w:hint="eastAsia" w:ascii="宋体" w:hAnsi="宋体" w:eastAsia="宋体" w:cs="宋体"/>
          <w:color w:val="auto"/>
          <w:szCs w:val="18"/>
          <w:highlight w:val="none"/>
        </w:rPr>
        <w:t>（3）《投标函》（格式二）；</w:t>
      </w:r>
    </w:p>
    <w:p w14:paraId="161B3AC8">
      <w:pPr>
        <w:pStyle w:val="80"/>
        <w:ind w:firstLine="480" w:firstLineChars="200"/>
        <w:outlineLvl w:val="9"/>
        <w:rPr>
          <w:rFonts w:hint="eastAsia" w:ascii="宋体" w:hAnsi="宋体" w:eastAsia="宋体" w:cs="宋体"/>
          <w:color w:val="auto"/>
          <w:szCs w:val="18"/>
          <w:highlight w:val="none"/>
        </w:rPr>
      </w:pPr>
      <w:r>
        <w:rPr>
          <w:rFonts w:hint="eastAsia" w:ascii="宋体" w:hAnsi="宋体" w:eastAsia="宋体" w:cs="宋体"/>
          <w:color w:val="auto"/>
          <w:szCs w:val="18"/>
          <w:highlight w:val="none"/>
        </w:rPr>
        <w:t>（4）《工程项目报价表》（格式三）；</w:t>
      </w:r>
    </w:p>
    <w:p w14:paraId="06B543E3">
      <w:pPr>
        <w:pStyle w:val="80"/>
        <w:ind w:firstLine="480" w:firstLineChars="200"/>
        <w:outlineLvl w:val="9"/>
        <w:rPr>
          <w:rFonts w:hint="eastAsia" w:ascii="宋体" w:hAnsi="宋体" w:eastAsia="宋体" w:cs="宋体"/>
          <w:color w:val="auto"/>
          <w:szCs w:val="18"/>
          <w:highlight w:val="none"/>
        </w:rPr>
      </w:pPr>
      <w:r>
        <w:rPr>
          <w:rFonts w:hint="eastAsia" w:ascii="宋体" w:hAnsi="宋体" w:eastAsia="宋体" w:cs="宋体"/>
          <w:color w:val="auto"/>
          <w:szCs w:val="18"/>
          <w:highlight w:val="none"/>
        </w:rPr>
        <w:t>（5）《各项承诺一览表》（格式四）；</w:t>
      </w:r>
    </w:p>
    <w:p w14:paraId="70312A6E">
      <w:pPr>
        <w:pStyle w:val="80"/>
        <w:ind w:firstLine="480" w:firstLineChars="200"/>
        <w:outlineLvl w:val="9"/>
        <w:rPr>
          <w:rFonts w:hint="eastAsia" w:ascii="宋体" w:hAnsi="宋体" w:eastAsia="宋体" w:cs="宋体"/>
          <w:color w:val="auto"/>
          <w:szCs w:val="18"/>
          <w:highlight w:val="none"/>
        </w:rPr>
      </w:pPr>
      <w:r>
        <w:rPr>
          <w:rFonts w:hint="eastAsia" w:ascii="宋体" w:hAnsi="宋体" w:eastAsia="宋体" w:cs="宋体"/>
          <w:color w:val="auto"/>
          <w:szCs w:val="18"/>
          <w:highlight w:val="none"/>
        </w:rPr>
        <w:t>（6）《投标人基本情况表》（格式五）；</w:t>
      </w:r>
    </w:p>
    <w:p w14:paraId="4B267A7A">
      <w:pPr>
        <w:pStyle w:val="80"/>
        <w:ind w:firstLine="480" w:firstLineChars="200"/>
        <w:outlineLvl w:val="9"/>
        <w:rPr>
          <w:rFonts w:hint="eastAsia" w:ascii="宋体" w:hAnsi="宋体" w:eastAsia="宋体" w:cs="宋体"/>
          <w:color w:val="auto"/>
          <w:szCs w:val="18"/>
          <w:highlight w:val="none"/>
        </w:rPr>
      </w:pPr>
      <w:r>
        <w:rPr>
          <w:rFonts w:hint="eastAsia" w:ascii="宋体" w:hAnsi="宋体" w:eastAsia="宋体" w:cs="宋体"/>
          <w:color w:val="auto"/>
          <w:szCs w:val="18"/>
          <w:highlight w:val="none"/>
        </w:rPr>
        <w:t>（7）《设计负责人简历表》（格式六）；</w:t>
      </w:r>
    </w:p>
    <w:p w14:paraId="113C5DA4">
      <w:pPr>
        <w:pStyle w:val="80"/>
        <w:ind w:firstLine="480" w:firstLineChars="200"/>
        <w:outlineLvl w:val="9"/>
        <w:rPr>
          <w:rFonts w:hint="eastAsia" w:ascii="宋体" w:hAnsi="宋体" w:eastAsia="宋体" w:cs="宋体"/>
          <w:color w:val="auto"/>
          <w:szCs w:val="18"/>
          <w:highlight w:val="none"/>
        </w:rPr>
      </w:pPr>
      <w:r>
        <w:rPr>
          <w:rFonts w:hint="eastAsia" w:ascii="宋体" w:hAnsi="宋体" w:eastAsia="宋体" w:cs="宋体"/>
          <w:color w:val="auto"/>
          <w:szCs w:val="18"/>
          <w:highlight w:val="none"/>
        </w:rPr>
        <w:t>（</w:t>
      </w:r>
      <w:r>
        <w:rPr>
          <w:rFonts w:hint="eastAsia" w:ascii="宋体" w:hAnsi="宋体" w:eastAsia="宋体" w:cs="宋体"/>
          <w:color w:val="auto"/>
          <w:szCs w:val="18"/>
          <w:highlight w:val="none"/>
          <w:lang w:val="en-US" w:eastAsia="zh-CN"/>
        </w:rPr>
        <w:t>8</w:t>
      </w:r>
      <w:r>
        <w:rPr>
          <w:rFonts w:hint="eastAsia" w:ascii="宋体" w:hAnsi="宋体" w:eastAsia="宋体" w:cs="宋体"/>
          <w:color w:val="auto"/>
          <w:szCs w:val="18"/>
          <w:highlight w:val="none"/>
        </w:rPr>
        <w:t>）《本项目拟投入的人员基本情况表》（格式</w:t>
      </w:r>
      <w:r>
        <w:rPr>
          <w:rFonts w:hint="eastAsia" w:ascii="宋体" w:hAnsi="宋体" w:eastAsia="宋体" w:cs="宋体"/>
          <w:color w:val="auto"/>
          <w:szCs w:val="18"/>
          <w:highlight w:val="none"/>
          <w:lang w:val="en-US" w:eastAsia="zh-CN"/>
        </w:rPr>
        <w:t>七</w:t>
      </w:r>
      <w:r>
        <w:rPr>
          <w:rFonts w:hint="eastAsia" w:ascii="宋体" w:hAnsi="宋体" w:eastAsia="宋体" w:cs="宋体"/>
          <w:color w:val="auto"/>
          <w:szCs w:val="18"/>
          <w:highlight w:val="none"/>
        </w:rPr>
        <w:t>）；</w:t>
      </w:r>
    </w:p>
    <w:p w14:paraId="551114EF">
      <w:pPr>
        <w:pStyle w:val="80"/>
        <w:ind w:firstLine="480" w:firstLineChars="200"/>
        <w:outlineLvl w:val="9"/>
        <w:rPr>
          <w:rFonts w:hint="eastAsia" w:ascii="宋体" w:hAnsi="宋体" w:eastAsia="宋体" w:cs="宋体"/>
          <w:color w:val="auto"/>
          <w:szCs w:val="18"/>
          <w:highlight w:val="none"/>
        </w:rPr>
      </w:pPr>
      <w:r>
        <w:rPr>
          <w:rFonts w:hint="eastAsia" w:ascii="宋体" w:hAnsi="宋体" w:eastAsia="宋体" w:cs="宋体"/>
          <w:color w:val="auto"/>
          <w:szCs w:val="18"/>
          <w:highlight w:val="none"/>
        </w:rPr>
        <w:t>（</w:t>
      </w:r>
      <w:r>
        <w:rPr>
          <w:rFonts w:hint="eastAsia" w:ascii="宋体" w:hAnsi="宋体" w:eastAsia="宋体" w:cs="宋体"/>
          <w:color w:val="auto"/>
          <w:szCs w:val="18"/>
          <w:highlight w:val="none"/>
          <w:lang w:val="en-US" w:eastAsia="zh-CN"/>
        </w:rPr>
        <w:t>9</w:t>
      </w:r>
      <w:r>
        <w:rPr>
          <w:rFonts w:hint="eastAsia" w:ascii="宋体" w:hAnsi="宋体" w:eastAsia="宋体" w:cs="宋体"/>
          <w:color w:val="auto"/>
          <w:szCs w:val="18"/>
          <w:highlight w:val="none"/>
        </w:rPr>
        <w:t>）《法定代表人身份证明书》（格式</w:t>
      </w:r>
      <w:r>
        <w:rPr>
          <w:rFonts w:hint="eastAsia" w:ascii="宋体" w:hAnsi="宋体" w:eastAsia="宋体" w:cs="宋体"/>
          <w:color w:val="auto"/>
          <w:szCs w:val="18"/>
          <w:highlight w:val="none"/>
          <w:lang w:val="en-US" w:eastAsia="zh-CN"/>
        </w:rPr>
        <w:t>八</w:t>
      </w:r>
      <w:r>
        <w:rPr>
          <w:rFonts w:hint="eastAsia" w:ascii="宋体" w:hAnsi="宋体" w:eastAsia="宋体" w:cs="宋体"/>
          <w:color w:val="auto"/>
          <w:szCs w:val="18"/>
          <w:highlight w:val="none"/>
        </w:rPr>
        <w:t>）；</w:t>
      </w:r>
    </w:p>
    <w:p w14:paraId="0EFFE4A4">
      <w:pPr>
        <w:pStyle w:val="80"/>
        <w:ind w:firstLine="480" w:firstLineChars="200"/>
        <w:outlineLvl w:val="9"/>
        <w:rPr>
          <w:rFonts w:hint="eastAsia" w:ascii="宋体" w:hAnsi="宋体" w:eastAsia="宋体" w:cs="宋体"/>
          <w:color w:val="auto"/>
          <w:szCs w:val="18"/>
          <w:highlight w:val="none"/>
        </w:rPr>
      </w:pPr>
      <w:r>
        <w:rPr>
          <w:rFonts w:hint="eastAsia" w:ascii="宋体" w:hAnsi="宋体" w:eastAsia="宋体" w:cs="宋体"/>
          <w:color w:val="auto"/>
          <w:szCs w:val="18"/>
          <w:highlight w:val="none"/>
        </w:rPr>
        <w:t>（1</w:t>
      </w:r>
      <w:r>
        <w:rPr>
          <w:rFonts w:hint="eastAsia" w:ascii="宋体" w:hAnsi="宋体" w:eastAsia="宋体" w:cs="宋体"/>
          <w:color w:val="auto"/>
          <w:szCs w:val="18"/>
          <w:highlight w:val="none"/>
          <w:lang w:val="en-US" w:eastAsia="zh-CN"/>
        </w:rPr>
        <w:t>0</w:t>
      </w:r>
      <w:r>
        <w:rPr>
          <w:rFonts w:hint="eastAsia" w:ascii="宋体" w:hAnsi="宋体" w:eastAsia="宋体" w:cs="宋体"/>
          <w:color w:val="auto"/>
          <w:szCs w:val="18"/>
          <w:highlight w:val="none"/>
        </w:rPr>
        <w:t>）《法定代表人授权委托书》（格式</w:t>
      </w:r>
      <w:r>
        <w:rPr>
          <w:rFonts w:hint="eastAsia" w:ascii="宋体" w:hAnsi="宋体" w:eastAsia="宋体" w:cs="宋体"/>
          <w:color w:val="auto"/>
          <w:szCs w:val="18"/>
          <w:highlight w:val="none"/>
          <w:lang w:val="en-US" w:eastAsia="zh-CN"/>
        </w:rPr>
        <w:t>九</w:t>
      </w:r>
      <w:r>
        <w:rPr>
          <w:rFonts w:hint="eastAsia" w:ascii="宋体" w:hAnsi="宋体" w:eastAsia="宋体" w:cs="宋体"/>
          <w:color w:val="auto"/>
          <w:szCs w:val="18"/>
          <w:highlight w:val="none"/>
        </w:rPr>
        <w:t>）；</w:t>
      </w:r>
    </w:p>
    <w:p w14:paraId="36BA9BF1">
      <w:pPr>
        <w:pStyle w:val="80"/>
        <w:ind w:firstLine="480" w:firstLineChars="200"/>
        <w:outlineLvl w:val="9"/>
        <w:rPr>
          <w:rFonts w:hint="eastAsia" w:ascii="宋体" w:hAnsi="宋体" w:eastAsia="宋体" w:cs="宋体"/>
          <w:color w:val="auto"/>
          <w:szCs w:val="18"/>
          <w:highlight w:val="none"/>
          <w:lang w:eastAsia="zh-CN"/>
        </w:rPr>
      </w:pPr>
      <w:r>
        <w:rPr>
          <w:rFonts w:hint="eastAsia" w:ascii="宋体" w:hAnsi="宋体" w:eastAsia="宋体" w:cs="宋体"/>
          <w:color w:val="auto"/>
          <w:szCs w:val="18"/>
          <w:highlight w:val="none"/>
        </w:rPr>
        <w:t>（</w:t>
      </w:r>
      <w:r>
        <w:rPr>
          <w:rFonts w:hint="eastAsia" w:ascii="宋体" w:hAnsi="宋体" w:eastAsia="宋体" w:cs="宋体"/>
          <w:color w:val="auto"/>
          <w:szCs w:val="18"/>
          <w:highlight w:val="none"/>
          <w:lang w:val="en-US" w:eastAsia="zh-CN"/>
        </w:rPr>
        <w:t>11</w:t>
      </w:r>
      <w:r>
        <w:rPr>
          <w:rFonts w:hint="eastAsia" w:ascii="宋体" w:hAnsi="宋体" w:eastAsia="宋体" w:cs="宋体"/>
          <w:color w:val="auto"/>
          <w:szCs w:val="18"/>
          <w:highlight w:val="none"/>
        </w:rPr>
        <w:t>）投标保证缴纳证明（投标人采用投标保证金的，附建设工程交易系统《缴纳投标保证金通知书》页面截图或银行转账单彩色扫描件；采用投标保证担保的，附银行保函彩色扫描件；采用投标保证保险的，附电子保单彩色扫描件）</w:t>
      </w:r>
      <w:r>
        <w:rPr>
          <w:rFonts w:hint="eastAsia" w:ascii="宋体" w:hAnsi="宋体" w:eastAsia="宋体" w:cs="宋体"/>
          <w:color w:val="auto"/>
          <w:szCs w:val="18"/>
          <w:highlight w:val="none"/>
          <w:lang w:eastAsia="zh-CN"/>
        </w:rPr>
        <w:t>；</w:t>
      </w:r>
    </w:p>
    <w:p w14:paraId="4B20AA50">
      <w:pPr>
        <w:pStyle w:val="80"/>
        <w:ind w:firstLine="480" w:firstLineChars="200"/>
        <w:outlineLvl w:val="9"/>
        <w:rPr>
          <w:rFonts w:hint="eastAsia" w:ascii="宋体" w:hAnsi="宋体" w:eastAsia="宋体" w:cs="宋体"/>
          <w:color w:val="auto"/>
          <w:szCs w:val="18"/>
          <w:highlight w:val="none"/>
        </w:rPr>
      </w:pPr>
      <w:r>
        <w:rPr>
          <w:rFonts w:hint="eastAsia" w:ascii="宋体" w:hAnsi="宋体" w:eastAsia="宋体" w:cs="宋体"/>
          <w:color w:val="auto"/>
          <w:szCs w:val="18"/>
          <w:highlight w:val="none"/>
        </w:rPr>
        <w:t>（</w:t>
      </w:r>
      <w:r>
        <w:rPr>
          <w:rFonts w:hint="eastAsia" w:ascii="宋体" w:hAnsi="宋体" w:eastAsia="宋体" w:cs="宋体"/>
          <w:color w:val="auto"/>
          <w:szCs w:val="18"/>
          <w:highlight w:val="none"/>
          <w:lang w:val="en-US" w:eastAsia="zh-CN"/>
        </w:rPr>
        <w:t>12</w:t>
      </w:r>
      <w:r>
        <w:rPr>
          <w:rFonts w:hint="eastAsia" w:ascii="宋体" w:hAnsi="宋体" w:eastAsia="宋体" w:cs="宋体"/>
          <w:color w:val="auto"/>
          <w:szCs w:val="18"/>
          <w:highlight w:val="none"/>
        </w:rPr>
        <w:t>）详细评审阶段要求提供的评审资料（详见本节第17.5.1目）；</w:t>
      </w:r>
    </w:p>
    <w:p w14:paraId="356040AE">
      <w:pPr>
        <w:pStyle w:val="80"/>
        <w:ind w:firstLine="480" w:firstLineChars="200"/>
        <w:outlineLvl w:val="9"/>
        <w:rPr>
          <w:rFonts w:hint="eastAsia" w:ascii="宋体" w:hAnsi="宋体" w:eastAsia="宋体" w:cs="宋体"/>
          <w:color w:val="auto"/>
          <w:szCs w:val="18"/>
          <w:highlight w:val="none"/>
        </w:rPr>
      </w:pPr>
      <w:r>
        <w:rPr>
          <w:rFonts w:hint="eastAsia" w:ascii="宋体" w:hAnsi="宋体" w:eastAsia="宋体" w:cs="宋体"/>
          <w:color w:val="auto"/>
          <w:szCs w:val="18"/>
          <w:highlight w:val="none"/>
        </w:rPr>
        <w:t>（</w:t>
      </w:r>
      <w:r>
        <w:rPr>
          <w:rFonts w:hint="eastAsia" w:ascii="宋体" w:hAnsi="宋体" w:eastAsia="宋体" w:cs="宋体"/>
          <w:color w:val="auto"/>
          <w:szCs w:val="18"/>
          <w:highlight w:val="none"/>
          <w:lang w:val="en-US" w:eastAsia="zh-CN"/>
        </w:rPr>
        <w:t>13</w:t>
      </w:r>
      <w:r>
        <w:rPr>
          <w:rFonts w:hint="eastAsia" w:ascii="宋体" w:hAnsi="宋体" w:eastAsia="宋体" w:cs="宋体"/>
          <w:color w:val="auto"/>
          <w:szCs w:val="18"/>
          <w:highlight w:val="none"/>
        </w:rPr>
        <w:t>）投标人认为有必要补充的其他资料。（例如投标人已经工商变更，但其企业资质证书或其员工执业资格注册证书上的企业名称未能在投标期间完成变更的书面说明和佐证材料；外省企业所在省、地级市住建部门或其授权的组织（机构）关于企业资质、人员资格有效期自动顺延或延期办理的相关文件等）。</w:t>
      </w:r>
    </w:p>
    <w:p w14:paraId="674DFDD9">
      <w:pPr>
        <w:pStyle w:val="80"/>
        <w:ind w:firstLine="480" w:firstLineChars="200"/>
        <w:outlineLvl w:val="9"/>
        <w:rPr>
          <w:rFonts w:hint="eastAsia" w:ascii="宋体" w:hAnsi="宋体" w:eastAsia="宋体" w:cs="宋体"/>
          <w:color w:val="auto"/>
          <w:szCs w:val="18"/>
          <w:highlight w:val="none"/>
        </w:rPr>
      </w:pPr>
      <w:r>
        <w:rPr>
          <w:rFonts w:hint="eastAsia" w:ascii="宋体" w:hAnsi="宋体" w:eastAsia="宋体" w:cs="宋体"/>
          <w:color w:val="auto"/>
          <w:szCs w:val="18"/>
          <w:highlight w:val="none"/>
        </w:rPr>
        <w:t>10.2.2本节第10.2.1目中所列出的商务经济标书组成内容中，第（1）至第（</w:t>
      </w:r>
      <w:r>
        <w:rPr>
          <w:rFonts w:hint="eastAsia" w:ascii="宋体" w:hAnsi="宋体" w:eastAsia="宋体" w:cs="宋体"/>
          <w:color w:val="auto"/>
          <w:szCs w:val="18"/>
          <w:highlight w:val="none"/>
          <w:lang w:val="en-US" w:eastAsia="zh-CN"/>
        </w:rPr>
        <w:t>12</w:t>
      </w:r>
      <w:r>
        <w:rPr>
          <w:rFonts w:hint="eastAsia" w:ascii="宋体" w:hAnsi="宋体" w:eastAsia="宋体" w:cs="宋体"/>
          <w:color w:val="auto"/>
          <w:szCs w:val="18"/>
          <w:highlight w:val="none"/>
        </w:rPr>
        <w:t>）项所有投标人均应提供。</w:t>
      </w:r>
    </w:p>
    <w:p w14:paraId="401481E6">
      <w:pPr>
        <w:pStyle w:val="80"/>
        <w:ind w:firstLine="480" w:firstLineChars="200"/>
        <w:outlineLvl w:val="9"/>
        <w:rPr>
          <w:rFonts w:hint="eastAsia" w:ascii="宋体" w:hAnsi="宋体" w:eastAsia="宋体" w:cs="宋体"/>
          <w:color w:val="auto"/>
          <w:szCs w:val="18"/>
          <w:highlight w:val="none"/>
        </w:rPr>
      </w:pPr>
      <w:r>
        <w:rPr>
          <w:rFonts w:hint="eastAsia" w:ascii="宋体" w:hAnsi="宋体" w:eastAsia="宋体" w:cs="宋体"/>
          <w:color w:val="auto"/>
          <w:szCs w:val="18"/>
          <w:highlight w:val="none"/>
        </w:rPr>
        <w:t>10.2.3商务经济标书应尽量避免手工涂改、行间插字或删除。如果出现上述情况，改动之处应加盖单位章确认。</w:t>
      </w:r>
    </w:p>
    <w:p w14:paraId="6FEF7C2C">
      <w:pPr>
        <w:pStyle w:val="178"/>
        <w:spacing w:before="0" w:after="0" w:line="360" w:lineRule="auto"/>
        <w:ind w:firstLine="482" w:firstLineChars="200"/>
        <w:jc w:val="both"/>
        <w:outlineLvl w:val="9"/>
        <w:rPr>
          <w:rFonts w:hint="eastAsia" w:ascii="宋体" w:hAnsi="宋体" w:eastAsia="宋体" w:cs="宋体"/>
          <w:b/>
          <w:color w:val="auto"/>
          <w:highlight w:val="none"/>
        </w:rPr>
      </w:pPr>
      <w:bookmarkStart w:id="164" w:name="_Toc766"/>
      <w:bookmarkStart w:id="165" w:name="_Toc20047"/>
      <w:bookmarkStart w:id="166" w:name="_Toc31975"/>
      <w:bookmarkStart w:id="167" w:name="_Toc3758"/>
      <w:bookmarkStart w:id="168" w:name="_Toc71811177"/>
      <w:bookmarkStart w:id="169" w:name="_Toc135054593"/>
      <w:bookmarkStart w:id="170" w:name="_Toc14011"/>
      <w:bookmarkStart w:id="171" w:name="_Toc71811079"/>
      <w:bookmarkStart w:id="172" w:name="_Toc31132"/>
      <w:bookmarkStart w:id="173" w:name="_Toc71813700"/>
      <w:bookmarkStart w:id="174" w:name="_Toc8028"/>
      <w:bookmarkStart w:id="175" w:name="_Toc310"/>
      <w:bookmarkStart w:id="176" w:name="_Toc30968"/>
      <w:bookmarkStart w:id="177" w:name="_Toc29429"/>
      <w:bookmarkStart w:id="178" w:name="_Toc496133010"/>
      <w:bookmarkStart w:id="179" w:name="_Toc30837"/>
      <w:bookmarkStart w:id="180" w:name="_Toc466640590"/>
      <w:bookmarkStart w:id="181" w:name="_Toc71811310"/>
      <w:bookmarkStart w:id="182" w:name="_Toc477"/>
      <w:r>
        <w:rPr>
          <w:rFonts w:hint="eastAsia" w:ascii="宋体" w:hAnsi="宋体" w:eastAsia="宋体" w:cs="宋体"/>
          <w:b/>
          <w:color w:val="auto"/>
          <w:highlight w:val="none"/>
        </w:rPr>
        <w:t>10.3技术标书的编制要求</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4680C66E">
      <w:pPr>
        <w:pStyle w:val="142"/>
        <w:ind w:firstLine="420" w:firstLineChars="175"/>
        <w:outlineLvl w:val="9"/>
        <w:rPr>
          <w:rFonts w:hint="eastAsia" w:ascii="宋体" w:hAnsi="宋体" w:eastAsia="宋体" w:cs="宋体"/>
          <w:color w:val="auto"/>
          <w:highlight w:val="none"/>
        </w:rPr>
      </w:pPr>
      <w:r>
        <w:rPr>
          <w:rFonts w:hint="eastAsia" w:ascii="宋体" w:hAnsi="宋体" w:eastAsia="宋体" w:cs="宋体"/>
          <w:color w:val="auto"/>
          <w:highlight w:val="none"/>
        </w:rPr>
        <w:t>10.3.1技术标书包括但不限于以下内容：</w:t>
      </w:r>
    </w:p>
    <w:p w14:paraId="2EE54C22">
      <w:pPr>
        <w:pStyle w:val="142"/>
        <w:ind w:firstLine="420" w:firstLineChars="175"/>
        <w:outlineLvl w:val="9"/>
        <w:rPr>
          <w:rFonts w:hint="eastAsia" w:ascii="宋体" w:hAnsi="宋体" w:eastAsia="宋体" w:cs="宋体"/>
          <w:color w:val="auto"/>
          <w:highlight w:val="none"/>
        </w:rPr>
      </w:pPr>
      <w:r>
        <w:rPr>
          <w:rFonts w:hint="eastAsia" w:ascii="宋体" w:hAnsi="宋体" w:eastAsia="宋体" w:cs="宋体"/>
          <w:color w:val="auto"/>
          <w:highlight w:val="none"/>
        </w:rPr>
        <w:t>（1）封面</w:t>
      </w:r>
      <w:r>
        <w:rPr>
          <w:rFonts w:hint="eastAsia" w:ascii="宋体" w:hAnsi="宋体" w:eastAsia="宋体" w:cs="宋体"/>
          <w:color w:val="auto"/>
          <w:szCs w:val="22"/>
          <w:highlight w:val="none"/>
        </w:rPr>
        <w:t>（格式一）</w:t>
      </w:r>
      <w:r>
        <w:rPr>
          <w:rFonts w:hint="eastAsia" w:ascii="宋体" w:hAnsi="宋体" w:eastAsia="宋体" w:cs="宋体"/>
          <w:color w:val="auto"/>
          <w:highlight w:val="none"/>
        </w:rPr>
        <w:t>；</w:t>
      </w:r>
    </w:p>
    <w:p w14:paraId="3FDAEF6C">
      <w:pPr>
        <w:pStyle w:val="142"/>
        <w:ind w:firstLine="420" w:firstLineChars="175"/>
        <w:outlineLvl w:val="9"/>
        <w:rPr>
          <w:rFonts w:hint="eastAsia" w:ascii="宋体" w:hAnsi="宋体" w:eastAsia="宋体" w:cs="宋体"/>
          <w:color w:val="auto"/>
          <w:highlight w:val="none"/>
        </w:rPr>
      </w:pPr>
      <w:r>
        <w:rPr>
          <w:rFonts w:hint="eastAsia" w:ascii="宋体" w:hAnsi="宋体" w:eastAsia="宋体" w:cs="宋体"/>
          <w:color w:val="auto"/>
          <w:highlight w:val="none"/>
        </w:rPr>
        <w:t>（2）目录；</w:t>
      </w:r>
    </w:p>
    <w:p w14:paraId="0EFBBF85">
      <w:pPr>
        <w:pStyle w:val="142"/>
        <w:ind w:firstLine="420" w:firstLineChars="175"/>
        <w:outlineLvl w:val="9"/>
        <w:rPr>
          <w:rFonts w:hint="eastAsia" w:ascii="宋体" w:hAnsi="宋体" w:eastAsia="宋体" w:cs="宋体"/>
          <w:color w:val="auto"/>
          <w:szCs w:val="22"/>
          <w:highlight w:val="none"/>
        </w:rPr>
      </w:pPr>
      <w:r>
        <w:rPr>
          <w:rFonts w:hint="eastAsia" w:ascii="宋体" w:hAnsi="宋体" w:eastAsia="宋体" w:cs="宋体"/>
          <w:color w:val="auto"/>
          <w:szCs w:val="22"/>
          <w:highlight w:val="none"/>
        </w:rPr>
        <w:t>（3）投标人根据招标文件的《综合评分表》认为需要补充的其他资料。</w:t>
      </w:r>
    </w:p>
    <w:p w14:paraId="7E61467F">
      <w:pPr>
        <w:pStyle w:val="142"/>
        <w:ind w:firstLine="48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10.3.2本节第10.3.1目中所列出的技术标书组成内容中，第（1）至第（3）项所有投标人均应提供。</w:t>
      </w:r>
      <w:bookmarkStart w:id="183" w:name="_Toc32082"/>
      <w:bookmarkStart w:id="184" w:name="_Toc14893"/>
      <w:bookmarkStart w:id="185" w:name="_Toc485111106"/>
    </w:p>
    <w:p w14:paraId="3ED30F72">
      <w:pPr>
        <w:pStyle w:val="142"/>
        <w:ind w:firstLine="480" w:firstLineChars="200"/>
        <w:outlineLvl w:val="9"/>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10.3.3技术标书应尽量避免手工涂改、行间插字或删除。如果出现上述情况，改动之处应加盖单位章确认。</w:t>
      </w:r>
      <w:bookmarkEnd w:id="183"/>
    </w:p>
    <w:p w14:paraId="23F5D231">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186" w:name="_Toc135054594"/>
      <w:bookmarkStart w:id="187" w:name="_Toc32690"/>
      <w:bookmarkStart w:id="188" w:name="_Toc27991"/>
      <w:bookmarkStart w:id="189" w:name="_Toc2762"/>
      <w:bookmarkStart w:id="190" w:name="_Toc4101"/>
      <w:r>
        <w:rPr>
          <w:rFonts w:hint="eastAsia" w:ascii="宋体" w:hAnsi="宋体" w:eastAsia="宋体" w:cs="宋体"/>
          <w:b/>
          <w:bCs/>
          <w:snapToGrid w:val="0"/>
          <w:color w:val="auto"/>
          <w:kern w:val="0"/>
          <w:sz w:val="24"/>
          <w:highlight w:val="none"/>
          <w:lang w:val="en-US" w:eastAsia="zh-CN"/>
        </w:rPr>
        <w:t>11.投标文件的编制依据</w:t>
      </w:r>
      <w:bookmarkEnd w:id="184"/>
      <w:bookmarkEnd w:id="185"/>
      <w:bookmarkEnd w:id="186"/>
      <w:bookmarkEnd w:id="187"/>
      <w:bookmarkEnd w:id="188"/>
      <w:bookmarkEnd w:id="189"/>
      <w:bookmarkEnd w:id="190"/>
    </w:p>
    <w:p w14:paraId="71AE2BD6">
      <w:pPr>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11.1招标单位提供的设计文件等资料；</w:t>
      </w:r>
    </w:p>
    <w:p w14:paraId="32E1CDBE">
      <w:pPr>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11.2本招标文件；</w:t>
      </w:r>
    </w:p>
    <w:p w14:paraId="30332D91">
      <w:pPr>
        <w:spacing w:line="360" w:lineRule="auto"/>
        <w:ind w:firstLine="420" w:firstLineChars="175"/>
        <w:rPr>
          <w:rFonts w:hint="eastAsia" w:ascii="宋体" w:hAnsi="宋体" w:eastAsia="宋体" w:cs="宋体"/>
          <w:color w:val="auto"/>
          <w:highlight w:val="none"/>
        </w:rPr>
      </w:pPr>
      <w:r>
        <w:rPr>
          <w:rFonts w:hint="eastAsia" w:ascii="宋体" w:hAnsi="宋体" w:eastAsia="宋体" w:cs="宋体"/>
          <w:color w:val="auto"/>
          <w:sz w:val="24"/>
          <w:szCs w:val="24"/>
          <w:highlight w:val="none"/>
        </w:rPr>
        <w:t>11.3国家、广东省现行的有关法规、规定，建筑工程验收规范和质量检验评定标准等。</w:t>
      </w:r>
    </w:p>
    <w:bookmarkEnd w:id="128"/>
    <w:bookmarkEnd w:id="129"/>
    <w:p w14:paraId="14C92BA7">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191" w:name="_Toc12971"/>
      <w:bookmarkStart w:id="192" w:name="_Toc30539"/>
      <w:bookmarkStart w:id="193" w:name="_Toc24608"/>
      <w:bookmarkStart w:id="194" w:name="_Toc135054595"/>
      <w:bookmarkStart w:id="195" w:name="_Toc611"/>
      <w:bookmarkStart w:id="196" w:name="_Toc23133"/>
      <w:r>
        <w:rPr>
          <w:rFonts w:hint="eastAsia" w:ascii="宋体" w:hAnsi="宋体" w:eastAsia="宋体" w:cs="宋体"/>
          <w:b/>
          <w:bCs/>
          <w:snapToGrid w:val="0"/>
          <w:color w:val="auto"/>
          <w:kern w:val="0"/>
          <w:sz w:val="24"/>
          <w:highlight w:val="none"/>
          <w:lang w:val="en-US" w:eastAsia="zh-CN"/>
        </w:rPr>
        <w:t>12</w:t>
      </w:r>
      <w:bookmarkEnd w:id="191"/>
      <w:bookmarkStart w:id="197" w:name="_Hlt88627590"/>
      <w:bookmarkEnd w:id="197"/>
      <w:r>
        <w:rPr>
          <w:rFonts w:hint="eastAsia" w:ascii="宋体" w:hAnsi="宋体" w:eastAsia="宋体" w:cs="宋体"/>
          <w:b/>
          <w:bCs/>
          <w:snapToGrid w:val="0"/>
          <w:color w:val="auto"/>
          <w:kern w:val="0"/>
          <w:sz w:val="24"/>
          <w:highlight w:val="none"/>
          <w:lang w:val="en-US" w:eastAsia="zh-CN"/>
        </w:rPr>
        <w:t>.电子投标</w:t>
      </w:r>
      <w:bookmarkEnd w:id="192"/>
      <w:bookmarkEnd w:id="193"/>
      <w:bookmarkEnd w:id="194"/>
      <w:bookmarkEnd w:id="195"/>
      <w:bookmarkEnd w:id="196"/>
    </w:p>
    <w:p w14:paraId="1C02656E">
      <w:pPr>
        <w:pStyle w:val="80"/>
        <w:ind w:firstLine="482" w:firstLineChars="200"/>
        <w:rPr>
          <w:rFonts w:hint="eastAsia" w:ascii="宋体" w:hAnsi="宋体" w:eastAsia="宋体" w:cs="宋体"/>
          <w:bCs/>
          <w:color w:val="auto"/>
          <w:highlight w:val="none"/>
        </w:rPr>
      </w:pPr>
      <w:r>
        <w:rPr>
          <w:rFonts w:hint="eastAsia" w:ascii="宋体" w:hAnsi="宋体" w:eastAsia="宋体" w:cs="宋体"/>
          <w:b/>
          <w:color w:val="auto"/>
          <w:highlight w:val="none"/>
        </w:rPr>
        <w:t>12.1</w:t>
      </w:r>
      <w:r>
        <w:rPr>
          <w:rFonts w:hint="eastAsia" w:ascii="宋体" w:hAnsi="宋体" w:eastAsia="宋体" w:cs="宋体"/>
          <w:bCs/>
          <w:color w:val="auto"/>
          <w:highlight w:val="none"/>
        </w:rPr>
        <w:t>在建设工程交易系统上传加盖了电子印章的投标文件、录入相关信息及标书页码信息（页码起始从封面开始）并提交投标标书。提交标书为已加密投标文件。具体操作参照《韶关市公共资源建设工程交易系统-投标人操作指南（电子评标）V1.3》。本项目评标采用全流程电子化进行招标投标（投标人应根据全国公共资源交易平台（广东省·韶关市）新建设工程交易系统进行编辑投标相关内容、按招标文件电子投标要求上传已加盖电子印章投标文件，否则将自行承担不利后果）。投标文件完成上传后，投标人应使用CA数字证书对投标文件进行文件加密，形成加密的投标文件并提交标书。</w:t>
      </w:r>
    </w:p>
    <w:p w14:paraId="0B81DE26">
      <w:pPr>
        <w:pStyle w:val="80"/>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.2</w:t>
      </w:r>
      <w:r>
        <w:rPr>
          <w:rFonts w:hint="eastAsia" w:ascii="宋体" w:hAnsi="宋体" w:eastAsia="宋体" w:cs="宋体"/>
          <w:bCs/>
          <w:color w:val="auto"/>
          <w:highlight w:val="none"/>
        </w:rPr>
        <w:t>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14:paraId="0F2DD06F">
      <w:pPr>
        <w:pStyle w:val="80"/>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.3</w:t>
      </w:r>
      <w:r>
        <w:rPr>
          <w:rFonts w:hint="eastAsia" w:ascii="宋体" w:hAnsi="宋体" w:eastAsia="宋体" w:cs="宋体"/>
          <w:bCs/>
          <w:color w:val="auto"/>
          <w:highlight w:val="none"/>
        </w:rPr>
        <w:t>电子投标及投标解密失败及突发情况的补救方案</w:t>
      </w:r>
    </w:p>
    <w:p w14:paraId="7EC98670">
      <w:pPr>
        <w:pStyle w:val="80"/>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.3.1</w:t>
      </w:r>
      <w:r>
        <w:rPr>
          <w:rFonts w:hint="eastAsia" w:ascii="宋体" w:hAnsi="宋体" w:eastAsia="宋体" w:cs="宋体"/>
          <w:bCs/>
          <w:color w:val="auto"/>
          <w:highlight w:val="none"/>
        </w:rPr>
        <w:t>按照交易平台关于全流程电子化项目的相关指南进行操作。详见全国公共资源交易平台（广东省·韶关市）（https://ygp.gdzwfw.gov.cn/ggzy-portal/#/440200/index）服务指南栏目发布的最新版操作指引。</w:t>
      </w:r>
    </w:p>
    <w:p w14:paraId="00D1D2BE">
      <w:pPr>
        <w:pStyle w:val="80"/>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.3.2补救方案：</w:t>
      </w:r>
    </w:p>
    <w:p w14:paraId="5F0ED788">
      <w:pPr>
        <w:pStyle w:val="80"/>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（1）投标文件解密失败的补救方案：</w:t>
      </w:r>
    </w:p>
    <w:p w14:paraId="799CEEBC">
      <w:pPr>
        <w:pStyle w:val="80"/>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p>
    <w:p w14:paraId="33F1CF0A">
      <w:pPr>
        <w:pStyle w:val="80"/>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（2）评标时突发情况的补救方案</w:t>
      </w:r>
    </w:p>
    <w:p w14:paraId="7240FE2C">
      <w:pPr>
        <w:pStyle w:val="80"/>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275C0CF8">
      <w:pPr>
        <w:pStyle w:val="80"/>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（3）除发生上述情况外，开标评标均以投标人通过交易平台网上递交的电子投标文件为准。</w:t>
      </w:r>
    </w:p>
    <w:p w14:paraId="2643A838">
      <w:pPr>
        <w:pStyle w:val="80"/>
        <w:ind w:firstLine="482" w:firstLineChars="200"/>
        <w:rPr>
          <w:rFonts w:hint="eastAsia" w:ascii="宋体" w:hAnsi="宋体" w:eastAsia="宋体" w:cs="宋体"/>
          <w:bCs/>
          <w:color w:val="auto"/>
          <w:highlight w:val="none"/>
        </w:rPr>
      </w:pPr>
      <w:r>
        <w:rPr>
          <w:rFonts w:hint="eastAsia" w:ascii="宋体" w:hAnsi="宋体" w:eastAsia="宋体" w:cs="宋体"/>
          <w:b/>
          <w:color w:val="auto"/>
          <w:highlight w:val="none"/>
        </w:rPr>
        <w:t>1</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.3.3</w:t>
      </w:r>
      <w:r>
        <w:rPr>
          <w:rFonts w:hint="eastAsia" w:ascii="宋体" w:hAnsi="宋体" w:eastAsia="宋体" w:cs="宋体"/>
          <w:bCs/>
          <w:color w:val="auto"/>
          <w:highlight w:val="none"/>
        </w:rPr>
        <w:t>招标人或其授权的招标代理机构核对、接收投标人递交的投标文件和相关资料后，应向投标人出具标明签收人和签收时间的凭证，并妥善保管。</w:t>
      </w:r>
    </w:p>
    <w:p w14:paraId="6BDC5A77">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198" w:name="_Toc16406"/>
      <w:bookmarkStart w:id="199" w:name="_Toc14271"/>
      <w:bookmarkStart w:id="200" w:name="_Toc8493"/>
      <w:bookmarkStart w:id="201" w:name="_Toc6081"/>
      <w:bookmarkStart w:id="202" w:name="_Toc135054596"/>
      <w:r>
        <w:rPr>
          <w:rFonts w:hint="eastAsia" w:ascii="宋体" w:hAnsi="宋体" w:eastAsia="宋体" w:cs="宋体"/>
          <w:b/>
          <w:bCs/>
          <w:snapToGrid w:val="0"/>
          <w:color w:val="auto"/>
          <w:kern w:val="0"/>
          <w:sz w:val="24"/>
          <w:highlight w:val="none"/>
          <w:lang w:val="en-US" w:eastAsia="zh-CN"/>
        </w:rPr>
        <w:t>13.投标文件的提交</w:t>
      </w:r>
      <w:bookmarkEnd w:id="198"/>
      <w:bookmarkEnd w:id="199"/>
      <w:bookmarkEnd w:id="200"/>
      <w:bookmarkEnd w:id="201"/>
      <w:bookmarkEnd w:id="202"/>
    </w:p>
    <w:p w14:paraId="36E4AFF4">
      <w:pPr>
        <w:wordWrap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在投标文件提交截止时间前，投标人通过全国公共资源交易平台（广东省·韶关市）新建设工程交易系统提交已加密投标文件。逾期提交的电子投标文件，全国公共资源交易平台（广东省·韶关市）新建设工程交易系统将予以拒收。</w:t>
      </w:r>
    </w:p>
    <w:p w14:paraId="4EA7557A">
      <w:pPr>
        <w:wordWrap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13.2提交时间和地点：见“重要事项时间地点一览表”</w:t>
      </w:r>
    </w:p>
    <w:p w14:paraId="2A1111DC">
      <w:pPr>
        <w:wordWrap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13.3投标人法定代表人或其委托代理人（以下简称“投标人代表”）应在指定的时间和地点递交投标相关资料（如有）。</w:t>
      </w:r>
    </w:p>
    <w:p w14:paraId="15E0F5B3">
      <w:pPr>
        <w:wordWrap w:val="0"/>
        <w:adjustRightInd w:val="0"/>
        <w:snapToGrid w:val="0"/>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13.4递交时间和地点：投标人如有招标文件要求提交的用于评审的证书、证件、证明原件（附一式两份清单），由投标人法定代表人或其委托代理人在指定的时间和地点递交（见“重要事项时间地点一览表”）</w:t>
      </w:r>
      <w:r>
        <w:rPr>
          <w:rFonts w:hint="eastAsia" w:ascii="宋体" w:hAnsi="宋体" w:cs="宋体"/>
          <w:bCs/>
          <w:color w:val="auto"/>
          <w:sz w:val="24"/>
          <w:highlight w:val="none"/>
          <w:lang w:eastAsia="zh-CN"/>
        </w:rPr>
        <w:t>。</w:t>
      </w:r>
    </w:p>
    <w:p w14:paraId="640B624E">
      <w:pPr>
        <w:wordWrap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13.5代理机构对因不可抗力事件造成的投标文件的损坏、丢失的，不承担责任。</w:t>
      </w:r>
    </w:p>
    <w:p w14:paraId="392C6D40">
      <w:pPr>
        <w:wordWrap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13.6出现下述情形之一，属于未成功提交投标文件，按无效投标处理：</w:t>
      </w:r>
    </w:p>
    <w:p w14:paraId="0EC0D003">
      <w:pPr>
        <w:wordWrap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（1）至提交投标文件截止时，投标文件未完整上传及提交标书；</w:t>
      </w:r>
    </w:p>
    <w:p w14:paraId="4F4463B9">
      <w:pPr>
        <w:wordWrap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（2）投标文件未按投标格式中注明需签字盖章的要求进行签名（含电子签名）和加盖电子印章，或签名（含电子签名）或电子印章不完整的；</w:t>
      </w:r>
    </w:p>
    <w:p w14:paraId="00CA3F53">
      <w:pPr>
        <w:wordWrap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（3）解密失败且在规定时间内未重新提交投标文件的；</w:t>
      </w:r>
    </w:p>
    <w:p w14:paraId="022F6285">
      <w:pPr>
        <w:wordWrap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（4）投标文件损坏或格式不正确的；</w:t>
      </w:r>
    </w:p>
    <w:p w14:paraId="1BE1F0ED">
      <w:pPr>
        <w:wordWrap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13.7招标人或其授权的招标代理机构核对、接收投标人递交的投标相关资料后，应向投标人出具标明签收人和签收时间的凭证，并妥善保管。</w:t>
      </w:r>
    </w:p>
    <w:p w14:paraId="6D9C90A6">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203" w:name="_Hlt75685366"/>
      <w:bookmarkEnd w:id="203"/>
      <w:bookmarkStart w:id="204" w:name="_Hlt74494779"/>
      <w:bookmarkEnd w:id="204"/>
      <w:bookmarkStart w:id="205" w:name="_Hlt92512875"/>
      <w:bookmarkEnd w:id="205"/>
      <w:bookmarkStart w:id="206" w:name="_Hlt69699424"/>
      <w:bookmarkEnd w:id="206"/>
      <w:bookmarkStart w:id="207" w:name="_Hlt66608380"/>
      <w:bookmarkEnd w:id="207"/>
      <w:bookmarkStart w:id="208" w:name="_Toc29956"/>
      <w:bookmarkStart w:id="209" w:name="_Toc135054597"/>
      <w:bookmarkStart w:id="210" w:name="_Toc30793"/>
      <w:bookmarkStart w:id="211" w:name="_Toc6212"/>
      <w:bookmarkStart w:id="212" w:name="_Toc106418820"/>
      <w:bookmarkStart w:id="213" w:name="_Toc104711075"/>
      <w:bookmarkStart w:id="214" w:name="_Toc31438"/>
      <w:bookmarkStart w:id="215" w:name="_Toc2164"/>
      <w:r>
        <w:rPr>
          <w:rFonts w:hint="eastAsia" w:ascii="宋体" w:hAnsi="宋体" w:eastAsia="宋体" w:cs="宋体"/>
          <w:b/>
          <w:bCs/>
          <w:snapToGrid w:val="0"/>
          <w:color w:val="auto"/>
          <w:kern w:val="0"/>
          <w:sz w:val="24"/>
          <w:highlight w:val="none"/>
          <w:lang w:val="en-US" w:eastAsia="zh-CN"/>
        </w:rPr>
        <w:t>14.投标有效期</w:t>
      </w:r>
      <w:bookmarkEnd w:id="208"/>
      <w:bookmarkEnd w:id="209"/>
      <w:bookmarkEnd w:id="210"/>
      <w:bookmarkEnd w:id="211"/>
      <w:bookmarkEnd w:id="212"/>
      <w:bookmarkEnd w:id="213"/>
      <w:bookmarkEnd w:id="214"/>
      <w:bookmarkEnd w:id="215"/>
    </w:p>
    <w:p w14:paraId="268350F3">
      <w:pPr>
        <w:pStyle w:val="80"/>
        <w:ind w:firstLine="480" w:firstLineChars="200"/>
        <w:rPr>
          <w:rFonts w:hint="eastAsia" w:ascii="宋体" w:hAnsi="宋体" w:eastAsia="宋体" w:cs="宋体"/>
          <w:b/>
          <w:bCs/>
          <w:color w:val="auto"/>
          <w:szCs w:val="22"/>
          <w:highlight w:val="none"/>
        </w:rPr>
      </w:pPr>
      <w:r>
        <w:rPr>
          <w:rFonts w:hint="eastAsia" w:ascii="宋体" w:hAnsi="宋体" w:eastAsia="宋体" w:cs="宋体"/>
          <w:color w:val="auto"/>
          <w:szCs w:val="22"/>
          <w:highlight w:val="none"/>
        </w:rPr>
        <w:t>投标有效期为</w:t>
      </w:r>
      <w:r>
        <w:rPr>
          <w:rFonts w:hint="eastAsia" w:ascii="宋体" w:hAnsi="宋体" w:eastAsia="宋体" w:cs="宋体"/>
          <w:color w:val="auto"/>
          <w:szCs w:val="22"/>
          <w:highlight w:val="none"/>
          <w:u w:val="single"/>
        </w:rPr>
        <w:t>90</w:t>
      </w:r>
      <w:r>
        <w:rPr>
          <w:rFonts w:hint="eastAsia" w:ascii="宋体" w:hAnsi="宋体" w:eastAsia="宋体" w:cs="宋体"/>
          <w:color w:val="auto"/>
          <w:szCs w:val="22"/>
          <w:highlight w:val="none"/>
        </w:rPr>
        <w:t>个日历天，自招标人或其授权的招标代理机构接收投标人递交的投标文件之日起计。在此期间，投标人不得撤销或修改其投标文件，否则其投标保证不予退还。</w:t>
      </w:r>
    </w:p>
    <w:p w14:paraId="46B01B51">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216" w:name="_Toc14083"/>
      <w:bookmarkStart w:id="217" w:name="_Toc17100"/>
      <w:bookmarkStart w:id="218" w:name="_Toc26104"/>
      <w:bookmarkStart w:id="219" w:name="_Toc783"/>
      <w:bookmarkStart w:id="220" w:name="_Toc18968"/>
      <w:bookmarkStart w:id="221" w:name="_Toc135054598"/>
      <w:r>
        <w:rPr>
          <w:rFonts w:hint="eastAsia" w:ascii="宋体" w:hAnsi="宋体" w:eastAsia="宋体" w:cs="宋体"/>
          <w:b/>
          <w:bCs/>
          <w:snapToGrid w:val="0"/>
          <w:color w:val="auto"/>
          <w:kern w:val="0"/>
          <w:sz w:val="24"/>
          <w:highlight w:val="none"/>
          <w:lang w:val="en-US" w:eastAsia="zh-CN"/>
        </w:rPr>
        <w:t>15.开标</w:t>
      </w:r>
      <w:bookmarkEnd w:id="216"/>
      <w:bookmarkEnd w:id="217"/>
      <w:bookmarkEnd w:id="218"/>
      <w:bookmarkEnd w:id="219"/>
      <w:bookmarkEnd w:id="220"/>
      <w:bookmarkEnd w:id="221"/>
    </w:p>
    <w:p w14:paraId="0815A5B0">
      <w:pPr>
        <w:pStyle w:val="150"/>
        <w:wordWrap w:val="0"/>
        <w:adjustRightInd w:val="0"/>
        <w:snapToGrid w:val="0"/>
        <w:spacing w:line="360" w:lineRule="auto"/>
        <w:ind w:firstLine="480" w:firstLineChars="200"/>
        <w:jc w:val="left"/>
        <w:rPr>
          <w:rFonts w:hint="eastAsia" w:ascii="宋体" w:hAnsi="宋体" w:eastAsia="宋体" w:cs="宋体"/>
          <w:bCs/>
          <w:color w:val="auto"/>
          <w:sz w:val="24"/>
          <w:szCs w:val="20"/>
          <w:highlight w:val="none"/>
        </w:rPr>
      </w:pPr>
      <w:bookmarkStart w:id="222" w:name="_Hlt127093805"/>
      <w:bookmarkEnd w:id="222"/>
      <w:r>
        <w:rPr>
          <w:rFonts w:hint="eastAsia" w:ascii="宋体" w:hAnsi="宋体" w:eastAsia="宋体" w:cs="宋体"/>
          <w:bCs/>
          <w:color w:val="auto"/>
          <w:sz w:val="24"/>
          <w:szCs w:val="20"/>
          <w:highlight w:val="none"/>
        </w:rPr>
        <w:t>15.1招标人邀请所有正确获取招标文件、缴纳投标保证、电子投标的投标人参加开标，投标人可自主决定是否参加。投标人无须进行现场签到，可登录交易平台观看开标实况、提出异议或进行澄清、确认等操作，具体按招标文件和系统操作手册为准。</w:t>
      </w:r>
    </w:p>
    <w:p w14:paraId="4D9C2E78">
      <w:pPr>
        <w:pStyle w:val="150"/>
        <w:wordWrap w:val="0"/>
        <w:adjustRightInd w:val="0"/>
        <w:snapToGrid w:val="0"/>
        <w:spacing w:line="360" w:lineRule="auto"/>
        <w:ind w:firstLine="480" w:firstLineChars="200"/>
        <w:jc w:val="left"/>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15.1.1开标时间和地点：见“重要事项时间地点一览表”。</w:t>
      </w:r>
    </w:p>
    <w:p w14:paraId="4C5E1F74">
      <w:pPr>
        <w:pStyle w:val="150"/>
        <w:wordWrap w:val="0"/>
        <w:adjustRightInd w:val="0"/>
        <w:snapToGrid w:val="0"/>
        <w:spacing w:line="360" w:lineRule="auto"/>
        <w:ind w:firstLine="480" w:firstLineChars="200"/>
        <w:jc w:val="left"/>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15.1.2开标前24小时，若建设工程交易系统显示缴纳投标保证（包括投标保证金、投标保证担保、投标保证保险）的投标人数量不足3个时，招标人将取消原定于次日召开的开标活动。投标人可在投标保证缴纳截止时间（见“重要事项时间地点一览表”）至电子投标截止时间（见“重要事项时间地点一览表”）期间登录全国公共资源交易平台（广东省·韶关市）（https://ygp.gdzwfw.gov.cn/ggzy-portal/#/440200/index）查询是否发布了取消开标活动的相关信息。</w:t>
      </w:r>
    </w:p>
    <w:p w14:paraId="014FB191">
      <w:pPr>
        <w:pStyle w:val="150"/>
        <w:wordWrap w:val="0"/>
        <w:adjustRightInd w:val="0"/>
        <w:snapToGrid w:val="0"/>
        <w:spacing w:line="360" w:lineRule="auto"/>
        <w:ind w:firstLine="480" w:firstLineChars="200"/>
        <w:jc w:val="left"/>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15.1.3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27334748">
      <w:pPr>
        <w:wordWrap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15.2开标程序</w:t>
      </w:r>
    </w:p>
    <w:p w14:paraId="51279DCD">
      <w:pPr>
        <w:wordWrap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（1）主持人（招标人代表或招标人授权的招标代理机构人员）宣读开标纪律。</w:t>
      </w:r>
      <w:bookmarkStart w:id="223" w:name="_Toc30079"/>
    </w:p>
    <w:p w14:paraId="09677364">
      <w:pPr>
        <w:wordWrap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（2）主持人宣布唱标人、记录人、见证人、监督人等有关人员姓名。</w:t>
      </w:r>
      <w:bookmarkEnd w:id="223"/>
      <w:bookmarkStart w:id="224" w:name="_Toc23816"/>
    </w:p>
    <w:p w14:paraId="69A7D5E1">
      <w:pPr>
        <w:wordWrap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（3）到达投标截止时间后，主持人点击“开始开标”按钮，系统自动对投标企业进行在线签到。招标代理机构应将有关情形在《开标一览表》“备注”栏中注明。</w:t>
      </w:r>
      <w:bookmarkEnd w:id="224"/>
      <w:bookmarkStart w:id="225" w:name="_Toc21677"/>
    </w:p>
    <w:p w14:paraId="6B7EB0D1">
      <w:pPr>
        <w:wordWrap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（4）招标代理机构在交易场所工作人员见证下，对投标人的电子投标信息进行解密，建设工程交易系统自动生成《投标保证缴纳情况表》和《开标一览表》。</w:t>
      </w:r>
      <w:bookmarkEnd w:id="225"/>
      <w:bookmarkStart w:id="226" w:name="_Toc30701"/>
    </w:p>
    <w:p w14:paraId="478F1F7E">
      <w:pPr>
        <w:wordWrap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bookmarkEnd w:id="226"/>
    </w:p>
    <w:p w14:paraId="2C3B0D83">
      <w:pPr>
        <w:wordWrap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（5）唱标人检查《投标保证缴纳情况表》中各投标人所缴纳投标保证的金额、有效期是否符合招标文件规定。若不符合规定，该投标人的投标无效。将有关情形在《投标保证缴纳情况表》“备注”栏中注明。</w:t>
      </w:r>
    </w:p>
    <w:p w14:paraId="43CB7D6F">
      <w:pPr>
        <w:wordWrap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（6）唱标人检查《开标一览表》中各投标人的投标总价、工期是否符合招标文件规定。若不符合规定，招标代理机构应将有关情形在《开标一览表》“备注”栏中注明。</w:t>
      </w:r>
    </w:p>
    <w:p w14:paraId="6304E708">
      <w:pPr>
        <w:wordWrap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（7）招标人代表、唱标人、记录人等有关人员在《投标保证缴纳情况表》以及《开标一览表》上签字确认。</w:t>
      </w:r>
    </w:p>
    <w:p w14:paraId="29D6E478">
      <w:pPr>
        <w:wordWrap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（8）主持人宣布进入开标异议阶段，异议倒计时结束后，主持人宣布开标结束。</w:t>
      </w:r>
    </w:p>
    <w:p w14:paraId="1DB7DDB4">
      <w:pPr>
        <w:wordWrap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15.3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03A62A3F">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Cs/>
          <w:color w:val="auto"/>
          <w:sz w:val="24"/>
          <w:highlight w:val="none"/>
        </w:rPr>
        <w:t>15.4招标代理机构将资料原件（若有）、《开标一览表》以及其他有关资料移交评标委员会。</w:t>
      </w:r>
    </w:p>
    <w:p w14:paraId="7A0D30F7">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227" w:name="_Toc15442"/>
      <w:bookmarkStart w:id="228" w:name="_Toc9293"/>
      <w:bookmarkStart w:id="229" w:name="_Toc31079"/>
      <w:bookmarkStart w:id="230" w:name="_Toc135054599"/>
      <w:bookmarkStart w:id="231" w:name="_Toc31476"/>
      <w:r>
        <w:rPr>
          <w:rFonts w:hint="eastAsia" w:ascii="宋体" w:hAnsi="宋体" w:eastAsia="宋体" w:cs="宋体"/>
          <w:b/>
          <w:bCs/>
          <w:snapToGrid w:val="0"/>
          <w:color w:val="auto"/>
          <w:kern w:val="0"/>
          <w:sz w:val="24"/>
          <w:highlight w:val="none"/>
          <w:lang w:val="en-US" w:eastAsia="zh-CN"/>
        </w:rPr>
        <w:t>16.电子投标及评标时突发补救方案</w:t>
      </w:r>
      <w:bookmarkEnd w:id="227"/>
      <w:bookmarkEnd w:id="228"/>
      <w:bookmarkEnd w:id="229"/>
      <w:bookmarkEnd w:id="230"/>
      <w:bookmarkEnd w:id="231"/>
      <w:bookmarkStart w:id="232" w:name="_Toc2213"/>
      <w:bookmarkStart w:id="233" w:name="_Toc11485"/>
      <w:bookmarkStart w:id="234" w:name="_Toc32344"/>
    </w:p>
    <w:p w14:paraId="1FFE5A15">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投标文件解密失败的补救方案：在规定时间内，因投标人之外原因(指网络瘫痪、服务器损坏、交易系统故障短期无法恢复)等导致的电子投标文件解密失败，在招标人、监督人、交易中心工作人员见证的情况下，招标代理机构授权投标人重新上传投标文件后继续开标程序。电子投标文件解密失败且未在电子投标解密截止时间前重新上传投标文件的，视为无效投标（关于投标人解密失败如何获取投标人信息问题：在开标解密环节会有投标人相关信息，投标人重传时间为30分钟，30分钟未重传系统会判断投标无效。解密环节不会显示开标具体内容）。</w:t>
      </w:r>
      <w:bookmarkEnd w:id="232"/>
      <w:bookmarkEnd w:id="233"/>
      <w:bookmarkStart w:id="235" w:name="_Toc30264"/>
      <w:bookmarkStart w:id="236" w:name="_Toc18714"/>
    </w:p>
    <w:p w14:paraId="299997F3">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评标时突发情况的补救方案若遇不可抗力发生（指网络瘫痪、服务器损坏、交易系统故障短期无法恢复、交易系统故障导致电子文件无法读取等因素），参考《广东省工程建设项目远程异地评标管理暂行办法》第二十条：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bookmarkEnd w:id="235"/>
      <w:bookmarkEnd w:id="236"/>
      <w:bookmarkStart w:id="237" w:name="_Toc2533"/>
      <w:bookmarkStart w:id="238" w:name="_Toc29164"/>
    </w:p>
    <w:p w14:paraId="2C9F3013">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（3）除发生上述情况外，开标评标均以投标人通过交易平台网上递交的电子投标文件为准。</w:t>
      </w:r>
      <w:bookmarkEnd w:id="237"/>
      <w:bookmarkEnd w:id="238"/>
    </w:p>
    <w:p w14:paraId="6A76011B">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239" w:name="_Toc18729"/>
      <w:bookmarkStart w:id="240" w:name="_Toc135054600"/>
      <w:bookmarkStart w:id="241" w:name="_Toc10451"/>
      <w:bookmarkStart w:id="242" w:name="_Toc13320"/>
      <w:bookmarkStart w:id="243" w:name="_Toc3141"/>
      <w:r>
        <w:rPr>
          <w:rFonts w:hint="eastAsia" w:ascii="宋体" w:hAnsi="宋体" w:eastAsia="宋体" w:cs="宋体"/>
          <w:b/>
          <w:bCs/>
          <w:snapToGrid w:val="0"/>
          <w:color w:val="auto"/>
          <w:kern w:val="0"/>
          <w:sz w:val="24"/>
          <w:highlight w:val="none"/>
          <w:lang w:val="en-US" w:eastAsia="zh-CN"/>
        </w:rPr>
        <w:t>17.评标</w:t>
      </w:r>
      <w:bookmarkEnd w:id="234"/>
      <w:bookmarkEnd w:id="239"/>
      <w:bookmarkEnd w:id="240"/>
      <w:bookmarkEnd w:id="241"/>
      <w:bookmarkEnd w:id="242"/>
      <w:bookmarkEnd w:id="243"/>
    </w:p>
    <w:p w14:paraId="0DB49339">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评标分为初步评审和详细评审两个阶段，由评标委员会在有关部门的监督下，严格按照本招标文件指定的评标方法，对投标人的投标文件进行审查、评审。评标委员会完成评标后，向招标人推荐</w:t>
      </w:r>
      <w:r>
        <w:rPr>
          <w:rFonts w:hint="eastAsia" w:ascii="宋体" w:hAnsi="宋体" w:eastAsia="宋体" w:cs="宋体"/>
          <w:snapToGrid w:val="0"/>
          <w:color w:val="auto"/>
          <w:kern w:val="0"/>
          <w:sz w:val="24"/>
          <w:highlight w:val="none"/>
          <w:u w:val="single"/>
        </w:rPr>
        <w:t>3</w:t>
      </w:r>
      <w:r>
        <w:rPr>
          <w:rFonts w:hint="eastAsia" w:ascii="宋体" w:hAnsi="宋体" w:eastAsia="宋体" w:cs="宋体"/>
          <w:snapToGrid w:val="0"/>
          <w:color w:val="auto"/>
          <w:kern w:val="0"/>
          <w:sz w:val="24"/>
          <w:highlight w:val="none"/>
        </w:rPr>
        <w:t>个中标候选人，并向招标人提交由全体评标委员会成员签字的评标报告。</w:t>
      </w:r>
    </w:p>
    <w:p w14:paraId="1B42D3DC">
      <w:pPr>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17.1</w:t>
      </w:r>
      <w:r>
        <w:rPr>
          <w:rFonts w:hint="eastAsia" w:ascii="宋体" w:hAnsi="宋体" w:eastAsia="宋体" w:cs="宋体"/>
          <w:snapToGrid w:val="0"/>
          <w:color w:val="auto"/>
          <w:kern w:val="0"/>
          <w:sz w:val="24"/>
          <w:szCs w:val="24"/>
          <w:highlight w:val="none"/>
        </w:rPr>
        <w:t>评标委员会</w:t>
      </w:r>
    </w:p>
    <w:p w14:paraId="3F34CE0B">
      <w:pPr>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17.1.1</w:t>
      </w:r>
      <w:r>
        <w:rPr>
          <w:rFonts w:hint="eastAsia" w:ascii="宋体" w:hAnsi="宋体" w:eastAsia="宋体" w:cs="宋体"/>
          <w:snapToGrid w:val="0"/>
          <w:color w:val="auto"/>
          <w:kern w:val="0"/>
          <w:sz w:val="24"/>
          <w:szCs w:val="24"/>
          <w:highlight w:val="none"/>
        </w:rPr>
        <w:t>评标委员会由</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人组成，其中招标人代表</w:t>
      </w:r>
      <w:r>
        <w:rPr>
          <w:rFonts w:hint="eastAsia" w:ascii="宋体" w:hAnsi="宋体" w:eastAsia="宋体" w:cs="宋体"/>
          <w:snapToGrid w:val="0"/>
          <w:color w:val="auto"/>
          <w:kern w:val="0"/>
          <w:sz w:val="24"/>
          <w:szCs w:val="24"/>
          <w:highlight w:val="none"/>
          <w:u w:val="single"/>
        </w:rPr>
        <w:t>0</w:t>
      </w:r>
      <w:r>
        <w:rPr>
          <w:rFonts w:hint="eastAsia" w:ascii="宋体" w:hAnsi="宋体" w:eastAsia="宋体" w:cs="宋体"/>
          <w:snapToGrid w:val="0"/>
          <w:color w:val="auto"/>
          <w:kern w:val="0"/>
          <w:sz w:val="24"/>
          <w:szCs w:val="24"/>
          <w:highlight w:val="none"/>
        </w:rPr>
        <w:t>人，专家</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人。专家从广东省综合评标评审专家库-韶关区域中随机抽取，</w:t>
      </w:r>
      <w:r>
        <w:rPr>
          <w:rFonts w:hint="eastAsia" w:ascii="宋体" w:hAnsi="宋体" w:eastAsia="宋体" w:cs="宋体"/>
          <w:snapToGrid w:val="0"/>
          <w:color w:val="auto"/>
          <w:kern w:val="0"/>
          <w:sz w:val="24"/>
          <w:highlight w:val="none"/>
        </w:rPr>
        <w:t>其中技术类专家</w:t>
      </w:r>
      <w:r>
        <w:rPr>
          <w:rFonts w:hint="eastAsia" w:ascii="宋体" w:hAnsi="宋体" w:eastAsia="宋体" w:cs="宋体"/>
          <w:snapToGrid w:val="0"/>
          <w:color w:val="auto"/>
          <w:kern w:val="0"/>
          <w:sz w:val="24"/>
          <w:highlight w:val="none"/>
          <w:u w:val="single"/>
          <w:lang w:val="en-US" w:eastAsia="zh-CN"/>
        </w:rPr>
        <w:t>3</w:t>
      </w:r>
      <w:r>
        <w:rPr>
          <w:rFonts w:hint="eastAsia" w:ascii="宋体" w:hAnsi="宋体" w:eastAsia="宋体" w:cs="宋体"/>
          <w:snapToGrid w:val="0"/>
          <w:color w:val="auto"/>
          <w:kern w:val="0"/>
          <w:sz w:val="24"/>
          <w:highlight w:val="none"/>
        </w:rPr>
        <w:t>人，经济类专家</w:t>
      </w:r>
      <w:r>
        <w:rPr>
          <w:rFonts w:hint="eastAsia" w:ascii="宋体" w:hAnsi="宋体" w:eastAsia="宋体" w:cs="宋体"/>
          <w:snapToGrid w:val="0"/>
          <w:color w:val="auto"/>
          <w:kern w:val="0"/>
          <w:sz w:val="24"/>
          <w:highlight w:val="none"/>
          <w:u w:val="single"/>
        </w:rPr>
        <w:t>2</w:t>
      </w:r>
      <w:r>
        <w:rPr>
          <w:rFonts w:hint="eastAsia" w:ascii="宋体" w:hAnsi="宋体" w:eastAsia="宋体" w:cs="宋体"/>
          <w:snapToGrid w:val="0"/>
          <w:color w:val="auto"/>
          <w:kern w:val="0"/>
          <w:sz w:val="24"/>
          <w:highlight w:val="none"/>
        </w:rPr>
        <w:t>人。</w:t>
      </w:r>
      <w:r>
        <w:rPr>
          <w:rFonts w:hint="eastAsia" w:ascii="宋体" w:hAnsi="宋体" w:eastAsia="宋体" w:cs="宋体"/>
          <w:snapToGrid w:val="0"/>
          <w:color w:val="auto"/>
          <w:kern w:val="0"/>
          <w:sz w:val="24"/>
          <w:szCs w:val="24"/>
          <w:highlight w:val="none"/>
        </w:rPr>
        <w:t>评标委员会设负责人，由评标委员会成员推举产生。评标委员会负责人与评标委员会的其他成员有同等的表决权。</w:t>
      </w:r>
    </w:p>
    <w:p w14:paraId="2C98CBCD">
      <w:pPr>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17.1.2</w:t>
      </w:r>
      <w:r>
        <w:rPr>
          <w:rFonts w:hint="eastAsia" w:ascii="宋体" w:hAnsi="宋体" w:eastAsia="宋体" w:cs="宋体"/>
          <w:snapToGrid w:val="0"/>
          <w:color w:val="auto"/>
          <w:kern w:val="0"/>
          <w:sz w:val="24"/>
          <w:szCs w:val="24"/>
          <w:highlight w:val="none"/>
        </w:rPr>
        <w:t>评标委员会应认真、公正、诚实、廉洁地履行职责。有下列情形之一的，不得担任评标委员会成员：</w:t>
      </w:r>
    </w:p>
    <w:p w14:paraId="185A66B6">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（1）投标人或投标人主要负责人的近亲属；</w:t>
      </w:r>
    </w:p>
    <w:p w14:paraId="5AA8F566">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（2）项目主管部门或者行政监督部门的人员；</w:t>
      </w:r>
    </w:p>
    <w:p w14:paraId="266F5480">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（3）与投标人有经济利益关系，可能影响对投标公正评审的；</w:t>
      </w:r>
    </w:p>
    <w:p w14:paraId="5B7F0691">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（4）曾因在招标、评标以及其他与招标投标有关活动中从事违法行为而受过行政处罚或刑事处罚的。</w:t>
      </w:r>
    </w:p>
    <w:p w14:paraId="1A5E249B">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评标委员会成员有以上情形之一的，应主动提出回避。</w:t>
      </w:r>
    </w:p>
    <w:p w14:paraId="43AC18C8">
      <w:pPr>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17.1.3</w:t>
      </w:r>
      <w:r>
        <w:rPr>
          <w:rFonts w:hint="eastAsia" w:ascii="宋体" w:hAnsi="宋体" w:eastAsia="宋体" w:cs="宋体"/>
          <w:snapToGrid w:val="0"/>
          <w:color w:val="auto"/>
          <w:kern w:val="0"/>
          <w:sz w:val="24"/>
          <w:szCs w:val="24"/>
          <w:highlight w:val="none"/>
        </w:rPr>
        <w:t>评标全过程实行封闭式管理，在中标结果公布前，禁止评标委员会成员以任何方式私下接触投标人。</w:t>
      </w:r>
    </w:p>
    <w:p w14:paraId="3BBC4E56">
      <w:pPr>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17.1.4</w:t>
      </w:r>
      <w:r>
        <w:rPr>
          <w:rFonts w:hint="eastAsia" w:ascii="宋体" w:hAnsi="宋体" w:eastAsia="宋体" w:cs="宋体"/>
          <w:snapToGrid w:val="0"/>
          <w:color w:val="auto"/>
          <w:kern w:val="0"/>
          <w:sz w:val="24"/>
          <w:szCs w:val="24"/>
          <w:highlight w:val="none"/>
        </w:rPr>
        <w:t>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58E60C8A">
      <w:pPr>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17.1.5</w:t>
      </w:r>
      <w:r>
        <w:rPr>
          <w:rFonts w:hint="eastAsia" w:ascii="宋体" w:hAnsi="宋体" w:eastAsia="宋体" w:cs="宋体"/>
          <w:snapToGrid w:val="0"/>
          <w:color w:val="auto"/>
          <w:kern w:val="0"/>
          <w:sz w:val="24"/>
          <w:szCs w:val="24"/>
          <w:highlight w:val="none"/>
        </w:rPr>
        <w:t>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1F8EA8C4">
      <w:pPr>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17.2 </w:t>
      </w:r>
      <w:r>
        <w:rPr>
          <w:rFonts w:hint="eastAsia" w:ascii="宋体" w:hAnsi="宋体" w:eastAsia="宋体" w:cs="宋体"/>
          <w:snapToGrid w:val="0"/>
          <w:color w:val="auto"/>
          <w:kern w:val="0"/>
          <w:sz w:val="24"/>
          <w:szCs w:val="24"/>
          <w:highlight w:val="none"/>
        </w:rPr>
        <w:t>评标方法</w:t>
      </w:r>
    </w:p>
    <w:p w14:paraId="7A2A1E74">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根据有关法律、法规的相关规定，结合本招标项目资金来源和规模特点，本次招标采用“综合评估法”进行评标。</w:t>
      </w:r>
    </w:p>
    <w:p w14:paraId="1E222139">
      <w:pPr>
        <w:spacing w:line="360" w:lineRule="auto"/>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17.3</w:t>
      </w:r>
      <w:r>
        <w:rPr>
          <w:rFonts w:hint="eastAsia" w:ascii="宋体" w:hAnsi="宋体" w:eastAsia="宋体" w:cs="宋体"/>
          <w:bCs/>
          <w:snapToGrid w:val="0"/>
          <w:color w:val="auto"/>
          <w:kern w:val="0"/>
          <w:sz w:val="24"/>
          <w:szCs w:val="24"/>
          <w:highlight w:val="none"/>
        </w:rPr>
        <w:t xml:space="preserve"> 评审范围：</w:t>
      </w:r>
      <w:r>
        <w:rPr>
          <w:rFonts w:hint="eastAsia" w:ascii="宋体" w:hAnsi="宋体" w:eastAsia="宋体" w:cs="宋体"/>
          <w:snapToGrid w:val="0"/>
          <w:color w:val="auto"/>
          <w:kern w:val="0"/>
          <w:sz w:val="24"/>
          <w:szCs w:val="24"/>
          <w:highlight w:val="none"/>
        </w:rPr>
        <w:t>评标委员会应对所有进入评标投标人的投标文件进行评审。</w:t>
      </w:r>
    </w:p>
    <w:p w14:paraId="7AB85649">
      <w:pPr>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17.4 </w:t>
      </w:r>
      <w:r>
        <w:rPr>
          <w:rFonts w:hint="eastAsia" w:ascii="宋体" w:hAnsi="宋体" w:eastAsia="宋体" w:cs="宋体"/>
          <w:snapToGrid w:val="0"/>
          <w:color w:val="auto"/>
          <w:kern w:val="0"/>
          <w:sz w:val="24"/>
          <w:szCs w:val="24"/>
          <w:highlight w:val="none"/>
        </w:rPr>
        <w:t>初步评审阶段</w:t>
      </w:r>
    </w:p>
    <w:p w14:paraId="48FBA161">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初步评审阶段分为资格评审、形式评审和响应性评审三个环节。</w:t>
      </w:r>
    </w:p>
    <w:p w14:paraId="0A2E6B2A">
      <w:pPr>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17.4.1 </w:t>
      </w:r>
      <w:r>
        <w:rPr>
          <w:rFonts w:hint="eastAsia" w:ascii="宋体" w:hAnsi="宋体" w:eastAsia="宋体" w:cs="宋体"/>
          <w:snapToGrid w:val="0"/>
          <w:color w:val="auto"/>
          <w:kern w:val="0"/>
          <w:sz w:val="24"/>
          <w:szCs w:val="24"/>
          <w:highlight w:val="none"/>
        </w:rPr>
        <w:t>资格评审环节</w:t>
      </w:r>
    </w:p>
    <w:p w14:paraId="436361BF">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资格评审事项包括：</w:t>
      </w:r>
    </w:p>
    <w:p w14:paraId="34A6FDD2">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(1)投标人是否符合本章第三节第</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.4条“禁止投标条款”规定。投标人是否存在信用中国网站(https://www.creditchina.gov.cn)《法人和其他组织信用信息》严重失信主体名单的。</w:t>
      </w:r>
    </w:p>
    <w:p w14:paraId="673D5CB7">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（2）投标人名称是否与营业执照、资质证书一致。</w:t>
      </w:r>
    </w:p>
    <w:p w14:paraId="07E7055E">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（3）投标人的资质是否符合招标文件规定；其营业执照、资质证书是否合法、有效。</w:t>
      </w:r>
    </w:p>
    <w:p w14:paraId="320D4B9F">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4</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投标文件中拟派项目负责人(即设计负责人)是否与《开标一览表》一致</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拟派项目负责人(即设计负责人)、拟派其他主要人员的条件是否符合招标文件规定</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拟派人员的各类证书、证件、证明是否合法、有效、准确。</w:t>
      </w:r>
    </w:p>
    <w:p w14:paraId="3E8DF38A">
      <w:pPr>
        <w:spacing w:line="360" w:lineRule="auto"/>
        <w:ind w:firstLine="480"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）投标人为外省建筑企业的，是否按规定在“进粤企业和人员诚信信息登记平台”录入企业有关信息并通过数据规范检查。</w:t>
      </w:r>
    </w:p>
    <w:p w14:paraId="3CC81D72">
      <w:pPr>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17.4.2</w:t>
      </w:r>
      <w:r>
        <w:rPr>
          <w:rFonts w:hint="eastAsia" w:ascii="宋体" w:hAnsi="宋体" w:eastAsia="宋体" w:cs="宋体"/>
          <w:snapToGrid w:val="0"/>
          <w:color w:val="auto"/>
          <w:kern w:val="0"/>
          <w:sz w:val="24"/>
          <w:szCs w:val="24"/>
          <w:highlight w:val="none"/>
        </w:rPr>
        <w:t>形式评审环节</w:t>
      </w:r>
    </w:p>
    <w:p w14:paraId="5C373A55">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形式评审事项包括：</w:t>
      </w:r>
    </w:p>
    <w:p w14:paraId="4315008E">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（1）投标文件的分册组成是否符合招标文件规定。</w:t>
      </w:r>
    </w:p>
    <w:p w14:paraId="4B83EFC6">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（2）本节第</w:t>
      </w:r>
      <w:r>
        <w:rPr>
          <w:rFonts w:hint="eastAsia" w:ascii="宋体" w:hAnsi="宋体" w:eastAsia="宋体" w:cs="宋体"/>
          <w:b/>
          <w:bCs/>
          <w:snapToGrid w:val="0"/>
          <w:color w:val="auto"/>
          <w:kern w:val="0"/>
          <w:sz w:val="24"/>
          <w:szCs w:val="24"/>
          <w:highlight w:val="none"/>
        </w:rPr>
        <w:t>10.2.2</w:t>
      </w:r>
      <w:r>
        <w:rPr>
          <w:rFonts w:hint="eastAsia" w:ascii="宋体" w:hAnsi="宋体" w:eastAsia="宋体" w:cs="宋体"/>
          <w:snapToGrid w:val="0"/>
          <w:color w:val="auto"/>
          <w:kern w:val="0"/>
          <w:sz w:val="24"/>
          <w:szCs w:val="24"/>
          <w:highlight w:val="none"/>
        </w:rPr>
        <w:t>目、第</w:t>
      </w:r>
      <w:r>
        <w:rPr>
          <w:rFonts w:hint="eastAsia" w:ascii="宋体" w:hAnsi="宋体" w:eastAsia="宋体" w:cs="宋体"/>
          <w:b/>
          <w:bCs/>
          <w:snapToGrid w:val="0"/>
          <w:color w:val="auto"/>
          <w:kern w:val="0"/>
          <w:sz w:val="24"/>
          <w:szCs w:val="24"/>
          <w:highlight w:val="none"/>
        </w:rPr>
        <w:t>10.3.2</w:t>
      </w:r>
      <w:r>
        <w:rPr>
          <w:rFonts w:hint="eastAsia" w:ascii="宋体" w:hAnsi="宋体" w:eastAsia="宋体" w:cs="宋体"/>
          <w:snapToGrid w:val="0"/>
          <w:color w:val="auto"/>
          <w:kern w:val="0"/>
          <w:sz w:val="24"/>
          <w:szCs w:val="24"/>
          <w:highlight w:val="none"/>
        </w:rPr>
        <w:t>目中规定的“所有投标人均应提供”的组成内容（包括该组成内容的所附资料）是否完整、齐全。</w:t>
      </w:r>
    </w:p>
    <w:p w14:paraId="5BA34988">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（3）各分册是否按招标文件规定签字、盖章。</w:t>
      </w:r>
    </w:p>
    <w:p w14:paraId="6EA2AE1D">
      <w:pPr>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17.4.3 </w:t>
      </w:r>
      <w:r>
        <w:rPr>
          <w:rFonts w:hint="eastAsia" w:ascii="宋体" w:hAnsi="宋体" w:eastAsia="宋体" w:cs="宋体"/>
          <w:snapToGrid w:val="0"/>
          <w:color w:val="auto"/>
          <w:kern w:val="0"/>
          <w:sz w:val="24"/>
          <w:szCs w:val="24"/>
          <w:highlight w:val="none"/>
        </w:rPr>
        <w:t>响应性评审环节</w:t>
      </w:r>
    </w:p>
    <w:p w14:paraId="2CB4799C">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响应性评审事项包括：</w:t>
      </w:r>
    </w:p>
    <w:p w14:paraId="5E96D487">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（1）投标有效期、工期等是否响应招标文件实质性要求；是否擅自修改、遗漏《投标函》《各项承诺一览表》的实质性内容。</w:t>
      </w:r>
    </w:p>
    <w:p w14:paraId="46F22F61">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（2）投标总价是否唯一；投标报价是否超出最高投标限价。</w:t>
      </w:r>
    </w:p>
    <w:p w14:paraId="2F7CCDB1">
      <w:pPr>
        <w:spacing w:line="360" w:lineRule="auto"/>
        <w:ind w:firstLine="480"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（3）技术标书的质量、保障措施是否符合国家和省市现行有关规范、规定、标准，是否能实现工程质量、进度管理目标。</w:t>
      </w:r>
    </w:p>
    <w:p w14:paraId="4F81F28A">
      <w:pPr>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17.4.4</w:t>
      </w:r>
      <w:r>
        <w:rPr>
          <w:rFonts w:hint="eastAsia" w:ascii="宋体" w:hAnsi="宋体" w:eastAsia="宋体" w:cs="宋体"/>
          <w:snapToGrid w:val="0"/>
          <w:color w:val="auto"/>
          <w:kern w:val="0"/>
          <w:sz w:val="24"/>
          <w:szCs w:val="24"/>
          <w:highlight w:val="none"/>
        </w:rPr>
        <w:t>否决投标说明</w:t>
      </w:r>
    </w:p>
    <w:p w14:paraId="358D80B0">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初步评审阶段各个环节否决投标的全部条件，在本章第四节“否决投标条件”第</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snapToGrid w:val="0"/>
          <w:color w:val="auto"/>
          <w:kern w:val="0"/>
          <w:sz w:val="24"/>
          <w:szCs w:val="24"/>
          <w:highlight w:val="none"/>
        </w:rPr>
        <w:t>条至第</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14:paraId="2EE54C16">
      <w:pPr>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17.5</w:t>
      </w:r>
      <w:r>
        <w:rPr>
          <w:rFonts w:hint="eastAsia" w:ascii="宋体" w:hAnsi="宋体" w:eastAsia="宋体" w:cs="宋体"/>
          <w:snapToGrid w:val="0"/>
          <w:color w:val="auto"/>
          <w:kern w:val="0"/>
          <w:sz w:val="24"/>
          <w:szCs w:val="24"/>
          <w:highlight w:val="none"/>
        </w:rPr>
        <w:t>详细评审阶段</w:t>
      </w:r>
    </w:p>
    <w:p w14:paraId="6A177F0B">
      <w:pPr>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17.5.1</w:t>
      </w:r>
      <w:r>
        <w:rPr>
          <w:rFonts w:hint="eastAsia" w:ascii="宋体" w:hAnsi="宋体" w:eastAsia="宋体" w:cs="宋体"/>
          <w:snapToGrid w:val="0"/>
          <w:color w:val="auto"/>
          <w:kern w:val="0"/>
          <w:sz w:val="24"/>
          <w:szCs w:val="24"/>
          <w:highlight w:val="none"/>
        </w:rPr>
        <w:t>“综合评估法”评审程序</w:t>
      </w:r>
    </w:p>
    <w:p w14:paraId="237B2CB4">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评审内容分为商务、技术和投标报价三大部分，综合得分满分为100分。其中，商务部分满分为</w:t>
      </w:r>
      <w:r>
        <w:rPr>
          <w:rFonts w:hint="eastAsia" w:ascii="宋体" w:hAnsi="宋体" w:eastAsia="宋体" w:cs="宋体"/>
          <w:snapToGrid w:val="0"/>
          <w:color w:val="auto"/>
          <w:kern w:val="0"/>
          <w:sz w:val="24"/>
          <w:szCs w:val="24"/>
          <w:highlight w:val="none"/>
          <w:lang w:val="en-US" w:eastAsia="zh-CN"/>
        </w:rPr>
        <w:t>40</w:t>
      </w:r>
      <w:r>
        <w:rPr>
          <w:rFonts w:hint="eastAsia" w:ascii="宋体" w:hAnsi="宋体" w:eastAsia="宋体" w:cs="宋体"/>
          <w:snapToGrid w:val="0"/>
          <w:color w:val="auto"/>
          <w:kern w:val="0"/>
          <w:sz w:val="24"/>
          <w:szCs w:val="24"/>
          <w:highlight w:val="none"/>
        </w:rPr>
        <w:t>分，技术部分满分为</w:t>
      </w:r>
      <w:r>
        <w:rPr>
          <w:rFonts w:hint="eastAsia" w:ascii="宋体" w:hAnsi="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分，投标报价部分满分为</w:t>
      </w:r>
      <w:r>
        <w:rPr>
          <w:rFonts w:hint="eastAsia" w:ascii="宋体" w:hAnsi="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分。</w:t>
      </w:r>
    </w:p>
    <w:p w14:paraId="4331CCDA">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除特别注明外，综合得分以及商务技术得分、投标报价得分的中间过程计算值和最终值，均按“四舍五入”原则精确到两位小数。</w:t>
      </w:r>
    </w:p>
    <w:p w14:paraId="7ADC1593">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（1）商务</w:t>
      </w:r>
      <w:r>
        <w:rPr>
          <w:rFonts w:hint="eastAsia" w:ascii="宋体" w:hAnsi="宋体" w:eastAsia="宋体" w:cs="宋体"/>
          <w:snapToGrid w:val="0"/>
          <w:color w:val="auto"/>
          <w:kern w:val="0"/>
          <w:sz w:val="24"/>
          <w:szCs w:val="24"/>
          <w:highlight w:val="none"/>
          <w:lang w:val="en-US" w:eastAsia="zh-CN"/>
        </w:rPr>
        <w:t>部分</w:t>
      </w:r>
      <w:r>
        <w:rPr>
          <w:rFonts w:hint="eastAsia" w:ascii="宋体" w:hAnsi="宋体" w:eastAsia="宋体" w:cs="宋体"/>
          <w:snapToGrid w:val="0"/>
          <w:color w:val="auto"/>
          <w:kern w:val="0"/>
          <w:sz w:val="24"/>
          <w:szCs w:val="24"/>
          <w:highlight w:val="none"/>
        </w:rPr>
        <w:t>得分M1</w:t>
      </w:r>
    </w:p>
    <w:p w14:paraId="6F0247E5">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评标委员会按照《综合评分表》商务部分指定的评分标准对各评分因素进行打分。各评分因素得分之和即为某投标人的商务得分M1。</w:t>
      </w:r>
    </w:p>
    <w:p w14:paraId="4FBE2E6A">
      <w:pPr>
        <w:spacing w:line="360" w:lineRule="auto"/>
        <w:ind w:firstLine="480" w:firstLineChars="20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技术部分</w:t>
      </w:r>
      <w:r>
        <w:rPr>
          <w:rFonts w:hint="eastAsia" w:ascii="宋体" w:hAnsi="宋体" w:eastAsia="宋体" w:cs="宋体"/>
          <w:snapToGrid w:val="0"/>
          <w:color w:val="auto"/>
          <w:kern w:val="0"/>
          <w:sz w:val="24"/>
          <w:szCs w:val="24"/>
          <w:highlight w:val="none"/>
        </w:rPr>
        <w:t>得分M2</w:t>
      </w:r>
    </w:p>
    <w:p w14:paraId="01F3F1E2">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各成员独立按照《综合评分表》技术部分指定的评分标准对各评分因素进行打分，累加后得出技术评分。将评标委员会所有成员的技术评分去掉一个最高分和一个最低分后，取算术平均值，即为某投标人的技术得分M2。</w:t>
      </w:r>
    </w:p>
    <w:p w14:paraId="6421997B">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）投标报价得分M3</w:t>
      </w:r>
    </w:p>
    <w:p w14:paraId="2E43858F">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a</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评标委员会按照《综合评分表》投标报价部分指定的方法计算评标基准价D。</w:t>
      </w:r>
    </w:p>
    <w:p w14:paraId="7924DC41">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b</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采用内插法计算某投标人的投标报价得分M3，即当投标人的投标总价等于评标基准价时得</w:t>
      </w: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分，每高于评标基准价一个百分点扣</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分,每低于评标基准价一个百分点扣</w:t>
      </w:r>
      <w:r>
        <w:rPr>
          <w:rFonts w:hint="eastAsia" w:ascii="宋体" w:hAnsi="宋体" w:eastAsia="宋体" w:cs="宋体"/>
          <w:snapToGrid w:val="0"/>
          <w:color w:val="auto"/>
          <w:kern w:val="0"/>
          <w:sz w:val="24"/>
          <w:szCs w:val="24"/>
          <w:highlight w:val="none"/>
          <w:lang w:val="en-US" w:eastAsia="zh-CN"/>
        </w:rPr>
        <w:t>0.5</w:t>
      </w:r>
      <w:r>
        <w:rPr>
          <w:rFonts w:hint="eastAsia" w:ascii="宋体" w:hAnsi="宋体" w:eastAsia="宋体" w:cs="宋体"/>
          <w:snapToGrid w:val="0"/>
          <w:color w:val="auto"/>
          <w:kern w:val="0"/>
          <w:sz w:val="24"/>
          <w:szCs w:val="24"/>
          <w:highlight w:val="none"/>
        </w:rPr>
        <w:t>分，扣完为止。公式如下：</w:t>
      </w:r>
    </w:p>
    <w:p w14:paraId="3C5DA53C">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M3＝</w:t>
      </w:r>
      <w:r>
        <w:rPr>
          <w:rFonts w:hint="eastAsia" w:ascii="宋体" w:hAnsi="宋体" w:eastAsia="宋体" w:cs="宋体"/>
          <w:snapToGrid w:val="0"/>
          <w:color w:val="auto"/>
          <w:kern w:val="0"/>
          <w:sz w:val="24"/>
          <w:szCs w:val="24"/>
          <w:highlight w:val="none"/>
          <w:lang w:val="en-US" w:eastAsia="zh-CN"/>
        </w:rPr>
        <w:t>投标报价满分</w:t>
      </w:r>
      <w:r>
        <w:rPr>
          <w:rFonts w:hint="eastAsia" w:ascii="宋体" w:hAnsi="宋体" w:eastAsia="宋体" w:cs="宋体"/>
          <w:snapToGrid w:val="0"/>
          <w:color w:val="auto"/>
          <w:kern w:val="0"/>
          <w:sz w:val="24"/>
          <w:szCs w:val="24"/>
          <w:highlight w:val="none"/>
        </w:rPr>
        <w:t>－（|Di－D|÷D）×</w:t>
      </w:r>
      <w:r>
        <w:rPr>
          <w:rFonts w:hint="eastAsia" w:ascii="宋体" w:hAnsi="宋体" w:eastAsia="宋体" w:cs="宋体"/>
          <w:snapToGrid w:val="0"/>
          <w:color w:val="auto"/>
          <w:kern w:val="0"/>
          <w:sz w:val="24"/>
          <w:szCs w:val="24"/>
          <w:highlight w:val="none"/>
          <w:lang w:val="en-US" w:eastAsia="zh-CN"/>
        </w:rPr>
        <w:t>100</w:t>
      </w:r>
      <w:r>
        <w:rPr>
          <w:rFonts w:hint="eastAsia" w:ascii="宋体" w:hAnsi="宋体" w:eastAsia="宋体" w:cs="宋体"/>
          <w:snapToGrid w:val="0"/>
          <w:color w:val="auto"/>
          <w:kern w:val="0"/>
          <w:sz w:val="24"/>
          <w:szCs w:val="24"/>
          <w:highlight w:val="none"/>
        </w:rPr>
        <w:t>×E</w:t>
      </w:r>
    </w:p>
    <w:p w14:paraId="4BAA6096">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式中：D为评标基准价；Di为某投标人的投标总价；E为扣分因子，当Di＞D时，E＝</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；当Di＜D时，E＝</w:t>
      </w:r>
      <w:r>
        <w:rPr>
          <w:rFonts w:hint="eastAsia" w:ascii="宋体" w:hAnsi="宋体" w:eastAsia="宋体" w:cs="宋体"/>
          <w:snapToGrid w:val="0"/>
          <w:color w:val="auto"/>
          <w:kern w:val="0"/>
          <w:sz w:val="24"/>
          <w:szCs w:val="24"/>
          <w:highlight w:val="none"/>
          <w:lang w:val="en-US" w:eastAsia="zh-CN"/>
        </w:rPr>
        <w:t>0.5</w:t>
      </w:r>
      <w:r>
        <w:rPr>
          <w:rFonts w:hint="eastAsia" w:ascii="宋体" w:hAnsi="宋体" w:eastAsia="宋体" w:cs="宋体"/>
          <w:snapToGrid w:val="0"/>
          <w:color w:val="auto"/>
          <w:kern w:val="0"/>
          <w:sz w:val="24"/>
          <w:szCs w:val="24"/>
          <w:highlight w:val="none"/>
        </w:rPr>
        <w:t>。</w:t>
      </w:r>
    </w:p>
    <w:p w14:paraId="06A2CE93">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）综合得分</w:t>
      </w:r>
    </w:p>
    <w:p w14:paraId="3F1A75D7">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综合得分满分100分，公式如下：</w:t>
      </w:r>
    </w:p>
    <w:p w14:paraId="5F02A718">
      <w:pPr>
        <w:wordWrap w:val="0"/>
        <w:adjustRightInd w:val="0"/>
        <w:snapToGrid w:val="0"/>
        <w:spacing w:line="44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M＝M</w:t>
      </w:r>
      <w:r>
        <w:rPr>
          <w:rFonts w:hint="eastAsia" w:ascii="宋体" w:hAnsi="宋体" w:eastAsia="宋体" w:cs="宋体"/>
          <w:snapToGrid w:val="0"/>
          <w:color w:val="auto"/>
          <w:kern w:val="0"/>
          <w:sz w:val="24"/>
          <w:szCs w:val="24"/>
          <w:highlight w:val="none"/>
          <w:vertAlign w:val="subscript"/>
        </w:rPr>
        <w:t>1</w:t>
      </w:r>
      <w:r>
        <w:rPr>
          <w:rFonts w:hint="eastAsia" w:ascii="宋体" w:hAnsi="宋体" w:eastAsia="宋体" w:cs="宋体"/>
          <w:snapToGrid w:val="0"/>
          <w:color w:val="auto"/>
          <w:kern w:val="0"/>
          <w:sz w:val="24"/>
          <w:szCs w:val="24"/>
          <w:highlight w:val="none"/>
        </w:rPr>
        <w:t>＋M</w:t>
      </w:r>
      <w:r>
        <w:rPr>
          <w:rFonts w:hint="eastAsia" w:ascii="宋体" w:hAnsi="宋体" w:eastAsia="宋体" w:cs="宋体"/>
          <w:snapToGrid w:val="0"/>
          <w:color w:val="auto"/>
          <w:kern w:val="0"/>
          <w:sz w:val="24"/>
          <w:szCs w:val="24"/>
          <w:highlight w:val="none"/>
          <w:vertAlign w:val="subscript"/>
        </w:rPr>
        <w:t>2</w:t>
      </w:r>
      <w:r>
        <w:rPr>
          <w:rFonts w:hint="eastAsia" w:ascii="宋体" w:hAnsi="宋体" w:eastAsia="宋体" w:cs="宋体"/>
          <w:snapToGrid w:val="0"/>
          <w:color w:val="auto"/>
          <w:kern w:val="0"/>
          <w:sz w:val="24"/>
          <w:szCs w:val="24"/>
          <w:highlight w:val="none"/>
        </w:rPr>
        <w:t>＋M</w:t>
      </w:r>
      <w:r>
        <w:rPr>
          <w:rFonts w:hint="eastAsia" w:ascii="宋体" w:hAnsi="宋体" w:eastAsia="宋体" w:cs="宋体"/>
          <w:snapToGrid w:val="0"/>
          <w:color w:val="auto"/>
          <w:kern w:val="0"/>
          <w:sz w:val="24"/>
          <w:szCs w:val="24"/>
          <w:highlight w:val="none"/>
          <w:vertAlign w:val="subscript"/>
        </w:rPr>
        <w:t>3</w:t>
      </w:r>
    </w:p>
    <w:p w14:paraId="2126856F">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式中：M为综合得分，M</w:t>
      </w:r>
      <w:r>
        <w:rPr>
          <w:rFonts w:hint="eastAsia" w:ascii="宋体" w:hAnsi="宋体" w:eastAsia="宋体" w:cs="宋体"/>
          <w:snapToGrid w:val="0"/>
          <w:color w:val="auto"/>
          <w:kern w:val="0"/>
          <w:sz w:val="24"/>
          <w:szCs w:val="24"/>
          <w:highlight w:val="none"/>
          <w:vertAlign w:val="subscript"/>
        </w:rPr>
        <w:t>1</w:t>
      </w:r>
      <w:r>
        <w:rPr>
          <w:rFonts w:hint="eastAsia" w:ascii="宋体" w:hAnsi="宋体" w:eastAsia="宋体" w:cs="宋体"/>
          <w:snapToGrid w:val="0"/>
          <w:color w:val="auto"/>
          <w:kern w:val="0"/>
          <w:sz w:val="24"/>
          <w:szCs w:val="24"/>
          <w:highlight w:val="none"/>
        </w:rPr>
        <w:t>为商务得分，M</w:t>
      </w:r>
      <w:r>
        <w:rPr>
          <w:rFonts w:hint="eastAsia" w:ascii="宋体" w:hAnsi="宋体" w:eastAsia="宋体" w:cs="宋体"/>
          <w:snapToGrid w:val="0"/>
          <w:color w:val="auto"/>
          <w:kern w:val="0"/>
          <w:sz w:val="24"/>
          <w:szCs w:val="24"/>
          <w:highlight w:val="none"/>
          <w:vertAlign w:val="subscript"/>
        </w:rPr>
        <w:t>2</w:t>
      </w:r>
      <w:r>
        <w:rPr>
          <w:rFonts w:hint="eastAsia" w:ascii="宋体" w:hAnsi="宋体" w:eastAsia="宋体" w:cs="宋体"/>
          <w:snapToGrid w:val="0"/>
          <w:color w:val="auto"/>
          <w:kern w:val="0"/>
          <w:sz w:val="24"/>
          <w:szCs w:val="24"/>
          <w:highlight w:val="none"/>
        </w:rPr>
        <w:t>为技术得分，M</w:t>
      </w:r>
      <w:r>
        <w:rPr>
          <w:rFonts w:hint="eastAsia" w:ascii="宋体" w:hAnsi="宋体" w:eastAsia="宋体" w:cs="宋体"/>
          <w:snapToGrid w:val="0"/>
          <w:color w:val="auto"/>
          <w:kern w:val="0"/>
          <w:sz w:val="24"/>
          <w:szCs w:val="24"/>
          <w:highlight w:val="none"/>
          <w:vertAlign w:val="subscript"/>
        </w:rPr>
        <w:t>3</w:t>
      </w:r>
      <w:r>
        <w:rPr>
          <w:rFonts w:hint="eastAsia" w:ascii="宋体" w:hAnsi="宋体" w:eastAsia="宋体" w:cs="宋体"/>
          <w:snapToGrid w:val="0"/>
          <w:color w:val="auto"/>
          <w:kern w:val="0"/>
          <w:sz w:val="24"/>
          <w:szCs w:val="24"/>
          <w:highlight w:val="none"/>
        </w:rPr>
        <w:t>为投标报价得分。</w:t>
      </w:r>
    </w:p>
    <w:p w14:paraId="42EFBB95">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p>
    <w:p w14:paraId="458CCD66">
      <w:pPr>
        <w:jc w:val="center"/>
        <w:rPr>
          <w:rFonts w:hint="eastAsia" w:ascii="宋体" w:hAnsi="宋体" w:eastAsia="宋体" w:cs="宋体"/>
        </w:rPr>
      </w:pPr>
      <w:bookmarkStart w:id="244" w:name="_Toc14036"/>
      <w:bookmarkStart w:id="245" w:name="_Hlt69698713"/>
      <w:bookmarkStart w:id="246" w:name="_Hlt69698765"/>
      <w:r>
        <w:rPr>
          <w:rFonts w:hint="eastAsia" w:ascii="宋体" w:hAnsi="宋体" w:eastAsia="宋体" w:cs="宋体"/>
          <w:b/>
          <w:bCs/>
          <w:sz w:val="30"/>
          <w:szCs w:val="30"/>
        </w:rPr>
        <w:t>综合评分表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81"/>
        <w:gridCol w:w="120"/>
        <w:gridCol w:w="3503"/>
        <w:gridCol w:w="4454"/>
      </w:tblGrid>
      <w:tr w14:paraId="5E5F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854" w:type="dxa"/>
            <w:gridSpan w:val="5"/>
            <w:noWrap w:val="0"/>
            <w:vAlign w:val="top"/>
          </w:tcPr>
          <w:p w14:paraId="36E0C710">
            <w:pPr>
              <w:rPr>
                <w:rFonts w:hint="eastAsia" w:ascii="宋体" w:hAnsi="宋体" w:eastAsia="宋体" w:cs="宋体"/>
                <w:sz w:val="24"/>
                <w:szCs w:val="24"/>
              </w:rPr>
            </w:pPr>
            <w:r>
              <w:rPr>
                <w:rFonts w:hint="eastAsia" w:ascii="宋体" w:hAnsi="宋体" w:eastAsia="宋体" w:cs="宋体"/>
                <w:sz w:val="24"/>
                <w:szCs w:val="24"/>
              </w:rPr>
              <w:t>商务部分，满分：</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tc>
      </w:tr>
      <w:tr w14:paraId="2B26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97" w:type="dxa"/>
            <w:gridSpan w:val="3"/>
            <w:noWrap w:val="0"/>
            <w:vAlign w:val="top"/>
          </w:tcPr>
          <w:p w14:paraId="476EC373">
            <w:pPr>
              <w:rPr>
                <w:rFonts w:hint="eastAsia" w:ascii="宋体" w:hAnsi="宋体" w:eastAsia="宋体" w:cs="宋体"/>
                <w:sz w:val="24"/>
                <w:szCs w:val="24"/>
                <w:lang w:val="en-US" w:eastAsia="zh-CN"/>
              </w:rPr>
            </w:pPr>
            <w:r>
              <w:rPr>
                <w:rFonts w:hint="eastAsia" w:ascii="宋体" w:hAnsi="宋体" w:eastAsia="宋体" w:cs="宋体"/>
                <w:sz w:val="24"/>
                <w:szCs w:val="24"/>
              </w:rPr>
              <w:t>评分因素</w:t>
            </w:r>
          </w:p>
        </w:tc>
        <w:tc>
          <w:tcPr>
            <w:tcW w:w="3503" w:type="dxa"/>
            <w:noWrap w:val="0"/>
            <w:vAlign w:val="top"/>
          </w:tcPr>
          <w:p w14:paraId="1D378E89">
            <w:pPr>
              <w:rPr>
                <w:rFonts w:hint="eastAsia" w:ascii="宋体" w:hAnsi="宋体" w:eastAsia="宋体" w:cs="宋体"/>
                <w:sz w:val="24"/>
                <w:szCs w:val="24"/>
                <w:lang w:val="en-US" w:eastAsia="zh-CN"/>
              </w:rPr>
            </w:pPr>
            <w:r>
              <w:rPr>
                <w:rFonts w:hint="eastAsia" w:ascii="宋体" w:hAnsi="宋体" w:eastAsia="宋体" w:cs="宋体"/>
                <w:sz w:val="24"/>
                <w:szCs w:val="24"/>
              </w:rPr>
              <w:t>评分标准</w:t>
            </w:r>
          </w:p>
        </w:tc>
        <w:tc>
          <w:tcPr>
            <w:tcW w:w="4454" w:type="dxa"/>
            <w:noWrap w:val="0"/>
            <w:vAlign w:val="top"/>
          </w:tcPr>
          <w:p w14:paraId="7A8AEAC5">
            <w:pPr>
              <w:rPr>
                <w:rFonts w:hint="eastAsia" w:ascii="宋体" w:hAnsi="宋体" w:eastAsia="宋体" w:cs="宋体"/>
                <w:sz w:val="24"/>
                <w:szCs w:val="24"/>
                <w:lang w:val="en-US" w:eastAsia="zh-CN"/>
              </w:rPr>
            </w:pPr>
            <w:r>
              <w:rPr>
                <w:rFonts w:hint="eastAsia" w:ascii="宋体" w:hAnsi="宋体" w:eastAsia="宋体" w:cs="宋体"/>
                <w:sz w:val="24"/>
                <w:szCs w:val="24"/>
              </w:rPr>
              <w:t>备注</w:t>
            </w:r>
          </w:p>
        </w:tc>
      </w:tr>
      <w:tr w14:paraId="0211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restart"/>
            <w:noWrap w:val="0"/>
            <w:vAlign w:val="center"/>
          </w:tcPr>
          <w:p w14:paraId="685A7BB8">
            <w:pPr>
              <w:rPr>
                <w:rFonts w:hint="eastAsia" w:ascii="宋体" w:hAnsi="宋体" w:eastAsia="宋体" w:cs="宋体"/>
                <w:sz w:val="24"/>
                <w:szCs w:val="24"/>
                <w:lang w:val="en-US" w:eastAsia="zh-CN"/>
              </w:rPr>
            </w:pPr>
            <w:r>
              <w:rPr>
                <w:rFonts w:hint="eastAsia" w:ascii="宋体" w:hAnsi="宋体" w:eastAsia="宋体" w:cs="宋体"/>
                <w:sz w:val="24"/>
                <w:szCs w:val="24"/>
              </w:rPr>
              <w:t>设计企业（</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tc>
        <w:tc>
          <w:tcPr>
            <w:tcW w:w="1201" w:type="dxa"/>
            <w:gridSpan w:val="2"/>
            <w:noWrap w:val="0"/>
            <w:vAlign w:val="center"/>
          </w:tcPr>
          <w:p w14:paraId="20C73115">
            <w:pPr>
              <w:rPr>
                <w:rFonts w:hint="eastAsia" w:ascii="宋体" w:hAnsi="宋体" w:eastAsia="宋体" w:cs="宋体"/>
                <w:sz w:val="24"/>
                <w:szCs w:val="24"/>
              </w:rPr>
            </w:pPr>
            <w:r>
              <w:rPr>
                <w:rFonts w:hint="eastAsia" w:ascii="宋体" w:hAnsi="宋体" w:eastAsia="宋体" w:cs="宋体"/>
                <w:sz w:val="24"/>
                <w:szCs w:val="24"/>
              </w:rPr>
              <w:t>项目业绩</w:t>
            </w:r>
          </w:p>
          <w:p w14:paraId="4D718395">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3503" w:type="dxa"/>
            <w:noWrap w:val="0"/>
            <w:vAlign w:val="center"/>
          </w:tcPr>
          <w:p w14:paraId="5AD1C7E6">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企业自</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w:t>
            </w:r>
            <w:r>
              <w:rPr>
                <w:rFonts w:hint="eastAsia" w:ascii="宋体" w:hAnsi="宋体" w:eastAsia="宋体" w:cs="宋体"/>
                <w:sz w:val="24"/>
                <w:szCs w:val="24"/>
                <w:lang w:eastAsia="zh-CN"/>
              </w:rPr>
              <w:t>起</w:t>
            </w:r>
            <w:r>
              <w:rPr>
                <w:rFonts w:hint="eastAsia" w:ascii="宋体" w:hAnsi="宋体" w:eastAsia="宋体" w:cs="宋体"/>
                <w:sz w:val="24"/>
                <w:szCs w:val="24"/>
              </w:rPr>
              <w:t>至投标文件递交截止之日止，承担过市政类工程设计业绩</w:t>
            </w:r>
            <w:r>
              <w:rPr>
                <w:rFonts w:hint="eastAsia" w:ascii="宋体" w:hAnsi="宋体" w:eastAsia="宋体" w:cs="宋体"/>
                <w:sz w:val="24"/>
                <w:szCs w:val="24"/>
                <w:lang w:eastAsia="zh-CN"/>
              </w:rPr>
              <w:t>的</w:t>
            </w:r>
            <w:r>
              <w:rPr>
                <w:rFonts w:hint="eastAsia" w:ascii="宋体" w:hAnsi="宋体" w:eastAsia="宋体" w:cs="宋体"/>
                <w:sz w:val="24"/>
                <w:szCs w:val="24"/>
              </w:rPr>
              <w:t>，每项得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本项</w:t>
            </w:r>
            <w:r>
              <w:rPr>
                <w:rFonts w:hint="eastAsia" w:ascii="宋体" w:hAnsi="宋体" w:eastAsia="宋体" w:cs="宋体"/>
                <w:sz w:val="24"/>
                <w:szCs w:val="24"/>
              </w:rPr>
              <w:t>最高得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4454" w:type="dxa"/>
            <w:noWrap w:val="0"/>
            <w:vAlign w:val="center"/>
          </w:tcPr>
          <w:p w14:paraId="7FFB579E">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要求提供中标通知书或设计合同（关键页）或施工图审查合格证书</w:t>
            </w:r>
            <w:r>
              <w:rPr>
                <w:rFonts w:hint="eastAsia" w:ascii="宋体" w:hAnsi="宋体" w:eastAsia="宋体" w:cs="宋体"/>
                <w:sz w:val="24"/>
                <w:szCs w:val="24"/>
                <w:lang w:eastAsia="zh-CN"/>
              </w:rPr>
              <w:t>彩色扫描件</w:t>
            </w:r>
            <w:r>
              <w:rPr>
                <w:rFonts w:hint="eastAsia" w:ascii="宋体" w:hAnsi="宋体" w:eastAsia="宋体" w:cs="宋体"/>
                <w:sz w:val="24"/>
                <w:szCs w:val="24"/>
              </w:rPr>
              <w:t>，并加盖公章。</w:t>
            </w:r>
          </w:p>
          <w:p w14:paraId="16A710A2">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业绩时间以合同签订日期为准、业绩规模以合同注明或业主证明材料注明的规模为准。</w:t>
            </w:r>
          </w:p>
          <w:p w14:paraId="7AD31D82">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市政工程包含市政道路、桥梁、给水排水、土石方工程等。</w:t>
            </w:r>
          </w:p>
          <w:p w14:paraId="61DAC9AC">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同一项目业绩不累计、不重复得分。</w:t>
            </w:r>
          </w:p>
        </w:tc>
      </w:tr>
      <w:tr w14:paraId="40C9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continue"/>
            <w:noWrap w:val="0"/>
            <w:vAlign w:val="center"/>
          </w:tcPr>
          <w:p w14:paraId="23AB4B15">
            <w:pPr>
              <w:rPr>
                <w:rFonts w:hint="eastAsia" w:ascii="宋体" w:hAnsi="宋体" w:eastAsia="宋体" w:cs="宋体"/>
                <w:sz w:val="24"/>
                <w:szCs w:val="24"/>
                <w:lang w:val="en-US" w:eastAsia="zh-CN"/>
              </w:rPr>
            </w:pPr>
          </w:p>
        </w:tc>
        <w:tc>
          <w:tcPr>
            <w:tcW w:w="1201" w:type="dxa"/>
            <w:gridSpan w:val="2"/>
            <w:noWrap w:val="0"/>
            <w:vAlign w:val="center"/>
          </w:tcPr>
          <w:p w14:paraId="7D5574A5">
            <w:pPr>
              <w:rPr>
                <w:rFonts w:hint="eastAsia" w:ascii="宋体" w:hAnsi="宋体" w:eastAsia="宋体" w:cs="宋体"/>
                <w:sz w:val="24"/>
                <w:szCs w:val="24"/>
              </w:rPr>
            </w:pPr>
            <w:r>
              <w:rPr>
                <w:rFonts w:hint="eastAsia" w:ascii="宋体" w:hAnsi="宋体" w:eastAsia="宋体" w:cs="宋体"/>
                <w:sz w:val="24"/>
                <w:szCs w:val="24"/>
              </w:rPr>
              <w:t>企业及项目奖项获得情况</w:t>
            </w:r>
          </w:p>
          <w:p w14:paraId="2D04BF60">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3503" w:type="dxa"/>
            <w:noWrap w:val="0"/>
            <w:vAlign w:val="center"/>
          </w:tcPr>
          <w:p w14:paraId="167B44C4">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企业自</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w:t>
            </w:r>
            <w:r>
              <w:rPr>
                <w:rFonts w:hint="eastAsia" w:ascii="宋体" w:hAnsi="宋体" w:eastAsia="宋体" w:cs="宋体"/>
                <w:sz w:val="24"/>
                <w:szCs w:val="24"/>
                <w:lang w:eastAsia="zh-CN"/>
              </w:rPr>
              <w:t>起</w:t>
            </w:r>
            <w:r>
              <w:rPr>
                <w:rFonts w:hint="eastAsia" w:ascii="宋体" w:hAnsi="宋体" w:eastAsia="宋体" w:cs="宋体"/>
                <w:sz w:val="24"/>
                <w:szCs w:val="24"/>
              </w:rPr>
              <w:t>至投标文件递交截止之日止，获得过地级市</w:t>
            </w:r>
            <w:r>
              <w:rPr>
                <w:rFonts w:hint="eastAsia" w:ascii="宋体" w:hAnsi="宋体" w:eastAsia="宋体" w:cs="宋体"/>
                <w:sz w:val="24"/>
                <w:szCs w:val="24"/>
                <w:lang w:val="en-US" w:eastAsia="zh-CN"/>
              </w:rPr>
              <w:t>或</w:t>
            </w:r>
            <w:r>
              <w:rPr>
                <w:rFonts w:hint="eastAsia" w:ascii="宋体" w:hAnsi="宋体" w:eastAsia="宋体" w:cs="宋体"/>
                <w:sz w:val="24"/>
                <w:szCs w:val="24"/>
              </w:rPr>
              <w:t>以上的奖项，每项得</w:t>
            </w:r>
            <w:r>
              <w:rPr>
                <w:rFonts w:hint="eastAsia" w:ascii="宋体" w:hAnsi="宋体" w:eastAsia="宋体" w:cs="宋体"/>
                <w:sz w:val="24"/>
                <w:szCs w:val="24"/>
                <w:lang w:val="en-US" w:eastAsia="zh-CN"/>
              </w:rPr>
              <w:t>2</w:t>
            </w:r>
            <w:r>
              <w:rPr>
                <w:rFonts w:hint="eastAsia" w:ascii="宋体" w:hAnsi="宋体" w:eastAsia="宋体" w:cs="宋体"/>
                <w:sz w:val="24"/>
                <w:szCs w:val="24"/>
              </w:rPr>
              <w:t>分，本项最高得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4454" w:type="dxa"/>
            <w:noWrap w:val="0"/>
            <w:vAlign w:val="center"/>
          </w:tcPr>
          <w:p w14:paraId="773819C5">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提供相关获奖证书彩色扫描件作为评审依据，没有提供的不得分，并加盖单位公章，时间以获奖证书颁发时间为准。</w:t>
            </w:r>
          </w:p>
          <w:p w14:paraId="00358435">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以地级市及以上建设行政主管部门颁发或部级（省级、市级）建筑勘察设计协会颁发的证书为准。</w:t>
            </w:r>
          </w:p>
          <w:p w14:paraId="1658E57A">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同一项目获不同级别奖项的，按最高奖项得分，不重复计分。</w:t>
            </w:r>
          </w:p>
        </w:tc>
      </w:tr>
      <w:tr w14:paraId="3B52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continue"/>
            <w:noWrap w:val="0"/>
            <w:vAlign w:val="center"/>
          </w:tcPr>
          <w:p w14:paraId="354C6DD1">
            <w:pPr>
              <w:rPr>
                <w:rFonts w:hint="eastAsia" w:ascii="宋体" w:hAnsi="宋体" w:eastAsia="宋体" w:cs="宋体"/>
                <w:sz w:val="24"/>
                <w:szCs w:val="24"/>
                <w:lang w:val="en-US" w:eastAsia="zh-CN"/>
              </w:rPr>
            </w:pPr>
          </w:p>
        </w:tc>
        <w:tc>
          <w:tcPr>
            <w:tcW w:w="1201" w:type="dxa"/>
            <w:gridSpan w:val="2"/>
            <w:noWrap w:val="0"/>
            <w:vAlign w:val="center"/>
          </w:tcPr>
          <w:p w14:paraId="39654322">
            <w:pPr>
              <w:rPr>
                <w:rFonts w:hint="eastAsia" w:ascii="宋体" w:hAnsi="宋体" w:eastAsia="宋体" w:cs="宋体"/>
                <w:sz w:val="24"/>
                <w:szCs w:val="24"/>
                <w:lang w:val="en-US" w:eastAsia="zh-CN"/>
              </w:rPr>
            </w:pPr>
            <w:r>
              <w:rPr>
                <w:rFonts w:hint="eastAsia" w:ascii="宋体" w:hAnsi="宋体" w:eastAsia="宋体" w:cs="宋体"/>
                <w:sz w:val="24"/>
                <w:szCs w:val="24"/>
              </w:rPr>
              <w:t>设计负责人综合素质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5分</w:t>
            </w:r>
            <w:r>
              <w:rPr>
                <w:rFonts w:hint="eastAsia" w:ascii="宋体" w:hAnsi="宋体" w:eastAsia="宋体" w:cs="宋体"/>
                <w:sz w:val="24"/>
                <w:szCs w:val="24"/>
                <w:lang w:eastAsia="zh-CN"/>
              </w:rPr>
              <w:t>）</w:t>
            </w:r>
          </w:p>
        </w:tc>
        <w:tc>
          <w:tcPr>
            <w:tcW w:w="3503" w:type="dxa"/>
            <w:noWrap w:val="0"/>
            <w:vAlign w:val="center"/>
          </w:tcPr>
          <w:p w14:paraId="78238959">
            <w:pPr>
              <w:rPr>
                <w:rFonts w:hint="eastAsia" w:ascii="宋体" w:hAnsi="宋体" w:eastAsia="宋体" w:cs="宋体"/>
                <w:sz w:val="24"/>
                <w:szCs w:val="24"/>
                <w:lang w:val="en-US" w:eastAsia="zh-CN"/>
              </w:rPr>
            </w:pPr>
            <w:r>
              <w:rPr>
                <w:rFonts w:hint="eastAsia" w:ascii="宋体" w:hAnsi="宋体" w:eastAsia="宋体" w:cs="宋体"/>
                <w:sz w:val="24"/>
                <w:szCs w:val="24"/>
              </w:rPr>
              <w:t>设计负责人：具</w:t>
            </w:r>
            <w:r>
              <w:rPr>
                <w:rFonts w:hint="eastAsia" w:ascii="宋体" w:hAnsi="宋体" w:eastAsia="宋体" w:cs="宋体"/>
                <w:sz w:val="24"/>
                <w:szCs w:val="24"/>
                <w:lang w:val="en-US" w:eastAsia="zh-CN"/>
              </w:rPr>
              <w:t>有一级注册建筑师</w:t>
            </w:r>
            <w:r>
              <w:rPr>
                <w:rFonts w:hint="eastAsia" w:ascii="宋体" w:hAnsi="宋体" w:eastAsia="宋体" w:cs="宋体"/>
                <w:sz w:val="24"/>
                <w:szCs w:val="24"/>
              </w:rPr>
              <w:t>，同时具有</w:t>
            </w:r>
            <w:r>
              <w:rPr>
                <w:rFonts w:hint="eastAsia" w:ascii="宋体" w:hAnsi="宋体" w:eastAsia="宋体" w:cs="宋体"/>
                <w:sz w:val="24"/>
                <w:szCs w:val="24"/>
                <w:lang w:val="en-US" w:eastAsia="zh-CN"/>
              </w:rPr>
              <w:t>建筑</w:t>
            </w:r>
            <w:r>
              <w:rPr>
                <w:rFonts w:hint="eastAsia" w:ascii="宋体" w:hAnsi="宋体" w:eastAsia="宋体" w:cs="宋体"/>
                <w:sz w:val="24"/>
                <w:szCs w:val="24"/>
              </w:rPr>
              <w:t>类相关专业</w:t>
            </w:r>
            <w:r>
              <w:rPr>
                <w:rFonts w:hint="eastAsia" w:ascii="宋体" w:hAnsi="宋体" w:eastAsia="宋体" w:cs="宋体"/>
                <w:sz w:val="24"/>
                <w:szCs w:val="24"/>
                <w:lang w:eastAsia="zh-CN"/>
              </w:rPr>
              <w:t>中级</w:t>
            </w:r>
            <w:r>
              <w:rPr>
                <w:rFonts w:hint="eastAsia" w:ascii="宋体" w:hAnsi="宋体" w:eastAsia="宋体" w:cs="宋体"/>
                <w:sz w:val="24"/>
                <w:szCs w:val="24"/>
              </w:rPr>
              <w:t>工程师</w:t>
            </w:r>
            <w:r>
              <w:rPr>
                <w:rFonts w:hint="eastAsia" w:ascii="宋体" w:hAnsi="宋体" w:eastAsia="宋体" w:cs="宋体"/>
                <w:sz w:val="24"/>
                <w:szCs w:val="24"/>
                <w:lang w:eastAsia="zh-CN"/>
              </w:rPr>
              <w:t>或以上</w:t>
            </w:r>
            <w:r>
              <w:rPr>
                <w:rFonts w:hint="eastAsia" w:ascii="宋体" w:hAnsi="宋体" w:eastAsia="宋体" w:cs="宋体"/>
                <w:sz w:val="24"/>
                <w:szCs w:val="24"/>
              </w:rPr>
              <w:t>职称</w:t>
            </w:r>
            <w:r>
              <w:rPr>
                <w:rFonts w:hint="eastAsia" w:ascii="宋体" w:hAnsi="宋体" w:eastAsia="宋体" w:cs="宋体"/>
                <w:sz w:val="24"/>
                <w:szCs w:val="24"/>
                <w:lang w:eastAsia="zh-CN"/>
              </w:rPr>
              <w:t>，</w:t>
            </w:r>
            <w:r>
              <w:rPr>
                <w:rFonts w:hint="eastAsia" w:ascii="宋体" w:hAnsi="宋体" w:eastAsia="宋体" w:cs="宋体"/>
                <w:sz w:val="24"/>
                <w:szCs w:val="24"/>
              </w:rPr>
              <w:t>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本项最高得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4454" w:type="dxa"/>
            <w:noWrap w:val="0"/>
            <w:vAlign w:val="center"/>
          </w:tcPr>
          <w:p w14:paraId="4F02A460">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以上人员必须为投标人在职的员工，须提交相应的资格证书或证明资料</w:t>
            </w:r>
            <w:r>
              <w:rPr>
                <w:rFonts w:hint="eastAsia" w:ascii="宋体" w:hAnsi="宋体" w:eastAsia="宋体" w:cs="宋体"/>
                <w:sz w:val="24"/>
                <w:szCs w:val="24"/>
                <w:lang w:eastAsia="zh-CN"/>
              </w:rPr>
              <w:t>彩色扫描件</w:t>
            </w:r>
            <w:r>
              <w:rPr>
                <w:rFonts w:hint="eastAsia" w:ascii="宋体" w:hAnsi="宋体" w:eastAsia="宋体" w:cs="宋体"/>
                <w:sz w:val="24"/>
                <w:szCs w:val="24"/>
              </w:rPr>
              <w:t>；</w:t>
            </w:r>
          </w:p>
          <w:p w14:paraId="365E8CBF">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需提供拟派人员社保证明</w:t>
            </w:r>
            <w:r>
              <w:rPr>
                <w:rFonts w:hint="eastAsia" w:ascii="宋体" w:hAnsi="宋体" w:eastAsia="宋体" w:cs="宋体"/>
                <w:sz w:val="24"/>
                <w:szCs w:val="24"/>
                <w:lang w:eastAsia="zh-CN"/>
              </w:rPr>
              <w:t>彩色扫描件</w:t>
            </w:r>
            <w:bookmarkStart w:id="557" w:name="_GoBack"/>
            <w:bookmarkEnd w:id="557"/>
            <w:r>
              <w:rPr>
                <w:rFonts w:hint="eastAsia" w:ascii="宋体" w:hAnsi="宋体" w:eastAsia="宋体" w:cs="宋体"/>
                <w:sz w:val="24"/>
                <w:szCs w:val="24"/>
              </w:rPr>
              <w:t>(近三个月，其中必须有2025年1月)</w:t>
            </w:r>
            <w:r>
              <w:rPr>
                <w:rFonts w:hint="eastAsia" w:ascii="宋体" w:hAnsi="宋体" w:eastAsia="宋体" w:cs="宋体"/>
                <w:sz w:val="24"/>
                <w:szCs w:val="24"/>
                <w:lang w:eastAsia="zh-CN"/>
              </w:rPr>
              <w:t>。</w:t>
            </w:r>
          </w:p>
        </w:tc>
      </w:tr>
      <w:tr w14:paraId="1B24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continue"/>
            <w:noWrap w:val="0"/>
            <w:vAlign w:val="center"/>
          </w:tcPr>
          <w:p w14:paraId="4D62CEF9">
            <w:pPr>
              <w:rPr>
                <w:rFonts w:hint="eastAsia" w:ascii="宋体" w:hAnsi="宋体" w:eastAsia="宋体" w:cs="宋体"/>
                <w:sz w:val="24"/>
                <w:szCs w:val="24"/>
                <w:lang w:val="en-US" w:eastAsia="zh-CN"/>
              </w:rPr>
            </w:pPr>
          </w:p>
        </w:tc>
        <w:tc>
          <w:tcPr>
            <w:tcW w:w="1201" w:type="dxa"/>
            <w:gridSpan w:val="2"/>
            <w:noWrap w:val="0"/>
            <w:vAlign w:val="center"/>
          </w:tcPr>
          <w:p w14:paraId="37775903">
            <w:pPr>
              <w:rPr>
                <w:rFonts w:hint="eastAsia" w:ascii="宋体" w:hAnsi="宋体" w:eastAsia="宋体" w:cs="宋体"/>
                <w:sz w:val="24"/>
                <w:szCs w:val="24"/>
              </w:rPr>
            </w:pPr>
            <w:r>
              <w:rPr>
                <w:rFonts w:hint="eastAsia" w:ascii="宋体" w:hAnsi="宋体" w:eastAsia="宋体" w:cs="宋体"/>
                <w:sz w:val="24"/>
                <w:szCs w:val="24"/>
              </w:rPr>
              <w:t>项目人员要求</w:t>
            </w:r>
          </w:p>
          <w:p w14:paraId="3E96560F">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3503" w:type="dxa"/>
            <w:noWrap w:val="0"/>
            <w:vAlign w:val="center"/>
          </w:tcPr>
          <w:p w14:paraId="3E1771A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拟投入本项目的人员（设计负责人除外）情况：</w:t>
            </w:r>
          </w:p>
          <w:p w14:paraId="5EFFB496">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1.排水</w:t>
            </w:r>
            <w:r>
              <w:rPr>
                <w:rFonts w:hint="eastAsia" w:ascii="宋体" w:hAnsi="宋体" w:eastAsia="宋体" w:cs="宋体"/>
                <w:sz w:val="24"/>
                <w:szCs w:val="24"/>
              </w:rPr>
              <w:t>专业负责人：具有给排水相关专业高级工程师或以上职称，得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本小项最高得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056233BD">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2.道路</w:t>
            </w:r>
            <w:r>
              <w:rPr>
                <w:rFonts w:hint="eastAsia" w:ascii="宋体" w:hAnsi="宋体" w:eastAsia="宋体" w:cs="宋体"/>
                <w:sz w:val="24"/>
                <w:szCs w:val="24"/>
              </w:rPr>
              <w:t>专业负责人：具有路桥相关专业高级工程师或以上职称，得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本小项最高得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43A90774">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造价专业</w:t>
            </w:r>
            <w:r>
              <w:rPr>
                <w:rFonts w:hint="eastAsia" w:ascii="宋体" w:hAnsi="宋体" w:eastAsia="宋体" w:cs="宋体"/>
                <w:sz w:val="24"/>
                <w:szCs w:val="24"/>
                <w:lang w:val="en-US" w:eastAsia="zh-CN"/>
              </w:rPr>
              <w:t>负责人</w:t>
            </w:r>
            <w:r>
              <w:rPr>
                <w:rFonts w:hint="eastAsia" w:ascii="宋体" w:hAnsi="宋体" w:eastAsia="宋体" w:cs="宋体"/>
                <w:sz w:val="24"/>
                <w:szCs w:val="24"/>
              </w:rPr>
              <w:t>：具</w:t>
            </w:r>
            <w:r>
              <w:rPr>
                <w:rFonts w:hint="eastAsia" w:ascii="宋体" w:hAnsi="宋体" w:eastAsia="宋体" w:cs="宋体"/>
                <w:sz w:val="24"/>
                <w:szCs w:val="24"/>
                <w:lang w:val="en-US" w:eastAsia="zh-CN"/>
              </w:rPr>
              <w:t>有</w:t>
            </w:r>
            <w:r>
              <w:rPr>
                <w:rFonts w:hint="eastAsia" w:ascii="宋体" w:hAnsi="宋体" w:eastAsia="宋体" w:cs="宋体"/>
                <w:sz w:val="24"/>
                <w:szCs w:val="24"/>
              </w:rPr>
              <w:t>国家一级注册造价师（土建），得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本小项最高得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2F9618FA">
            <w:pPr>
              <w:rPr>
                <w:rFonts w:hint="eastAsia" w:ascii="宋体" w:hAnsi="宋体" w:eastAsia="宋体" w:cs="宋体"/>
                <w:sz w:val="24"/>
                <w:szCs w:val="24"/>
              </w:rPr>
            </w:pPr>
            <w:r>
              <w:rPr>
                <w:rFonts w:hint="eastAsia" w:ascii="宋体" w:hAnsi="宋体" w:eastAsia="宋体" w:cs="宋体"/>
                <w:sz w:val="24"/>
                <w:szCs w:val="24"/>
                <w:lang w:eastAsia="zh-CN"/>
              </w:rPr>
              <w:t>本项</w:t>
            </w:r>
            <w:r>
              <w:rPr>
                <w:rFonts w:hint="eastAsia" w:ascii="宋体" w:hAnsi="宋体" w:eastAsia="宋体" w:cs="宋体"/>
                <w:sz w:val="24"/>
                <w:szCs w:val="24"/>
              </w:rPr>
              <w:t>最高得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4454" w:type="dxa"/>
            <w:noWrap w:val="0"/>
            <w:vAlign w:val="center"/>
          </w:tcPr>
          <w:p w14:paraId="4044B5E5">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以上人员必须为投标人在职的员工，须提交相应的资格证书或证明资料</w:t>
            </w:r>
            <w:r>
              <w:rPr>
                <w:rFonts w:hint="eastAsia" w:ascii="宋体" w:hAnsi="宋体" w:eastAsia="宋体" w:cs="宋体"/>
                <w:sz w:val="24"/>
                <w:szCs w:val="24"/>
                <w:lang w:eastAsia="zh-CN"/>
              </w:rPr>
              <w:t>彩色扫描件</w:t>
            </w:r>
            <w:r>
              <w:rPr>
                <w:rFonts w:hint="eastAsia" w:ascii="宋体" w:hAnsi="宋体" w:eastAsia="宋体" w:cs="宋体"/>
                <w:sz w:val="24"/>
                <w:szCs w:val="24"/>
              </w:rPr>
              <w:t>；</w:t>
            </w:r>
          </w:p>
          <w:p w14:paraId="7DFA016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需提供拟派人员社保证明彩色扫描件(近三个月，其中必须有2025年1月)</w:t>
            </w:r>
            <w:r>
              <w:rPr>
                <w:rFonts w:hint="eastAsia" w:ascii="宋体" w:hAnsi="宋体" w:eastAsia="宋体" w:cs="宋体"/>
                <w:sz w:val="24"/>
                <w:szCs w:val="24"/>
                <w:lang w:eastAsia="zh-CN"/>
              </w:rPr>
              <w:t>。</w:t>
            </w:r>
          </w:p>
        </w:tc>
      </w:tr>
      <w:tr w14:paraId="69FD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854" w:type="dxa"/>
            <w:gridSpan w:val="5"/>
            <w:noWrap w:val="0"/>
            <w:vAlign w:val="top"/>
          </w:tcPr>
          <w:p w14:paraId="5656FF68">
            <w:pPr>
              <w:rPr>
                <w:rFonts w:hint="eastAsia" w:ascii="宋体" w:hAnsi="宋体" w:eastAsia="宋体" w:cs="宋体"/>
                <w:sz w:val="24"/>
                <w:szCs w:val="24"/>
              </w:rPr>
            </w:pPr>
            <w:r>
              <w:rPr>
                <w:rFonts w:hint="eastAsia" w:ascii="宋体" w:hAnsi="宋体" w:eastAsia="宋体" w:cs="宋体"/>
                <w:sz w:val="24"/>
                <w:szCs w:val="24"/>
              </w:rPr>
              <w:t>技术部分，满分：</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r>
      <w:tr w14:paraId="7270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97" w:type="dxa"/>
            <w:gridSpan w:val="3"/>
            <w:noWrap w:val="0"/>
            <w:vAlign w:val="center"/>
          </w:tcPr>
          <w:p w14:paraId="2248FA4A">
            <w:pPr>
              <w:rPr>
                <w:rFonts w:hint="eastAsia" w:ascii="宋体" w:hAnsi="宋体" w:eastAsia="宋体" w:cs="宋体"/>
                <w:sz w:val="24"/>
                <w:szCs w:val="24"/>
                <w:lang w:val="en-US" w:eastAsia="zh-CN"/>
              </w:rPr>
            </w:pPr>
            <w:r>
              <w:rPr>
                <w:rFonts w:hint="eastAsia" w:ascii="宋体" w:hAnsi="宋体" w:eastAsia="宋体" w:cs="宋体"/>
                <w:sz w:val="24"/>
                <w:szCs w:val="24"/>
              </w:rPr>
              <w:t>评分因素</w:t>
            </w:r>
          </w:p>
        </w:tc>
        <w:tc>
          <w:tcPr>
            <w:tcW w:w="7957" w:type="dxa"/>
            <w:gridSpan w:val="2"/>
            <w:noWrap w:val="0"/>
            <w:vAlign w:val="center"/>
          </w:tcPr>
          <w:p w14:paraId="4C8D096B">
            <w:pPr>
              <w:rPr>
                <w:rFonts w:hint="eastAsia" w:ascii="宋体" w:hAnsi="宋体" w:eastAsia="宋体" w:cs="宋体"/>
                <w:sz w:val="24"/>
                <w:szCs w:val="24"/>
                <w:lang w:val="en-US" w:eastAsia="zh-CN"/>
              </w:rPr>
            </w:pPr>
            <w:r>
              <w:rPr>
                <w:rFonts w:hint="eastAsia" w:ascii="宋体" w:hAnsi="宋体" w:eastAsia="宋体" w:cs="宋体"/>
                <w:sz w:val="24"/>
                <w:szCs w:val="24"/>
              </w:rPr>
              <w:t>评分标准</w:t>
            </w:r>
          </w:p>
        </w:tc>
      </w:tr>
      <w:tr w14:paraId="2927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gridSpan w:val="3"/>
            <w:shd w:val="clear" w:color="auto" w:fill="auto"/>
            <w:noWrap w:val="0"/>
            <w:vAlign w:val="center"/>
          </w:tcPr>
          <w:p w14:paraId="2FFA1D43">
            <w:pPr>
              <w:jc w:val="center"/>
              <w:rPr>
                <w:rFonts w:hint="eastAsia" w:ascii="宋体" w:hAnsi="宋体" w:eastAsia="宋体" w:cs="宋体"/>
                <w:sz w:val="24"/>
                <w:szCs w:val="24"/>
              </w:rPr>
            </w:pPr>
            <w:r>
              <w:rPr>
                <w:rFonts w:hint="eastAsia" w:ascii="宋体" w:hAnsi="宋体" w:eastAsia="宋体" w:cs="宋体"/>
                <w:sz w:val="24"/>
                <w:szCs w:val="24"/>
              </w:rPr>
              <w:t>对项目的概况的了解</w:t>
            </w:r>
          </w:p>
          <w:p w14:paraId="6C510B0D">
            <w:pPr>
              <w:jc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7957" w:type="dxa"/>
            <w:gridSpan w:val="2"/>
            <w:shd w:val="clear" w:color="auto" w:fill="auto"/>
            <w:noWrap w:val="0"/>
            <w:vAlign w:val="center"/>
          </w:tcPr>
          <w:p w14:paraId="0115FE0C">
            <w:pPr>
              <w:rPr>
                <w:rFonts w:hint="eastAsia" w:ascii="宋体" w:hAnsi="宋体" w:eastAsia="宋体" w:cs="宋体"/>
                <w:sz w:val="24"/>
                <w:szCs w:val="24"/>
              </w:rPr>
            </w:pPr>
            <w:r>
              <w:rPr>
                <w:rFonts w:hint="eastAsia" w:ascii="宋体" w:hAnsi="宋体" w:eastAsia="宋体" w:cs="宋体"/>
                <w:sz w:val="24"/>
                <w:szCs w:val="24"/>
              </w:rPr>
              <w:t>对本次招标项目的概况、规模等描述情况：</w:t>
            </w:r>
          </w:p>
          <w:p w14:paraId="2BE36D8C">
            <w:pPr>
              <w:rPr>
                <w:rFonts w:hint="eastAsia" w:ascii="宋体" w:hAnsi="宋体" w:eastAsia="宋体" w:cs="宋体"/>
                <w:sz w:val="24"/>
                <w:szCs w:val="24"/>
              </w:rPr>
            </w:pPr>
            <w:r>
              <w:rPr>
                <w:rFonts w:hint="eastAsia" w:ascii="宋体" w:hAnsi="宋体" w:eastAsia="宋体" w:cs="宋体"/>
                <w:sz w:val="24"/>
                <w:szCs w:val="24"/>
              </w:rPr>
              <w:t>【优】对本招标项目的概况、规模等描述详尽、透彻的得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14:paraId="0FF1264E">
            <w:pPr>
              <w:rPr>
                <w:rFonts w:hint="eastAsia" w:ascii="宋体" w:hAnsi="宋体" w:eastAsia="宋体" w:cs="宋体"/>
                <w:sz w:val="24"/>
                <w:szCs w:val="24"/>
              </w:rPr>
            </w:pPr>
            <w:r>
              <w:rPr>
                <w:rFonts w:hint="eastAsia" w:ascii="宋体" w:hAnsi="宋体" w:eastAsia="宋体" w:cs="宋体"/>
                <w:sz w:val="24"/>
                <w:szCs w:val="24"/>
              </w:rPr>
              <w:t>【良】对概况、规模等描述详尽、较透彻的得</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p w14:paraId="582BD306">
            <w:pPr>
              <w:rPr>
                <w:rFonts w:hint="eastAsia" w:ascii="宋体" w:hAnsi="宋体" w:eastAsia="宋体" w:cs="宋体"/>
                <w:sz w:val="24"/>
                <w:szCs w:val="24"/>
              </w:rPr>
            </w:pPr>
            <w:r>
              <w:rPr>
                <w:rFonts w:hint="eastAsia" w:ascii="宋体" w:hAnsi="宋体" w:eastAsia="宋体" w:cs="宋体"/>
                <w:sz w:val="24"/>
                <w:szCs w:val="24"/>
              </w:rPr>
              <w:t>【合格】对概况、规模等描述详尽、不够透彻的得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14:paraId="69D52EA4">
            <w:pPr>
              <w:rPr>
                <w:rFonts w:hint="eastAsia" w:ascii="宋体" w:hAnsi="宋体" w:eastAsia="宋体" w:cs="宋体"/>
                <w:sz w:val="24"/>
                <w:szCs w:val="24"/>
                <w:lang w:val="en-US" w:eastAsia="zh-CN"/>
              </w:rPr>
            </w:pPr>
            <w:r>
              <w:rPr>
                <w:rFonts w:hint="eastAsia" w:ascii="宋体" w:hAnsi="宋体" w:eastAsia="宋体" w:cs="宋体"/>
                <w:sz w:val="24"/>
                <w:szCs w:val="24"/>
              </w:rPr>
              <w:t>无该项描述得0分。</w:t>
            </w:r>
          </w:p>
        </w:tc>
      </w:tr>
      <w:tr w14:paraId="1420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gridSpan w:val="3"/>
            <w:shd w:val="clear" w:color="auto" w:fill="auto"/>
            <w:noWrap w:val="0"/>
            <w:vAlign w:val="center"/>
          </w:tcPr>
          <w:p w14:paraId="3133FB0A">
            <w:pPr>
              <w:jc w:val="center"/>
              <w:rPr>
                <w:rFonts w:hint="eastAsia" w:ascii="宋体" w:hAnsi="宋体" w:eastAsia="宋体" w:cs="宋体"/>
                <w:sz w:val="24"/>
                <w:szCs w:val="24"/>
              </w:rPr>
            </w:pPr>
            <w:r>
              <w:rPr>
                <w:rFonts w:hint="eastAsia" w:ascii="宋体" w:hAnsi="宋体" w:eastAsia="宋体" w:cs="宋体"/>
                <w:sz w:val="24"/>
                <w:szCs w:val="24"/>
              </w:rPr>
              <w:t>项目设计重点、难点分析</w:t>
            </w:r>
          </w:p>
          <w:p w14:paraId="79DF27DF">
            <w:pPr>
              <w:jc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7957" w:type="dxa"/>
            <w:gridSpan w:val="2"/>
            <w:shd w:val="clear" w:color="auto" w:fill="auto"/>
            <w:noWrap w:val="0"/>
            <w:vAlign w:val="center"/>
          </w:tcPr>
          <w:p w14:paraId="7AB35E56">
            <w:pPr>
              <w:rPr>
                <w:rFonts w:hint="eastAsia" w:ascii="宋体" w:hAnsi="宋体" w:eastAsia="宋体" w:cs="宋体"/>
                <w:sz w:val="24"/>
                <w:szCs w:val="24"/>
              </w:rPr>
            </w:pPr>
            <w:r>
              <w:rPr>
                <w:rFonts w:hint="eastAsia" w:ascii="宋体" w:hAnsi="宋体" w:eastAsia="宋体" w:cs="宋体"/>
                <w:sz w:val="24"/>
                <w:szCs w:val="24"/>
              </w:rPr>
              <w:t>对本招标项目的重点、难点的分析，以及相关应对措施：</w:t>
            </w:r>
          </w:p>
          <w:p w14:paraId="05A14583">
            <w:pPr>
              <w:rPr>
                <w:rFonts w:hint="eastAsia" w:ascii="宋体" w:hAnsi="宋体" w:eastAsia="宋体" w:cs="宋体"/>
                <w:sz w:val="24"/>
                <w:szCs w:val="24"/>
              </w:rPr>
            </w:pPr>
            <w:r>
              <w:rPr>
                <w:rFonts w:hint="eastAsia" w:ascii="宋体" w:hAnsi="宋体" w:eastAsia="宋体" w:cs="宋体"/>
                <w:sz w:val="24"/>
                <w:szCs w:val="24"/>
              </w:rPr>
              <w:t>【优】对本招标项目的重点、难点的分析，以及相关应对措施描述详尽、透彻的得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14:paraId="6ECC9DEA">
            <w:pPr>
              <w:rPr>
                <w:rFonts w:hint="eastAsia" w:ascii="宋体" w:hAnsi="宋体" w:eastAsia="宋体" w:cs="宋体"/>
                <w:sz w:val="24"/>
                <w:szCs w:val="24"/>
              </w:rPr>
            </w:pPr>
            <w:r>
              <w:rPr>
                <w:rFonts w:hint="eastAsia" w:ascii="宋体" w:hAnsi="宋体" w:eastAsia="宋体" w:cs="宋体"/>
                <w:sz w:val="24"/>
                <w:szCs w:val="24"/>
              </w:rPr>
              <w:t>【良】对本招标项目的重点、难点的分析，以及相关应对措施描述较详尽、较透彻的得</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p w14:paraId="50D38D78">
            <w:pPr>
              <w:rPr>
                <w:rFonts w:hint="eastAsia" w:ascii="宋体" w:hAnsi="宋体" w:eastAsia="宋体" w:cs="宋体"/>
                <w:sz w:val="24"/>
                <w:szCs w:val="24"/>
              </w:rPr>
            </w:pPr>
            <w:r>
              <w:rPr>
                <w:rFonts w:hint="eastAsia" w:ascii="宋体" w:hAnsi="宋体" w:eastAsia="宋体" w:cs="宋体"/>
                <w:sz w:val="24"/>
                <w:szCs w:val="24"/>
              </w:rPr>
              <w:t>【合格】对本招标项目的重点、难点的分析，以及相关应对措施描述不够详尽、不够透彻的得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14:paraId="518CFB19">
            <w:pPr>
              <w:rPr>
                <w:rFonts w:hint="eastAsia" w:ascii="宋体" w:hAnsi="宋体" w:eastAsia="宋体" w:cs="宋体"/>
                <w:sz w:val="24"/>
                <w:szCs w:val="24"/>
                <w:lang w:val="en-US" w:eastAsia="zh-CN"/>
              </w:rPr>
            </w:pPr>
            <w:r>
              <w:rPr>
                <w:rFonts w:hint="eastAsia" w:ascii="宋体" w:hAnsi="宋体" w:eastAsia="宋体" w:cs="宋体"/>
                <w:sz w:val="24"/>
                <w:szCs w:val="24"/>
              </w:rPr>
              <w:t>无该项描述得0分。</w:t>
            </w:r>
          </w:p>
        </w:tc>
      </w:tr>
      <w:tr w14:paraId="56E5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gridSpan w:val="3"/>
            <w:shd w:val="clear" w:color="auto" w:fill="auto"/>
            <w:noWrap w:val="0"/>
            <w:vAlign w:val="center"/>
          </w:tcPr>
          <w:p w14:paraId="032DFEF9">
            <w:pPr>
              <w:jc w:val="center"/>
              <w:rPr>
                <w:rFonts w:hint="eastAsia" w:ascii="宋体" w:hAnsi="宋体" w:eastAsia="宋体" w:cs="宋体"/>
                <w:sz w:val="24"/>
                <w:szCs w:val="24"/>
              </w:rPr>
            </w:pPr>
            <w:r>
              <w:rPr>
                <w:rFonts w:hint="eastAsia" w:ascii="宋体" w:hAnsi="宋体" w:eastAsia="宋体" w:cs="宋体"/>
                <w:sz w:val="24"/>
                <w:szCs w:val="24"/>
              </w:rPr>
              <w:t>质量和进度保证措施</w:t>
            </w:r>
          </w:p>
          <w:p w14:paraId="4D688165">
            <w:pPr>
              <w:jc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7957" w:type="dxa"/>
            <w:gridSpan w:val="2"/>
            <w:shd w:val="clear" w:color="auto" w:fill="auto"/>
            <w:noWrap w:val="0"/>
            <w:vAlign w:val="center"/>
          </w:tcPr>
          <w:p w14:paraId="162881BB">
            <w:pPr>
              <w:rPr>
                <w:rFonts w:hint="eastAsia" w:ascii="宋体" w:hAnsi="宋体" w:eastAsia="宋体" w:cs="宋体"/>
                <w:sz w:val="24"/>
                <w:szCs w:val="24"/>
              </w:rPr>
            </w:pPr>
            <w:r>
              <w:rPr>
                <w:rFonts w:hint="eastAsia" w:ascii="宋体" w:hAnsi="宋体" w:eastAsia="宋体" w:cs="宋体"/>
                <w:sz w:val="24"/>
                <w:szCs w:val="24"/>
              </w:rPr>
              <w:t>根据投标人对质量和进度的保证措施及承诺进行评分：</w:t>
            </w:r>
          </w:p>
          <w:p w14:paraId="0020FAA9">
            <w:pPr>
              <w:rPr>
                <w:rFonts w:hint="eastAsia" w:ascii="宋体" w:hAnsi="宋体" w:eastAsia="宋体" w:cs="宋体"/>
                <w:sz w:val="24"/>
                <w:szCs w:val="24"/>
              </w:rPr>
            </w:pPr>
            <w:r>
              <w:rPr>
                <w:rFonts w:hint="eastAsia" w:ascii="宋体" w:hAnsi="宋体" w:eastAsia="宋体" w:cs="宋体"/>
                <w:sz w:val="24"/>
                <w:szCs w:val="24"/>
              </w:rPr>
              <w:t>【优】对质量和进度的保证措施及承诺描述详尽、透彻的得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14:paraId="0246A446">
            <w:pPr>
              <w:rPr>
                <w:rFonts w:hint="eastAsia" w:ascii="宋体" w:hAnsi="宋体" w:eastAsia="宋体" w:cs="宋体"/>
                <w:sz w:val="24"/>
                <w:szCs w:val="24"/>
              </w:rPr>
            </w:pPr>
            <w:r>
              <w:rPr>
                <w:rFonts w:hint="eastAsia" w:ascii="宋体" w:hAnsi="宋体" w:eastAsia="宋体" w:cs="宋体"/>
                <w:sz w:val="24"/>
                <w:szCs w:val="24"/>
              </w:rPr>
              <w:t>【良】对质量和进度的保证措施及承诺描述较详尽、较透彻的得</w:t>
            </w:r>
            <w:r>
              <w:rPr>
                <w:rFonts w:hint="eastAsia" w:ascii="宋体" w:hAnsi="宋体" w:eastAsia="宋体" w:cs="宋体"/>
                <w:sz w:val="24"/>
                <w:szCs w:val="24"/>
                <w:lang w:val="en-US" w:eastAsia="zh-CN"/>
              </w:rPr>
              <w:t>8</w:t>
            </w:r>
            <w:r>
              <w:rPr>
                <w:rFonts w:hint="eastAsia" w:ascii="宋体" w:hAnsi="宋体" w:eastAsia="宋体" w:cs="宋体"/>
                <w:sz w:val="24"/>
                <w:szCs w:val="24"/>
              </w:rPr>
              <w:t>；</w:t>
            </w:r>
          </w:p>
          <w:p w14:paraId="6A766E91">
            <w:pPr>
              <w:rPr>
                <w:rFonts w:hint="eastAsia" w:ascii="宋体" w:hAnsi="宋体" w:eastAsia="宋体" w:cs="宋体"/>
                <w:sz w:val="24"/>
                <w:szCs w:val="24"/>
              </w:rPr>
            </w:pPr>
            <w:r>
              <w:rPr>
                <w:rFonts w:hint="eastAsia" w:ascii="宋体" w:hAnsi="宋体" w:eastAsia="宋体" w:cs="宋体"/>
                <w:sz w:val="24"/>
                <w:szCs w:val="24"/>
              </w:rPr>
              <w:t>【合格】对质量和进度的保证措施及承诺描述不够详尽、不够透彻的得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14:paraId="7EA9C4A8">
            <w:pPr>
              <w:rPr>
                <w:rFonts w:hint="eastAsia" w:ascii="宋体" w:hAnsi="宋体" w:eastAsia="宋体" w:cs="宋体"/>
                <w:sz w:val="24"/>
                <w:szCs w:val="24"/>
                <w:lang w:val="en-US" w:eastAsia="zh-CN"/>
              </w:rPr>
            </w:pPr>
            <w:r>
              <w:rPr>
                <w:rFonts w:hint="eastAsia" w:ascii="宋体" w:hAnsi="宋体" w:eastAsia="宋体" w:cs="宋体"/>
                <w:sz w:val="24"/>
                <w:szCs w:val="24"/>
              </w:rPr>
              <w:t>无该项描述得0分。</w:t>
            </w:r>
          </w:p>
        </w:tc>
      </w:tr>
      <w:tr w14:paraId="6432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noWrap w:val="0"/>
            <w:vAlign w:val="top"/>
          </w:tcPr>
          <w:p w14:paraId="430B1875">
            <w:pPr>
              <w:rPr>
                <w:rFonts w:hint="eastAsia" w:ascii="宋体" w:hAnsi="宋体" w:eastAsia="宋体" w:cs="宋体"/>
                <w:sz w:val="24"/>
                <w:szCs w:val="24"/>
              </w:rPr>
            </w:pPr>
            <w:r>
              <w:rPr>
                <w:rFonts w:hint="eastAsia" w:ascii="宋体" w:hAnsi="宋体" w:eastAsia="宋体" w:cs="宋体"/>
                <w:sz w:val="24"/>
                <w:szCs w:val="24"/>
              </w:rPr>
              <w:t>投标报价部分，满分：</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r>
      <w:tr w14:paraId="62C7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gridSpan w:val="2"/>
            <w:noWrap w:val="0"/>
            <w:vAlign w:val="center"/>
          </w:tcPr>
          <w:p w14:paraId="22BF65DD">
            <w:pPr>
              <w:rPr>
                <w:rFonts w:hint="eastAsia" w:ascii="宋体" w:hAnsi="宋体" w:eastAsia="宋体" w:cs="宋体"/>
                <w:sz w:val="24"/>
                <w:szCs w:val="24"/>
                <w:lang w:val="en-US" w:eastAsia="zh-CN"/>
              </w:rPr>
            </w:pPr>
            <w:r>
              <w:rPr>
                <w:rFonts w:hint="eastAsia" w:ascii="宋体" w:hAnsi="宋体" w:eastAsia="宋体" w:cs="宋体"/>
                <w:sz w:val="24"/>
                <w:szCs w:val="24"/>
              </w:rPr>
              <w:t>评分事项</w:t>
            </w:r>
          </w:p>
        </w:tc>
        <w:tc>
          <w:tcPr>
            <w:tcW w:w="8077" w:type="dxa"/>
            <w:gridSpan w:val="3"/>
            <w:noWrap w:val="0"/>
            <w:vAlign w:val="center"/>
          </w:tcPr>
          <w:p w14:paraId="7615E173">
            <w:pPr>
              <w:rPr>
                <w:rFonts w:hint="eastAsia" w:ascii="宋体" w:hAnsi="宋体" w:eastAsia="宋体" w:cs="宋体"/>
                <w:sz w:val="24"/>
                <w:szCs w:val="24"/>
                <w:lang w:val="en-US" w:eastAsia="zh-CN"/>
              </w:rPr>
            </w:pPr>
            <w:r>
              <w:rPr>
                <w:rFonts w:hint="eastAsia" w:ascii="宋体" w:hAnsi="宋体" w:eastAsia="宋体" w:cs="宋体"/>
                <w:sz w:val="24"/>
                <w:szCs w:val="24"/>
              </w:rPr>
              <w:t>评分方法</w:t>
            </w:r>
          </w:p>
        </w:tc>
      </w:tr>
      <w:tr w14:paraId="1F65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gridSpan w:val="2"/>
            <w:noWrap w:val="0"/>
            <w:vAlign w:val="center"/>
          </w:tcPr>
          <w:p w14:paraId="4F512B15">
            <w:pPr>
              <w:rPr>
                <w:rFonts w:hint="eastAsia" w:ascii="宋体" w:hAnsi="宋体" w:eastAsia="宋体" w:cs="宋体"/>
                <w:sz w:val="24"/>
                <w:szCs w:val="24"/>
                <w:lang w:val="en-US" w:eastAsia="zh-CN"/>
              </w:rPr>
            </w:pPr>
            <w:r>
              <w:rPr>
                <w:rFonts w:hint="eastAsia" w:ascii="宋体" w:hAnsi="宋体" w:eastAsia="宋体" w:cs="宋体"/>
                <w:sz w:val="24"/>
                <w:szCs w:val="24"/>
              </w:rPr>
              <w:t>评标基准价D</w:t>
            </w:r>
          </w:p>
        </w:tc>
        <w:tc>
          <w:tcPr>
            <w:tcW w:w="8077" w:type="dxa"/>
            <w:gridSpan w:val="3"/>
            <w:noWrap w:val="0"/>
            <w:vAlign w:val="center"/>
          </w:tcPr>
          <w:p w14:paraId="774E8716">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确定最高投标限价下浮系数n：用1～21号球分别代表一个下浮系数，由评委代表从这21个号码中随机抽取3次，每次抽取1个号码，抽出的号球不参与下次抽取。所抽取的3个号码对应下浮系数的算术平均值作为最高投标限价下浮系数n。具体号码对应的下浮系数可参考下表。</w:t>
            </w:r>
          </w:p>
          <w:tbl>
            <w:tblPr>
              <w:tblStyle w:val="33"/>
              <w:tblW w:w="0" w:type="auto"/>
              <w:tblInd w:w="6" w:type="dxa"/>
              <w:tblLayout w:type="autofit"/>
              <w:tblCellMar>
                <w:top w:w="0" w:type="dxa"/>
                <w:left w:w="108" w:type="dxa"/>
                <w:bottom w:w="0" w:type="dxa"/>
                <w:right w:w="108" w:type="dxa"/>
              </w:tblCellMar>
            </w:tblPr>
            <w:tblGrid>
              <w:gridCol w:w="1644"/>
              <w:gridCol w:w="831"/>
              <w:gridCol w:w="869"/>
              <w:gridCol w:w="905"/>
              <w:gridCol w:w="888"/>
              <w:gridCol w:w="923"/>
              <w:gridCol w:w="868"/>
              <w:gridCol w:w="857"/>
            </w:tblGrid>
            <w:tr w14:paraId="6CA4B687">
              <w:tblPrEx>
                <w:tblCellMar>
                  <w:top w:w="0" w:type="dxa"/>
                  <w:left w:w="108" w:type="dxa"/>
                  <w:bottom w:w="0" w:type="dxa"/>
                  <w:right w:w="108" w:type="dxa"/>
                </w:tblCellMar>
              </w:tblPrEx>
              <w:trPr>
                <w:trHeight w:val="567" w:hRule="exact"/>
              </w:trPr>
              <w:tc>
                <w:tcPr>
                  <w:tcW w:w="1644" w:type="dxa"/>
                  <w:tcBorders>
                    <w:top w:val="single" w:color="000000" w:sz="4" w:space="0"/>
                    <w:left w:val="single" w:color="000000" w:sz="4" w:space="0"/>
                    <w:bottom w:val="single" w:color="000000" w:sz="4" w:space="0"/>
                    <w:right w:val="single" w:color="000000" w:sz="4" w:space="0"/>
                  </w:tcBorders>
                  <w:noWrap w:val="0"/>
                  <w:vAlign w:val="center"/>
                </w:tcPr>
                <w:p w14:paraId="33B8DCC5">
                  <w:pPr>
                    <w:rPr>
                      <w:rFonts w:hint="eastAsia" w:ascii="宋体" w:hAnsi="宋体" w:eastAsia="宋体" w:cs="宋体"/>
                      <w:sz w:val="24"/>
                      <w:szCs w:val="24"/>
                    </w:rPr>
                  </w:pPr>
                  <w:r>
                    <w:rPr>
                      <w:rFonts w:hint="eastAsia" w:ascii="宋体" w:hAnsi="宋体" w:eastAsia="宋体" w:cs="宋体"/>
                      <w:sz w:val="24"/>
                      <w:szCs w:val="24"/>
                    </w:rPr>
                    <w:t>号球</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1C303EED">
                  <w:pPr>
                    <w:rPr>
                      <w:rFonts w:hint="eastAsia" w:ascii="宋体" w:hAnsi="宋体" w:eastAsia="宋体" w:cs="宋体"/>
                      <w:sz w:val="24"/>
                      <w:szCs w:val="24"/>
                    </w:rPr>
                  </w:pPr>
                  <w:r>
                    <w:rPr>
                      <w:rFonts w:hint="eastAsia" w:ascii="宋体" w:hAnsi="宋体" w:eastAsia="宋体" w:cs="宋体"/>
                      <w:sz w:val="24"/>
                      <w:szCs w:val="24"/>
                    </w:rPr>
                    <w:t>1</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4839CCC7">
                  <w:pPr>
                    <w:rPr>
                      <w:rFonts w:hint="eastAsia" w:ascii="宋体" w:hAnsi="宋体" w:eastAsia="宋体" w:cs="宋体"/>
                      <w:sz w:val="24"/>
                      <w:szCs w:val="24"/>
                    </w:rPr>
                  </w:pPr>
                  <w:r>
                    <w:rPr>
                      <w:rFonts w:hint="eastAsia" w:ascii="宋体" w:hAnsi="宋体" w:eastAsia="宋体" w:cs="宋体"/>
                      <w:sz w:val="24"/>
                      <w:szCs w:val="24"/>
                    </w:rPr>
                    <w:t>2</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53DDE894">
                  <w:pPr>
                    <w:rPr>
                      <w:rFonts w:hint="eastAsia" w:ascii="宋体" w:hAnsi="宋体" w:eastAsia="宋体" w:cs="宋体"/>
                      <w:sz w:val="24"/>
                      <w:szCs w:val="24"/>
                    </w:rPr>
                  </w:pPr>
                  <w:r>
                    <w:rPr>
                      <w:rFonts w:hint="eastAsia" w:ascii="宋体" w:hAnsi="宋体" w:eastAsia="宋体" w:cs="宋体"/>
                      <w:sz w:val="24"/>
                      <w:szCs w:val="24"/>
                    </w:rPr>
                    <w:t>3</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9B53D87">
                  <w:pPr>
                    <w:rPr>
                      <w:rFonts w:hint="eastAsia" w:ascii="宋体" w:hAnsi="宋体" w:eastAsia="宋体" w:cs="宋体"/>
                      <w:sz w:val="24"/>
                      <w:szCs w:val="24"/>
                    </w:rPr>
                  </w:pPr>
                  <w:r>
                    <w:rPr>
                      <w:rFonts w:hint="eastAsia" w:ascii="宋体" w:hAnsi="宋体" w:eastAsia="宋体" w:cs="宋体"/>
                      <w:sz w:val="24"/>
                      <w:szCs w:val="24"/>
                    </w:rPr>
                    <w:t>4</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32A6A4B">
                  <w:pPr>
                    <w:rPr>
                      <w:rFonts w:hint="eastAsia" w:ascii="宋体" w:hAnsi="宋体" w:eastAsia="宋体" w:cs="宋体"/>
                      <w:sz w:val="24"/>
                      <w:szCs w:val="24"/>
                    </w:rPr>
                  </w:pPr>
                  <w:r>
                    <w:rPr>
                      <w:rFonts w:hint="eastAsia" w:ascii="宋体" w:hAnsi="宋体" w:eastAsia="宋体" w:cs="宋体"/>
                      <w:sz w:val="24"/>
                      <w:szCs w:val="24"/>
                    </w:rPr>
                    <w:t>5</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44A7F3A1">
                  <w:pPr>
                    <w:rPr>
                      <w:rFonts w:hint="eastAsia" w:ascii="宋体" w:hAnsi="宋体" w:eastAsia="宋体" w:cs="宋体"/>
                      <w:sz w:val="24"/>
                      <w:szCs w:val="24"/>
                    </w:rPr>
                  </w:pPr>
                  <w:r>
                    <w:rPr>
                      <w:rFonts w:hint="eastAsia" w:ascii="宋体" w:hAnsi="宋体" w:eastAsia="宋体" w:cs="宋体"/>
                      <w:sz w:val="24"/>
                      <w:szCs w:val="24"/>
                    </w:rPr>
                    <w:t>6</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08B3C1FC">
                  <w:pPr>
                    <w:rPr>
                      <w:rFonts w:hint="eastAsia" w:ascii="宋体" w:hAnsi="宋体" w:eastAsia="宋体" w:cs="宋体"/>
                      <w:sz w:val="24"/>
                      <w:szCs w:val="24"/>
                    </w:rPr>
                  </w:pPr>
                  <w:r>
                    <w:rPr>
                      <w:rFonts w:hint="eastAsia" w:ascii="宋体" w:hAnsi="宋体" w:eastAsia="宋体" w:cs="宋体"/>
                      <w:sz w:val="24"/>
                      <w:szCs w:val="24"/>
                    </w:rPr>
                    <w:t>7</w:t>
                  </w:r>
                </w:p>
              </w:tc>
            </w:tr>
            <w:tr w14:paraId="07D888A7">
              <w:tblPrEx>
                <w:tblCellMar>
                  <w:top w:w="0" w:type="dxa"/>
                  <w:left w:w="108" w:type="dxa"/>
                  <w:bottom w:w="0" w:type="dxa"/>
                  <w:right w:w="108" w:type="dxa"/>
                </w:tblCellMar>
              </w:tblPrEx>
              <w:trPr>
                <w:trHeight w:val="567" w:hRule="exact"/>
              </w:trPr>
              <w:tc>
                <w:tcPr>
                  <w:tcW w:w="1644" w:type="dxa"/>
                  <w:tcBorders>
                    <w:top w:val="single" w:color="000000" w:sz="4" w:space="0"/>
                    <w:left w:val="single" w:color="000000" w:sz="4" w:space="0"/>
                    <w:bottom w:val="single" w:color="000000" w:sz="4" w:space="0"/>
                    <w:right w:val="single" w:color="000000" w:sz="4" w:space="0"/>
                  </w:tcBorders>
                  <w:noWrap w:val="0"/>
                  <w:vAlign w:val="center"/>
                </w:tcPr>
                <w:p w14:paraId="353DBE2F">
                  <w:pPr>
                    <w:rPr>
                      <w:rFonts w:hint="eastAsia" w:ascii="宋体" w:hAnsi="宋体" w:eastAsia="宋体" w:cs="宋体"/>
                      <w:sz w:val="24"/>
                      <w:szCs w:val="24"/>
                    </w:rPr>
                  </w:pPr>
                  <w:r>
                    <w:rPr>
                      <w:rFonts w:hint="eastAsia" w:ascii="宋体" w:hAnsi="宋体" w:eastAsia="宋体" w:cs="宋体"/>
                      <w:sz w:val="24"/>
                      <w:szCs w:val="24"/>
                    </w:rPr>
                    <w:t>下浮系数（%）</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44F4DBAC">
                  <w:pPr>
                    <w:rPr>
                      <w:rFonts w:hint="eastAsia" w:ascii="宋体" w:hAnsi="宋体" w:eastAsia="宋体" w:cs="宋体"/>
                      <w:sz w:val="24"/>
                      <w:szCs w:val="24"/>
                    </w:rPr>
                  </w:pPr>
                  <w:r>
                    <w:rPr>
                      <w:rFonts w:hint="eastAsia" w:ascii="宋体" w:hAnsi="宋体" w:eastAsia="宋体" w:cs="宋体"/>
                      <w:sz w:val="24"/>
                      <w:szCs w:val="24"/>
                    </w:rPr>
                    <w:t>0</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4D13A6C6">
                  <w:pPr>
                    <w:rPr>
                      <w:rFonts w:hint="eastAsia" w:ascii="宋体" w:hAnsi="宋体" w:eastAsia="宋体" w:cs="宋体"/>
                      <w:sz w:val="24"/>
                      <w:szCs w:val="24"/>
                    </w:rPr>
                  </w:pPr>
                  <w:r>
                    <w:rPr>
                      <w:rFonts w:hint="eastAsia" w:ascii="宋体" w:hAnsi="宋体" w:eastAsia="宋体" w:cs="宋体"/>
                      <w:sz w:val="24"/>
                      <w:szCs w:val="24"/>
                    </w:rPr>
                    <w:t>0.1</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36D63140">
                  <w:pPr>
                    <w:rPr>
                      <w:rFonts w:hint="eastAsia" w:ascii="宋体" w:hAnsi="宋体" w:eastAsia="宋体" w:cs="宋体"/>
                      <w:sz w:val="24"/>
                      <w:szCs w:val="24"/>
                    </w:rPr>
                  </w:pPr>
                  <w:r>
                    <w:rPr>
                      <w:rFonts w:hint="eastAsia" w:ascii="宋体" w:hAnsi="宋体" w:eastAsia="宋体" w:cs="宋体"/>
                      <w:sz w:val="24"/>
                      <w:szCs w:val="24"/>
                    </w:rPr>
                    <w:t>0.2</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5492167">
                  <w:pPr>
                    <w:rPr>
                      <w:rFonts w:hint="eastAsia" w:ascii="宋体" w:hAnsi="宋体" w:eastAsia="宋体" w:cs="宋体"/>
                      <w:sz w:val="24"/>
                      <w:szCs w:val="24"/>
                    </w:rPr>
                  </w:pPr>
                  <w:r>
                    <w:rPr>
                      <w:rFonts w:hint="eastAsia" w:ascii="宋体" w:hAnsi="宋体" w:eastAsia="宋体" w:cs="宋体"/>
                      <w:sz w:val="24"/>
                      <w:szCs w:val="24"/>
                    </w:rPr>
                    <w:t>0.3</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0F7340F">
                  <w:pPr>
                    <w:rPr>
                      <w:rFonts w:hint="eastAsia" w:ascii="宋体" w:hAnsi="宋体" w:eastAsia="宋体" w:cs="宋体"/>
                      <w:sz w:val="24"/>
                      <w:szCs w:val="24"/>
                    </w:rPr>
                  </w:pPr>
                  <w:r>
                    <w:rPr>
                      <w:rFonts w:hint="eastAsia" w:ascii="宋体" w:hAnsi="宋体" w:eastAsia="宋体" w:cs="宋体"/>
                      <w:sz w:val="24"/>
                      <w:szCs w:val="24"/>
                    </w:rPr>
                    <w:t>0.4</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5113D47C">
                  <w:pPr>
                    <w:rPr>
                      <w:rFonts w:hint="eastAsia" w:ascii="宋体" w:hAnsi="宋体" w:eastAsia="宋体" w:cs="宋体"/>
                      <w:sz w:val="24"/>
                      <w:szCs w:val="24"/>
                    </w:rPr>
                  </w:pPr>
                  <w:r>
                    <w:rPr>
                      <w:rFonts w:hint="eastAsia" w:ascii="宋体" w:hAnsi="宋体" w:eastAsia="宋体" w:cs="宋体"/>
                      <w:sz w:val="24"/>
                      <w:szCs w:val="24"/>
                    </w:rPr>
                    <w:t>0.5</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0510ECAA">
                  <w:pPr>
                    <w:rPr>
                      <w:rFonts w:hint="eastAsia" w:ascii="宋体" w:hAnsi="宋体" w:eastAsia="宋体" w:cs="宋体"/>
                      <w:sz w:val="24"/>
                      <w:szCs w:val="24"/>
                    </w:rPr>
                  </w:pPr>
                  <w:r>
                    <w:rPr>
                      <w:rFonts w:hint="eastAsia" w:ascii="宋体" w:hAnsi="宋体" w:eastAsia="宋体" w:cs="宋体"/>
                      <w:sz w:val="24"/>
                      <w:szCs w:val="24"/>
                    </w:rPr>
                    <w:t>0.6</w:t>
                  </w:r>
                </w:p>
              </w:tc>
            </w:tr>
            <w:tr w14:paraId="2003A9D8">
              <w:tblPrEx>
                <w:tblCellMar>
                  <w:top w:w="0" w:type="dxa"/>
                  <w:left w:w="108" w:type="dxa"/>
                  <w:bottom w:w="0" w:type="dxa"/>
                  <w:right w:w="108" w:type="dxa"/>
                </w:tblCellMar>
              </w:tblPrEx>
              <w:trPr>
                <w:trHeight w:val="567" w:hRule="exact"/>
              </w:trPr>
              <w:tc>
                <w:tcPr>
                  <w:tcW w:w="1644" w:type="dxa"/>
                  <w:tcBorders>
                    <w:top w:val="single" w:color="000000" w:sz="4" w:space="0"/>
                    <w:left w:val="single" w:color="000000" w:sz="4" w:space="0"/>
                    <w:bottom w:val="single" w:color="000000" w:sz="4" w:space="0"/>
                    <w:right w:val="single" w:color="000000" w:sz="4" w:space="0"/>
                  </w:tcBorders>
                  <w:noWrap w:val="0"/>
                  <w:vAlign w:val="center"/>
                </w:tcPr>
                <w:p w14:paraId="797A94C3">
                  <w:pPr>
                    <w:rPr>
                      <w:rFonts w:hint="eastAsia" w:ascii="宋体" w:hAnsi="宋体" w:eastAsia="宋体" w:cs="宋体"/>
                      <w:sz w:val="24"/>
                      <w:szCs w:val="24"/>
                    </w:rPr>
                  </w:pPr>
                  <w:r>
                    <w:rPr>
                      <w:rFonts w:hint="eastAsia" w:ascii="宋体" w:hAnsi="宋体" w:eastAsia="宋体" w:cs="宋体"/>
                      <w:sz w:val="24"/>
                      <w:szCs w:val="24"/>
                    </w:rPr>
                    <w:t>号球</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271258F4">
                  <w:pPr>
                    <w:rPr>
                      <w:rFonts w:hint="eastAsia" w:ascii="宋体" w:hAnsi="宋体" w:eastAsia="宋体" w:cs="宋体"/>
                      <w:sz w:val="24"/>
                      <w:szCs w:val="24"/>
                    </w:rPr>
                  </w:pPr>
                  <w:r>
                    <w:rPr>
                      <w:rFonts w:hint="eastAsia" w:ascii="宋体" w:hAnsi="宋体" w:eastAsia="宋体" w:cs="宋体"/>
                      <w:sz w:val="24"/>
                      <w:szCs w:val="24"/>
                    </w:rPr>
                    <w:t>8</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4B14C124">
                  <w:pPr>
                    <w:rPr>
                      <w:rFonts w:hint="eastAsia" w:ascii="宋体" w:hAnsi="宋体" w:eastAsia="宋体" w:cs="宋体"/>
                      <w:sz w:val="24"/>
                      <w:szCs w:val="24"/>
                    </w:rPr>
                  </w:pPr>
                  <w:r>
                    <w:rPr>
                      <w:rFonts w:hint="eastAsia" w:ascii="宋体" w:hAnsi="宋体" w:eastAsia="宋体" w:cs="宋体"/>
                      <w:sz w:val="24"/>
                      <w:szCs w:val="24"/>
                    </w:rPr>
                    <w:t>9</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0440E53B">
                  <w:pPr>
                    <w:rPr>
                      <w:rFonts w:hint="eastAsia" w:ascii="宋体" w:hAnsi="宋体" w:eastAsia="宋体" w:cs="宋体"/>
                      <w:sz w:val="24"/>
                      <w:szCs w:val="24"/>
                    </w:rPr>
                  </w:pPr>
                  <w:r>
                    <w:rPr>
                      <w:rFonts w:hint="eastAsia" w:ascii="宋体" w:hAnsi="宋体" w:eastAsia="宋体" w:cs="宋体"/>
                      <w:sz w:val="24"/>
                      <w:szCs w:val="24"/>
                    </w:rPr>
                    <w:t>10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DDC5F76">
                  <w:pPr>
                    <w:rPr>
                      <w:rFonts w:hint="eastAsia" w:ascii="宋体" w:hAnsi="宋体" w:eastAsia="宋体" w:cs="宋体"/>
                      <w:sz w:val="24"/>
                      <w:szCs w:val="24"/>
                    </w:rPr>
                  </w:pPr>
                  <w:r>
                    <w:rPr>
                      <w:rFonts w:hint="eastAsia" w:ascii="宋体" w:hAnsi="宋体" w:eastAsia="宋体" w:cs="宋体"/>
                      <w:sz w:val="24"/>
                      <w:szCs w:val="24"/>
                    </w:rPr>
                    <w:t>11</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1EAF2A8A">
                  <w:pPr>
                    <w:rPr>
                      <w:rFonts w:hint="eastAsia" w:ascii="宋体" w:hAnsi="宋体" w:eastAsia="宋体" w:cs="宋体"/>
                      <w:sz w:val="24"/>
                      <w:szCs w:val="24"/>
                    </w:rPr>
                  </w:pPr>
                  <w:r>
                    <w:rPr>
                      <w:rFonts w:hint="eastAsia" w:ascii="宋体" w:hAnsi="宋体" w:eastAsia="宋体" w:cs="宋体"/>
                      <w:sz w:val="24"/>
                      <w:szCs w:val="24"/>
                    </w:rPr>
                    <w:t>12</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745B37D7">
                  <w:pPr>
                    <w:rPr>
                      <w:rFonts w:hint="eastAsia" w:ascii="宋体" w:hAnsi="宋体" w:eastAsia="宋体" w:cs="宋体"/>
                      <w:sz w:val="24"/>
                      <w:szCs w:val="24"/>
                    </w:rPr>
                  </w:pPr>
                  <w:r>
                    <w:rPr>
                      <w:rFonts w:hint="eastAsia" w:ascii="宋体" w:hAnsi="宋体" w:eastAsia="宋体" w:cs="宋体"/>
                      <w:sz w:val="24"/>
                      <w:szCs w:val="24"/>
                    </w:rPr>
                    <w:t>13</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295BA145">
                  <w:pPr>
                    <w:rPr>
                      <w:rFonts w:hint="eastAsia" w:ascii="宋体" w:hAnsi="宋体" w:eastAsia="宋体" w:cs="宋体"/>
                      <w:sz w:val="24"/>
                      <w:szCs w:val="24"/>
                    </w:rPr>
                  </w:pPr>
                  <w:r>
                    <w:rPr>
                      <w:rFonts w:hint="eastAsia" w:ascii="宋体" w:hAnsi="宋体" w:eastAsia="宋体" w:cs="宋体"/>
                      <w:sz w:val="24"/>
                      <w:szCs w:val="24"/>
                    </w:rPr>
                    <w:t>14</w:t>
                  </w:r>
                </w:p>
              </w:tc>
            </w:tr>
            <w:tr w14:paraId="50E00108">
              <w:tblPrEx>
                <w:tblCellMar>
                  <w:top w:w="0" w:type="dxa"/>
                  <w:left w:w="108" w:type="dxa"/>
                  <w:bottom w:w="0" w:type="dxa"/>
                  <w:right w:w="108" w:type="dxa"/>
                </w:tblCellMar>
              </w:tblPrEx>
              <w:trPr>
                <w:trHeight w:val="567" w:hRule="exact"/>
              </w:trPr>
              <w:tc>
                <w:tcPr>
                  <w:tcW w:w="1644" w:type="dxa"/>
                  <w:tcBorders>
                    <w:top w:val="single" w:color="000000" w:sz="4" w:space="0"/>
                    <w:left w:val="single" w:color="000000" w:sz="4" w:space="0"/>
                    <w:bottom w:val="single" w:color="000000" w:sz="4" w:space="0"/>
                    <w:right w:val="single" w:color="000000" w:sz="4" w:space="0"/>
                  </w:tcBorders>
                  <w:noWrap w:val="0"/>
                  <w:vAlign w:val="center"/>
                </w:tcPr>
                <w:p w14:paraId="5589E786">
                  <w:pPr>
                    <w:rPr>
                      <w:rFonts w:hint="eastAsia" w:ascii="宋体" w:hAnsi="宋体" w:eastAsia="宋体" w:cs="宋体"/>
                      <w:sz w:val="24"/>
                      <w:szCs w:val="24"/>
                    </w:rPr>
                  </w:pPr>
                  <w:r>
                    <w:rPr>
                      <w:rFonts w:hint="eastAsia" w:ascii="宋体" w:hAnsi="宋体" w:eastAsia="宋体" w:cs="宋体"/>
                      <w:sz w:val="24"/>
                      <w:szCs w:val="24"/>
                    </w:rPr>
                    <w:t>下浮系数（%）</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346D246D">
                  <w:pPr>
                    <w:rPr>
                      <w:rFonts w:hint="eastAsia" w:ascii="宋体" w:hAnsi="宋体" w:eastAsia="宋体" w:cs="宋体"/>
                      <w:sz w:val="24"/>
                      <w:szCs w:val="24"/>
                    </w:rPr>
                  </w:pPr>
                  <w:r>
                    <w:rPr>
                      <w:rFonts w:hint="eastAsia" w:ascii="宋体" w:hAnsi="宋体" w:eastAsia="宋体" w:cs="宋体"/>
                      <w:sz w:val="24"/>
                      <w:szCs w:val="24"/>
                    </w:rPr>
                    <w:t>0.7</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73406BE1">
                  <w:pPr>
                    <w:rPr>
                      <w:rFonts w:hint="eastAsia" w:ascii="宋体" w:hAnsi="宋体" w:eastAsia="宋体" w:cs="宋体"/>
                      <w:sz w:val="24"/>
                      <w:szCs w:val="24"/>
                    </w:rPr>
                  </w:pPr>
                  <w:r>
                    <w:rPr>
                      <w:rFonts w:hint="eastAsia" w:ascii="宋体" w:hAnsi="宋体" w:eastAsia="宋体" w:cs="宋体"/>
                      <w:sz w:val="24"/>
                      <w:szCs w:val="24"/>
                    </w:rPr>
                    <w:t>0.8</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18CD8A8C">
                  <w:pPr>
                    <w:rPr>
                      <w:rFonts w:hint="eastAsia" w:ascii="宋体" w:hAnsi="宋体" w:eastAsia="宋体" w:cs="宋体"/>
                      <w:sz w:val="24"/>
                      <w:szCs w:val="24"/>
                    </w:rPr>
                  </w:pPr>
                  <w:r>
                    <w:rPr>
                      <w:rFonts w:hint="eastAsia" w:ascii="宋体" w:hAnsi="宋体" w:eastAsia="宋体" w:cs="宋体"/>
                      <w:sz w:val="24"/>
                      <w:szCs w:val="24"/>
                    </w:rPr>
                    <w:t>0.9</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A003745">
                  <w:pPr>
                    <w:rPr>
                      <w:rFonts w:hint="eastAsia" w:ascii="宋体" w:hAnsi="宋体" w:eastAsia="宋体" w:cs="宋体"/>
                      <w:sz w:val="24"/>
                      <w:szCs w:val="24"/>
                    </w:rPr>
                  </w:pPr>
                  <w:r>
                    <w:rPr>
                      <w:rFonts w:hint="eastAsia" w:ascii="宋体" w:hAnsi="宋体" w:eastAsia="宋体" w:cs="宋体"/>
                      <w:sz w:val="24"/>
                      <w:szCs w:val="24"/>
                    </w:rPr>
                    <w:t>1.0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BCD294B">
                  <w:pPr>
                    <w:rPr>
                      <w:rFonts w:hint="eastAsia" w:ascii="宋体" w:hAnsi="宋体" w:eastAsia="宋体" w:cs="宋体"/>
                      <w:sz w:val="24"/>
                      <w:szCs w:val="24"/>
                    </w:rPr>
                  </w:pPr>
                  <w:r>
                    <w:rPr>
                      <w:rFonts w:hint="eastAsia" w:ascii="宋体" w:hAnsi="宋体" w:eastAsia="宋体" w:cs="宋体"/>
                      <w:sz w:val="24"/>
                      <w:szCs w:val="24"/>
                    </w:rPr>
                    <w:t>0.1</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2FC4AD08">
                  <w:pPr>
                    <w:rPr>
                      <w:rFonts w:hint="eastAsia" w:ascii="宋体" w:hAnsi="宋体" w:eastAsia="宋体" w:cs="宋体"/>
                      <w:sz w:val="24"/>
                      <w:szCs w:val="24"/>
                    </w:rPr>
                  </w:pPr>
                  <w:r>
                    <w:rPr>
                      <w:rFonts w:hint="eastAsia" w:ascii="宋体" w:hAnsi="宋体" w:eastAsia="宋体" w:cs="宋体"/>
                      <w:sz w:val="24"/>
                      <w:szCs w:val="24"/>
                    </w:rPr>
                    <w:t>1.2</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149E57B5">
                  <w:pPr>
                    <w:rPr>
                      <w:rFonts w:hint="eastAsia" w:ascii="宋体" w:hAnsi="宋体" w:eastAsia="宋体" w:cs="宋体"/>
                      <w:sz w:val="24"/>
                      <w:szCs w:val="24"/>
                    </w:rPr>
                  </w:pPr>
                  <w:r>
                    <w:rPr>
                      <w:rFonts w:hint="eastAsia" w:ascii="宋体" w:hAnsi="宋体" w:eastAsia="宋体" w:cs="宋体"/>
                      <w:sz w:val="24"/>
                      <w:szCs w:val="24"/>
                    </w:rPr>
                    <w:t>1.3</w:t>
                  </w:r>
                </w:p>
              </w:tc>
            </w:tr>
            <w:tr w14:paraId="761FDFBF">
              <w:tblPrEx>
                <w:tblCellMar>
                  <w:top w:w="0" w:type="dxa"/>
                  <w:left w:w="108" w:type="dxa"/>
                  <w:bottom w:w="0" w:type="dxa"/>
                  <w:right w:w="108" w:type="dxa"/>
                </w:tblCellMar>
              </w:tblPrEx>
              <w:trPr>
                <w:trHeight w:val="567" w:hRule="exact"/>
              </w:trPr>
              <w:tc>
                <w:tcPr>
                  <w:tcW w:w="1644" w:type="dxa"/>
                  <w:tcBorders>
                    <w:top w:val="single" w:color="000000" w:sz="4" w:space="0"/>
                    <w:left w:val="single" w:color="000000" w:sz="4" w:space="0"/>
                    <w:bottom w:val="single" w:color="000000" w:sz="4" w:space="0"/>
                    <w:right w:val="single" w:color="000000" w:sz="4" w:space="0"/>
                  </w:tcBorders>
                  <w:noWrap w:val="0"/>
                  <w:vAlign w:val="center"/>
                </w:tcPr>
                <w:p w14:paraId="59A0D621">
                  <w:pPr>
                    <w:rPr>
                      <w:rFonts w:hint="eastAsia" w:ascii="宋体" w:hAnsi="宋体" w:eastAsia="宋体" w:cs="宋体"/>
                      <w:sz w:val="24"/>
                      <w:szCs w:val="24"/>
                    </w:rPr>
                  </w:pPr>
                  <w:r>
                    <w:rPr>
                      <w:rFonts w:hint="eastAsia" w:ascii="宋体" w:hAnsi="宋体" w:eastAsia="宋体" w:cs="宋体"/>
                      <w:sz w:val="24"/>
                      <w:szCs w:val="24"/>
                    </w:rPr>
                    <w:t>号球</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4FFBB5B8">
                  <w:pPr>
                    <w:rPr>
                      <w:rFonts w:hint="eastAsia" w:ascii="宋体" w:hAnsi="宋体" w:eastAsia="宋体" w:cs="宋体"/>
                      <w:sz w:val="24"/>
                      <w:szCs w:val="24"/>
                    </w:rPr>
                  </w:pPr>
                  <w:r>
                    <w:rPr>
                      <w:rFonts w:hint="eastAsia" w:ascii="宋体" w:hAnsi="宋体" w:eastAsia="宋体" w:cs="宋体"/>
                      <w:sz w:val="24"/>
                      <w:szCs w:val="24"/>
                    </w:rPr>
                    <w:t>15</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492C969B">
                  <w:pPr>
                    <w:rPr>
                      <w:rFonts w:hint="eastAsia" w:ascii="宋体" w:hAnsi="宋体" w:eastAsia="宋体" w:cs="宋体"/>
                      <w:sz w:val="24"/>
                      <w:szCs w:val="24"/>
                    </w:rPr>
                  </w:pPr>
                  <w:r>
                    <w:rPr>
                      <w:rFonts w:hint="eastAsia" w:ascii="宋体" w:hAnsi="宋体" w:eastAsia="宋体" w:cs="宋体"/>
                      <w:sz w:val="24"/>
                      <w:szCs w:val="24"/>
                    </w:rPr>
                    <w:t>16</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53824B50">
                  <w:pPr>
                    <w:rPr>
                      <w:rFonts w:hint="eastAsia" w:ascii="宋体" w:hAnsi="宋体" w:eastAsia="宋体" w:cs="宋体"/>
                      <w:sz w:val="24"/>
                      <w:szCs w:val="24"/>
                    </w:rPr>
                  </w:pPr>
                  <w:r>
                    <w:rPr>
                      <w:rFonts w:hint="eastAsia" w:ascii="宋体" w:hAnsi="宋体" w:eastAsia="宋体" w:cs="宋体"/>
                      <w:sz w:val="24"/>
                      <w:szCs w:val="24"/>
                    </w:rPr>
                    <w:t>17</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6986416">
                  <w:pPr>
                    <w:rPr>
                      <w:rFonts w:hint="eastAsia" w:ascii="宋体" w:hAnsi="宋体" w:eastAsia="宋体" w:cs="宋体"/>
                      <w:sz w:val="24"/>
                      <w:szCs w:val="24"/>
                    </w:rPr>
                  </w:pPr>
                  <w:r>
                    <w:rPr>
                      <w:rFonts w:hint="eastAsia" w:ascii="宋体" w:hAnsi="宋体" w:eastAsia="宋体" w:cs="宋体"/>
                      <w:sz w:val="24"/>
                      <w:szCs w:val="24"/>
                    </w:rPr>
                    <w:t>18</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43B67A8A">
                  <w:pPr>
                    <w:rPr>
                      <w:rFonts w:hint="eastAsia" w:ascii="宋体" w:hAnsi="宋体" w:eastAsia="宋体" w:cs="宋体"/>
                      <w:sz w:val="24"/>
                      <w:szCs w:val="24"/>
                    </w:rPr>
                  </w:pPr>
                  <w:r>
                    <w:rPr>
                      <w:rFonts w:hint="eastAsia" w:ascii="宋体" w:hAnsi="宋体" w:eastAsia="宋体" w:cs="宋体"/>
                      <w:sz w:val="24"/>
                      <w:szCs w:val="24"/>
                    </w:rPr>
                    <w:t>19</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6EB64663">
                  <w:pPr>
                    <w:rPr>
                      <w:rFonts w:hint="eastAsia" w:ascii="宋体" w:hAnsi="宋体" w:eastAsia="宋体" w:cs="宋体"/>
                      <w:sz w:val="24"/>
                      <w:szCs w:val="24"/>
                    </w:rPr>
                  </w:pPr>
                  <w:r>
                    <w:rPr>
                      <w:rFonts w:hint="eastAsia" w:ascii="宋体" w:hAnsi="宋体" w:eastAsia="宋体" w:cs="宋体"/>
                      <w:sz w:val="24"/>
                      <w:szCs w:val="24"/>
                    </w:rPr>
                    <w:t>20</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781B3CE3">
                  <w:pPr>
                    <w:rPr>
                      <w:rFonts w:hint="eastAsia" w:ascii="宋体" w:hAnsi="宋体" w:eastAsia="宋体" w:cs="宋体"/>
                      <w:sz w:val="24"/>
                      <w:szCs w:val="24"/>
                    </w:rPr>
                  </w:pPr>
                  <w:r>
                    <w:rPr>
                      <w:rFonts w:hint="eastAsia" w:ascii="宋体" w:hAnsi="宋体" w:eastAsia="宋体" w:cs="宋体"/>
                      <w:sz w:val="24"/>
                      <w:szCs w:val="24"/>
                    </w:rPr>
                    <w:t>21</w:t>
                  </w:r>
                </w:p>
              </w:tc>
            </w:tr>
            <w:tr w14:paraId="0CE661DC">
              <w:tblPrEx>
                <w:tblCellMar>
                  <w:top w:w="0" w:type="dxa"/>
                  <w:left w:w="108" w:type="dxa"/>
                  <w:bottom w:w="0" w:type="dxa"/>
                  <w:right w:w="108" w:type="dxa"/>
                </w:tblCellMar>
              </w:tblPrEx>
              <w:trPr>
                <w:trHeight w:val="567" w:hRule="exact"/>
              </w:trPr>
              <w:tc>
                <w:tcPr>
                  <w:tcW w:w="1644" w:type="dxa"/>
                  <w:tcBorders>
                    <w:top w:val="single" w:color="000000" w:sz="4" w:space="0"/>
                    <w:left w:val="single" w:color="000000" w:sz="4" w:space="0"/>
                    <w:bottom w:val="single" w:color="000000" w:sz="4" w:space="0"/>
                    <w:right w:val="single" w:color="000000" w:sz="4" w:space="0"/>
                  </w:tcBorders>
                  <w:noWrap w:val="0"/>
                  <w:vAlign w:val="center"/>
                </w:tcPr>
                <w:p w14:paraId="463FAA19">
                  <w:pPr>
                    <w:rPr>
                      <w:rFonts w:hint="eastAsia" w:ascii="宋体" w:hAnsi="宋体" w:eastAsia="宋体" w:cs="宋体"/>
                      <w:sz w:val="24"/>
                      <w:szCs w:val="24"/>
                    </w:rPr>
                  </w:pPr>
                  <w:r>
                    <w:rPr>
                      <w:rFonts w:hint="eastAsia" w:ascii="宋体" w:hAnsi="宋体" w:eastAsia="宋体" w:cs="宋体"/>
                      <w:sz w:val="24"/>
                      <w:szCs w:val="24"/>
                    </w:rPr>
                    <w:t>下浮系数（%）</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34C8936A">
                  <w:pPr>
                    <w:rPr>
                      <w:rFonts w:hint="eastAsia" w:ascii="宋体" w:hAnsi="宋体" w:eastAsia="宋体" w:cs="宋体"/>
                      <w:sz w:val="24"/>
                      <w:szCs w:val="24"/>
                    </w:rPr>
                  </w:pPr>
                  <w:r>
                    <w:rPr>
                      <w:rFonts w:hint="eastAsia" w:ascii="宋体" w:hAnsi="宋体" w:eastAsia="宋体" w:cs="宋体"/>
                      <w:sz w:val="24"/>
                      <w:szCs w:val="24"/>
                    </w:rPr>
                    <w:t>1.4</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72A44EE9">
                  <w:pPr>
                    <w:rPr>
                      <w:rFonts w:hint="eastAsia" w:ascii="宋体" w:hAnsi="宋体" w:eastAsia="宋体" w:cs="宋体"/>
                      <w:sz w:val="24"/>
                      <w:szCs w:val="24"/>
                    </w:rPr>
                  </w:pPr>
                  <w:r>
                    <w:rPr>
                      <w:rFonts w:hint="eastAsia" w:ascii="宋体" w:hAnsi="宋体" w:eastAsia="宋体" w:cs="宋体"/>
                      <w:sz w:val="24"/>
                      <w:szCs w:val="24"/>
                    </w:rPr>
                    <w:t>1.5</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1A6AC03D">
                  <w:pPr>
                    <w:rPr>
                      <w:rFonts w:hint="eastAsia" w:ascii="宋体" w:hAnsi="宋体" w:eastAsia="宋体" w:cs="宋体"/>
                      <w:sz w:val="24"/>
                      <w:szCs w:val="24"/>
                    </w:rPr>
                  </w:pPr>
                  <w:r>
                    <w:rPr>
                      <w:rFonts w:hint="eastAsia" w:ascii="宋体" w:hAnsi="宋体" w:eastAsia="宋体" w:cs="宋体"/>
                      <w:sz w:val="24"/>
                      <w:szCs w:val="24"/>
                    </w:rPr>
                    <w:t>1.6</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65741876">
                  <w:pPr>
                    <w:rPr>
                      <w:rFonts w:hint="eastAsia" w:ascii="宋体" w:hAnsi="宋体" w:eastAsia="宋体" w:cs="宋体"/>
                      <w:sz w:val="24"/>
                      <w:szCs w:val="24"/>
                    </w:rPr>
                  </w:pPr>
                  <w:r>
                    <w:rPr>
                      <w:rFonts w:hint="eastAsia" w:ascii="宋体" w:hAnsi="宋体" w:eastAsia="宋体" w:cs="宋体"/>
                      <w:sz w:val="24"/>
                      <w:szCs w:val="24"/>
                    </w:rPr>
                    <w:t>1.7</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6F676403">
                  <w:pPr>
                    <w:rPr>
                      <w:rFonts w:hint="eastAsia" w:ascii="宋体" w:hAnsi="宋体" w:eastAsia="宋体" w:cs="宋体"/>
                      <w:sz w:val="24"/>
                      <w:szCs w:val="24"/>
                    </w:rPr>
                  </w:pPr>
                  <w:r>
                    <w:rPr>
                      <w:rFonts w:hint="eastAsia" w:ascii="宋体" w:hAnsi="宋体" w:eastAsia="宋体" w:cs="宋体"/>
                      <w:sz w:val="24"/>
                      <w:szCs w:val="24"/>
                    </w:rPr>
                    <w:t>1.8</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729D3EF3">
                  <w:pPr>
                    <w:rPr>
                      <w:rFonts w:hint="eastAsia" w:ascii="宋体" w:hAnsi="宋体" w:eastAsia="宋体" w:cs="宋体"/>
                      <w:sz w:val="24"/>
                      <w:szCs w:val="24"/>
                    </w:rPr>
                  </w:pPr>
                  <w:r>
                    <w:rPr>
                      <w:rFonts w:hint="eastAsia" w:ascii="宋体" w:hAnsi="宋体" w:eastAsia="宋体" w:cs="宋体"/>
                      <w:sz w:val="24"/>
                      <w:szCs w:val="24"/>
                    </w:rPr>
                    <w:t>1.9</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1DA4D9D4">
                  <w:pPr>
                    <w:rPr>
                      <w:rFonts w:hint="eastAsia" w:ascii="宋体" w:hAnsi="宋体" w:eastAsia="宋体" w:cs="宋体"/>
                      <w:sz w:val="24"/>
                      <w:szCs w:val="24"/>
                    </w:rPr>
                  </w:pPr>
                  <w:r>
                    <w:rPr>
                      <w:rFonts w:hint="eastAsia" w:ascii="宋体" w:hAnsi="宋体" w:eastAsia="宋体" w:cs="宋体"/>
                      <w:sz w:val="24"/>
                      <w:szCs w:val="24"/>
                    </w:rPr>
                    <w:t>2.0</w:t>
                  </w:r>
                </w:p>
              </w:tc>
            </w:tr>
          </w:tbl>
          <w:p w14:paraId="5514A5B3">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评标基准价D＝最高投标限价×（1－n）</w:t>
            </w:r>
          </w:p>
        </w:tc>
      </w:tr>
      <w:tr w14:paraId="4E78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gridSpan w:val="2"/>
            <w:noWrap w:val="0"/>
            <w:vAlign w:val="center"/>
          </w:tcPr>
          <w:p w14:paraId="322AE9F6">
            <w:pPr>
              <w:rPr>
                <w:rFonts w:hint="eastAsia" w:ascii="宋体" w:hAnsi="宋体" w:eastAsia="宋体" w:cs="宋体"/>
                <w:sz w:val="24"/>
                <w:szCs w:val="24"/>
              </w:rPr>
            </w:pPr>
            <w:r>
              <w:rPr>
                <w:rFonts w:hint="eastAsia" w:ascii="宋体" w:hAnsi="宋体" w:eastAsia="宋体" w:cs="宋体"/>
                <w:sz w:val="24"/>
                <w:szCs w:val="24"/>
              </w:rPr>
              <w:t>投标报价</w:t>
            </w:r>
          </w:p>
          <w:p w14:paraId="3657D2CD">
            <w:pPr>
              <w:rPr>
                <w:rFonts w:hint="eastAsia" w:ascii="宋体" w:hAnsi="宋体" w:eastAsia="宋体" w:cs="宋体"/>
                <w:sz w:val="24"/>
                <w:szCs w:val="24"/>
                <w:lang w:val="en-US" w:eastAsia="zh-CN"/>
              </w:rPr>
            </w:pPr>
            <w:r>
              <w:rPr>
                <w:rFonts w:hint="eastAsia" w:ascii="宋体" w:hAnsi="宋体" w:eastAsia="宋体" w:cs="宋体"/>
                <w:sz w:val="24"/>
                <w:szCs w:val="24"/>
              </w:rPr>
              <w:t>得分M3</w:t>
            </w:r>
          </w:p>
        </w:tc>
        <w:tc>
          <w:tcPr>
            <w:tcW w:w="8077" w:type="dxa"/>
            <w:gridSpan w:val="3"/>
            <w:noWrap w:val="0"/>
            <w:vAlign w:val="center"/>
          </w:tcPr>
          <w:p w14:paraId="6826DB37">
            <w:pPr>
              <w:rPr>
                <w:rFonts w:hint="eastAsia" w:ascii="宋体" w:hAnsi="宋体" w:eastAsia="宋体" w:cs="宋体"/>
                <w:sz w:val="24"/>
                <w:szCs w:val="24"/>
              </w:rPr>
            </w:pPr>
            <w:r>
              <w:rPr>
                <w:rFonts w:hint="eastAsia" w:ascii="宋体" w:hAnsi="宋体" w:eastAsia="宋体" w:cs="宋体"/>
                <w:sz w:val="24"/>
                <w:szCs w:val="24"/>
              </w:rPr>
              <w:t>采用内插法计算某投标人的投标报价得分M3，即当投标人的投标总价等于评标基准价时得</w:t>
            </w:r>
            <w:r>
              <w:rPr>
                <w:rFonts w:hint="eastAsia" w:ascii="宋体" w:hAnsi="宋体" w:eastAsia="宋体" w:cs="宋体"/>
                <w:sz w:val="24"/>
                <w:szCs w:val="24"/>
                <w:lang w:val="en-US" w:eastAsia="zh-CN"/>
              </w:rPr>
              <w:t>30</w:t>
            </w:r>
            <w:r>
              <w:rPr>
                <w:rFonts w:hint="eastAsia" w:ascii="宋体" w:hAnsi="宋体" w:eastAsia="宋体" w:cs="宋体"/>
                <w:sz w:val="24"/>
                <w:szCs w:val="24"/>
              </w:rPr>
              <w:t>分，每高于评标基准价一个百分点扣1分,每低于评标基准价一个百分点扣0.5分，扣完为止。公式如下：</w:t>
            </w:r>
          </w:p>
          <w:p w14:paraId="1931F660">
            <w:pPr>
              <w:rPr>
                <w:rFonts w:hint="eastAsia" w:ascii="宋体" w:hAnsi="宋体" w:eastAsia="宋体" w:cs="宋体"/>
                <w:sz w:val="24"/>
                <w:szCs w:val="24"/>
              </w:rPr>
            </w:pPr>
            <w:r>
              <w:rPr>
                <w:rFonts w:hint="eastAsia" w:ascii="宋体" w:hAnsi="宋体" w:eastAsia="宋体" w:cs="宋体"/>
                <w:sz w:val="24"/>
                <w:szCs w:val="24"/>
              </w:rPr>
              <w:t>M3＝</w:t>
            </w:r>
            <w:r>
              <w:rPr>
                <w:rFonts w:hint="eastAsia" w:ascii="宋体" w:hAnsi="宋体" w:eastAsia="宋体" w:cs="宋体"/>
                <w:sz w:val="24"/>
                <w:szCs w:val="24"/>
                <w:lang w:val="en-US" w:eastAsia="zh-CN"/>
              </w:rPr>
              <w:t>30</w:t>
            </w:r>
            <w:r>
              <w:rPr>
                <w:rFonts w:hint="eastAsia" w:ascii="宋体" w:hAnsi="宋体" w:eastAsia="宋体" w:cs="宋体"/>
                <w:sz w:val="24"/>
                <w:szCs w:val="24"/>
              </w:rPr>
              <w:t>－（|Di－D|÷D）×100×E</w:t>
            </w:r>
          </w:p>
          <w:p w14:paraId="21356742">
            <w:pPr>
              <w:rPr>
                <w:rFonts w:hint="eastAsia" w:ascii="宋体" w:hAnsi="宋体" w:eastAsia="宋体" w:cs="宋体"/>
                <w:sz w:val="24"/>
                <w:szCs w:val="24"/>
                <w:lang w:val="en-US" w:eastAsia="zh-CN"/>
              </w:rPr>
            </w:pPr>
            <w:r>
              <w:rPr>
                <w:rFonts w:hint="eastAsia" w:ascii="宋体" w:hAnsi="宋体" w:eastAsia="宋体" w:cs="宋体"/>
                <w:sz w:val="24"/>
                <w:szCs w:val="24"/>
              </w:rPr>
              <w:t>式中：D为评标基准价；Di为某投标人的投标总价；E为扣分因子，当Di＞D时，E＝1；当Di＜D时，E＝0.5。</w:t>
            </w:r>
          </w:p>
        </w:tc>
      </w:tr>
      <w:tr w14:paraId="092A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gridSpan w:val="2"/>
            <w:noWrap w:val="0"/>
            <w:vAlign w:val="center"/>
          </w:tcPr>
          <w:p w14:paraId="004AF302">
            <w:pPr>
              <w:rPr>
                <w:rFonts w:hint="eastAsia" w:ascii="宋体" w:hAnsi="宋体" w:eastAsia="宋体" w:cs="宋体"/>
                <w:sz w:val="24"/>
                <w:szCs w:val="24"/>
                <w:lang w:val="en-US" w:eastAsia="zh-CN"/>
              </w:rPr>
            </w:pPr>
            <w:r>
              <w:rPr>
                <w:rFonts w:hint="eastAsia" w:ascii="宋体" w:hAnsi="宋体" w:eastAsia="宋体" w:cs="宋体"/>
                <w:sz w:val="24"/>
                <w:szCs w:val="24"/>
              </w:rPr>
              <w:t>得分合计</w:t>
            </w:r>
          </w:p>
        </w:tc>
        <w:tc>
          <w:tcPr>
            <w:tcW w:w="8077" w:type="dxa"/>
            <w:gridSpan w:val="3"/>
            <w:noWrap w:val="0"/>
            <w:vAlign w:val="center"/>
          </w:tcPr>
          <w:p w14:paraId="48C831B8">
            <w:pPr>
              <w:rPr>
                <w:rFonts w:hint="eastAsia" w:ascii="宋体" w:hAnsi="宋体" w:eastAsia="宋体" w:cs="宋体"/>
                <w:sz w:val="24"/>
                <w:szCs w:val="24"/>
                <w:lang w:val="en-US" w:eastAsia="zh-CN"/>
              </w:rPr>
            </w:pPr>
            <w:r>
              <w:rPr>
                <w:rFonts w:hint="eastAsia" w:ascii="宋体" w:hAnsi="宋体" w:eastAsia="宋体" w:cs="宋体"/>
                <w:sz w:val="24"/>
                <w:szCs w:val="24"/>
              </w:rPr>
              <w:t>商务部分得分+技术部分得分+投标报价得分</w:t>
            </w:r>
          </w:p>
        </w:tc>
      </w:tr>
    </w:tbl>
    <w:p w14:paraId="64C9F8E0">
      <w:pPr>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17.5.2</w:t>
      </w:r>
      <w:r>
        <w:rPr>
          <w:rFonts w:hint="eastAsia" w:ascii="宋体" w:hAnsi="宋体" w:eastAsia="宋体" w:cs="宋体"/>
          <w:snapToGrid w:val="0"/>
          <w:color w:val="auto"/>
          <w:kern w:val="0"/>
          <w:sz w:val="24"/>
          <w:szCs w:val="24"/>
          <w:highlight w:val="none"/>
        </w:rPr>
        <w:t>否决投标说明</w:t>
      </w:r>
    </w:p>
    <w:p w14:paraId="4A1C041A">
      <w:pPr>
        <w:spacing w:line="360" w:lineRule="auto"/>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详细评审阶段否决投标的全部条件，在本章第四节“否决投标条件”第</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条中集中列示。投标人有其中所列任何一种情形的，由评标委员会否决其投标。经详细评审后，若所有投标均被否决，招标人应当依法重新招标。</w:t>
      </w:r>
    </w:p>
    <w:p w14:paraId="2AE639EC">
      <w:pPr>
        <w:spacing w:line="360" w:lineRule="auto"/>
        <w:ind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注：投标人在详细评审阶段根据评分方法提供的佐证材料，其合法性、有效性和准确性不符合要求的，有关评分因素的评分按相应评分标准处理，但不否决投标。</w:t>
      </w:r>
    </w:p>
    <w:p w14:paraId="0ABBE01B">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247" w:name="_Toc32706"/>
      <w:bookmarkStart w:id="248" w:name="_Toc20426"/>
      <w:bookmarkStart w:id="249" w:name="_Toc135054601"/>
      <w:bookmarkStart w:id="250" w:name="_Toc2498"/>
      <w:bookmarkStart w:id="251" w:name="_Toc20529"/>
      <w:bookmarkStart w:id="252" w:name="_Toc17632"/>
      <w:r>
        <w:rPr>
          <w:rFonts w:hint="eastAsia" w:ascii="宋体" w:hAnsi="宋体" w:eastAsia="宋体" w:cs="宋体"/>
          <w:b/>
          <w:bCs/>
          <w:snapToGrid w:val="0"/>
          <w:color w:val="auto"/>
          <w:kern w:val="0"/>
          <w:sz w:val="24"/>
          <w:highlight w:val="none"/>
          <w:lang w:val="en-US" w:eastAsia="zh-CN"/>
        </w:rPr>
        <w:t>18.推荐中标候选人</w:t>
      </w:r>
      <w:bookmarkEnd w:id="247"/>
      <w:bookmarkEnd w:id="248"/>
      <w:bookmarkEnd w:id="249"/>
      <w:bookmarkEnd w:id="250"/>
      <w:bookmarkEnd w:id="251"/>
      <w:bookmarkEnd w:id="252"/>
    </w:p>
    <w:p w14:paraId="1DE1B2C1">
      <w:pPr>
        <w:spacing w:line="360" w:lineRule="auto"/>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18.1</w:t>
      </w:r>
      <w:r>
        <w:rPr>
          <w:rFonts w:hint="eastAsia" w:ascii="宋体" w:hAnsi="宋体" w:eastAsia="宋体" w:cs="宋体"/>
          <w:snapToGrid w:val="0"/>
          <w:color w:val="auto"/>
          <w:kern w:val="0"/>
          <w:sz w:val="24"/>
          <w:szCs w:val="24"/>
          <w:highlight w:val="none"/>
        </w:rPr>
        <w:t>确定排名</w:t>
      </w:r>
    </w:p>
    <w:p w14:paraId="1FCC33AF">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综合得分相等时，以商务部分得分高的优先；如果商务部分得分也相等，以技术部分得分高的优先；如果技术部分得分也相等，以投标总价低的优先；投标总价也相等的，由评标委员会投票确定。</w:t>
      </w:r>
    </w:p>
    <w:p w14:paraId="70A08A95">
      <w:pPr>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18.2</w:t>
      </w:r>
      <w:r>
        <w:rPr>
          <w:rFonts w:hint="eastAsia" w:ascii="宋体" w:hAnsi="宋体" w:eastAsia="宋体" w:cs="宋体"/>
          <w:snapToGrid w:val="0"/>
          <w:color w:val="auto"/>
          <w:kern w:val="0"/>
          <w:sz w:val="24"/>
          <w:szCs w:val="24"/>
          <w:highlight w:val="none"/>
        </w:rPr>
        <w:t>推荐方法</w:t>
      </w:r>
    </w:p>
    <w:p w14:paraId="1EF9A3C8">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（1）有效投标人数量达到或超过3个的，评标委员会将前三名投标人作为中标候选人向招标人推荐，并标明排列顺序。</w:t>
      </w:r>
    </w:p>
    <w:p w14:paraId="7BAA8095">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14:paraId="3E4AF0FD">
      <w:pPr>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18.3</w:t>
      </w:r>
      <w:r>
        <w:rPr>
          <w:rFonts w:hint="eastAsia" w:ascii="宋体" w:hAnsi="宋体" w:eastAsia="宋体" w:cs="宋体"/>
          <w:snapToGrid w:val="0"/>
          <w:color w:val="auto"/>
          <w:kern w:val="0"/>
          <w:sz w:val="24"/>
          <w:szCs w:val="24"/>
          <w:highlight w:val="none"/>
        </w:rPr>
        <w:t>评标委员会完成评标后，应向招标人提交由全体评标委员会成员签字的评标报告和中标候选人名单。</w:t>
      </w:r>
    </w:p>
    <w:p w14:paraId="5DE9A856">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253" w:name="_Toc13617"/>
      <w:bookmarkStart w:id="254" w:name="_Toc12851"/>
      <w:bookmarkStart w:id="255" w:name="_Toc6622"/>
      <w:bookmarkStart w:id="256" w:name="_Toc135054602"/>
      <w:bookmarkStart w:id="257" w:name="_Toc854"/>
      <w:bookmarkStart w:id="258" w:name="_Toc28747"/>
      <w:r>
        <w:rPr>
          <w:rFonts w:hint="eastAsia" w:ascii="宋体" w:hAnsi="宋体" w:eastAsia="宋体" w:cs="宋体"/>
          <w:b/>
          <w:bCs/>
          <w:snapToGrid w:val="0"/>
          <w:color w:val="auto"/>
          <w:kern w:val="0"/>
          <w:sz w:val="24"/>
          <w:highlight w:val="none"/>
          <w:lang w:val="en-US" w:eastAsia="zh-CN"/>
        </w:rPr>
        <w:t>19.中标候选人公示</w:t>
      </w:r>
      <w:bookmarkEnd w:id="253"/>
      <w:bookmarkEnd w:id="254"/>
      <w:bookmarkEnd w:id="255"/>
      <w:bookmarkEnd w:id="256"/>
      <w:bookmarkEnd w:id="257"/>
      <w:bookmarkEnd w:id="258"/>
    </w:p>
    <w:p w14:paraId="1490D57B">
      <w:pPr>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19.1</w:t>
      </w:r>
      <w:r>
        <w:rPr>
          <w:rFonts w:hint="eastAsia" w:ascii="宋体" w:hAnsi="宋体" w:eastAsia="宋体" w:cs="宋体"/>
          <w:snapToGrid w:val="0"/>
          <w:color w:val="auto"/>
          <w:kern w:val="0"/>
          <w:sz w:val="24"/>
          <w:szCs w:val="24"/>
          <w:highlight w:val="none"/>
        </w:rPr>
        <w:t>招标人自收到评标委员会提交的书面评标报告和中标候选人名单之日起3日内，将评标结果（即中标候选人名单）、中标候选人投标文件（指商务标书分册）、评标过程（评标专家姓名用代码标记）一并在广东省招标投标监管网（https://www.gdzwfw.gov.cn/ztbjg-portal/#/index）、全国公共资源交易平台（广东省·韶关市）（https://ygp.gdzwfw.gov.cn/ggzy-portal/#/440200/index）进行公示，公示期不得少于3天。</w:t>
      </w:r>
    </w:p>
    <w:p w14:paraId="184D5433">
      <w:pPr>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19.2</w:t>
      </w:r>
      <w:r>
        <w:rPr>
          <w:rFonts w:hint="eastAsia" w:ascii="宋体" w:hAnsi="宋体" w:eastAsia="宋体" w:cs="宋体"/>
          <w:snapToGrid w:val="0"/>
          <w:color w:val="auto"/>
          <w:kern w:val="0"/>
          <w:sz w:val="24"/>
          <w:szCs w:val="24"/>
          <w:highlight w:val="none"/>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发改〔2021〕44号）执行。如通过“韶关市公共资源交易服务平台”提出异议，投标人必须上传提交异议书扫描件（作为附件），异议书格式内容按照《韶关市工程建设项目招标投标活动异议和投诉处理办法》（韶发改〔2021〕44号）执行，否则招标人不予受理。投标人提出异议后，必须及时通知招标人查收，否则，由此造成的超出法律规定时限的后果，由投标人自行承担。招标人受理异议后，投标人须及时向招标人提交书面异议。</w:t>
      </w:r>
    </w:p>
    <w:p w14:paraId="6D86542F">
      <w:pPr>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19.3</w:t>
      </w:r>
      <w:r>
        <w:rPr>
          <w:rFonts w:hint="eastAsia" w:ascii="宋体" w:hAnsi="宋体" w:eastAsia="宋体" w:cs="宋体"/>
          <w:snapToGrid w:val="0"/>
          <w:color w:val="auto"/>
          <w:kern w:val="0"/>
          <w:sz w:val="24"/>
          <w:szCs w:val="24"/>
          <w:highlight w:val="none"/>
        </w:rPr>
        <w:t>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14:paraId="6916A097">
      <w:pPr>
        <w:spacing w:line="360" w:lineRule="auto"/>
        <w:rPr>
          <w:rFonts w:hint="eastAsia" w:ascii="宋体" w:hAnsi="宋体" w:eastAsia="宋体" w:cs="宋体"/>
          <w:snapToGrid w:val="0"/>
          <w:color w:val="auto"/>
          <w:kern w:val="0"/>
          <w:sz w:val="24"/>
          <w:szCs w:val="24"/>
          <w:highlight w:val="none"/>
        </w:rPr>
      </w:pPr>
    </w:p>
    <w:p w14:paraId="0A327B70">
      <w:pPr>
        <w:spacing w:line="360" w:lineRule="auto"/>
        <w:rPr>
          <w:rFonts w:hint="eastAsia" w:ascii="宋体" w:hAnsi="宋体" w:eastAsia="宋体" w:cs="宋体"/>
          <w:snapToGrid w:val="0"/>
          <w:color w:val="auto"/>
          <w:kern w:val="0"/>
          <w:sz w:val="24"/>
          <w:szCs w:val="24"/>
          <w:highlight w:val="none"/>
        </w:rPr>
      </w:pPr>
    </w:p>
    <w:p w14:paraId="3F1B0677">
      <w:pPr>
        <w:spacing w:line="360" w:lineRule="auto"/>
        <w:rPr>
          <w:rFonts w:hint="eastAsia" w:ascii="宋体" w:hAnsi="宋体" w:eastAsia="宋体" w:cs="宋体"/>
          <w:snapToGrid w:val="0"/>
          <w:color w:val="auto"/>
          <w:kern w:val="0"/>
          <w:sz w:val="24"/>
          <w:szCs w:val="24"/>
          <w:highlight w:val="none"/>
        </w:rPr>
      </w:pPr>
    </w:p>
    <w:p w14:paraId="66F37207">
      <w:pPr>
        <w:spacing w:line="360" w:lineRule="auto"/>
        <w:rPr>
          <w:rFonts w:hint="eastAsia" w:ascii="宋体" w:hAnsi="宋体" w:eastAsia="宋体" w:cs="宋体"/>
          <w:snapToGrid w:val="0"/>
          <w:color w:val="auto"/>
          <w:kern w:val="0"/>
          <w:sz w:val="24"/>
          <w:szCs w:val="24"/>
          <w:highlight w:val="none"/>
        </w:rPr>
      </w:pPr>
    </w:p>
    <w:p w14:paraId="074698C9">
      <w:pPr>
        <w:spacing w:line="360" w:lineRule="auto"/>
        <w:rPr>
          <w:rFonts w:hint="eastAsia" w:ascii="宋体" w:hAnsi="宋体" w:eastAsia="宋体" w:cs="宋体"/>
          <w:snapToGrid w:val="0"/>
          <w:color w:val="auto"/>
          <w:kern w:val="0"/>
          <w:sz w:val="24"/>
          <w:szCs w:val="24"/>
          <w:highlight w:val="none"/>
        </w:rPr>
      </w:pPr>
    </w:p>
    <w:p w14:paraId="48B61284">
      <w:pPr>
        <w:spacing w:line="360" w:lineRule="auto"/>
        <w:rPr>
          <w:rFonts w:hint="eastAsia" w:ascii="宋体" w:hAnsi="宋体" w:eastAsia="宋体" w:cs="宋体"/>
          <w:snapToGrid w:val="0"/>
          <w:color w:val="auto"/>
          <w:kern w:val="0"/>
          <w:sz w:val="24"/>
          <w:szCs w:val="24"/>
          <w:highlight w:val="none"/>
        </w:rPr>
      </w:pPr>
    </w:p>
    <w:p w14:paraId="1A772B21">
      <w:pPr>
        <w:spacing w:line="360" w:lineRule="auto"/>
        <w:rPr>
          <w:rFonts w:hint="eastAsia" w:ascii="宋体" w:hAnsi="宋体" w:eastAsia="宋体" w:cs="宋体"/>
          <w:snapToGrid w:val="0"/>
          <w:color w:val="auto"/>
          <w:kern w:val="0"/>
          <w:sz w:val="24"/>
          <w:szCs w:val="24"/>
          <w:highlight w:val="none"/>
        </w:rPr>
      </w:pPr>
    </w:p>
    <w:p w14:paraId="476A7D8C">
      <w:pPr>
        <w:spacing w:line="360" w:lineRule="auto"/>
        <w:rPr>
          <w:rFonts w:hint="eastAsia" w:ascii="宋体" w:hAnsi="宋体" w:eastAsia="宋体" w:cs="宋体"/>
          <w:snapToGrid w:val="0"/>
          <w:color w:val="auto"/>
          <w:kern w:val="0"/>
          <w:sz w:val="24"/>
          <w:szCs w:val="24"/>
          <w:highlight w:val="none"/>
        </w:rPr>
      </w:pPr>
    </w:p>
    <w:p w14:paraId="5DF3F1CC">
      <w:pPr>
        <w:spacing w:line="360" w:lineRule="auto"/>
        <w:rPr>
          <w:rFonts w:hint="eastAsia" w:ascii="宋体" w:hAnsi="宋体" w:eastAsia="宋体" w:cs="宋体"/>
          <w:snapToGrid w:val="0"/>
          <w:color w:val="auto"/>
          <w:kern w:val="0"/>
          <w:sz w:val="24"/>
          <w:szCs w:val="24"/>
          <w:highlight w:val="none"/>
        </w:rPr>
      </w:pPr>
    </w:p>
    <w:p w14:paraId="3F71D5F0">
      <w:pPr>
        <w:spacing w:line="360" w:lineRule="auto"/>
        <w:rPr>
          <w:rFonts w:hint="eastAsia" w:ascii="宋体" w:hAnsi="宋体" w:eastAsia="宋体" w:cs="宋体"/>
          <w:snapToGrid w:val="0"/>
          <w:color w:val="auto"/>
          <w:kern w:val="0"/>
          <w:sz w:val="24"/>
          <w:szCs w:val="24"/>
          <w:highlight w:val="none"/>
        </w:rPr>
      </w:pPr>
    </w:p>
    <w:p w14:paraId="5E9FA199">
      <w:pPr>
        <w:spacing w:line="360" w:lineRule="auto"/>
        <w:rPr>
          <w:rFonts w:hint="eastAsia" w:ascii="宋体" w:hAnsi="宋体" w:eastAsia="宋体" w:cs="宋体"/>
          <w:snapToGrid w:val="0"/>
          <w:color w:val="auto"/>
          <w:kern w:val="0"/>
          <w:sz w:val="24"/>
          <w:szCs w:val="24"/>
          <w:highlight w:val="none"/>
        </w:rPr>
      </w:pPr>
    </w:p>
    <w:p w14:paraId="77E589F9">
      <w:pPr>
        <w:spacing w:line="360" w:lineRule="auto"/>
        <w:rPr>
          <w:rFonts w:hint="eastAsia" w:ascii="宋体" w:hAnsi="宋体" w:eastAsia="宋体" w:cs="宋体"/>
          <w:snapToGrid w:val="0"/>
          <w:color w:val="auto"/>
          <w:kern w:val="0"/>
          <w:sz w:val="24"/>
          <w:szCs w:val="24"/>
          <w:highlight w:val="none"/>
        </w:rPr>
      </w:pPr>
    </w:p>
    <w:p w14:paraId="7FC83470">
      <w:pPr>
        <w:spacing w:line="360" w:lineRule="auto"/>
        <w:rPr>
          <w:rFonts w:hint="eastAsia" w:ascii="宋体" w:hAnsi="宋体" w:eastAsia="宋体" w:cs="宋体"/>
          <w:snapToGrid w:val="0"/>
          <w:color w:val="auto"/>
          <w:kern w:val="0"/>
          <w:sz w:val="24"/>
          <w:szCs w:val="24"/>
          <w:highlight w:val="none"/>
        </w:rPr>
      </w:pPr>
    </w:p>
    <w:p w14:paraId="08DCC840">
      <w:pPr>
        <w:spacing w:line="360" w:lineRule="auto"/>
        <w:rPr>
          <w:rFonts w:hint="eastAsia" w:ascii="宋体" w:hAnsi="宋体" w:eastAsia="宋体" w:cs="宋体"/>
          <w:snapToGrid w:val="0"/>
          <w:color w:val="auto"/>
          <w:kern w:val="0"/>
          <w:sz w:val="24"/>
          <w:szCs w:val="24"/>
          <w:highlight w:val="none"/>
        </w:rPr>
      </w:pPr>
    </w:p>
    <w:p w14:paraId="6437740C">
      <w:pPr>
        <w:spacing w:line="360" w:lineRule="auto"/>
        <w:rPr>
          <w:rFonts w:hint="eastAsia" w:ascii="宋体" w:hAnsi="宋体" w:eastAsia="宋体" w:cs="宋体"/>
          <w:snapToGrid w:val="0"/>
          <w:color w:val="auto"/>
          <w:kern w:val="0"/>
          <w:sz w:val="24"/>
          <w:szCs w:val="24"/>
          <w:highlight w:val="none"/>
        </w:rPr>
      </w:pPr>
    </w:p>
    <w:p w14:paraId="0C1EA801">
      <w:pPr>
        <w:pStyle w:val="79"/>
        <w:keepNext/>
        <w:keepLines/>
        <w:autoSpaceDE/>
        <w:autoSpaceDN/>
        <w:adjustRightInd/>
        <w:spacing w:before="260" w:after="260" w:line="360" w:lineRule="exact"/>
        <w:jc w:val="both"/>
        <w:rPr>
          <w:rFonts w:hint="eastAsia" w:ascii="宋体" w:hAnsi="宋体" w:eastAsia="宋体" w:cs="宋体"/>
          <w:b/>
          <w:color w:val="auto"/>
          <w:kern w:val="2"/>
          <w:highlight w:val="none"/>
          <w:lang w:val="en-US" w:eastAsia="zh-CN"/>
        </w:rPr>
      </w:pPr>
      <w:bookmarkStart w:id="259" w:name="_Toc2752"/>
      <w:bookmarkStart w:id="260" w:name="_Toc135054603"/>
      <w:bookmarkStart w:id="261" w:name="_Toc24327"/>
      <w:bookmarkStart w:id="262" w:name="_Toc32261"/>
      <w:bookmarkStart w:id="263" w:name="_Toc3215"/>
      <w:bookmarkStart w:id="264" w:name="_Toc31980"/>
      <w:bookmarkStart w:id="265" w:name="_Toc1155"/>
      <w:bookmarkStart w:id="266" w:name="_Toc14621"/>
      <w:r>
        <w:rPr>
          <w:rFonts w:hint="eastAsia" w:ascii="宋体" w:hAnsi="宋体" w:eastAsia="宋体" w:cs="宋体"/>
          <w:b/>
          <w:color w:val="auto"/>
          <w:kern w:val="2"/>
          <w:highlight w:val="none"/>
          <w:lang w:val="en-US" w:eastAsia="zh-CN"/>
        </w:rPr>
        <w:t>第四节   否决投标条件</w:t>
      </w:r>
      <w:bookmarkEnd w:id="259"/>
      <w:bookmarkEnd w:id="260"/>
      <w:bookmarkEnd w:id="261"/>
      <w:bookmarkEnd w:id="262"/>
      <w:bookmarkEnd w:id="263"/>
      <w:bookmarkEnd w:id="264"/>
      <w:bookmarkEnd w:id="265"/>
      <w:bookmarkEnd w:id="266"/>
    </w:p>
    <w:p w14:paraId="75DD6BEA">
      <w:pPr>
        <w:snapToGrid w:val="0"/>
        <w:spacing w:line="360" w:lineRule="auto"/>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　　本节所集中列示的否决投标条件，是本章第三节“投标人须知正文”的组成部分，是对本章第三节所规定的否决投标条件的总结和补充。</w:t>
      </w:r>
      <w:r>
        <w:rPr>
          <w:rFonts w:hint="eastAsia" w:ascii="宋体" w:hAnsi="宋体" w:eastAsia="宋体" w:cs="宋体"/>
          <w:b/>
          <w:bCs/>
          <w:snapToGrid w:val="0"/>
          <w:color w:val="auto"/>
          <w:kern w:val="0"/>
          <w:sz w:val="24"/>
          <w:szCs w:val="22"/>
          <w:highlight w:val="none"/>
        </w:rPr>
        <w:t>投标人未有列入本节情形的，评标时一律不得否决其投标。</w:t>
      </w:r>
      <w:r>
        <w:rPr>
          <w:rFonts w:hint="eastAsia" w:ascii="宋体" w:hAnsi="宋体" w:eastAsia="宋体" w:cs="宋体"/>
          <w:snapToGrid w:val="0"/>
          <w:color w:val="auto"/>
          <w:kern w:val="0"/>
          <w:sz w:val="24"/>
          <w:szCs w:val="22"/>
          <w:highlight w:val="none"/>
        </w:rPr>
        <w:t>本节所称“规定”均指招标文件的规定。</w:t>
      </w:r>
    </w:p>
    <w:p w14:paraId="7D898905">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267" w:name="_Toc3698"/>
      <w:bookmarkStart w:id="268" w:name="_Toc13781"/>
      <w:bookmarkStart w:id="269" w:name="_Toc21873"/>
      <w:bookmarkStart w:id="270" w:name="_Toc4139"/>
      <w:bookmarkStart w:id="271" w:name="_Toc8795"/>
      <w:bookmarkStart w:id="272" w:name="_Toc11881"/>
      <w:r>
        <w:rPr>
          <w:rFonts w:hint="eastAsia" w:ascii="宋体" w:hAnsi="宋体" w:eastAsia="宋体" w:cs="宋体"/>
          <w:b/>
          <w:bCs/>
          <w:snapToGrid w:val="0"/>
          <w:color w:val="auto"/>
          <w:kern w:val="0"/>
          <w:sz w:val="24"/>
          <w:highlight w:val="none"/>
          <w:lang w:val="en-US" w:eastAsia="zh-CN"/>
        </w:rPr>
        <w:t>1.资格评审环节</w:t>
      </w:r>
      <w:bookmarkEnd w:id="267"/>
      <w:bookmarkEnd w:id="268"/>
      <w:bookmarkEnd w:id="269"/>
      <w:bookmarkEnd w:id="270"/>
      <w:bookmarkEnd w:id="271"/>
      <w:bookmarkEnd w:id="272"/>
    </w:p>
    <w:p w14:paraId="05E20862">
      <w:pPr>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投标人有下列情形之一的，评标委员会应否决其投标。被否决的投标，不进入形式评审环节。</w:t>
      </w:r>
    </w:p>
    <w:p w14:paraId="623CF416">
      <w:pPr>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（1）有本章第三节第</w:t>
      </w:r>
      <w:r>
        <w:rPr>
          <w:rFonts w:hint="eastAsia" w:ascii="宋体" w:hAnsi="宋体" w:eastAsia="宋体" w:cs="宋体"/>
          <w:b/>
          <w:bCs/>
          <w:snapToGrid w:val="0"/>
          <w:color w:val="auto"/>
          <w:kern w:val="0"/>
          <w:sz w:val="24"/>
          <w:szCs w:val="22"/>
          <w:highlight w:val="none"/>
        </w:rPr>
        <w:t>4.4</w:t>
      </w:r>
      <w:r>
        <w:rPr>
          <w:rFonts w:hint="eastAsia" w:ascii="宋体" w:hAnsi="宋体" w:eastAsia="宋体" w:cs="宋体"/>
          <w:snapToGrid w:val="0"/>
          <w:color w:val="auto"/>
          <w:kern w:val="0"/>
          <w:sz w:val="24"/>
          <w:szCs w:val="22"/>
          <w:highlight w:val="none"/>
        </w:rPr>
        <w:t>条“禁止投标条款”规定的任何一种情形；</w:t>
      </w:r>
    </w:p>
    <w:p w14:paraId="07711A85">
      <w:pPr>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（2）投标人资质不符合规定的；</w:t>
      </w:r>
    </w:p>
    <w:p w14:paraId="7A57DD84">
      <w:pPr>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（3）投标人名称与营业执照、资质证书上的企业名称相互不一致的；其资质证书不是由住房城乡建设主管部门颁发的；营业执照、资质证书被吊销、暂扣或不在有效期内的；</w:t>
      </w:r>
    </w:p>
    <w:p w14:paraId="4462985C">
      <w:pPr>
        <w:snapToGrid w:val="0"/>
        <w:spacing w:line="360" w:lineRule="auto"/>
        <w:ind w:firstLine="480"/>
        <w:rPr>
          <w:rFonts w:hint="eastAsia" w:ascii="宋体" w:hAnsi="宋体" w:eastAsia="宋体" w:cs="宋体"/>
          <w:b/>
          <w:bCs/>
          <w:snapToGrid w:val="0"/>
          <w:color w:val="auto"/>
          <w:kern w:val="0"/>
          <w:sz w:val="24"/>
          <w:szCs w:val="22"/>
          <w:highlight w:val="none"/>
        </w:rPr>
      </w:pPr>
      <w:r>
        <w:rPr>
          <w:rFonts w:hint="eastAsia" w:ascii="宋体" w:hAnsi="宋体" w:eastAsia="宋体" w:cs="宋体"/>
          <w:b/>
          <w:bCs/>
          <w:snapToGrid w:val="0"/>
          <w:color w:val="auto"/>
          <w:kern w:val="0"/>
          <w:sz w:val="24"/>
          <w:szCs w:val="22"/>
          <w:highlight w:val="none"/>
        </w:rPr>
        <w:t>注：投标人已经工商变更，但其企业资质证书的企业名称未完成变更的，不得否决其投标；投标人营业执照、资质证书之间登记的信息不一致，应当允许投标人澄清，不得直接否决其投标。</w:t>
      </w:r>
    </w:p>
    <w:p w14:paraId="3EB6577E">
      <w:pPr>
        <w:pStyle w:val="221"/>
        <w:snapToGrid w:val="0"/>
        <w:ind w:firstLine="482" w:firstLineChars="200"/>
        <w:rPr>
          <w:rFonts w:hint="eastAsia" w:ascii="宋体" w:hAnsi="宋体" w:eastAsia="宋体" w:cs="宋体"/>
          <w:color w:val="auto"/>
          <w:highlight w:val="none"/>
        </w:rPr>
      </w:pPr>
      <w:r>
        <w:rPr>
          <w:rFonts w:hint="eastAsia" w:ascii="宋体" w:hAnsi="宋体" w:eastAsia="宋体" w:cs="宋体"/>
          <w:b/>
          <w:bCs/>
          <w:snapToGrid w:val="0"/>
          <w:color w:val="auto"/>
          <w:kern w:val="0"/>
          <w:highlight w:val="none"/>
        </w:rPr>
        <w:t>根据有关文件精神，投标人的企业资质证书有效期届满的，但投标人提供了发证机构相关行业主管部门的证明材料（如自动顺延或推迟办理延期业务的通知），证明在开标日继续有效的，不得否决其投标。</w:t>
      </w:r>
    </w:p>
    <w:p w14:paraId="12738B44">
      <w:pPr>
        <w:snapToGrid w:val="0"/>
        <w:spacing w:line="360" w:lineRule="auto"/>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（4）投标文件中拟派项目负责人（即设计负责人）的条件不符合规定的；</w:t>
      </w:r>
    </w:p>
    <w:p w14:paraId="0CDE8F35">
      <w:pPr>
        <w:snapToGrid w:val="0"/>
        <w:spacing w:line="360" w:lineRule="auto"/>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（5）拟派人员的各类证书、证件、证明不在有效期内的；或注册单位与投标人不一致的；</w:t>
      </w:r>
    </w:p>
    <w:p w14:paraId="5CB3CC39">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b/>
          <w:bCs/>
          <w:snapToGrid w:val="0"/>
          <w:color w:val="auto"/>
          <w:kern w:val="0"/>
          <w:sz w:val="24"/>
          <w:szCs w:val="22"/>
          <w:highlight w:val="none"/>
        </w:rPr>
        <w:t>注：投标人已经工商变更，但其员工执业资格注册证书的注册单位名称未完成变更的，不得否决其投标。</w:t>
      </w:r>
    </w:p>
    <w:p w14:paraId="3A6F1608">
      <w:pPr>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w:t>
      </w:r>
      <w:r>
        <w:rPr>
          <w:rFonts w:hint="eastAsia" w:ascii="宋体" w:hAnsi="宋体" w:eastAsia="宋体" w:cs="宋体"/>
          <w:snapToGrid w:val="0"/>
          <w:color w:val="auto"/>
          <w:kern w:val="0"/>
          <w:sz w:val="24"/>
          <w:szCs w:val="22"/>
          <w:highlight w:val="none"/>
          <w:lang w:val="en-US" w:eastAsia="zh-CN"/>
        </w:rPr>
        <w:t>6</w:t>
      </w:r>
      <w:r>
        <w:rPr>
          <w:rFonts w:hint="eastAsia" w:ascii="宋体" w:hAnsi="宋体" w:eastAsia="宋体" w:cs="宋体"/>
          <w:snapToGrid w:val="0"/>
          <w:color w:val="auto"/>
          <w:kern w:val="0"/>
          <w:sz w:val="24"/>
          <w:szCs w:val="22"/>
          <w:highlight w:val="none"/>
        </w:rPr>
        <w:t>）投标人为外省企业，但未提供“进粤企业和人员诚信信息登记平台”企业信息情况打印页的。</w:t>
      </w:r>
    </w:p>
    <w:p w14:paraId="6419A104">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273" w:name="_Toc22692"/>
      <w:bookmarkStart w:id="274" w:name="_Toc8031"/>
      <w:bookmarkStart w:id="275" w:name="_Toc12449"/>
      <w:bookmarkStart w:id="276" w:name="_Toc32171"/>
      <w:bookmarkStart w:id="277" w:name="_Toc4913"/>
      <w:bookmarkStart w:id="278" w:name="_Toc30214"/>
      <w:r>
        <w:rPr>
          <w:rFonts w:hint="eastAsia" w:ascii="宋体" w:hAnsi="宋体" w:eastAsia="宋体" w:cs="宋体"/>
          <w:b/>
          <w:bCs/>
          <w:snapToGrid w:val="0"/>
          <w:color w:val="auto"/>
          <w:kern w:val="0"/>
          <w:sz w:val="24"/>
          <w:highlight w:val="none"/>
          <w:lang w:val="en-US" w:eastAsia="zh-CN"/>
        </w:rPr>
        <w:t>2.形式评审环节</w:t>
      </w:r>
      <w:bookmarkEnd w:id="273"/>
      <w:bookmarkEnd w:id="274"/>
      <w:bookmarkEnd w:id="275"/>
      <w:bookmarkEnd w:id="276"/>
      <w:bookmarkEnd w:id="277"/>
      <w:bookmarkEnd w:id="278"/>
    </w:p>
    <w:p w14:paraId="0DE00BAE">
      <w:pPr>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投标人有下列情形之一的，评标委员会应否决其投标。被否决的投标，不进入响应性评审环节。</w:t>
      </w:r>
    </w:p>
    <w:p w14:paraId="4E9155C5">
      <w:pPr>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w:t>
      </w:r>
      <w:r>
        <w:rPr>
          <w:rFonts w:hint="eastAsia" w:ascii="宋体" w:hAnsi="宋体" w:eastAsia="宋体" w:cs="宋体"/>
          <w:snapToGrid w:val="0"/>
          <w:color w:val="auto"/>
          <w:kern w:val="0"/>
          <w:sz w:val="24"/>
          <w:szCs w:val="22"/>
          <w:highlight w:val="none"/>
          <w:lang w:val="en-US" w:eastAsia="zh-CN"/>
        </w:rPr>
        <w:t>7</w:t>
      </w:r>
      <w:r>
        <w:rPr>
          <w:rFonts w:hint="eastAsia" w:ascii="宋体" w:hAnsi="宋体" w:eastAsia="宋体" w:cs="宋体"/>
          <w:snapToGrid w:val="0"/>
          <w:color w:val="auto"/>
          <w:kern w:val="0"/>
          <w:sz w:val="24"/>
          <w:szCs w:val="22"/>
          <w:highlight w:val="none"/>
        </w:rPr>
        <w:t>）本章第三节第</w:t>
      </w:r>
      <w:r>
        <w:rPr>
          <w:rFonts w:hint="eastAsia" w:ascii="宋体" w:hAnsi="宋体" w:eastAsia="宋体" w:cs="宋体"/>
          <w:b/>
          <w:bCs/>
          <w:snapToGrid w:val="0"/>
          <w:color w:val="auto"/>
          <w:kern w:val="0"/>
          <w:sz w:val="24"/>
          <w:szCs w:val="21"/>
          <w:highlight w:val="none"/>
        </w:rPr>
        <w:t>10.2.2</w:t>
      </w:r>
      <w:r>
        <w:rPr>
          <w:rFonts w:hint="eastAsia" w:ascii="宋体" w:hAnsi="宋体" w:eastAsia="宋体" w:cs="宋体"/>
          <w:snapToGrid w:val="0"/>
          <w:color w:val="auto"/>
          <w:kern w:val="0"/>
          <w:sz w:val="24"/>
          <w:szCs w:val="21"/>
          <w:highlight w:val="none"/>
        </w:rPr>
        <w:t>目、</w:t>
      </w:r>
      <w:r>
        <w:rPr>
          <w:rFonts w:hint="eastAsia" w:ascii="宋体" w:hAnsi="宋体" w:eastAsia="宋体" w:cs="宋体"/>
          <w:snapToGrid w:val="0"/>
          <w:color w:val="auto"/>
          <w:kern w:val="0"/>
          <w:sz w:val="24"/>
          <w:szCs w:val="22"/>
          <w:highlight w:val="none"/>
        </w:rPr>
        <w:t>第</w:t>
      </w:r>
      <w:r>
        <w:rPr>
          <w:rFonts w:hint="eastAsia" w:ascii="宋体" w:hAnsi="宋体" w:eastAsia="宋体" w:cs="宋体"/>
          <w:b/>
          <w:bCs/>
          <w:snapToGrid w:val="0"/>
          <w:color w:val="auto"/>
          <w:kern w:val="0"/>
          <w:sz w:val="24"/>
          <w:szCs w:val="22"/>
          <w:highlight w:val="none"/>
        </w:rPr>
        <w:t>10</w:t>
      </w:r>
      <w:r>
        <w:rPr>
          <w:rFonts w:hint="eastAsia" w:ascii="宋体" w:hAnsi="宋体" w:eastAsia="宋体" w:cs="宋体"/>
          <w:b/>
          <w:bCs/>
          <w:snapToGrid w:val="0"/>
          <w:color w:val="auto"/>
          <w:kern w:val="0"/>
          <w:sz w:val="24"/>
          <w:szCs w:val="21"/>
          <w:highlight w:val="none"/>
        </w:rPr>
        <w:t>.3.2</w:t>
      </w:r>
      <w:r>
        <w:rPr>
          <w:rFonts w:hint="eastAsia" w:ascii="宋体" w:hAnsi="宋体" w:eastAsia="宋体" w:cs="宋体"/>
          <w:snapToGrid w:val="0"/>
          <w:color w:val="auto"/>
          <w:kern w:val="0"/>
          <w:sz w:val="24"/>
          <w:szCs w:val="21"/>
          <w:highlight w:val="none"/>
        </w:rPr>
        <w:t>目</w:t>
      </w:r>
      <w:r>
        <w:rPr>
          <w:rFonts w:hint="eastAsia" w:ascii="宋体" w:hAnsi="宋体" w:eastAsia="宋体" w:cs="宋体"/>
          <w:snapToGrid w:val="0"/>
          <w:color w:val="auto"/>
          <w:kern w:val="0"/>
          <w:sz w:val="24"/>
          <w:szCs w:val="22"/>
          <w:highlight w:val="none"/>
        </w:rPr>
        <w:t>中规定的“</w:t>
      </w:r>
      <w:r>
        <w:rPr>
          <w:rFonts w:hint="eastAsia" w:ascii="宋体" w:hAnsi="宋体" w:eastAsia="宋体" w:cs="宋体"/>
          <w:snapToGrid w:val="0"/>
          <w:color w:val="auto"/>
          <w:kern w:val="0"/>
          <w:sz w:val="24"/>
          <w:szCs w:val="21"/>
          <w:highlight w:val="none"/>
        </w:rPr>
        <w:t>所有投标人均应提供</w:t>
      </w:r>
      <w:r>
        <w:rPr>
          <w:rFonts w:hint="eastAsia" w:ascii="宋体" w:hAnsi="宋体" w:eastAsia="宋体" w:cs="宋体"/>
          <w:snapToGrid w:val="0"/>
          <w:color w:val="auto"/>
          <w:kern w:val="0"/>
          <w:sz w:val="24"/>
          <w:szCs w:val="22"/>
          <w:highlight w:val="none"/>
        </w:rPr>
        <w:t>”的组成内容（包括该组成内容的所附资料）中，任何一项有缺漏的；</w:t>
      </w:r>
    </w:p>
    <w:p w14:paraId="7BA6E879">
      <w:pPr>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w:t>
      </w:r>
      <w:r>
        <w:rPr>
          <w:rFonts w:hint="eastAsia" w:ascii="宋体" w:hAnsi="宋体" w:eastAsia="宋体" w:cs="宋体"/>
          <w:snapToGrid w:val="0"/>
          <w:color w:val="auto"/>
          <w:kern w:val="0"/>
          <w:sz w:val="24"/>
          <w:szCs w:val="22"/>
          <w:highlight w:val="none"/>
          <w:lang w:val="en-US" w:eastAsia="zh-CN"/>
        </w:rPr>
        <w:t>8</w:t>
      </w:r>
      <w:r>
        <w:rPr>
          <w:rFonts w:hint="eastAsia" w:ascii="宋体" w:hAnsi="宋体" w:eastAsia="宋体" w:cs="宋体"/>
          <w:snapToGrid w:val="0"/>
          <w:color w:val="auto"/>
          <w:kern w:val="0"/>
          <w:sz w:val="24"/>
          <w:szCs w:val="22"/>
          <w:highlight w:val="none"/>
        </w:rPr>
        <w:t>）关键字迹模糊、无法辨认，</w:t>
      </w:r>
      <w:r>
        <w:rPr>
          <w:rFonts w:hint="eastAsia" w:ascii="宋体" w:hAnsi="宋体" w:eastAsia="宋体" w:cs="宋体"/>
          <w:b/>
          <w:bCs/>
          <w:snapToGrid w:val="0"/>
          <w:color w:val="auto"/>
          <w:kern w:val="0"/>
          <w:sz w:val="24"/>
          <w:szCs w:val="22"/>
          <w:highlight w:val="none"/>
        </w:rPr>
        <w:t>且该种过错将导致评标委员会无法作出投标文件是否响应招标文件实质性要求的</w:t>
      </w:r>
      <w:r>
        <w:rPr>
          <w:rFonts w:hint="eastAsia" w:ascii="宋体" w:hAnsi="宋体" w:eastAsia="宋体" w:cs="宋体"/>
          <w:snapToGrid w:val="0"/>
          <w:color w:val="auto"/>
          <w:kern w:val="0"/>
          <w:sz w:val="24"/>
          <w:szCs w:val="22"/>
          <w:highlight w:val="none"/>
        </w:rPr>
        <w:t>；出现手工涂改、行间插字或删除，但未加盖单位章或由投标人的法定代表人或其委托代理人签字确认的；</w:t>
      </w:r>
    </w:p>
    <w:p w14:paraId="19F58D09">
      <w:pPr>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w:t>
      </w:r>
      <w:r>
        <w:rPr>
          <w:rFonts w:hint="eastAsia" w:ascii="宋体" w:hAnsi="宋体" w:eastAsia="宋体" w:cs="宋体"/>
          <w:snapToGrid w:val="0"/>
          <w:color w:val="auto"/>
          <w:kern w:val="0"/>
          <w:sz w:val="24"/>
          <w:szCs w:val="22"/>
          <w:highlight w:val="none"/>
          <w:lang w:val="en-US" w:eastAsia="zh-CN"/>
        </w:rPr>
        <w:t>9</w:t>
      </w:r>
      <w:r>
        <w:rPr>
          <w:rFonts w:hint="eastAsia" w:ascii="宋体" w:hAnsi="宋体" w:eastAsia="宋体" w:cs="宋体"/>
          <w:snapToGrid w:val="0"/>
          <w:color w:val="auto"/>
          <w:kern w:val="0"/>
          <w:sz w:val="24"/>
          <w:szCs w:val="22"/>
          <w:highlight w:val="none"/>
        </w:rPr>
        <w:t>）投标文件未按规定签字、盖章的；</w:t>
      </w:r>
    </w:p>
    <w:p w14:paraId="2651A90D">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279" w:name="_Toc10758"/>
      <w:bookmarkStart w:id="280" w:name="_Toc26983"/>
      <w:bookmarkStart w:id="281" w:name="_Toc29122"/>
      <w:bookmarkStart w:id="282" w:name="_Toc21504"/>
      <w:bookmarkStart w:id="283" w:name="_Toc28132"/>
      <w:bookmarkStart w:id="284" w:name="_Toc2816"/>
      <w:r>
        <w:rPr>
          <w:rFonts w:hint="eastAsia" w:ascii="宋体" w:hAnsi="宋体" w:eastAsia="宋体" w:cs="宋体"/>
          <w:b/>
          <w:bCs/>
          <w:snapToGrid w:val="0"/>
          <w:color w:val="auto"/>
          <w:kern w:val="0"/>
          <w:sz w:val="24"/>
          <w:highlight w:val="none"/>
          <w:lang w:val="en-US" w:eastAsia="zh-CN"/>
        </w:rPr>
        <w:t>3.响应性评审环节</w:t>
      </w:r>
      <w:bookmarkEnd w:id="279"/>
      <w:bookmarkEnd w:id="280"/>
      <w:bookmarkEnd w:id="281"/>
      <w:bookmarkEnd w:id="282"/>
      <w:bookmarkEnd w:id="283"/>
      <w:bookmarkEnd w:id="284"/>
    </w:p>
    <w:p w14:paraId="7536CC53">
      <w:pPr>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投标人有下列情形之一的，评标委员会应否决其投标。被否决的投标，不进入详细评审阶段。</w:t>
      </w:r>
    </w:p>
    <w:p w14:paraId="09480603">
      <w:pPr>
        <w:snapToGrid w:val="0"/>
        <w:spacing w:line="360" w:lineRule="auto"/>
        <w:ind w:firstLine="480"/>
        <w:rPr>
          <w:rFonts w:hint="eastAsia" w:ascii="宋体" w:hAnsi="宋体" w:eastAsia="宋体" w:cs="宋体"/>
          <w:snapToGrid w:val="0"/>
          <w:color w:val="auto"/>
          <w:kern w:val="0"/>
          <w:sz w:val="24"/>
          <w:szCs w:val="22"/>
          <w:highlight w:val="none"/>
        </w:rPr>
      </w:pPr>
      <w:bookmarkStart w:id="285" w:name="_Toc19353"/>
      <w:bookmarkStart w:id="286" w:name="_Toc6331"/>
      <w:r>
        <w:rPr>
          <w:rFonts w:hint="eastAsia" w:ascii="宋体" w:hAnsi="宋体" w:eastAsia="宋体" w:cs="宋体"/>
          <w:snapToGrid w:val="0"/>
          <w:color w:val="auto"/>
          <w:kern w:val="0"/>
          <w:sz w:val="24"/>
          <w:szCs w:val="22"/>
          <w:highlight w:val="none"/>
        </w:rPr>
        <w:t>（</w:t>
      </w:r>
      <w:r>
        <w:rPr>
          <w:rFonts w:hint="eastAsia" w:ascii="宋体" w:hAnsi="宋体" w:eastAsia="宋体" w:cs="宋体"/>
          <w:snapToGrid w:val="0"/>
          <w:color w:val="auto"/>
          <w:kern w:val="0"/>
          <w:sz w:val="24"/>
          <w:szCs w:val="22"/>
          <w:highlight w:val="none"/>
          <w:lang w:val="en-US" w:eastAsia="zh-CN"/>
        </w:rPr>
        <w:t>10</w:t>
      </w:r>
      <w:r>
        <w:rPr>
          <w:rFonts w:hint="eastAsia" w:ascii="宋体" w:hAnsi="宋体" w:eastAsia="宋体" w:cs="宋体"/>
          <w:snapToGrid w:val="0"/>
          <w:color w:val="auto"/>
          <w:kern w:val="0"/>
          <w:sz w:val="24"/>
          <w:szCs w:val="22"/>
          <w:highlight w:val="none"/>
        </w:rPr>
        <w:t>）投标有效期、工期不符合规定的；擅自修改、遗漏《投标函》《各项承诺一览表》实质性内容的；</w:t>
      </w:r>
    </w:p>
    <w:p w14:paraId="45F8CA7F">
      <w:pPr>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w:t>
      </w:r>
      <w:r>
        <w:rPr>
          <w:rFonts w:hint="eastAsia" w:ascii="宋体" w:hAnsi="宋体" w:eastAsia="宋体" w:cs="宋体"/>
          <w:snapToGrid w:val="0"/>
          <w:color w:val="auto"/>
          <w:kern w:val="0"/>
          <w:sz w:val="24"/>
          <w:szCs w:val="22"/>
          <w:highlight w:val="none"/>
          <w:lang w:val="en-US" w:eastAsia="zh-CN"/>
        </w:rPr>
        <w:t>11</w:t>
      </w:r>
      <w:r>
        <w:rPr>
          <w:rFonts w:hint="eastAsia" w:ascii="宋体" w:hAnsi="宋体" w:eastAsia="宋体" w:cs="宋体"/>
          <w:snapToGrid w:val="0"/>
          <w:color w:val="auto"/>
          <w:kern w:val="0"/>
          <w:sz w:val="24"/>
          <w:szCs w:val="22"/>
          <w:highlight w:val="none"/>
        </w:rPr>
        <w:t>）出现两个或两个以上投标总价的（同一个投标总价大、小写不一致的除外）；投标总价超出最高投标限价的。</w:t>
      </w:r>
    </w:p>
    <w:p w14:paraId="539FD3DE">
      <w:pPr>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w:t>
      </w:r>
      <w:r>
        <w:rPr>
          <w:rFonts w:hint="eastAsia" w:ascii="宋体" w:hAnsi="宋体" w:eastAsia="宋体" w:cs="宋体"/>
          <w:snapToGrid w:val="0"/>
          <w:color w:val="auto"/>
          <w:kern w:val="0"/>
          <w:sz w:val="24"/>
          <w:szCs w:val="22"/>
          <w:highlight w:val="none"/>
          <w:lang w:val="en-US" w:eastAsia="zh-CN"/>
        </w:rPr>
        <w:t>12</w:t>
      </w:r>
      <w:r>
        <w:rPr>
          <w:rFonts w:hint="eastAsia" w:ascii="宋体" w:hAnsi="宋体" w:eastAsia="宋体" w:cs="宋体"/>
          <w:snapToGrid w:val="0"/>
          <w:color w:val="auto"/>
          <w:kern w:val="0"/>
          <w:sz w:val="24"/>
          <w:szCs w:val="22"/>
          <w:highlight w:val="none"/>
        </w:rPr>
        <w:t>）在技术标书评审中，评标委员会认定质量、保障措施与国家和省市现行有关规范、规定、标准有重大偏差，且该种过错将导致工程质量、进度管理目标无法实现的。</w:t>
      </w:r>
    </w:p>
    <w:p w14:paraId="00FE4EB7">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287" w:name="_Toc13778"/>
      <w:bookmarkStart w:id="288" w:name="_Toc698"/>
      <w:bookmarkStart w:id="289" w:name="_Toc32039"/>
      <w:bookmarkStart w:id="290" w:name="_Toc30332"/>
      <w:r>
        <w:rPr>
          <w:rFonts w:hint="eastAsia" w:ascii="宋体" w:hAnsi="宋体" w:eastAsia="宋体" w:cs="宋体"/>
          <w:b/>
          <w:bCs/>
          <w:snapToGrid w:val="0"/>
          <w:color w:val="auto"/>
          <w:kern w:val="0"/>
          <w:sz w:val="24"/>
          <w:highlight w:val="none"/>
          <w:lang w:val="en-US" w:eastAsia="zh-CN"/>
        </w:rPr>
        <w:t>4.其他</w:t>
      </w:r>
      <w:bookmarkEnd w:id="285"/>
      <w:bookmarkEnd w:id="286"/>
      <w:bookmarkEnd w:id="287"/>
      <w:bookmarkEnd w:id="288"/>
      <w:bookmarkEnd w:id="289"/>
      <w:bookmarkEnd w:id="290"/>
    </w:p>
    <w:p w14:paraId="4CF71055">
      <w:pPr>
        <w:snapToGrid w:val="0"/>
        <w:spacing w:line="360" w:lineRule="auto"/>
        <w:ind w:firstLine="480"/>
        <w:rPr>
          <w:rFonts w:hint="eastAsia" w:ascii="宋体" w:hAnsi="宋体" w:eastAsia="宋体" w:cs="宋体"/>
          <w:snapToGrid w:val="0"/>
          <w:color w:val="auto"/>
          <w:kern w:val="0"/>
          <w:sz w:val="24"/>
          <w:szCs w:val="28"/>
          <w:highlight w:val="none"/>
        </w:rPr>
      </w:pPr>
      <w:r>
        <w:rPr>
          <w:rFonts w:hint="eastAsia" w:ascii="宋体" w:hAnsi="宋体" w:eastAsia="宋体" w:cs="宋体"/>
          <w:snapToGrid w:val="0"/>
          <w:color w:val="auto"/>
          <w:kern w:val="0"/>
          <w:sz w:val="24"/>
          <w:szCs w:val="22"/>
          <w:highlight w:val="none"/>
        </w:rPr>
        <w:t>在任何评标环节（或阶段），投标人有下列情形之一的，评标委员会应否决其投标。</w:t>
      </w:r>
      <w:r>
        <w:rPr>
          <w:rFonts w:hint="eastAsia" w:ascii="宋体" w:hAnsi="宋体" w:eastAsia="宋体" w:cs="宋体"/>
          <w:snapToGrid w:val="0"/>
          <w:color w:val="auto"/>
          <w:kern w:val="0"/>
          <w:sz w:val="24"/>
          <w:szCs w:val="28"/>
          <w:highlight w:val="none"/>
        </w:rPr>
        <w:t>被否决的投标，不进入下一环节（或阶段）。</w:t>
      </w:r>
    </w:p>
    <w:p w14:paraId="34DE2A2F">
      <w:pPr>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w:t>
      </w:r>
      <w:r>
        <w:rPr>
          <w:rFonts w:hint="eastAsia" w:ascii="宋体" w:hAnsi="宋体" w:eastAsia="宋体" w:cs="宋体"/>
          <w:snapToGrid w:val="0"/>
          <w:color w:val="auto"/>
          <w:kern w:val="0"/>
          <w:sz w:val="24"/>
          <w:szCs w:val="22"/>
          <w:highlight w:val="none"/>
          <w:lang w:val="en-US" w:eastAsia="zh-CN"/>
        </w:rPr>
        <w:t>13</w:t>
      </w:r>
      <w:r>
        <w:rPr>
          <w:rFonts w:hint="eastAsia" w:ascii="宋体" w:hAnsi="宋体" w:eastAsia="宋体" w:cs="宋体"/>
          <w:snapToGrid w:val="0"/>
          <w:color w:val="auto"/>
          <w:kern w:val="0"/>
          <w:sz w:val="24"/>
          <w:szCs w:val="22"/>
          <w:highlight w:val="none"/>
        </w:rPr>
        <w:t>）不按评标委员会要求澄清、说明或补正的；</w:t>
      </w:r>
    </w:p>
    <w:p w14:paraId="4CB65D3B">
      <w:pPr>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w:t>
      </w:r>
      <w:r>
        <w:rPr>
          <w:rFonts w:hint="eastAsia" w:ascii="宋体" w:hAnsi="宋体" w:eastAsia="宋体" w:cs="宋体"/>
          <w:snapToGrid w:val="0"/>
          <w:color w:val="auto"/>
          <w:kern w:val="0"/>
          <w:sz w:val="24"/>
          <w:szCs w:val="22"/>
          <w:highlight w:val="none"/>
          <w:lang w:val="en-US" w:eastAsia="zh-CN"/>
        </w:rPr>
        <w:t>14</w:t>
      </w:r>
      <w:r>
        <w:rPr>
          <w:rFonts w:hint="eastAsia" w:ascii="宋体" w:hAnsi="宋体" w:eastAsia="宋体" w:cs="宋体"/>
          <w:snapToGrid w:val="0"/>
          <w:color w:val="auto"/>
          <w:kern w:val="0"/>
          <w:sz w:val="24"/>
          <w:szCs w:val="22"/>
          <w:highlight w:val="none"/>
        </w:rPr>
        <w:t>）有下列情形之一，被评标委员会认定属于串通投标的：</w:t>
      </w:r>
    </w:p>
    <w:p w14:paraId="4ED89CB8">
      <w:pPr>
        <w:snapToGrid w:val="0"/>
        <w:spacing w:line="360" w:lineRule="auto"/>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①不同投标人的投标文件两处以上（含两处）错、漏一致；</w:t>
      </w:r>
    </w:p>
    <w:p w14:paraId="344BBCB8">
      <w:pPr>
        <w:snapToGrid w:val="0"/>
        <w:spacing w:line="360" w:lineRule="auto"/>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②不同投标人的投标各项报价存在异常一致或者呈规律性变化；</w:t>
      </w:r>
    </w:p>
    <w:p w14:paraId="6A579A23">
      <w:pPr>
        <w:snapToGrid w:val="0"/>
        <w:spacing w:line="360" w:lineRule="auto"/>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③不同投标人的投标文件由同一单位或者同一个人编制；</w:t>
      </w:r>
    </w:p>
    <w:p w14:paraId="27D0B67A">
      <w:pPr>
        <w:snapToGrid w:val="0"/>
        <w:spacing w:line="360" w:lineRule="auto"/>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④不同投标人的投标文件中项目班子成员出现同一人；</w:t>
      </w:r>
    </w:p>
    <w:p w14:paraId="0AC213A1">
      <w:pPr>
        <w:snapToGrid w:val="0"/>
        <w:spacing w:line="360" w:lineRule="auto"/>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⑤不同投标人的投标文件由同一电脑编制或同一台附属设备打印；</w:t>
      </w:r>
    </w:p>
    <w:p w14:paraId="5C414C9F">
      <w:pPr>
        <w:snapToGrid w:val="0"/>
        <w:spacing w:line="360" w:lineRule="auto"/>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⑥不同投标人的投标保证由同一企业或同一账户资金缴纳；</w:t>
      </w:r>
    </w:p>
    <w:p w14:paraId="679B1F45">
      <w:pPr>
        <w:snapToGrid w:val="0"/>
        <w:spacing w:line="360" w:lineRule="auto"/>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⑦不同投标人委托同一个人或注册在同一家企业的注册人员或同一家企业为其投标提供投标咨询、商务报价、技术咨询（招标项目本身要求采用专有技术的除外）等服务。</w:t>
      </w:r>
    </w:p>
    <w:p w14:paraId="23AA98E9">
      <w:pPr>
        <w:rPr>
          <w:rFonts w:hint="eastAsia" w:ascii="宋体" w:hAnsi="宋体" w:eastAsia="宋体" w:cs="宋体"/>
          <w:color w:val="auto"/>
          <w:highlight w:val="none"/>
        </w:rPr>
      </w:pPr>
    </w:p>
    <w:p w14:paraId="466A3A75">
      <w:pPr>
        <w:rPr>
          <w:rFonts w:hint="eastAsia" w:ascii="宋体" w:hAnsi="宋体" w:eastAsia="宋体" w:cs="宋体"/>
          <w:color w:val="auto"/>
          <w:highlight w:val="none"/>
        </w:rPr>
      </w:pPr>
    </w:p>
    <w:p w14:paraId="79C8B5EA">
      <w:pPr>
        <w:rPr>
          <w:rFonts w:hint="eastAsia" w:ascii="宋体" w:hAnsi="宋体" w:eastAsia="宋体" w:cs="宋体"/>
          <w:color w:val="auto"/>
          <w:highlight w:val="none"/>
        </w:rPr>
      </w:pPr>
    </w:p>
    <w:p w14:paraId="7230E87B">
      <w:pPr>
        <w:rPr>
          <w:rFonts w:hint="eastAsia" w:ascii="宋体" w:hAnsi="宋体" w:eastAsia="宋体" w:cs="宋体"/>
          <w:color w:val="auto"/>
          <w:highlight w:val="none"/>
        </w:rPr>
      </w:pPr>
    </w:p>
    <w:p w14:paraId="08EBC2D4">
      <w:pPr>
        <w:rPr>
          <w:rFonts w:hint="eastAsia"/>
        </w:rPr>
      </w:pPr>
    </w:p>
    <w:p w14:paraId="47280E4B">
      <w:pPr>
        <w:rPr>
          <w:rFonts w:hint="eastAsia"/>
        </w:rPr>
      </w:pPr>
    </w:p>
    <w:bookmarkEnd w:id="244"/>
    <w:bookmarkEnd w:id="245"/>
    <w:bookmarkEnd w:id="246"/>
    <w:p w14:paraId="17CA34CD">
      <w:pPr>
        <w:pStyle w:val="185"/>
        <w:keepNext/>
        <w:keepLines/>
        <w:tabs>
          <w:tab w:val="left" w:pos="885"/>
        </w:tabs>
        <w:adjustRightInd/>
        <w:snapToGrid w:val="0"/>
        <w:ind w:hanging="884"/>
        <w:jc w:val="center"/>
        <w:rPr>
          <w:rStyle w:val="46"/>
          <w:rFonts w:hint="eastAsia" w:ascii="宋体" w:hAnsi="宋体" w:eastAsia="宋体" w:cs="宋体"/>
          <w:b/>
          <w:bCs/>
          <w:color w:val="auto"/>
          <w:sz w:val="28"/>
          <w:szCs w:val="18"/>
          <w:highlight w:val="none"/>
        </w:rPr>
      </w:pPr>
      <w:bookmarkStart w:id="291" w:name="_Toc950"/>
      <w:bookmarkStart w:id="292" w:name="_Toc6829"/>
      <w:bookmarkStart w:id="293" w:name="_Toc8886"/>
      <w:bookmarkStart w:id="294" w:name="_Toc135054604"/>
      <w:bookmarkStart w:id="295" w:name="_Toc26730"/>
      <w:bookmarkStart w:id="296" w:name="_Toc22251"/>
      <w:bookmarkStart w:id="297" w:name="_Hlt69698722"/>
      <w:bookmarkStart w:id="298" w:name="_Hlt69698741"/>
      <w:bookmarkStart w:id="299" w:name="_Hlt69698769"/>
      <w:r>
        <w:rPr>
          <w:rStyle w:val="46"/>
          <w:rFonts w:hint="eastAsia" w:ascii="宋体" w:hAnsi="宋体" w:eastAsia="宋体" w:cs="宋体"/>
          <w:b/>
          <w:bCs/>
          <w:color w:val="auto"/>
          <w:sz w:val="28"/>
          <w:szCs w:val="18"/>
          <w:highlight w:val="none"/>
        </w:rPr>
        <w:t>第</w:t>
      </w:r>
      <w:bookmarkStart w:id="300" w:name="_Hlt69669171"/>
      <w:bookmarkEnd w:id="300"/>
      <w:r>
        <w:rPr>
          <w:rStyle w:val="46"/>
          <w:rFonts w:hint="eastAsia" w:ascii="宋体" w:hAnsi="宋体" w:eastAsia="宋体" w:cs="宋体"/>
          <w:b/>
          <w:bCs/>
          <w:color w:val="auto"/>
          <w:sz w:val="28"/>
          <w:szCs w:val="18"/>
          <w:highlight w:val="none"/>
        </w:rPr>
        <w:t>二章</w:t>
      </w:r>
      <w:bookmarkStart w:id="301" w:name="_Hlt87793839"/>
      <w:bookmarkEnd w:id="301"/>
      <w:r>
        <w:rPr>
          <w:rStyle w:val="46"/>
          <w:rFonts w:hint="eastAsia" w:ascii="宋体" w:hAnsi="宋体" w:eastAsia="宋体" w:cs="宋体"/>
          <w:b/>
          <w:bCs/>
          <w:color w:val="auto"/>
          <w:sz w:val="28"/>
          <w:szCs w:val="18"/>
          <w:highlight w:val="none"/>
          <w:lang w:val="en-US" w:eastAsia="zh-CN"/>
        </w:rPr>
        <w:t xml:space="preserve">   </w:t>
      </w:r>
      <w:r>
        <w:rPr>
          <w:rStyle w:val="46"/>
          <w:rFonts w:hint="eastAsia" w:ascii="宋体" w:hAnsi="宋体" w:eastAsia="宋体" w:cs="宋体"/>
          <w:b/>
          <w:bCs/>
          <w:color w:val="auto"/>
          <w:sz w:val="28"/>
          <w:szCs w:val="18"/>
          <w:highlight w:val="none"/>
        </w:rPr>
        <w:t>中标人须知</w:t>
      </w:r>
      <w:bookmarkEnd w:id="291"/>
      <w:bookmarkEnd w:id="292"/>
      <w:bookmarkEnd w:id="293"/>
      <w:bookmarkEnd w:id="294"/>
      <w:bookmarkEnd w:id="295"/>
      <w:bookmarkEnd w:id="296"/>
    </w:p>
    <w:bookmarkEnd w:id="297"/>
    <w:bookmarkEnd w:id="298"/>
    <w:bookmarkEnd w:id="299"/>
    <w:p w14:paraId="2B20CE1C">
      <w:pPr>
        <w:pStyle w:val="79"/>
        <w:keepNext/>
        <w:keepLines/>
        <w:adjustRightInd/>
        <w:jc w:val="both"/>
        <w:outlineLvl w:val="1"/>
        <w:rPr>
          <w:rFonts w:hint="eastAsia" w:ascii="宋体" w:hAnsi="宋体" w:eastAsia="宋体" w:cs="宋体"/>
          <w:b/>
          <w:color w:val="auto"/>
          <w:kern w:val="2"/>
          <w:highlight w:val="none"/>
        </w:rPr>
      </w:pPr>
      <w:bookmarkStart w:id="302" w:name="_Toc25523"/>
      <w:bookmarkStart w:id="303" w:name="_Toc2190"/>
      <w:bookmarkStart w:id="304" w:name="_Toc3811"/>
      <w:bookmarkStart w:id="305" w:name="_Toc4663"/>
      <w:bookmarkStart w:id="306" w:name="_Hlt69698776"/>
      <w:r>
        <w:rPr>
          <w:rFonts w:hint="eastAsia" w:ascii="宋体" w:hAnsi="宋体" w:eastAsia="宋体" w:cs="宋体"/>
          <w:b/>
          <w:color w:val="auto"/>
          <w:kern w:val="2"/>
          <w:highlight w:val="none"/>
        </w:rPr>
        <w:t>1</w:t>
      </w:r>
      <w:r>
        <w:rPr>
          <w:rFonts w:hint="eastAsia" w:ascii="宋体" w:hAnsi="宋体" w:eastAsia="宋体" w:cs="宋体"/>
          <w:b/>
          <w:color w:val="auto"/>
          <w:kern w:val="2"/>
          <w:highlight w:val="none"/>
          <w:lang w:val="en-US" w:eastAsia="zh-CN"/>
        </w:rPr>
        <w:t>.</w:t>
      </w:r>
      <w:r>
        <w:rPr>
          <w:rFonts w:hint="eastAsia" w:ascii="宋体" w:hAnsi="宋体" w:eastAsia="宋体" w:cs="宋体"/>
          <w:b/>
          <w:color w:val="auto"/>
          <w:kern w:val="2"/>
          <w:highlight w:val="none"/>
        </w:rPr>
        <w:t>中标通知书</w:t>
      </w:r>
      <w:bookmarkEnd w:id="302"/>
      <w:bookmarkEnd w:id="303"/>
      <w:bookmarkEnd w:id="304"/>
      <w:bookmarkEnd w:id="305"/>
    </w:p>
    <w:p w14:paraId="5D62D1C4">
      <w:pPr>
        <w:snapToGrid w:val="0"/>
        <w:spacing w:line="360" w:lineRule="auto"/>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2938D252">
      <w:pPr>
        <w:pStyle w:val="79"/>
        <w:keepNext/>
        <w:keepLines/>
        <w:adjustRightInd/>
        <w:jc w:val="both"/>
        <w:outlineLvl w:val="1"/>
        <w:rPr>
          <w:rFonts w:hint="eastAsia" w:ascii="宋体" w:hAnsi="宋体" w:eastAsia="宋体" w:cs="宋体"/>
          <w:b/>
          <w:color w:val="auto"/>
          <w:kern w:val="2"/>
          <w:highlight w:val="none"/>
        </w:rPr>
      </w:pPr>
      <w:bookmarkStart w:id="307" w:name="_Toc2146"/>
      <w:bookmarkStart w:id="308" w:name="_Toc5259"/>
      <w:bookmarkStart w:id="309" w:name="_Toc2559"/>
      <w:bookmarkStart w:id="310" w:name="_Toc18604"/>
      <w:r>
        <w:rPr>
          <w:rFonts w:hint="eastAsia" w:ascii="宋体" w:hAnsi="宋体" w:eastAsia="宋体" w:cs="宋体"/>
          <w:b/>
          <w:color w:val="auto"/>
          <w:kern w:val="2"/>
          <w:highlight w:val="none"/>
        </w:rPr>
        <w:t>2</w:t>
      </w:r>
      <w:r>
        <w:rPr>
          <w:rFonts w:hint="eastAsia" w:ascii="宋体" w:hAnsi="宋体" w:eastAsia="宋体" w:cs="宋体"/>
          <w:b/>
          <w:color w:val="auto"/>
          <w:kern w:val="2"/>
          <w:highlight w:val="none"/>
          <w:lang w:val="en-US" w:eastAsia="zh-CN"/>
        </w:rPr>
        <w:t>.</w:t>
      </w:r>
      <w:r>
        <w:rPr>
          <w:rFonts w:hint="eastAsia" w:ascii="宋体" w:hAnsi="宋体" w:eastAsia="宋体" w:cs="宋体"/>
          <w:b/>
          <w:color w:val="auto"/>
          <w:kern w:val="2"/>
          <w:highlight w:val="none"/>
        </w:rPr>
        <w:t>中标结果公示</w:t>
      </w:r>
      <w:bookmarkEnd w:id="307"/>
      <w:bookmarkEnd w:id="308"/>
      <w:bookmarkEnd w:id="309"/>
      <w:bookmarkEnd w:id="310"/>
    </w:p>
    <w:p w14:paraId="380DD850">
      <w:pPr>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中标通知书发出后15日内，招标人应将中标结果在广东省招标投标监管网（https://www.gdzwfw.gov.cn/ztbjg-portal/#/index）及全国公共资源交易平台（广东省·韶关市）（https://ygp.gdzwfw.gov.cn/ggzy-portal/#/440200/index）。</w:t>
      </w:r>
    </w:p>
    <w:p w14:paraId="5E489F48">
      <w:pPr>
        <w:pStyle w:val="79"/>
        <w:keepNext/>
        <w:keepLines/>
        <w:adjustRightInd/>
        <w:jc w:val="both"/>
        <w:outlineLvl w:val="1"/>
        <w:rPr>
          <w:rFonts w:hint="eastAsia" w:ascii="宋体" w:hAnsi="宋体" w:eastAsia="宋体" w:cs="宋体"/>
          <w:b/>
          <w:color w:val="auto"/>
          <w:kern w:val="2"/>
          <w:highlight w:val="none"/>
        </w:rPr>
      </w:pPr>
      <w:bookmarkStart w:id="311" w:name="_Toc7543"/>
      <w:bookmarkStart w:id="312" w:name="_Toc11040"/>
      <w:bookmarkStart w:id="313" w:name="_Toc7713"/>
      <w:bookmarkStart w:id="314" w:name="_Toc21790"/>
      <w:r>
        <w:rPr>
          <w:rFonts w:hint="eastAsia" w:ascii="宋体" w:hAnsi="宋体" w:eastAsia="宋体" w:cs="宋体"/>
          <w:b/>
          <w:color w:val="auto"/>
          <w:kern w:val="2"/>
          <w:highlight w:val="none"/>
        </w:rPr>
        <w:t>3</w:t>
      </w:r>
      <w:r>
        <w:rPr>
          <w:rFonts w:hint="eastAsia" w:ascii="宋体" w:hAnsi="宋体" w:eastAsia="宋体" w:cs="宋体"/>
          <w:b/>
          <w:color w:val="auto"/>
          <w:kern w:val="2"/>
          <w:highlight w:val="none"/>
          <w:lang w:val="en-US" w:eastAsia="zh-CN"/>
        </w:rPr>
        <w:t>.</w:t>
      </w:r>
      <w:r>
        <w:rPr>
          <w:rFonts w:hint="eastAsia" w:ascii="宋体" w:hAnsi="宋体" w:eastAsia="宋体" w:cs="宋体"/>
          <w:b/>
          <w:color w:val="auto"/>
          <w:kern w:val="2"/>
          <w:highlight w:val="none"/>
        </w:rPr>
        <w:t>履约保证</w:t>
      </w:r>
      <w:bookmarkEnd w:id="311"/>
      <w:bookmarkEnd w:id="312"/>
      <w:bookmarkEnd w:id="313"/>
      <w:bookmarkEnd w:id="314"/>
    </w:p>
    <w:p w14:paraId="27970087">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3.1中标人须在领取中标通知书之日起</w:t>
      </w:r>
      <w:r>
        <w:rPr>
          <w:rFonts w:hint="eastAsia" w:ascii="宋体" w:hAnsi="宋体" w:eastAsia="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个工作日内、签订合同前向招标人提交金额为中标价</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的履约保证。</w:t>
      </w:r>
    </w:p>
    <w:p w14:paraId="15FE5B0E">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3.2履约保证的形式包括履约保证金、履约保证担保、履约保证保险三种，由中标人自主选择。</w:t>
      </w:r>
    </w:p>
    <w:p w14:paraId="0568F5DA">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（1）采用履约保证金的，中标人须从其法人开户银行的账号将履约保证金划至招标人账户，并详细注明工程名称及用途。</w:t>
      </w:r>
    </w:p>
    <w:p w14:paraId="1D692241">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采用履约保证担保或履约保证保险的，中标人应提交有效的保函或保险合同（或保险单）原件，保函或保险合同（或保险单）的有效期应当自合同生效之日起至项目通过竣工验收之日后28天止。如果中标人无法获得具体截止日期，保函或保险合同（或保险单）中应当有“变更工程竣工日期的，保证期间按照变更后的竣工日期做相应调整”或类似约定的条款。</w:t>
      </w:r>
    </w:p>
    <w:p w14:paraId="551FE976">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3.3中标人在领取中标通知书之日起5个工作日内仍未提交履约保证的，招标人发出第一次提醒函；在领取中标通知书之日起10个工作日内仍未提交的，招标人发出第二次提醒函；在领取中标通知书之日起15个工作日内仍未提交的，视其放弃中标。</w:t>
      </w:r>
    </w:p>
    <w:p w14:paraId="438AD1AA">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3.4在项目实施过程中，如果承包人（即招标阶段的中标人，下同）由于自身的资金、技术、质量、非不可抗力等原因给发包人（即招标阶段的招标人，下同）造成经济损失，扣除相应履约保证。</w:t>
      </w:r>
    </w:p>
    <w:p w14:paraId="0A8E1DE1">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3.5项目通过竣工验收之日后起28天内，招标人将履约保证退还给承包人。</w:t>
      </w:r>
    </w:p>
    <w:p w14:paraId="0052A75F">
      <w:pPr>
        <w:pStyle w:val="79"/>
        <w:keepNext/>
        <w:keepLines/>
        <w:adjustRightInd/>
        <w:jc w:val="both"/>
        <w:outlineLvl w:val="1"/>
        <w:rPr>
          <w:rFonts w:hint="eastAsia" w:ascii="宋体" w:hAnsi="宋体" w:eastAsia="宋体" w:cs="宋体"/>
          <w:b/>
          <w:color w:val="auto"/>
          <w:kern w:val="2"/>
          <w:highlight w:val="none"/>
        </w:rPr>
      </w:pPr>
      <w:bookmarkStart w:id="315" w:name="_Toc25312"/>
      <w:bookmarkStart w:id="316" w:name="_Toc13146"/>
      <w:bookmarkStart w:id="317" w:name="_Toc18090"/>
      <w:bookmarkStart w:id="318" w:name="_Toc29720"/>
      <w:r>
        <w:rPr>
          <w:rFonts w:hint="eastAsia" w:ascii="宋体" w:hAnsi="宋体" w:eastAsia="宋体" w:cs="宋体"/>
          <w:b/>
          <w:color w:val="auto"/>
          <w:kern w:val="2"/>
          <w:highlight w:val="none"/>
        </w:rPr>
        <w:t>4.合同订立</w:t>
      </w:r>
      <w:bookmarkEnd w:id="315"/>
      <w:bookmarkEnd w:id="316"/>
      <w:bookmarkEnd w:id="317"/>
      <w:bookmarkEnd w:id="318"/>
    </w:p>
    <w:p w14:paraId="4543354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4.1招标人应当自中标通知书发出之日起</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日内，按照招标文件、中标人的投标文件与中标人订立书面合同。</w:t>
      </w:r>
    </w:p>
    <w:p w14:paraId="3F6AADAE">
      <w:pPr>
        <w:snapToGrid w:val="0"/>
        <w:spacing w:line="360" w:lineRule="auto"/>
        <w:ind w:firstLine="480" w:firstLineChars="200"/>
        <w:outlineLvl w:val="9"/>
        <w:rPr>
          <w:rFonts w:hint="eastAsia" w:ascii="宋体" w:hAnsi="宋体" w:eastAsia="宋体" w:cs="宋体"/>
          <w:color w:val="auto"/>
          <w:sz w:val="24"/>
          <w:szCs w:val="24"/>
          <w:highlight w:val="none"/>
        </w:rPr>
      </w:pPr>
      <w:bookmarkStart w:id="319" w:name="_Toc18200"/>
      <w:r>
        <w:rPr>
          <w:rFonts w:hint="eastAsia" w:ascii="宋体" w:hAnsi="宋体" w:eastAsia="宋体" w:cs="宋体"/>
          <w:color w:val="auto"/>
          <w:sz w:val="24"/>
          <w:szCs w:val="24"/>
          <w:highlight w:val="none"/>
        </w:rPr>
        <w:t>4.2本招标项目合同计价方式为：</w:t>
      </w:r>
      <w:r>
        <w:rPr>
          <w:rFonts w:hint="eastAsia" w:ascii="宋体" w:hAnsi="宋体" w:eastAsia="宋体" w:cs="宋体"/>
          <w:color w:val="auto"/>
          <w:sz w:val="24"/>
          <w:szCs w:val="24"/>
          <w:highlight w:val="none"/>
          <w:u w:val="single"/>
        </w:rPr>
        <w:t>总价合同</w:t>
      </w:r>
      <w:r>
        <w:rPr>
          <w:rFonts w:hint="eastAsia" w:ascii="宋体" w:hAnsi="宋体" w:eastAsia="宋体" w:cs="宋体"/>
          <w:color w:val="auto"/>
          <w:sz w:val="24"/>
          <w:szCs w:val="24"/>
          <w:highlight w:val="none"/>
        </w:rPr>
        <w:t>。</w:t>
      </w:r>
      <w:bookmarkEnd w:id="319"/>
    </w:p>
    <w:p w14:paraId="22A5D79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4.3合同的标的、质量、履行期限条款和合同的价款、单价、比例条款等主要条款，应当与招标文件、中标人的投标文件的内容一致。中标人在签订合同时不得向招标人提出附加条件。</w:t>
      </w:r>
    </w:p>
    <w:p w14:paraId="0D19531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22F3874A">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4.5在书面合同订立之日起2个工作日内，由招标人授权的招标代理机构将合同上传至建设工程交易系统，并发起退还投标保证的申请。韶关市公共资源交易中心在收到申请之日起3个工作日内，将投标保证金（或银行保函）退还给中标人和其他中标候选人。</w:t>
      </w:r>
    </w:p>
    <w:p w14:paraId="1713F084">
      <w:pPr>
        <w:pStyle w:val="79"/>
        <w:keepNext/>
        <w:keepLines/>
        <w:adjustRightInd/>
        <w:jc w:val="both"/>
        <w:outlineLvl w:val="1"/>
        <w:rPr>
          <w:rFonts w:hint="eastAsia" w:ascii="宋体" w:hAnsi="宋体" w:eastAsia="宋体" w:cs="宋体"/>
          <w:b/>
          <w:color w:val="auto"/>
          <w:kern w:val="2"/>
          <w:highlight w:val="none"/>
        </w:rPr>
      </w:pPr>
      <w:bookmarkStart w:id="320" w:name="_Toc25635"/>
      <w:bookmarkStart w:id="321" w:name="_Toc6882"/>
      <w:bookmarkStart w:id="322" w:name="_Toc4110"/>
      <w:bookmarkStart w:id="323" w:name="_Toc7322"/>
      <w:r>
        <w:rPr>
          <w:rFonts w:hint="eastAsia" w:ascii="宋体" w:hAnsi="宋体" w:eastAsia="宋体" w:cs="宋体"/>
          <w:b/>
          <w:color w:val="auto"/>
          <w:kern w:val="2"/>
          <w:highlight w:val="none"/>
        </w:rPr>
        <w:t>5.放弃中标的处理</w:t>
      </w:r>
      <w:bookmarkEnd w:id="320"/>
      <w:bookmarkEnd w:id="321"/>
      <w:bookmarkEnd w:id="322"/>
      <w:bookmarkEnd w:id="323"/>
    </w:p>
    <w:p w14:paraId="0EC978D9">
      <w:pPr>
        <w:snapToGrid w:val="0"/>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中标人无正当理由放弃中标的，取消其中标资格，其投标保证不予退还，给招标人造成的损失超过投标保证金额的，弃标人还应当对超过部分予以赔偿。招标人可按照评标委员会提出的中标候选人名单排序依次确定其他中标候选人为中标人，如果招标人认为其他中标候选人的条件明显不利于招标人的，也可以重新招标。因此种情况造成招标人重新招标的，招标人可不接受该弃标人再次投标。同时，招标人应将该弃标人的失信行为向行政监督部门报告。</w:t>
      </w:r>
    </w:p>
    <w:p w14:paraId="668453DE">
      <w:pPr>
        <w:snapToGrid w:val="0"/>
        <w:spacing w:line="360" w:lineRule="auto"/>
        <w:ind w:firstLine="560"/>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5.2中标人因不可抗力提出不能履行合同的，须在领取中标通知书之日起10日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bookmarkEnd w:id="4"/>
    <w:bookmarkEnd w:id="306"/>
    <w:p w14:paraId="673DC5B3">
      <w:pPr>
        <w:pStyle w:val="79"/>
        <w:keepNext/>
        <w:keepLines/>
        <w:adjustRightInd/>
        <w:jc w:val="both"/>
        <w:outlineLvl w:val="1"/>
        <w:rPr>
          <w:rFonts w:hint="eastAsia" w:ascii="宋体" w:hAnsi="宋体" w:eastAsia="宋体" w:cs="宋体"/>
          <w:b/>
          <w:color w:val="auto"/>
          <w:kern w:val="2"/>
          <w:highlight w:val="none"/>
        </w:rPr>
      </w:pPr>
      <w:bookmarkStart w:id="324" w:name="_Toc5762"/>
      <w:bookmarkStart w:id="325" w:name="_Toc12584"/>
      <w:bookmarkStart w:id="326" w:name="_Toc26977"/>
      <w:bookmarkStart w:id="327" w:name="_Toc20912"/>
      <w:bookmarkStart w:id="328" w:name="_Toc18873"/>
      <w:bookmarkStart w:id="329" w:name="_Toc28264"/>
      <w:bookmarkStart w:id="330" w:name="_Toc466640610"/>
      <w:r>
        <w:rPr>
          <w:rFonts w:hint="eastAsia" w:ascii="宋体" w:hAnsi="宋体" w:eastAsia="宋体" w:cs="宋体"/>
          <w:b/>
          <w:color w:val="auto"/>
          <w:kern w:val="2"/>
          <w:highlight w:val="none"/>
        </w:rPr>
        <w:t>6</w:t>
      </w:r>
      <w:bookmarkEnd w:id="324"/>
      <w:bookmarkStart w:id="331" w:name="_Toc31321"/>
      <w:r>
        <w:rPr>
          <w:rFonts w:hint="eastAsia" w:ascii="宋体" w:hAnsi="宋体" w:eastAsia="宋体" w:cs="宋体"/>
          <w:b/>
          <w:color w:val="auto"/>
          <w:kern w:val="2"/>
          <w:highlight w:val="none"/>
          <w:lang w:val="en-US" w:eastAsia="zh-CN"/>
        </w:rPr>
        <w:t>.</w:t>
      </w:r>
      <w:r>
        <w:rPr>
          <w:rFonts w:hint="eastAsia" w:ascii="宋体" w:hAnsi="宋体" w:eastAsia="宋体" w:cs="宋体"/>
          <w:b/>
          <w:color w:val="auto"/>
          <w:kern w:val="2"/>
          <w:highlight w:val="none"/>
        </w:rPr>
        <w:t>项目管理机构</w:t>
      </w:r>
      <w:bookmarkEnd w:id="325"/>
      <w:bookmarkEnd w:id="326"/>
      <w:bookmarkEnd w:id="327"/>
      <w:bookmarkEnd w:id="328"/>
      <w:bookmarkEnd w:id="331"/>
    </w:p>
    <w:p w14:paraId="1F21004F">
      <w:pPr>
        <w:snapToGrid w:val="0"/>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6.1承包人派驻的项目管理班子成员必须为其投标文件确定的人员，否则发包人有权终止合同。</w:t>
      </w:r>
    </w:p>
    <w:p w14:paraId="45B7146E">
      <w:pPr>
        <w:snapToGrid w:val="0"/>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6.2项目管理班子成员不得擅自变更。其中，投标文件确定的设计负责人除发生下列情形之一外，不得更换：</w:t>
      </w:r>
    </w:p>
    <w:p w14:paraId="6F581BE0">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（一）因重病或重伤（持有县、区以上医院证明）两个月以上不能履行职责的；</w:t>
      </w:r>
    </w:p>
    <w:p w14:paraId="6E40FF6D">
      <w:pPr>
        <w:snapToGri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（二）调离原工作单位的；</w:t>
      </w:r>
    </w:p>
    <w:p w14:paraId="5A99D759">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（三）无能力履行合同的责任和义务，造成严重后果，建设单位要求更换的；</w:t>
      </w:r>
    </w:p>
    <w:p w14:paraId="60BEADAA">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（四）因违法被责令停止执业的；</w:t>
      </w:r>
    </w:p>
    <w:p w14:paraId="0C672B87">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（五）因犯罪被羁押或判刑的；</w:t>
      </w:r>
    </w:p>
    <w:p w14:paraId="15D54569">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（六）死亡。</w:t>
      </w:r>
    </w:p>
    <w:p w14:paraId="77CF34D1">
      <w:pPr>
        <w:snapToGrid w:val="0"/>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生上述情形需要更换的，承包人应向填报《建设工程项目管理班子变更情况报告表》（见《广东省住房和城乡建设厅关于建设工程项目招标中标后监督检查的办法》（粤建市〔2009〕8号）附件4），并附上有关证明文件，经发包人和建设行政主管部门审核同意方可变更且更换后的设计负责人应与承包人的投标文件所确定的原设计负责人的主要条件一致。</w:t>
      </w:r>
    </w:p>
    <w:p w14:paraId="086B2B7D">
      <w:pPr>
        <w:pStyle w:val="79"/>
        <w:keepNext/>
        <w:keepLines/>
        <w:adjustRightInd/>
        <w:jc w:val="both"/>
        <w:outlineLvl w:val="1"/>
        <w:rPr>
          <w:rFonts w:hint="eastAsia" w:ascii="宋体" w:hAnsi="宋体" w:eastAsia="宋体" w:cs="宋体"/>
          <w:b/>
          <w:color w:val="auto"/>
          <w:kern w:val="2"/>
          <w:highlight w:val="none"/>
        </w:rPr>
      </w:pPr>
      <w:bookmarkStart w:id="332" w:name="_Toc17295"/>
      <w:bookmarkStart w:id="333" w:name="_Toc7550"/>
      <w:bookmarkStart w:id="334" w:name="_Toc7401"/>
      <w:bookmarkStart w:id="335" w:name="_Toc4072"/>
      <w:bookmarkStart w:id="336" w:name="_Toc12700"/>
      <w:r>
        <w:rPr>
          <w:rFonts w:hint="eastAsia" w:ascii="宋体" w:hAnsi="宋体" w:eastAsia="宋体" w:cs="宋体"/>
          <w:b/>
          <w:color w:val="auto"/>
          <w:kern w:val="2"/>
          <w:highlight w:val="none"/>
        </w:rPr>
        <w:t>7</w:t>
      </w:r>
      <w:r>
        <w:rPr>
          <w:rFonts w:hint="eastAsia" w:ascii="宋体" w:hAnsi="宋体" w:eastAsia="宋体" w:cs="宋体"/>
          <w:b/>
          <w:color w:val="auto"/>
          <w:kern w:val="2"/>
          <w:highlight w:val="none"/>
          <w:lang w:val="en-US" w:eastAsia="zh-CN"/>
        </w:rPr>
        <w:t>.</w:t>
      </w:r>
      <w:r>
        <w:rPr>
          <w:rFonts w:hint="eastAsia" w:ascii="宋体" w:hAnsi="宋体" w:eastAsia="宋体" w:cs="宋体"/>
          <w:b/>
          <w:color w:val="auto"/>
          <w:kern w:val="2"/>
          <w:highlight w:val="none"/>
        </w:rPr>
        <w:t>监督实施</w:t>
      </w:r>
      <w:bookmarkEnd w:id="332"/>
      <w:bookmarkEnd w:id="333"/>
      <w:bookmarkEnd w:id="334"/>
      <w:bookmarkEnd w:id="335"/>
      <w:bookmarkEnd w:id="336"/>
    </w:p>
    <w:p w14:paraId="111C24AF">
      <w:pPr>
        <w:pStyle w:val="42"/>
        <w:snapToGrid w:val="0"/>
        <w:spacing w:line="360" w:lineRule="auto"/>
        <w:ind w:firstLine="480" w:firstLineChars="200"/>
        <w:jc w:val="both"/>
        <w:rPr>
          <w:rFonts w:hint="eastAsia" w:ascii="宋体" w:hAnsi="宋体" w:eastAsia="宋体" w:cs="宋体"/>
          <w:b w:val="0"/>
          <w:snapToGrid w:val="0"/>
          <w:color w:val="auto"/>
          <w:kern w:val="0"/>
          <w:sz w:val="24"/>
          <w:highlight w:val="none"/>
        </w:rPr>
      </w:pPr>
      <w:r>
        <w:rPr>
          <w:rFonts w:hint="eastAsia" w:ascii="宋体" w:hAnsi="宋体" w:eastAsia="宋体" w:cs="宋体"/>
          <w:b w:val="0"/>
          <w:snapToGrid w:val="0"/>
          <w:color w:val="auto"/>
          <w:kern w:val="0"/>
          <w:sz w:val="24"/>
          <w:highlight w:val="none"/>
        </w:rPr>
        <w:t>承包人须服从发包人对工程质量、进度、成本的全方位的监督，项目资料应及时报送招标人审查备案。</w:t>
      </w:r>
    </w:p>
    <w:p w14:paraId="3D13E255">
      <w:pPr>
        <w:pStyle w:val="79"/>
        <w:keepNext/>
        <w:keepLines/>
        <w:adjustRightInd/>
        <w:jc w:val="both"/>
        <w:outlineLvl w:val="1"/>
        <w:rPr>
          <w:rFonts w:hint="eastAsia" w:ascii="宋体" w:hAnsi="宋体" w:eastAsia="宋体" w:cs="宋体"/>
          <w:b/>
          <w:color w:val="auto"/>
          <w:kern w:val="2"/>
          <w:highlight w:val="none"/>
        </w:rPr>
      </w:pPr>
      <w:bookmarkStart w:id="337" w:name="_Toc14276"/>
      <w:bookmarkStart w:id="338" w:name="_Toc22797"/>
      <w:bookmarkStart w:id="339" w:name="_Toc5985"/>
      <w:bookmarkStart w:id="340" w:name="_Toc10695"/>
      <w:bookmarkStart w:id="341" w:name="_Toc13935"/>
      <w:r>
        <w:rPr>
          <w:rFonts w:hint="eastAsia" w:ascii="宋体" w:hAnsi="宋体" w:eastAsia="宋体" w:cs="宋体"/>
          <w:b/>
          <w:color w:val="auto"/>
          <w:kern w:val="2"/>
          <w:highlight w:val="none"/>
        </w:rPr>
        <w:t>8</w:t>
      </w:r>
      <w:r>
        <w:rPr>
          <w:rFonts w:hint="eastAsia" w:ascii="宋体" w:hAnsi="宋体" w:eastAsia="宋体" w:cs="宋体"/>
          <w:b/>
          <w:color w:val="auto"/>
          <w:kern w:val="2"/>
          <w:highlight w:val="none"/>
          <w:lang w:val="en-US" w:eastAsia="zh-CN"/>
        </w:rPr>
        <w:t>.</w:t>
      </w:r>
      <w:r>
        <w:rPr>
          <w:rFonts w:hint="eastAsia" w:ascii="宋体" w:hAnsi="宋体" w:eastAsia="宋体" w:cs="宋体"/>
          <w:b/>
          <w:color w:val="auto"/>
          <w:kern w:val="2"/>
          <w:highlight w:val="none"/>
        </w:rPr>
        <w:t>其他事项</w:t>
      </w:r>
      <w:bookmarkEnd w:id="337"/>
      <w:bookmarkEnd w:id="338"/>
      <w:bookmarkEnd w:id="339"/>
      <w:bookmarkEnd w:id="340"/>
      <w:bookmarkEnd w:id="341"/>
    </w:p>
    <w:p w14:paraId="246D9617">
      <w:pPr>
        <w:pStyle w:val="42"/>
        <w:snapToGrid w:val="0"/>
        <w:spacing w:line="360" w:lineRule="auto"/>
        <w:ind w:firstLine="480" w:firstLineChars="200"/>
        <w:jc w:val="both"/>
        <w:rPr>
          <w:rFonts w:hint="eastAsia" w:ascii="宋体" w:hAnsi="宋体" w:eastAsia="宋体" w:cs="宋体"/>
          <w:b w:val="0"/>
          <w:snapToGrid w:val="0"/>
          <w:color w:val="auto"/>
          <w:kern w:val="0"/>
          <w:sz w:val="24"/>
          <w:highlight w:val="none"/>
        </w:rPr>
      </w:pPr>
      <w:r>
        <w:rPr>
          <w:rFonts w:hint="eastAsia" w:ascii="宋体" w:hAnsi="宋体" w:eastAsia="宋体" w:cs="宋体"/>
          <w:b w:val="0"/>
          <w:snapToGrid w:val="0"/>
          <w:color w:val="auto"/>
          <w:kern w:val="0"/>
          <w:sz w:val="24"/>
          <w:highlight w:val="none"/>
        </w:rPr>
        <w:t>8.1中标人须在收到中标通知书之日两天内向招标人提交各阶段详细的工期计划承诺书。</w:t>
      </w:r>
    </w:p>
    <w:p w14:paraId="60F7E2CE">
      <w:pPr>
        <w:pStyle w:val="42"/>
        <w:snapToGrid w:val="0"/>
        <w:spacing w:line="360" w:lineRule="auto"/>
        <w:ind w:firstLine="480" w:firstLineChars="200"/>
        <w:jc w:val="both"/>
        <w:rPr>
          <w:rFonts w:hint="eastAsia" w:ascii="宋体" w:hAnsi="宋体" w:eastAsia="宋体" w:cs="宋体"/>
          <w:b w:val="0"/>
          <w:snapToGrid w:val="0"/>
          <w:color w:val="auto"/>
          <w:kern w:val="0"/>
          <w:sz w:val="24"/>
          <w:highlight w:val="none"/>
        </w:rPr>
      </w:pPr>
      <w:r>
        <w:rPr>
          <w:rFonts w:hint="eastAsia" w:ascii="宋体" w:hAnsi="宋体" w:eastAsia="宋体" w:cs="宋体"/>
          <w:b w:val="0"/>
          <w:snapToGrid w:val="0"/>
          <w:color w:val="auto"/>
          <w:kern w:val="0"/>
          <w:sz w:val="24"/>
          <w:highlight w:val="none"/>
        </w:rPr>
        <w:t>8.2本项目各个阶段的设计成果必须经招标人及有关审批部门同意后方可进行下一工序的设计工作，若由于招标人或有关审批部门在审批过程中提出的设计修改或变更，中标人必须无条件进行修改或变更，招标人不再支付由此而增加的设计费用。若设计超过了限额标准，中标人必须无条件优化，直至达到限额要求为止，设计工期不予以顺延，招标人不再支付由此而增加的设计费。</w:t>
      </w:r>
    </w:p>
    <w:p w14:paraId="614445EF">
      <w:pPr>
        <w:pStyle w:val="42"/>
        <w:snapToGrid w:val="0"/>
        <w:spacing w:line="360" w:lineRule="auto"/>
        <w:ind w:firstLine="480" w:firstLineChars="200"/>
        <w:jc w:val="both"/>
        <w:rPr>
          <w:rFonts w:hint="eastAsia" w:ascii="宋体" w:hAnsi="宋体" w:eastAsia="宋体" w:cs="宋体"/>
          <w:b w:val="0"/>
          <w:snapToGrid w:val="0"/>
          <w:color w:val="auto"/>
          <w:kern w:val="0"/>
          <w:sz w:val="24"/>
          <w:highlight w:val="none"/>
        </w:rPr>
      </w:pPr>
      <w:r>
        <w:rPr>
          <w:rFonts w:hint="eastAsia" w:ascii="宋体" w:hAnsi="宋体" w:eastAsia="宋体" w:cs="宋体"/>
          <w:b w:val="0"/>
          <w:snapToGrid w:val="0"/>
          <w:color w:val="auto"/>
          <w:kern w:val="0"/>
          <w:sz w:val="24"/>
          <w:highlight w:val="none"/>
        </w:rPr>
        <w:t>8.3每一步设计工作必须经招标人及有关部门审核批准后方可进行下一步设计。中标人提交的施工图阶段的设计成果必须经招标人确认后，再送有资质的审图单位的进行审查，若由于招标人和审图单位在审查过程中提出的设计修改或变更，中标人必须无条件进行修改或优化设计，招标人不再支付由此而增加的设计费用。</w:t>
      </w:r>
    </w:p>
    <w:p w14:paraId="2388EC6C">
      <w:pPr>
        <w:pStyle w:val="42"/>
        <w:snapToGrid w:val="0"/>
        <w:spacing w:line="360" w:lineRule="auto"/>
        <w:ind w:firstLine="480" w:firstLineChars="200"/>
        <w:jc w:val="both"/>
        <w:rPr>
          <w:rFonts w:hint="eastAsia" w:ascii="宋体" w:hAnsi="宋体" w:eastAsia="宋体" w:cs="宋体"/>
          <w:b w:val="0"/>
          <w:snapToGrid w:val="0"/>
          <w:color w:val="auto"/>
          <w:kern w:val="0"/>
          <w:sz w:val="24"/>
          <w:highlight w:val="none"/>
        </w:rPr>
      </w:pPr>
      <w:r>
        <w:rPr>
          <w:rFonts w:hint="eastAsia" w:ascii="宋体" w:hAnsi="宋体" w:eastAsia="宋体" w:cs="宋体"/>
          <w:b w:val="0"/>
          <w:snapToGrid w:val="0"/>
          <w:color w:val="auto"/>
          <w:kern w:val="0"/>
          <w:sz w:val="24"/>
          <w:highlight w:val="none"/>
        </w:rPr>
        <w:t>8.4若勘察作业受用地征收影响，勘察人需积极选取周边勘探点参照，待征收问题解决后再入场详勘，相应部分的施工图预算以暂定工程量计算。</w:t>
      </w:r>
    </w:p>
    <w:p w14:paraId="51333DF3">
      <w:pPr>
        <w:pStyle w:val="42"/>
        <w:snapToGrid w:val="0"/>
        <w:spacing w:line="360" w:lineRule="auto"/>
        <w:ind w:firstLine="480" w:firstLineChars="200"/>
        <w:jc w:val="both"/>
        <w:rPr>
          <w:rFonts w:hint="eastAsia" w:ascii="宋体" w:hAnsi="宋体" w:eastAsia="宋体" w:cs="宋体"/>
          <w:b w:val="0"/>
          <w:snapToGrid w:val="0"/>
          <w:color w:val="auto"/>
          <w:kern w:val="0"/>
          <w:sz w:val="24"/>
          <w:highlight w:val="none"/>
        </w:rPr>
      </w:pPr>
      <w:r>
        <w:rPr>
          <w:rFonts w:hint="eastAsia" w:ascii="宋体" w:hAnsi="宋体" w:eastAsia="宋体" w:cs="宋体"/>
          <w:b w:val="0"/>
          <w:snapToGrid w:val="0"/>
          <w:color w:val="auto"/>
          <w:kern w:val="0"/>
          <w:sz w:val="24"/>
          <w:highlight w:val="none"/>
        </w:rPr>
        <w:t>8.5勘察人需妥善保存各勘探孔的完整岩土芯样及影像资料，以备届时施工阶段地质情况实际核对。施工过程中，若发现现场地质情况与同位置勘察点的勘察成果不符时，视为勘察人违约并承担相关责任。</w:t>
      </w:r>
    </w:p>
    <w:p w14:paraId="0832B810">
      <w:pPr>
        <w:pStyle w:val="42"/>
        <w:snapToGrid w:val="0"/>
        <w:spacing w:line="360" w:lineRule="auto"/>
        <w:ind w:firstLine="480" w:firstLineChars="200"/>
        <w:jc w:val="both"/>
        <w:rPr>
          <w:rFonts w:hint="eastAsia" w:ascii="宋体" w:hAnsi="宋体" w:eastAsia="宋体" w:cs="宋体"/>
          <w:b w:val="0"/>
          <w:snapToGrid w:val="0"/>
          <w:color w:val="auto"/>
          <w:kern w:val="0"/>
          <w:sz w:val="24"/>
          <w:highlight w:val="none"/>
        </w:rPr>
      </w:pPr>
      <w:r>
        <w:rPr>
          <w:rFonts w:hint="eastAsia" w:ascii="宋体" w:hAnsi="宋体" w:eastAsia="宋体" w:cs="宋体"/>
          <w:b w:val="0"/>
          <w:snapToGrid w:val="0"/>
          <w:color w:val="auto"/>
          <w:kern w:val="0"/>
          <w:sz w:val="24"/>
          <w:highlight w:val="none"/>
        </w:rPr>
        <w:t>8.6设计人必须严格按有关设计规范设计图纸，设计人须秉承合理、经济、环保、适用等原则进行施工图设计，发包人有权委托第三方对设计人每阶段的设计成果文件（含节能、结构计算模型等）进行精细化审图、各专业优化工作，设计人需无条件根据经发包人确认的精细化审图、结构优化报告进行设计文件修改，费用不另计。</w:t>
      </w:r>
    </w:p>
    <w:p w14:paraId="5D925C00">
      <w:pPr>
        <w:pStyle w:val="185"/>
        <w:keepNext/>
        <w:keepLines/>
        <w:adjustRightInd/>
        <w:jc w:val="center"/>
        <w:rPr>
          <w:rFonts w:hint="eastAsia" w:ascii="宋体" w:hAnsi="宋体" w:eastAsia="宋体" w:cs="宋体"/>
          <w:color w:val="auto"/>
          <w:kern w:val="44"/>
          <w:sz w:val="32"/>
          <w:szCs w:val="22"/>
          <w:highlight w:val="none"/>
        </w:rPr>
      </w:pPr>
      <w:bookmarkStart w:id="342" w:name="_Toc13503"/>
      <w:bookmarkStart w:id="343" w:name="_Toc135054605"/>
      <w:bookmarkStart w:id="344" w:name="_Toc8115"/>
      <w:bookmarkStart w:id="345" w:name="_Toc207"/>
      <w:bookmarkStart w:id="346" w:name="_Toc18226"/>
      <w:r>
        <w:rPr>
          <w:rStyle w:val="46"/>
          <w:rFonts w:hint="eastAsia" w:ascii="宋体" w:hAnsi="宋体" w:eastAsia="宋体" w:cs="宋体"/>
          <w:b/>
          <w:bCs/>
          <w:color w:val="auto"/>
          <w:sz w:val="28"/>
          <w:szCs w:val="18"/>
          <w:highlight w:val="none"/>
        </w:rPr>
        <w:t>第三章</w:t>
      </w:r>
      <w:r>
        <w:rPr>
          <w:rStyle w:val="46"/>
          <w:rFonts w:hint="eastAsia" w:ascii="宋体" w:hAnsi="宋体" w:eastAsia="宋体" w:cs="宋体"/>
          <w:b/>
          <w:bCs/>
          <w:color w:val="auto"/>
          <w:sz w:val="28"/>
          <w:szCs w:val="18"/>
          <w:highlight w:val="none"/>
          <w:lang w:val="en-US" w:eastAsia="zh-CN"/>
        </w:rPr>
        <w:t xml:space="preserve">   </w:t>
      </w:r>
      <w:r>
        <w:rPr>
          <w:rStyle w:val="46"/>
          <w:rFonts w:hint="eastAsia" w:ascii="宋体" w:hAnsi="宋体" w:eastAsia="宋体" w:cs="宋体"/>
          <w:b/>
          <w:bCs/>
          <w:color w:val="auto"/>
          <w:sz w:val="28"/>
          <w:szCs w:val="18"/>
          <w:highlight w:val="none"/>
        </w:rPr>
        <w:t>拟签订合同的主要条款</w:t>
      </w:r>
      <w:bookmarkEnd w:id="342"/>
      <w:bookmarkEnd w:id="343"/>
      <w:bookmarkEnd w:id="344"/>
      <w:bookmarkEnd w:id="345"/>
      <w:bookmarkEnd w:id="346"/>
    </w:p>
    <w:p w14:paraId="02EB41BD">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347" w:name="_Toc22783"/>
      <w:bookmarkStart w:id="348" w:name="_Toc30032"/>
      <w:bookmarkStart w:id="349" w:name="_Toc24855"/>
      <w:bookmarkStart w:id="350" w:name="_Toc28285"/>
      <w:bookmarkStart w:id="351" w:name="_Toc5953"/>
      <w:bookmarkStart w:id="352" w:name="_Toc7628"/>
      <w:bookmarkStart w:id="353" w:name="_Toc3945"/>
      <w:bookmarkStart w:id="354" w:name="_Toc135054606"/>
      <w:r>
        <w:rPr>
          <w:rFonts w:hint="eastAsia" w:ascii="宋体" w:hAnsi="宋体" w:eastAsia="宋体" w:cs="宋体"/>
          <w:b/>
          <w:bCs/>
          <w:snapToGrid w:val="0"/>
          <w:color w:val="auto"/>
          <w:kern w:val="0"/>
          <w:sz w:val="24"/>
          <w:highlight w:val="none"/>
          <w:lang w:val="en-US" w:eastAsia="zh-CN"/>
        </w:rPr>
        <w:t>1.工程承包方式</w:t>
      </w:r>
      <w:bookmarkEnd w:id="347"/>
      <w:bookmarkEnd w:id="348"/>
      <w:bookmarkEnd w:id="349"/>
      <w:bookmarkEnd w:id="350"/>
      <w:bookmarkEnd w:id="351"/>
      <w:bookmarkEnd w:id="352"/>
      <w:bookmarkEnd w:id="353"/>
    </w:p>
    <w:p w14:paraId="2C8F8476">
      <w:pPr>
        <w:pStyle w:val="42"/>
        <w:snapToGrid w:val="0"/>
        <w:spacing w:line="360" w:lineRule="auto"/>
        <w:ind w:firstLine="480" w:firstLineChars="200"/>
        <w:jc w:val="both"/>
        <w:rPr>
          <w:rFonts w:hint="eastAsia" w:ascii="宋体" w:hAnsi="宋体" w:eastAsia="宋体" w:cs="宋体"/>
          <w:b w:val="0"/>
          <w:snapToGrid w:val="0"/>
          <w:color w:val="auto"/>
          <w:kern w:val="0"/>
          <w:sz w:val="24"/>
          <w:highlight w:val="none"/>
          <w:lang w:val="en-US" w:eastAsia="zh-CN"/>
        </w:rPr>
      </w:pPr>
      <w:r>
        <w:rPr>
          <w:rFonts w:hint="eastAsia" w:ascii="宋体" w:hAnsi="宋体" w:eastAsia="宋体" w:cs="宋体"/>
          <w:b w:val="0"/>
          <w:snapToGrid w:val="0"/>
          <w:color w:val="auto"/>
          <w:kern w:val="0"/>
          <w:sz w:val="24"/>
          <w:highlight w:val="none"/>
          <w:lang w:val="en-US" w:eastAsia="zh-CN"/>
        </w:rPr>
        <w:t>中标人以中标价按合同约定和招标文件内容要求，法律法规及国家强制性标准要求，提供完整的测绘报告、施工图设计文件和建设期的服务内容，不允许转包和违法分包，</w:t>
      </w:r>
      <w:bookmarkStart w:id="355" w:name="_2、工程结算原则"/>
      <w:bookmarkEnd w:id="355"/>
      <w:bookmarkStart w:id="356" w:name="_Toc326916630"/>
      <w:bookmarkStart w:id="357" w:name="_Toc322793289"/>
      <w:bookmarkStart w:id="358" w:name="_Toc8670"/>
      <w:bookmarkStart w:id="359" w:name="_Toc11984"/>
      <w:bookmarkStart w:id="360" w:name="_Toc8199"/>
      <w:bookmarkStart w:id="361" w:name="_Hlt87948447"/>
      <w:bookmarkStart w:id="362" w:name="_Hlt87948449"/>
      <w:r>
        <w:rPr>
          <w:rFonts w:hint="eastAsia" w:ascii="宋体" w:hAnsi="宋体" w:eastAsia="宋体" w:cs="宋体"/>
          <w:b w:val="0"/>
          <w:snapToGrid w:val="0"/>
          <w:color w:val="auto"/>
          <w:kern w:val="0"/>
          <w:sz w:val="24"/>
          <w:highlight w:val="none"/>
          <w:lang w:val="en-US" w:eastAsia="zh-CN"/>
        </w:rPr>
        <w:t>如中标人不具备相应测绘勘察资质的，则待中标后必须在招标人的监督管理下委托具备相应资质及能力的单位来完成该部分工作。</w:t>
      </w:r>
    </w:p>
    <w:p w14:paraId="40753DD6">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363" w:name="_Toc17540"/>
      <w:bookmarkStart w:id="364" w:name="_Toc9751"/>
      <w:bookmarkStart w:id="365" w:name="_Toc18676"/>
      <w:bookmarkStart w:id="366" w:name="_Toc10684"/>
      <w:bookmarkStart w:id="367" w:name="_Toc21978"/>
      <w:r>
        <w:rPr>
          <w:rFonts w:hint="eastAsia" w:ascii="宋体" w:hAnsi="宋体" w:eastAsia="宋体" w:cs="宋体"/>
          <w:b/>
          <w:bCs/>
          <w:snapToGrid w:val="0"/>
          <w:color w:val="auto"/>
          <w:kern w:val="0"/>
          <w:sz w:val="24"/>
          <w:highlight w:val="none"/>
          <w:lang w:val="en-US" w:eastAsia="zh-CN"/>
        </w:rPr>
        <w:t>2</w:t>
      </w:r>
      <w:bookmarkEnd w:id="356"/>
      <w:bookmarkEnd w:id="357"/>
      <w:r>
        <w:rPr>
          <w:rFonts w:hint="eastAsia" w:ascii="宋体" w:hAnsi="宋体" w:eastAsia="宋体" w:cs="宋体"/>
          <w:b/>
          <w:bCs/>
          <w:snapToGrid w:val="0"/>
          <w:color w:val="auto"/>
          <w:kern w:val="0"/>
          <w:sz w:val="24"/>
          <w:highlight w:val="none"/>
          <w:lang w:val="en-US" w:eastAsia="zh-CN"/>
        </w:rPr>
        <w:t>.合同价款支付办法</w:t>
      </w:r>
      <w:bookmarkEnd w:id="358"/>
      <w:bookmarkEnd w:id="359"/>
      <w:bookmarkEnd w:id="360"/>
      <w:bookmarkEnd w:id="363"/>
      <w:bookmarkEnd w:id="364"/>
      <w:bookmarkEnd w:id="365"/>
      <w:bookmarkEnd w:id="366"/>
      <w:bookmarkEnd w:id="367"/>
    </w:p>
    <w:p w14:paraId="51CE4671">
      <w:pPr>
        <w:pStyle w:val="42"/>
        <w:snapToGrid w:val="0"/>
        <w:spacing w:line="360" w:lineRule="auto"/>
        <w:ind w:firstLine="480" w:firstLineChars="200"/>
        <w:jc w:val="both"/>
        <w:rPr>
          <w:rFonts w:hint="eastAsia" w:ascii="宋体" w:hAnsi="宋体" w:eastAsia="宋体" w:cs="宋体"/>
          <w:b w:val="0"/>
          <w:snapToGrid w:val="0"/>
          <w:color w:val="auto"/>
          <w:kern w:val="0"/>
          <w:sz w:val="24"/>
          <w:highlight w:val="none"/>
          <w:lang w:val="en-US" w:eastAsia="zh-CN"/>
        </w:rPr>
      </w:pPr>
      <w:r>
        <w:rPr>
          <w:rFonts w:hint="eastAsia" w:ascii="宋体" w:hAnsi="宋体" w:eastAsia="宋体" w:cs="宋体"/>
          <w:b w:val="0"/>
          <w:snapToGrid w:val="0"/>
          <w:color w:val="auto"/>
          <w:kern w:val="0"/>
          <w:sz w:val="24"/>
          <w:highlight w:val="none"/>
          <w:lang w:val="en-US" w:eastAsia="zh-CN"/>
        </w:rPr>
        <w:t>2.1本合同工程按中标人的中标价格为暂定合同价，以本合同约定的结算原则计算出的价格为最终结算价。</w:t>
      </w:r>
    </w:p>
    <w:bookmarkEnd w:id="361"/>
    <w:bookmarkEnd w:id="362"/>
    <w:p w14:paraId="308C73F3">
      <w:pPr>
        <w:pStyle w:val="42"/>
        <w:snapToGrid w:val="0"/>
        <w:spacing w:line="360" w:lineRule="auto"/>
        <w:ind w:firstLine="480" w:firstLineChars="200"/>
        <w:jc w:val="both"/>
        <w:rPr>
          <w:rFonts w:hint="eastAsia" w:ascii="宋体" w:hAnsi="宋体" w:eastAsia="宋体" w:cs="宋体"/>
          <w:b w:val="0"/>
          <w:snapToGrid w:val="0"/>
          <w:color w:val="auto"/>
          <w:kern w:val="0"/>
          <w:sz w:val="24"/>
          <w:highlight w:val="none"/>
          <w:lang w:val="en-US" w:eastAsia="zh-CN"/>
        </w:rPr>
      </w:pPr>
      <w:bookmarkStart w:id="368" w:name="_Hlt88974053"/>
      <w:bookmarkEnd w:id="368"/>
      <w:bookmarkStart w:id="369" w:name="_Hlt87951777"/>
      <w:bookmarkStart w:id="370" w:name="_Toc326916631"/>
      <w:bookmarkStart w:id="371" w:name="_Toc322793290"/>
      <w:r>
        <w:rPr>
          <w:rFonts w:hint="eastAsia" w:ascii="宋体" w:hAnsi="宋体" w:eastAsia="宋体" w:cs="宋体"/>
          <w:b w:val="0"/>
          <w:snapToGrid w:val="0"/>
          <w:color w:val="auto"/>
          <w:kern w:val="0"/>
          <w:sz w:val="24"/>
          <w:highlight w:val="none"/>
          <w:lang w:val="en-US" w:eastAsia="zh-CN"/>
        </w:rPr>
        <w:t>2.2．合同价款支付方式</w:t>
      </w:r>
    </w:p>
    <w:p w14:paraId="28C03584">
      <w:pPr>
        <w:pStyle w:val="42"/>
        <w:snapToGrid w:val="0"/>
        <w:spacing w:line="360" w:lineRule="auto"/>
        <w:ind w:firstLine="480" w:firstLineChars="200"/>
        <w:jc w:val="both"/>
        <w:rPr>
          <w:rFonts w:hint="eastAsia" w:ascii="宋体" w:hAnsi="宋体" w:eastAsia="宋体" w:cs="宋体"/>
          <w:b w:val="0"/>
          <w:snapToGrid w:val="0"/>
          <w:color w:val="auto"/>
          <w:kern w:val="0"/>
          <w:sz w:val="24"/>
          <w:highlight w:val="none"/>
          <w:lang w:val="en-US" w:eastAsia="zh-CN"/>
        </w:rPr>
      </w:pPr>
      <w:r>
        <w:rPr>
          <w:rFonts w:hint="eastAsia" w:ascii="宋体" w:hAnsi="宋体" w:eastAsia="宋体" w:cs="宋体"/>
          <w:b w:val="0"/>
          <w:snapToGrid w:val="0"/>
          <w:color w:val="auto"/>
          <w:kern w:val="0"/>
          <w:sz w:val="24"/>
          <w:highlight w:val="none"/>
          <w:lang w:val="en-US" w:eastAsia="zh-CN"/>
        </w:rPr>
        <w:t>（1）</w:t>
      </w:r>
      <w:r>
        <w:rPr>
          <w:rFonts w:hint="eastAsia" w:ascii="宋体" w:hAnsi="宋体" w:eastAsia="宋体" w:cs="宋体"/>
          <w:b w:val="0"/>
          <w:snapToGrid w:val="0"/>
          <w:color w:val="auto"/>
          <w:kern w:val="0"/>
          <w:sz w:val="24"/>
          <w:highlight w:val="none"/>
          <w:lang w:val="zh-CN" w:eastAsia="zh-CN"/>
        </w:rPr>
        <w:t>勘察费的支付：提交</w:t>
      </w:r>
      <w:r>
        <w:rPr>
          <w:rFonts w:hint="eastAsia" w:ascii="宋体" w:hAnsi="宋体" w:eastAsia="宋体" w:cs="宋体"/>
          <w:b w:val="0"/>
          <w:snapToGrid w:val="0"/>
          <w:color w:val="auto"/>
          <w:kern w:val="0"/>
          <w:sz w:val="24"/>
          <w:highlight w:val="none"/>
          <w:lang w:val="en-US" w:eastAsia="zh-CN"/>
        </w:rPr>
        <w:t>测绘</w:t>
      </w:r>
      <w:r>
        <w:rPr>
          <w:rFonts w:hint="eastAsia" w:ascii="宋体" w:hAnsi="宋体" w:eastAsia="宋体" w:cs="宋体"/>
          <w:b w:val="0"/>
          <w:snapToGrid w:val="0"/>
          <w:color w:val="auto"/>
          <w:kern w:val="0"/>
          <w:sz w:val="24"/>
          <w:highlight w:val="none"/>
          <w:lang w:val="zh-CN" w:eastAsia="zh-CN"/>
        </w:rPr>
        <w:t>勘察</w:t>
      </w:r>
      <w:r>
        <w:rPr>
          <w:rFonts w:hint="eastAsia" w:ascii="宋体" w:hAnsi="宋体" w:eastAsia="宋体" w:cs="宋体"/>
          <w:b w:val="0"/>
          <w:snapToGrid w:val="0"/>
          <w:color w:val="auto"/>
          <w:kern w:val="0"/>
          <w:sz w:val="24"/>
          <w:highlight w:val="none"/>
          <w:lang w:val="en-US" w:eastAsia="zh-CN"/>
        </w:rPr>
        <w:t>成果文件</w:t>
      </w:r>
      <w:r>
        <w:rPr>
          <w:rFonts w:hint="eastAsia" w:ascii="宋体" w:hAnsi="宋体" w:eastAsia="宋体" w:cs="宋体"/>
          <w:b w:val="0"/>
          <w:snapToGrid w:val="0"/>
          <w:color w:val="auto"/>
          <w:kern w:val="0"/>
          <w:sz w:val="24"/>
          <w:highlight w:val="none"/>
          <w:lang w:val="zh-CN" w:eastAsia="zh-CN"/>
        </w:rPr>
        <w:t>后，支付至经审核</w:t>
      </w:r>
      <w:r>
        <w:rPr>
          <w:rFonts w:hint="eastAsia" w:ascii="宋体" w:hAnsi="宋体" w:eastAsia="宋体" w:cs="宋体"/>
          <w:b w:val="0"/>
          <w:snapToGrid w:val="0"/>
          <w:color w:val="auto"/>
          <w:kern w:val="0"/>
          <w:sz w:val="24"/>
          <w:highlight w:val="none"/>
          <w:lang w:val="en-US" w:eastAsia="zh-CN"/>
        </w:rPr>
        <w:t>测绘</w:t>
      </w:r>
      <w:r>
        <w:rPr>
          <w:rFonts w:hint="eastAsia" w:ascii="宋体" w:hAnsi="宋体" w:eastAsia="宋体" w:cs="宋体"/>
          <w:b w:val="0"/>
          <w:snapToGrid w:val="0"/>
          <w:color w:val="auto"/>
          <w:kern w:val="0"/>
          <w:sz w:val="24"/>
          <w:highlight w:val="none"/>
          <w:lang w:val="zh-CN" w:eastAsia="zh-CN"/>
        </w:rPr>
        <w:t>勘察费的</w:t>
      </w:r>
      <w:r>
        <w:rPr>
          <w:rFonts w:hint="eastAsia" w:ascii="宋体" w:hAnsi="宋体" w:eastAsia="宋体" w:cs="宋体"/>
          <w:b w:val="0"/>
          <w:snapToGrid w:val="0"/>
          <w:color w:val="auto"/>
          <w:kern w:val="0"/>
          <w:sz w:val="24"/>
          <w:highlight w:val="none"/>
          <w:lang w:val="en-US" w:eastAsia="zh-CN"/>
        </w:rPr>
        <w:t>100</w:t>
      </w:r>
      <w:r>
        <w:rPr>
          <w:rFonts w:hint="eastAsia" w:ascii="宋体" w:hAnsi="宋体" w:eastAsia="宋体" w:cs="宋体"/>
          <w:b w:val="0"/>
          <w:snapToGrid w:val="0"/>
          <w:color w:val="auto"/>
          <w:kern w:val="0"/>
          <w:sz w:val="24"/>
          <w:highlight w:val="none"/>
          <w:lang w:val="zh-CN" w:eastAsia="zh-CN"/>
        </w:rPr>
        <w:t>%。</w:t>
      </w:r>
    </w:p>
    <w:p w14:paraId="44E83FE2">
      <w:pPr>
        <w:pStyle w:val="42"/>
        <w:snapToGrid w:val="0"/>
        <w:spacing w:line="360" w:lineRule="auto"/>
        <w:ind w:firstLine="480" w:firstLineChars="200"/>
        <w:jc w:val="both"/>
        <w:rPr>
          <w:rFonts w:hint="eastAsia" w:ascii="宋体" w:hAnsi="宋体" w:eastAsia="宋体" w:cs="宋体"/>
          <w:b w:val="0"/>
          <w:snapToGrid w:val="0"/>
          <w:color w:val="auto"/>
          <w:kern w:val="0"/>
          <w:sz w:val="24"/>
          <w:highlight w:val="none"/>
          <w:lang w:val="en-US" w:eastAsia="zh-CN"/>
        </w:rPr>
      </w:pPr>
      <w:r>
        <w:rPr>
          <w:rFonts w:hint="eastAsia" w:ascii="宋体" w:hAnsi="宋体" w:eastAsia="宋体" w:cs="宋体"/>
          <w:b w:val="0"/>
          <w:snapToGrid w:val="0"/>
          <w:color w:val="auto"/>
          <w:kern w:val="0"/>
          <w:sz w:val="24"/>
          <w:highlight w:val="none"/>
          <w:lang w:val="en-US" w:eastAsia="zh-CN"/>
        </w:rPr>
        <w:t>（2）设计费</w:t>
      </w:r>
      <w:r>
        <w:rPr>
          <w:rFonts w:hint="eastAsia" w:ascii="宋体" w:hAnsi="宋体" w:eastAsia="宋体" w:cs="宋体"/>
          <w:b w:val="0"/>
          <w:snapToGrid w:val="0"/>
          <w:color w:val="auto"/>
          <w:kern w:val="0"/>
          <w:sz w:val="24"/>
          <w:highlight w:val="none"/>
          <w:lang w:val="zh-CN" w:eastAsia="zh-CN"/>
        </w:rPr>
        <w:t>的</w:t>
      </w:r>
      <w:r>
        <w:rPr>
          <w:rFonts w:hint="eastAsia" w:ascii="宋体" w:hAnsi="宋体" w:eastAsia="宋体" w:cs="宋体"/>
          <w:b w:val="0"/>
          <w:snapToGrid w:val="0"/>
          <w:color w:val="auto"/>
          <w:kern w:val="0"/>
          <w:sz w:val="24"/>
          <w:highlight w:val="none"/>
          <w:lang w:val="en-US" w:eastAsia="zh-CN"/>
        </w:rPr>
        <w:t>支付：</w:t>
      </w:r>
      <w:bookmarkStart w:id="372" w:name="_Toc1175"/>
      <w:bookmarkStart w:id="373" w:name="_Toc21984"/>
      <w:bookmarkStart w:id="374" w:name="_Toc26766"/>
      <w:r>
        <w:rPr>
          <w:rFonts w:hint="eastAsia" w:ascii="宋体" w:hAnsi="宋体" w:eastAsia="宋体" w:cs="宋体"/>
          <w:b w:val="0"/>
          <w:snapToGrid w:val="0"/>
          <w:color w:val="auto"/>
          <w:kern w:val="0"/>
          <w:sz w:val="24"/>
          <w:highlight w:val="none"/>
          <w:lang w:val="zh-CN" w:eastAsia="zh-CN"/>
        </w:rPr>
        <w:t>①</w:t>
      </w:r>
      <w:r>
        <w:rPr>
          <w:rFonts w:hint="eastAsia" w:ascii="宋体" w:hAnsi="宋体" w:eastAsia="宋体" w:cs="宋体"/>
          <w:b w:val="0"/>
          <w:snapToGrid w:val="0"/>
          <w:color w:val="auto"/>
          <w:kern w:val="0"/>
          <w:sz w:val="24"/>
          <w:highlight w:val="none"/>
          <w:lang w:val="en-US" w:eastAsia="zh-CN"/>
        </w:rPr>
        <w:t>签订合同后，支付设计费用合同价的50%；</w:t>
      </w:r>
      <w:r>
        <w:rPr>
          <w:rFonts w:hint="eastAsia" w:ascii="宋体" w:hAnsi="宋体" w:eastAsia="宋体" w:cs="宋体"/>
          <w:b w:val="0"/>
          <w:snapToGrid w:val="0"/>
          <w:color w:val="auto"/>
          <w:kern w:val="0"/>
          <w:sz w:val="24"/>
          <w:highlight w:val="none"/>
          <w:lang w:val="zh-CN" w:eastAsia="zh-CN"/>
        </w:rPr>
        <w:t>②</w:t>
      </w:r>
      <w:r>
        <w:rPr>
          <w:rFonts w:hint="eastAsia" w:ascii="宋体" w:hAnsi="宋体" w:eastAsia="宋体" w:cs="宋体"/>
          <w:b w:val="0"/>
          <w:snapToGrid w:val="0"/>
          <w:color w:val="auto"/>
          <w:kern w:val="0"/>
          <w:sz w:val="24"/>
          <w:highlight w:val="none"/>
          <w:lang w:val="en-US" w:eastAsia="zh-CN"/>
        </w:rPr>
        <w:t>提交设计成果文件后，支付至设计费实际费用的90%；③</w:t>
      </w:r>
      <w:r>
        <w:rPr>
          <w:rFonts w:hint="eastAsia" w:ascii="宋体" w:hAnsi="宋体" w:eastAsia="宋体" w:cs="宋体"/>
          <w:b w:val="0"/>
          <w:snapToGrid w:val="0"/>
          <w:color w:val="auto"/>
          <w:kern w:val="0"/>
          <w:sz w:val="24"/>
          <w:highlight w:val="none"/>
          <w:lang w:val="zh-CN" w:eastAsia="zh-CN"/>
        </w:rPr>
        <w:t>竣工验收合格结算后支付</w:t>
      </w:r>
      <w:r>
        <w:rPr>
          <w:rFonts w:hint="eastAsia" w:ascii="宋体" w:hAnsi="宋体" w:eastAsia="宋体" w:cs="宋体"/>
          <w:b w:val="0"/>
          <w:snapToGrid w:val="0"/>
          <w:color w:val="auto"/>
          <w:kern w:val="0"/>
          <w:sz w:val="24"/>
          <w:highlight w:val="none"/>
          <w:lang w:val="en-US" w:eastAsia="zh-CN"/>
        </w:rPr>
        <w:t>至设计费实际费用的100</w:t>
      </w:r>
      <w:r>
        <w:rPr>
          <w:rFonts w:hint="eastAsia" w:ascii="宋体" w:hAnsi="宋体" w:eastAsia="宋体" w:cs="宋体"/>
          <w:b w:val="0"/>
          <w:snapToGrid w:val="0"/>
          <w:color w:val="auto"/>
          <w:kern w:val="0"/>
          <w:sz w:val="24"/>
          <w:highlight w:val="none"/>
          <w:lang w:val="zh-CN" w:eastAsia="zh-CN"/>
        </w:rPr>
        <w:t>%。</w:t>
      </w:r>
    </w:p>
    <w:p w14:paraId="4ACFB1C3">
      <w:pPr>
        <w:pStyle w:val="42"/>
        <w:snapToGrid w:val="0"/>
        <w:spacing w:line="360" w:lineRule="auto"/>
        <w:ind w:firstLine="480" w:firstLineChars="200"/>
        <w:jc w:val="both"/>
        <w:rPr>
          <w:rFonts w:hint="eastAsia" w:ascii="宋体" w:hAnsi="宋体" w:eastAsia="宋体" w:cs="宋体"/>
          <w:b w:val="0"/>
          <w:snapToGrid w:val="0"/>
          <w:color w:val="auto"/>
          <w:kern w:val="0"/>
          <w:sz w:val="24"/>
          <w:highlight w:val="none"/>
          <w:lang w:val="zh-CN" w:eastAsia="zh-CN"/>
        </w:rPr>
      </w:pPr>
      <w:r>
        <w:rPr>
          <w:rFonts w:hint="eastAsia" w:ascii="宋体" w:hAnsi="宋体" w:eastAsia="宋体" w:cs="宋体"/>
          <w:b w:val="0"/>
          <w:snapToGrid w:val="0"/>
          <w:color w:val="auto"/>
          <w:kern w:val="0"/>
          <w:sz w:val="24"/>
          <w:highlight w:val="none"/>
          <w:lang w:val="en-US" w:eastAsia="zh-CN"/>
        </w:rPr>
        <w:t>（3）承包人</w:t>
      </w:r>
      <w:r>
        <w:rPr>
          <w:rFonts w:hint="eastAsia" w:ascii="宋体" w:hAnsi="宋体" w:eastAsia="宋体" w:cs="宋体"/>
          <w:b w:val="0"/>
          <w:snapToGrid w:val="0"/>
          <w:color w:val="auto"/>
          <w:kern w:val="0"/>
          <w:sz w:val="24"/>
          <w:highlight w:val="none"/>
          <w:lang w:val="zh-CN" w:eastAsia="zh-CN"/>
        </w:rPr>
        <w:t>收款的同时提供等额</w:t>
      </w:r>
      <w:r>
        <w:rPr>
          <w:rFonts w:hint="eastAsia" w:ascii="宋体" w:hAnsi="宋体" w:eastAsia="宋体" w:cs="宋体"/>
          <w:b w:val="0"/>
          <w:snapToGrid w:val="0"/>
          <w:color w:val="auto"/>
          <w:kern w:val="0"/>
          <w:sz w:val="24"/>
          <w:highlight w:val="none"/>
          <w:lang w:val="en-US" w:eastAsia="zh-CN"/>
        </w:rPr>
        <w:t>符合发包人要求的</w:t>
      </w:r>
      <w:r>
        <w:rPr>
          <w:rFonts w:hint="eastAsia" w:ascii="宋体" w:hAnsi="宋体" w:eastAsia="宋体" w:cs="宋体"/>
          <w:b w:val="0"/>
          <w:snapToGrid w:val="0"/>
          <w:color w:val="auto"/>
          <w:kern w:val="0"/>
          <w:sz w:val="24"/>
          <w:highlight w:val="none"/>
          <w:lang w:val="zh-CN" w:eastAsia="zh-CN"/>
        </w:rPr>
        <w:t>合法有效</w:t>
      </w:r>
      <w:r>
        <w:rPr>
          <w:rFonts w:hint="eastAsia" w:ascii="宋体" w:hAnsi="宋体" w:eastAsia="宋体" w:cs="宋体"/>
          <w:b w:val="0"/>
          <w:snapToGrid w:val="0"/>
          <w:color w:val="auto"/>
          <w:kern w:val="0"/>
          <w:sz w:val="24"/>
          <w:highlight w:val="none"/>
          <w:lang w:val="en-US" w:eastAsia="zh-CN"/>
        </w:rPr>
        <w:t>的增值税</w:t>
      </w:r>
      <w:r>
        <w:rPr>
          <w:rFonts w:hint="eastAsia" w:ascii="宋体" w:hAnsi="宋体" w:eastAsia="宋体" w:cs="宋体"/>
          <w:b w:val="0"/>
          <w:snapToGrid w:val="0"/>
          <w:color w:val="auto"/>
          <w:kern w:val="0"/>
          <w:sz w:val="24"/>
          <w:highlight w:val="none"/>
          <w:lang w:val="zh-CN" w:eastAsia="zh-CN"/>
        </w:rPr>
        <w:t>发票，否则，发包方有权拒绝付款。</w:t>
      </w:r>
    </w:p>
    <w:p w14:paraId="20A14200">
      <w:pPr>
        <w:pStyle w:val="42"/>
        <w:snapToGrid w:val="0"/>
        <w:spacing w:line="360" w:lineRule="auto"/>
        <w:ind w:firstLine="480" w:firstLineChars="200"/>
        <w:jc w:val="both"/>
        <w:rPr>
          <w:rFonts w:hint="eastAsia" w:ascii="宋体" w:hAnsi="宋体" w:eastAsia="宋体" w:cs="宋体"/>
          <w:b w:val="0"/>
          <w:snapToGrid w:val="0"/>
          <w:color w:val="auto"/>
          <w:kern w:val="0"/>
          <w:sz w:val="24"/>
          <w:highlight w:val="none"/>
          <w:lang w:val="zh-CN" w:eastAsia="zh-CN"/>
        </w:rPr>
      </w:pPr>
      <w:r>
        <w:rPr>
          <w:rFonts w:hint="eastAsia" w:ascii="宋体" w:hAnsi="宋体" w:eastAsia="宋体" w:cs="宋体"/>
          <w:b w:val="0"/>
          <w:snapToGrid w:val="0"/>
          <w:color w:val="auto"/>
          <w:kern w:val="0"/>
          <w:sz w:val="24"/>
          <w:highlight w:val="none"/>
          <w:lang w:val="en-US" w:eastAsia="zh-CN"/>
        </w:rPr>
        <w:t>（4）</w:t>
      </w:r>
      <w:r>
        <w:rPr>
          <w:rFonts w:hint="eastAsia" w:ascii="宋体" w:hAnsi="宋体" w:eastAsia="宋体" w:cs="宋体"/>
          <w:b w:val="0"/>
          <w:snapToGrid w:val="0"/>
          <w:color w:val="auto"/>
          <w:kern w:val="0"/>
          <w:sz w:val="24"/>
          <w:highlight w:val="none"/>
          <w:lang w:val="zh-CN" w:eastAsia="zh-CN"/>
        </w:rPr>
        <w:t>付款时间：因发包人使用的是财政资金，发包人在前款规定的付款时间为向政府项目支付部门提出办理财政支付申请手续的时间（不含政府财政支付部门审核的时间），在规定时间内提出支付申请手续后即视为发包人已经按期支付。</w:t>
      </w:r>
    </w:p>
    <w:p w14:paraId="41FAAC52">
      <w:pPr>
        <w:pStyle w:val="42"/>
        <w:snapToGrid w:val="0"/>
        <w:spacing w:line="360" w:lineRule="auto"/>
        <w:ind w:firstLine="482" w:firstLineChars="200"/>
        <w:jc w:val="both"/>
        <w:outlineLvl w:val="1"/>
        <w:rPr>
          <w:rFonts w:hint="eastAsia" w:ascii="宋体" w:hAnsi="宋体" w:eastAsia="宋体" w:cs="宋体"/>
          <w:b/>
          <w:bCs/>
          <w:snapToGrid w:val="0"/>
          <w:color w:val="auto"/>
          <w:kern w:val="0"/>
          <w:sz w:val="24"/>
          <w:highlight w:val="none"/>
          <w:lang w:val="en-US" w:eastAsia="zh-CN"/>
        </w:rPr>
      </w:pPr>
      <w:bookmarkStart w:id="375" w:name="_Toc16705"/>
      <w:bookmarkStart w:id="376" w:name="_Toc8688"/>
      <w:bookmarkStart w:id="377" w:name="_Toc11344"/>
      <w:bookmarkStart w:id="378" w:name="_Toc24602"/>
      <w:bookmarkStart w:id="379" w:name="_Toc31790"/>
      <w:r>
        <w:rPr>
          <w:rFonts w:hint="eastAsia" w:ascii="宋体" w:hAnsi="宋体" w:eastAsia="宋体" w:cs="宋体"/>
          <w:b/>
          <w:bCs/>
          <w:snapToGrid w:val="0"/>
          <w:color w:val="auto"/>
          <w:kern w:val="0"/>
          <w:sz w:val="24"/>
          <w:highlight w:val="none"/>
          <w:lang w:val="en-US" w:eastAsia="zh-CN"/>
        </w:rPr>
        <w:t>3</w:t>
      </w:r>
      <w:bookmarkEnd w:id="369"/>
      <w:bookmarkEnd w:id="370"/>
      <w:bookmarkEnd w:id="371"/>
      <w:bookmarkStart w:id="380" w:name="_Hlt88976467"/>
      <w:bookmarkEnd w:id="380"/>
      <w:bookmarkStart w:id="381" w:name="_Hlt66591689"/>
      <w:bookmarkEnd w:id="381"/>
      <w:bookmarkStart w:id="382" w:name="_Hlt66608388"/>
      <w:bookmarkEnd w:id="382"/>
      <w:bookmarkStart w:id="383" w:name="_Hlt70150985"/>
      <w:bookmarkEnd w:id="383"/>
      <w:bookmarkStart w:id="384" w:name="_Hlt69700007"/>
      <w:bookmarkEnd w:id="384"/>
      <w:bookmarkStart w:id="385" w:name="_Hlt69114106"/>
      <w:bookmarkEnd w:id="385"/>
      <w:bookmarkStart w:id="386" w:name="_Hlt66593437"/>
      <w:bookmarkEnd w:id="386"/>
      <w:bookmarkStart w:id="387" w:name="_Hlt69669774"/>
      <w:bookmarkEnd w:id="387"/>
      <w:r>
        <w:rPr>
          <w:rFonts w:hint="eastAsia" w:ascii="宋体" w:hAnsi="宋体" w:eastAsia="宋体" w:cs="宋体"/>
          <w:b/>
          <w:bCs/>
          <w:snapToGrid w:val="0"/>
          <w:color w:val="auto"/>
          <w:kern w:val="0"/>
          <w:sz w:val="24"/>
          <w:highlight w:val="none"/>
          <w:lang w:val="en-US" w:eastAsia="zh-CN"/>
        </w:rPr>
        <w:t>.结算原则</w:t>
      </w:r>
      <w:bookmarkEnd w:id="372"/>
      <w:bookmarkEnd w:id="373"/>
      <w:bookmarkEnd w:id="374"/>
      <w:bookmarkEnd w:id="375"/>
      <w:bookmarkEnd w:id="376"/>
      <w:bookmarkEnd w:id="377"/>
      <w:bookmarkEnd w:id="378"/>
      <w:bookmarkEnd w:id="379"/>
    </w:p>
    <w:p w14:paraId="5FF5F1B1">
      <w:pPr>
        <w:pStyle w:val="42"/>
        <w:snapToGrid w:val="0"/>
        <w:spacing w:line="360" w:lineRule="auto"/>
        <w:ind w:firstLine="480" w:firstLineChars="200"/>
        <w:jc w:val="both"/>
        <w:rPr>
          <w:rFonts w:hint="eastAsia" w:ascii="宋体" w:hAnsi="宋体" w:eastAsia="宋体" w:cs="宋体"/>
          <w:b w:val="0"/>
          <w:snapToGrid w:val="0"/>
          <w:color w:val="auto"/>
          <w:kern w:val="0"/>
          <w:sz w:val="24"/>
          <w:highlight w:val="none"/>
          <w:lang w:val="en-US" w:eastAsia="zh-CN"/>
        </w:rPr>
      </w:pPr>
      <w:r>
        <w:rPr>
          <w:rFonts w:hint="eastAsia" w:ascii="宋体" w:hAnsi="宋体" w:eastAsia="宋体" w:cs="宋体"/>
          <w:b w:val="0"/>
          <w:snapToGrid w:val="0"/>
          <w:color w:val="auto"/>
          <w:kern w:val="0"/>
          <w:sz w:val="24"/>
          <w:highlight w:val="none"/>
          <w:lang w:val="en-US" w:eastAsia="zh-CN"/>
        </w:rPr>
        <w:t>3.1勘察费结算原则：中标勘察下浮率即为勘察费的结算下浮率，即勘察费结算价=</w:t>
      </w:r>
      <w:r>
        <w:rPr>
          <w:rFonts w:hint="eastAsia" w:ascii="宋体" w:hAnsi="宋体" w:cs="宋体"/>
          <w:b w:val="0"/>
          <w:snapToGrid w:val="0"/>
          <w:color w:val="auto"/>
          <w:kern w:val="0"/>
          <w:sz w:val="24"/>
          <w:highlight w:val="none"/>
          <w:lang w:val="en-US" w:eastAsia="zh-CN"/>
        </w:rPr>
        <w:t>预算</w:t>
      </w:r>
      <w:r>
        <w:rPr>
          <w:rFonts w:hint="eastAsia" w:ascii="宋体" w:hAnsi="宋体" w:eastAsia="宋体" w:cs="宋体"/>
          <w:b w:val="0"/>
          <w:snapToGrid w:val="0"/>
          <w:color w:val="auto"/>
          <w:kern w:val="0"/>
          <w:sz w:val="24"/>
          <w:highlight w:val="none"/>
          <w:lang w:val="en-US" w:eastAsia="zh-CN"/>
        </w:rPr>
        <w:t>审定的勘察费*（1-下浮率）。</w:t>
      </w:r>
    </w:p>
    <w:p w14:paraId="137BC7E7">
      <w:pPr>
        <w:pStyle w:val="42"/>
        <w:snapToGrid w:val="0"/>
        <w:spacing w:line="360" w:lineRule="auto"/>
        <w:ind w:firstLine="480" w:firstLineChars="200"/>
        <w:jc w:val="both"/>
        <w:rPr>
          <w:rFonts w:hint="eastAsia" w:ascii="宋体" w:hAnsi="宋体" w:eastAsia="宋体" w:cs="宋体"/>
          <w:b w:val="0"/>
          <w:snapToGrid w:val="0"/>
          <w:color w:val="auto"/>
          <w:kern w:val="0"/>
          <w:sz w:val="24"/>
          <w:highlight w:val="none"/>
          <w:lang w:val="en-US" w:eastAsia="zh-CN"/>
        </w:rPr>
      </w:pPr>
      <w:r>
        <w:rPr>
          <w:rFonts w:hint="eastAsia" w:ascii="宋体" w:hAnsi="宋体" w:eastAsia="宋体" w:cs="宋体"/>
          <w:b w:val="0"/>
          <w:snapToGrid w:val="0"/>
          <w:color w:val="auto"/>
          <w:kern w:val="0"/>
          <w:sz w:val="24"/>
          <w:highlight w:val="none"/>
          <w:lang w:val="en-US" w:eastAsia="zh-CN"/>
        </w:rPr>
        <w:t>3.2设计费结算原则：中标设计下浮率即为设计费的结算下浮率，即设计费结算价=</w:t>
      </w:r>
      <w:r>
        <w:rPr>
          <w:rFonts w:hint="eastAsia" w:ascii="宋体" w:hAnsi="宋体" w:cs="宋体"/>
          <w:b w:val="0"/>
          <w:snapToGrid w:val="0"/>
          <w:color w:val="auto"/>
          <w:kern w:val="0"/>
          <w:sz w:val="24"/>
          <w:highlight w:val="none"/>
          <w:lang w:val="en-US" w:eastAsia="zh-CN"/>
        </w:rPr>
        <w:t>预</w:t>
      </w:r>
      <w:r>
        <w:rPr>
          <w:rFonts w:hint="eastAsia" w:ascii="宋体" w:hAnsi="宋体" w:eastAsia="宋体" w:cs="宋体"/>
          <w:b w:val="0"/>
          <w:snapToGrid w:val="0"/>
          <w:color w:val="auto"/>
          <w:kern w:val="0"/>
          <w:sz w:val="24"/>
          <w:highlight w:val="none"/>
          <w:lang w:val="en-US" w:eastAsia="zh-CN"/>
        </w:rPr>
        <w:t>算审定的设计费*（1-下浮率）。</w:t>
      </w:r>
    </w:p>
    <w:p w14:paraId="0BC4E087">
      <w:pPr>
        <w:pStyle w:val="235"/>
        <w:keepNext w:val="0"/>
        <w:keepLines w:val="0"/>
        <w:pageBreakBefore w:val="0"/>
        <w:widowControl/>
        <w:kinsoku/>
        <w:wordWrap/>
        <w:overflowPunct/>
        <w:topLinePunct/>
        <w:autoSpaceDE/>
        <w:autoSpaceDN/>
        <w:bidi w:val="0"/>
        <w:adjustRightInd/>
        <w:snapToGrid w:val="0"/>
        <w:spacing w:line="360" w:lineRule="auto"/>
        <w:ind w:firstLine="480"/>
        <w:textAlignment w:val="baseline"/>
        <w:rPr>
          <w:rFonts w:hint="eastAsia" w:ascii="宋体" w:hAnsi="宋体" w:eastAsia="宋体" w:cs="宋体"/>
          <w:color w:val="auto"/>
          <w:sz w:val="24"/>
          <w:szCs w:val="24"/>
          <w:highlight w:val="none"/>
          <w:lang w:val="en-US" w:eastAsia="zh-CN"/>
        </w:rPr>
      </w:pPr>
      <w:r>
        <w:rPr>
          <w:rStyle w:val="69"/>
          <w:rFonts w:hint="eastAsia" w:ascii="宋体" w:hAnsi="宋体" w:eastAsia="宋体" w:cs="宋体"/>
          <w:b/>
          <w:bCs/>
          <w:strike w:val="0"/>
          <w:color w:val="auto"/>
          <w:sz w:val="24"/>
          <w:szCs w:val="24"/>
          <w:highlight w:val="none"/>
          <w:lang w:val="en-US" w:eastAsia="zh-CN"/>
        </w:rPr>
        <w:t>4.</w:t>
      </w:r>
      <w:r>
        <w:rPr>
          <w:rFonts w:hint="eastAsia" w:ascii="宋体" w:hAnsi="宋体" w:eastAsia="宋体" w:cs="宋体"/>
          <w:b/>
          <w:snapToGrid w:val="0"/>
          <w:color w:val="auto"/>
          <w:sz w:val="24"/>
          <w:szCs w:val="24"/>
          <w:highlight w:val="none"/>
        </w:rPr>
        <w:t>其他条款由招标人根据本工程实际情况和地方政策与中标人自行协商签定相关专用合同条款。</w:t>
      </w:r>
    </w:p>
    <w:p w14:paraId="2BFB14B0">
      <w:pPr>
        <w:rPr>
          <w:rFonts w:hint="eastAsia" w:ascii="宋体" w:hAnsi="宋体" w:eastAsia="宋体" w:cs="宋体"/>
          <w:color w:val="auto"/>
          <w:highlight w:val="none"/>
          <w:lang w:val="en-US" w:eastAsia="zh-CN"/>
        </w:rPr>
      </w:pPr>
    </w:p>
    <w:p w14:paraId="316926E8">
      <w:pPr>
        <w:rPr>
          <w:rFonts w:hint="eastAsia"/>
          <w:lang w:val="en-US" w:eastAsia="zh-CN"/>
        </w:rPr>
      </w:pPr>
    </w:p>
    <w:p w14:paraId="0324E2C2">
      <w:pPr>
        <w:rPr>
          <w:rFonts w:hint="eastAsia"/>
          <w:lang w:val="en-US" w:eastAsia="zh-CN"/>
        </w:rPr>
      </w:pPr>
    </w:p>
    <w:p w14:paraId="4A4B0F61">
      <w:pPr>
        <w:rPr>
          <w:rFonts w:hint="eastAsia"/>
          <w:lang w:val="en-US" w:eastAsia="zh-CN"/>
        </w:rPr>
      </w:pPr>
    </w:p>
    <w:p w14:paraId="3D0D7733">
      <w:pPr>
        <w:rPr>
          <w:rFonts w:hint="eastAsia" w:ascii="宋体" w:hAnsi="宋体" w:eastAsia="宋体" w:cs="宋体"/>
          <w:color w:val="auto"/>
          <w:highlight w:val="none"/>
        </w:rPr>
      </w:pPr>
    </w:p>
    <w:p w14:paraId="5F0ED006">
      <w:pPr>
        <w:rPr>
          <w:rFonts w:hint="eastAsia"/>
        </w:rPr>
      </w:pPr>
    </w:p>
    <w:p w14:paraId="3A8B4E85">
      <w:pPr>
        <w:pStyle w:val="185"/>
        <w:keepNext/>
        <w:keepLines/>
        <w:adjustRightInd/>
        <w:jc w:val="center"/>
        <w:rPr>
          <w:rStyle w:val="46"/>
          <w:rFonts w:hint="eastAsia" w:ascii="宋体" w:hAnsi="宋体" w:eastAsia="宋体" w:cs="宋体"/>
          <w:b/>
          <w:bCs/>
          <w:color w:val="auto"/>
          <w:sz w:val="28"/>
          <w:szCs w:val="18"/>
          <w:highlight w:val="none"/>
        </w:rPr>
      </w:pPr>
      <w:bookmarkStart w:id="388" w:name="_Toc10628"/>
      <w:bookmarkStart w:id="389" w:name="_Toc18253"/>
      <w:bookmarkStart w:id="390" w:name="_Toc15504"/>
      <w:bookmarkStart w:id="391" w:name="_Toc23346"/>
      <w:r>
        <w:rPr>
          <w:rStyle w:val="46"/>
          <w:rFonts w:hint="eastAsia" w:ascii="宋体" w:hAnsi="宋体" w:eastAsia="宋体" w:cs="宋体"/>
          <w:b/>
          <w:bCs/>
          <w:color w:val="auto"/>
          <w:sz w:val="28"/>
          <w:szCs w:val="18"/>
          <w:highlight w:val="none"/>
        </w:rPr>
        <w:t>第四章</w:t>
      </w:r>
      <w:bookmarkEnd w:id="329"/>
      <w:bookmarkEnd w:id="330"/>
      <w:r>
        <w:rPr>
          <w:rStyle w:val="46"/>
          <w:rFonts w:hint="eastAsia" w:ascii="宋体" w:hAnsi="宋体" w:eastAsia="宋体" w:cs="宋体"/>
          <w:b/>
          <w:bCs/>
          <w:color w:val="auto"/>
          <w:sz w:val="28"/>
          <w:szCs w:val="18"/>
          <w:highlight w:val="none"/>
          <w:lang w:val="en-US" w:eastAsia="zh-CN"/>
        </w:rPr>
        <w:t xml:space="preserve">   </w:t>
      </w:r>
      <w:bookmarkEnd w:id="354"/>
      <w:r>
        <w:rPr>
          <w:rStyle w:val="234"/>
          <w:rFonts w:hint="eastAsia" w:ascii="宋体" w:hAnsi="宋体" w:eastAsia="宋体" w:cs="宋体"/>
          <w:b/>
          <w:bCs w:val="0"/>
          <w:color w:val="auto"/>
          <w:sz w:val="28"/>
          <w:szCs w:val="18"/>
          <w:highlight w:val="none"/>
        </w:rPr>
        <w:t>招标项目的设计要求</w:t>
      </w:r>
      <w:bookmarkEnd w:id="388"/>
      <w:bookmarkEnd w:id="389"/>
      <w:bookmarkEnd w:id="390"/>
      <w:bookmarkEnd w:id="391"/>
    </w:p>
    <w:p w14:paraId="5FF25DE7">
      <w:pPr>
        <w:pStyle w:val="3"/>
        <w:spacing w:line="360" w:lineRule="auto"/>
        <w:rPr>
          <w:rFonts w:hint="eastAsia" w:ascii="宋体" w:hAnsi="宋体" w:eastAsia="宋体" w:cs="宋体"/>
          <w:b/>
          <w:bCs/>
          <w:color w:val="auto"/>
          <w:kern w:val="2"/>
          <w:sz w:val="24"/>
          <w:szCs w:val="24"/>
          <w:highlight w:val="none"/>
          <w:lang w:val="en-US" w:eastAsia="zh-CN"/>
        </w:rPr>
      </w:pPr>
      <w:bookmarkStart w:id="392" w:name="_Hlt66104926"/>
      <w:bookmarkEnd w:id="392"/>
      <w:bookmarkStart w:id="393" w:name="_Hlt69357851"/>
      <w:bookmarkEnd w:id="393"/>
      <w:bookmarkStart w:id="394" w:name="_Hlt87793370"/>
      <w:bookmarkEnd w:id="394"/>
      <w:bookmarkStart w:id="395" w:name="_Hlt69116854"/>
      <w:bookmarkEnd w:id="395"/>
      <w:bookmarkStart w:id="396" w:name="_Hlt75685840"/>
      <w:bookmarkEnd w:id="396"/>
      <w:bookmarkStart w:id="397" w:name="_Hlt80411122"/>
      <w:bookmarkEnd w:id="397"/>
      <w:bookmarkStart w:id="398" w:name="_Hlt69358207"/>
      <w:bookmarkEnd w:id="398"/>
      <w:bookmarkStart w:id="399" w:name="_Hlt68774758"/>
      <w:bookmarkEnd w:id="399"/>
      <w:bookmarkStart w:id="400" w:name="_Hlt87793346"/>
      <w:bookmarkEnd w:id="400"/>
      <w:bookmarkStart w:id="401" w:name="_Hlt69359335"/>
      <w:bookmarkEnd w:id="401"/>
      <w:bookmarkStart w:id="402" w:name="_Hlt69265216"/>
      <w:bookmarkEnd w:id="402"/>
      <w:bookmarkStart w:id="403" w:name="_Toc20086"/>
      <w:bookmarkStart w:id="404" w:name="_Toc4029"/>
      <w:bookmarkStart w:id="405" w:name="_Toc25715"/>
      <w:bookmarkStart w:id="406" w:name="_Toc9294"/>
      <w:bookmarkStart w:id="407" w:name="_Toc22720"/>
      <w:bookmarkStart w:id="408" w:name="_Toc27055"/>
      <w:bookmarkStart w:id="409" w:name="_Toc15661"/>
      <w:bookmarkStart w:id="410" w:name="_Toc6721"/>
      <w:bookmarkStart w:id="411" w:name="_Toc27009"/>
      <w:bookmarkStart w:id="412" w:name="_Toc27766"/>
      <w:bookmarkStart w:id="413" w:name="_Toc466640612"/>
      <w:r>
        <w:rPr>
          <w:rFonts w:hint="eastAsia" w:ascii="宋体" w:hAnsi="宋体" w:eastAsia="宋体" w:cs="宋体"/>
          <w:b/>
          <w:bCs/>
          <w:color w:val="auto"/>
          <w:kern w:val="2"/>
          <w:sz w:val="24"/>
          <w:szCs w:val="24"/>
          <w:highlight w:val="none"/>
          <w:lang w:val="en-US" w:eastAsia="zh-CN"/>
        </w:rPr>
        <w:t>1.工程的技术要求</w:t>
      </w:r>
      <w:bookmarkEnd w:id="403"/>
      <w:bookmarkEnd w:id="404"/>
      <w:bookmarkEnd w:id="405"/>
      <w:bookmarkEnd w:id="406"/>
      <w:bookmarkEnd w:id="407"/>
      <w:bookmarkEnd w:id="408"/>
      <w:bookmarkEnd w:id="409"/>
      <w:bookmarkEnd w:id="410"/>
      <w:bookmarkEnd w:id="411"/>
      <w:bookmarkEnd w:id="412"/>
    </w:p>
    <w:p w14:paraId="2DE70395">
      <w:pPr>
        <w:tabs>
          <w:tab w:val="left" w:pos="180"/>
        </w:tabs>
        <w:snapToGrid w:val="0"/>
        <w:spacing w:line="400" w:lineRule="exact"/>
        <w:ind w:firstLine="424" w:firstLineChars="176"/>
        <w:outlineLvl w:val="9"/>
        <w:rPr>
          <w:rFonts w:hint="eastAsia" w:ascii="宋体" w:hAnsi="宋体" w:eastAsia="宋体" w:cs="宋体"/>
          <w:b/>
          <w:color w:val="auto"/>
          <w:kern w:val="0"/>
          <w:sz w:val="24"/>
          <w:szCs w:val="24"/>
          <w:highlight w:val="none"/>
        </w:rPr>
      </w:pPr>
      <w:bookmarkStart w:id="414" w:name="_Toc24768"/>
      <w:r>
        <w:rPr>
          <w:rFonts w:hint="eastAsia" w:ascii="宋体" w:hAnsi="宋体" w:eastAsia="宋体" w:cs="宋体"/>
          <w:b/>
          <w:color w:val="auto"/>
          <w:kern w:val="0"/>
          <w:sz w:val="24"/>
          <w:szCs w:val="24"/>
          <w:highlight w:val="none"/>
        </w:rPr>
        <w:t>一、工程勘察标准规范</w:t>
      </w:r>
      <w:bookmarkEnd w:id="414"/>
    </w:p>
    <w:p w14:paraId="73F5DA1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本项目勘察文件必须符合现行国家、行业和地方的一切法规、规范和标准关于工程勘察的要求，包括但不限于：</w:t>
      </w:r>
    </w:p>
    <w:p w14:paraId="0C676A9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《工程测量规范》(GB 50026-2007)；</w:t>
      </w:r>
    </w:p>
    <w:p w14:paraId="1CAD3BA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《全球定位系统（GPS）测量规范》（GB/T18314-2001）；</w:t>
      </w:r>
    </w:p>
    <w:p w14:paraId="6E7C7EE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《1:500、1:1000、1:3000地形图图式》（GB/T20257.1-2007）；</w:t>
      </w:r>
    </w:p>
    <w:p w14:paraId="1E18D13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《岩土工程勘察规范》（GB50021-2001，2009版）；</w:t>
      </w:r>
    </w:p>
    <w:p w14:paraId="60C744F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《建筑地基基础设计规范》（GB50007-2011）；</w:t>
      </w:r>
    </w:p>
    <w:p w14:paraId="7584E3F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《建筑地基基础设计规范》（DBJ15-31-2016）；</w:t>
      </w:r>
    </w:p>
    <w:p w14:paraId="6416FC6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《中国地震动参数区划图》（GB18306-2015）；</w:t>
      </w:r>
    </w:p>
    <w:p w14:paraId="4E648D5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《建筑工程地质勘探与取样技术规程》(JGJ/T87-2012)；</w:t>
      </w:r>
    </w:p>
    <w:p w14:paraId="666C8CB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《土工试验方法标准》（GB/T50123-2019）；</w:t>
      </w:r>
    </w:p>
    <w:p w14:paraId="2CCF9D1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《工程岩体分级标准》（GB/T50218-2014）。</w:t>
      </w:r>
    </w:p>
    <w:p w14:paraId="07B5F42F">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备注：若有相关主管部门颁发新的标准规范则按新的标准规范执行。</w:t>
      </w:r>
    </w:p>
    <w:p w14:paraId="218CAA70">
      <w:pPr>
        <w:tabs>
          <w:tab w:val="left" w:pos="180"/>
        </w:tabs>
        <w:snapToGrid w:val="0"/>
        <w:spacing w:line="400" w:lineRule="exact"/>
        <w:ind w:firstLine="424" w:firstLineChars="176"/>
        <w:outlineLvl w:val="9"/>
        <w:rPr>
          <w:rFonts w:hint="eastAsia" w:ascii="宋体" w:hAnsi="宋体" w:eastAsia="宋体" w:cs="宋体"/>
          <w:b/>
          <w:color w:val="auto"/>
          <w:kern w:val="0"/>
          <w:sz w:val="24"/>
          <w:szCs w:val="24"/>
          <w:highlight w:val="none"/>
        </w:rPr>
      </w:pPr>
      <w:bookmarkStart w:id="415" w:name="_Toc16151"/>
      <w:r>
        <w:rPr>
          <w:rFonts w:hint="eastAsia" w:ascii="宋体" w:hAnsi="宋体" w:eastAsia="宋体" w:cs="宋体"/>
          <w:b/>
          <w:color w:val="auto"/>
          <w:kern w:val="0"/>
          <w:sz w:val="24"/>
          <w:szCs w:val="24"/>
          <w:highlight w:val="none"/>
        </w:rPr>
        <w:t>二、工程设计标准规范</w:t>
      </w:r>
      <w:bookmarkEnd w:id="415"/>
    </w:p>
    <w:p w14:paraId="460D56B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《市政公用工程设计文件编制深度规定（2013年版）》；</w:t>
      </w:r>
    </w:p>
    <w:p w14:paraId="1A00C98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《污水综合排放标准》（GB 8978-1996）；</w:t>
      </w:r>
    </w:p>
    <w:p w14:paraId="7FD8477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《城镇污水处理厂污染物排放标准》（GB18918-2002）；</w:t>
      </w:r>
    </w:p>
    <w:p w14:paraId="178BD61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《广东省地方标准《水污染物排放限值》（DB44/26-2001）；</w:t>
      </w:r>
    </w:p>
    <w:p w14:paraId="47E1416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《广东省地方标准《农村生活污水处理排放标准》（DB44/2208-2019）；</w:t>
      </w:r>
    </w:p>
    <w:p w14:paraId="791C9CD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《大气污染物综合排放标准》( GB 16297-1996)；</w:t>
      </w:r>
    </w:p>
    <w:p w14:paraId="1DDD5BB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《恶臭污染物排放标准》（GB14554-1993）；</w:t>
      </w:r>
    </w:p>
    <w:p w14:paraId="73B4BB8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《城市污水再生利用城市杂用水水质》（GB/T 18920-2020）；</w:t>
      </w:r>
    </w:p>
    <w:p w14:paraId="6637455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《农田灌溉水质标准》（GB5084-2021）；</w:t>
      </w:r>
    </w:p>
    <w:p w14:paraId="421F5BC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《村庄整治技术规范》（GB/T50445-2019）；</w:t>
      </w:r>
    </w:p>
    <w:p w14:paraId="43FCFD7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《埋地塑料排水管道工程技术规范》（CJJ143-2010）；</w:t>
      </w:r>
    </w:p>
    <w:p w14:paraId="4688CF9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《埋地聚乙烯排水管管道工程技术规程》（CECS 164；2004）；</w:t>
      </w:r>
    </w:p>
    <w:p w14:paraId="2604088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《镇（乡）村排水工程技术规程》（CJJ124-2008)；</w:t>
      </w:r>
    </w:p>
    <w:p w14:paraId="73CDC40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《建筑给水排水设计规范》（GB50015-2019）；</w:t>
      </w:r>
    </w:p>
    <w:p w14:paraId="228CB97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《给水排水管道工程施工及验收规范》（GB50268-2008）；</w:t>
      </w:r>
    </w:p>
    <w:p w14:paraId="7A30E31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《建筑工程设计文件编制深度规定（2008年版）》；</w:t>
      </w:r>
    </w:p>
    <w:p w14:paraId="785ED3F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《混凝土结构设计规范》（GB50010-2010）；</w:t>
      </w:r>
    </w:p>
    <w:p w14:paraId="4238B5D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《给水排水工程构筑物结构设计规范》（GB50069-2002）；</w:t>
      </w:r>
    </w:p>
    <w:p w14:paraId="1898A93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《给水排水工程管道结构设计规范》（GB50332-2002）；</w:t>
      </w:r>
    </w:p>
    <w:p w14:paraId="0133CDE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《室外排水设计标准》（GB 50014-2021）；</w:t>
      </w:r>
    </w:p>
    <w:p w14:paraId="72C46D5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《地下工程防水技术规范》（GB50108-2008）；</w:t>
      </w:r>
    </w:p>
    <w:p w14:paraId="021F81B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《砌体结构设计规范》（GB50003-2011）；</w:t>
      </w:r>
    </w:p>
    <w:p w14:paraId="63145C1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《污水综合排放标准》（GB8978－1996）；</w:t>
      </w:r>
    </w:p>
    <w:p w14:paraId="6DAEE75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《给水排水工程钢筋混凝土水池结构设计规程(附条文说明)》（CECS138-2002）；</w:t>
      </w:r>
    </w:p>
    <w:p w14:paraId="327F5A7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《小型排水构筑物》（国家标准图集 04S519）；</w:t>
      </w:r>
    </w:p>
    <w:p w14:paraId="636E73E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《广东省用水定额》（DB44/T1461-2021）；</w:t>
      </w:r>
    </w:p>
    <w:p w14:paraId="7F75CA2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《农村生活污染控制技术规范》（HJ574-2010）；</w:t>
      </w:r>
    </w:p>
    <w:p w14:paraId="75AE2BE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《人工湿地污水处理工程技术规范》（HJ2005-2010）；</w:t>
      </w:r>
    </w:p>
    <w:p w14:paraId="2387417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《农村环境连片整治技术指南》（HJ 2031-2013）；</w:t>
      </w:r>
    </w:p>
    <w:p w14:paraId="36AD756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《农村生活污水处理工程技术标准》（GB/T 51347-2019）；</w:t>
      </w:r>
    </w:p>
    <w:p w14:paraId="5DE7B25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《村庄整治技术标准》（GB/T 50445-2019）；</w:t>
      </w:r>
    </w:p>
    <w:p w14:paraId="25B024E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《农村生活污水处理项目建设与投资指南》；</w:t>
      </w:r>
    </w:p>
    <w:p w14:paraId="4FAEFA7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《广东省农村生活污水资源化利用技术指南（试行）》（2023年3月份）；</w:t>
      </w:r>
    </w:p>
    <w:p w14:paraId="4CDC0230">
      <w:pPr>
        <w:spacing w:line="400" w:lineRule="exact"/>
        <w:ind w:firstLine="480" w:firstLineChars="20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《广东省农村生活污水治理技术指引》</w:t>
      </w:r>
      <w:r>
        <w:rPr>
          <w:rFonts w:hint="eastAsia" w:ascii="宋体" w:hAnsi="宋体" w:eastAsia="宋体" w:cs="宋体"/>
          <w:color w:val="auto"/>
          <w:sz w:val="24"/>
          <w:szCs w:val="24"/>
          <w:highlight w:val="none"/>
          <w:lang w:eastAsia="zh-CN"/>
        </w:rPr>
        <w:t>。</w:t>
      </w:r>
    </w:p>
    <w:p w14:paraId="21B2DF38">
      <w:pPr>
        <w:wordWrap w:val="0"/>
        <w:adjustRightInd w:val="0"/>
        <w:snapToGrid w:val="0"/>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备注：若有相关主管部门颁发新的标准规范则按新的标准规范执行。</w:t>
      </w:r>
    </w:p>
    <w:p w14:paraId="7758D1C5">
      <w:pPr>
        <w:wordWrap w:val="0"/>
        <w:adjustRightInd w:val="0"/>
        <w:snapToGrid w:val="0"/>
        <w:spacing w:line="400" w:lineRule="exact"/>
        <w:outlineLvl w:val="1"/>
        <w:rPr>
          <w:rFonts w:hint="eastAsia" w:ascii="宋体" w:hAnsi="宋体" w:eastAsia="宋体" w:cs="宋体"/>
          <w:strike/>
          <w:snapToGrid w:val="0"/>
          <w:color w:val="auto"/>
          <w:kern w:val="0"/>
          <w:sz w:val="24"/>
          <w:szCs w:val="24"/>
          <w:highlight w:val="none"/>
        </w:rPr>
      </w:pPr>
      <w:bookmarkStart w:id="416" w:name="_Toc28422"/>
      <w:bookmarkStart w:id="417" w:name="_Toc27589"/>
      <w:r>
        <w:rPr>
          <w:rFonts w:hint="eastAsia" w:ascii="宋体" w:hAnsi="宋体" w:eastAsia="宋体" w:cs="宋体"/>
          <w:b/>
          <w:snapToGrid w:val="0"/>
          <w:color w:val="auto"/>
          <w:kern w:val="0"/>
          <w:sz w:val="24"/>
          <w:szCs w:val="24"/>
          <w:highlight w:val="none"/>
        </w:rPr>
        <w:t>2</w:t>
      </w:r>
      <w:r>
        <w:rPr>
          <w:rFonts w:hint="eastAsia" w:ascii="宋体" w:hAnsi="宋体" w:eastAsia="宋体" w:cs="宋体"/>
          <w:b/>
          <w:snapToGrid w:val="0"/>
          <w:color w:val="auto"/>
          <w:kern w:val="0"/>
          <w:sz w:val="24"/>
          <w:szCs w:val="24"/>
          <w:highlight w:val="none"/>
          <w:lang w:val="en-US" w:eastAsia="zh-CN"/>
        </w:rPr>
        <w:t>.</w:t>
      </w:r>
      <w:r>
        <w:rPr>
          <w:rFonts w:hint="eastAsia" w:ascii="宋体" w:hAnsi="宋体" w:eastAsia="宋体" w:cs="宋体"/>
          <w:b/>
          <w:snapToGrid w:val="0"/>
          <w:color w:val="auto"/>
          <w:kern w:val="0"/>
          <w:sz w:val="24"/>
          <w:szCs w:val="24"/>
          <w:highlight w:val="none"/>
        </w:rPr>
        <w:t>备查要求</w:t>
      </w:r>
      <w:bookmarkEnd w:id="416"/>
      <w:bookmarkEnd w:id="417"/>
    </w:p>
    <w:p w14:paraId="776CE10C">
      <w:pPr>
        <w:wordWrap w:val="0"/>
        <w:adjustRightInd w:val="0"/>
        <w:snapToGrid w:val="0"/>
        <w:spacing w:line="400" w:lineRule="exact"/>
        <w:ind w:firstLine="560"/>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承包</w:t>
      </w:r>
      <w:r>
        <w:rPr>
          <w:rFonts w:hint="eastAsia" w:ascii="宋体" w:hAnsi="宋体" w:eastAsia="宋体" w:cs="宋体"/>
          <w:bCs/>
          <w:snapToGrid w:val="0"/>
          <w:color w:val="auto"/>
          <w:kern w:val="0"/>
          <w:sz w:val="24"/>
          <w:szCs w:val="24"/>
          <w:highlight w:val="none"/>
        </w:rPr>
        <w:t>人必须在项目实施现场准备至少一套上述规范，</w:t>
      </w:r>
      <w:r>
        <w:rPr>
          <w:rFonts w:hint="eastAsia" w:ascii="宋体" w:hAnsi="宋体" w:eastAsia="宋体" w:cs="宋体"/>
          <w:snapToGrid w:val="0"/>
          <w:color w:val="auto"/>
          <w:kern w:val="0"/>
          <w:sz w:val="24"/>
          <w:szCs w:val="24"/>
          <w:highlight w:val="none"/>
        </w:rPr>
        <w:t>发包</w:t>
      </w:r>
      <w:r>
        <w:rPr>
          <w:rFonts w:hint="eastAsia" w:ascii="宋体" w:hAnsi="宋体" w:eastAsia="宋体" w:cs="宋体"/>
          <w:bCs/>
          <w:snapToGrid w:val="0"/>
          <w:color w:val="auto"/>
          <w:kern w:val="0"/>
          <w:sz w:val="24"/>
          <w:szCs w:val="24"/>
          <w:highlight w:val="none"/>
        </w:rPr>
        <w:t>人可随时检查</w:t>
      </w:r>
      <w:r>
        <w:rPr>
          <w:rFonts w:hint="eastAsia" w:ascii="宋体" w:hAnsi="宋体" w:eastAsia="宋体" w:cs="宋体"/>
          <w:snapToGrid w:val="0"/>
          <w:color w:val="auto"/>
          <w:kern w:val="0"/>
          <w:sz w:val="24"/>
          <w:szCs w:val="24"/>
          <w:highlight w:val="none"/>
        </w:rPr>
        <w:t>承包</w:t>
      </w:r>
      <w:r>
        <w:rPr>
          <w:rFonts w:hint="eastAsia" w:ascii="宋体" w:hAnsi="宋体" w:eastAsia="宋体" w:cs="宋体"/>
          <w:bCs/>
          <w:snapToGrid w:val="0"/>
          <w:color w:val="auto"/>
          <w:kern w:val="0"/>
          <w:sz w:val="24"/>
          <w:szCs w:val="24"/>
          <w:highlight w:val="none"/>
        </w:rPr>
        <w:t>人的上述规范，并监督</w:t>
      </w:r>
      <w:r>
        <w:rPr>
          <w:rFonts w:hint="eastAsia" w:ascii="宋体" w:hAnsi="宋体" w:eastAsia="宋体" w:cs="宋体"/>
          <w:snapToGrid w:val="0"/>
          <w:color w:val="auto"/>
          <w:kern w:val="0"/>
          <w:sz w:val="24"/>
          <w:szCs w:val="24"/>
          <w:highlight w:val="none"/>
        </w:rPr>
        <w:t>承包</w:t>
      </w:r>
      <w:r>
        <w:rPr>
          <w:rFonts w:hint="eastAsia" w:ascii="宋体" w:hAnsi="宋体" w:eastAsia="宋体" w:cs="宋体"/>
          <w:bCs/>
          <w:snapToGrid w:val="0"/>
          <w:color w:val="auto"/>
          <w:kern w:val="0"/>
          <w:sz w:val="24"/>
          <w:szCs w:val="24"/>
          <w:highlight w:val="none"/>
        </w:rPr>
        <w:t>人按规范要求执行。</w:t>
      </w:r>
      <w:bookmarkStart w:id="418" w:name="_Hlt69670335"/>
      <w:bookmarkEnd w:id="418"/>
    </w:p>
    <w:p w14:paraId="0CF8B08D">
      <w:pPr>
        <w:rPr>
          <w:rFonts w:hint="eastAsia" w:ascii="宋体" w:hAnsi="宋体" w:eastAsia="宋体" w:cs="宋体"/>
          <w:color w:val="auto"/>
          <w:highlight w:val="none"/>
        </w:rPr>
      </w:pPr>
    </w:p>
    <w:p w14:paraId="25F5FA4E">
      <w:pPr>
        <w:rPr>
          <w:rFonts w:hint="eastAsia" w:ascii="宋体" w:hAnsi="宋体" w:eastAsia="宋体" w:cs="宋体"/>
          <w:color w:val="auto"/>
          <w:highlight w:val="none"/>
        </w:rPr>
      </w:pPr>
    </w:p>
    <w:p w14:paraId="6B884FF1">
      <w:pPr>
        <w:rPr>
          <w:rFonts w:hint="eastAsia" w:ascii="宋体" w:hAnsi="宋体" w:eastAsia="宋体" w:cs="宋体"/>
          <w:color w:val="auto"/>
          <w:highlight w:val="none"/>
        </w:rPr>
      </w:pPr>
    </w:p>
    <w:p w14:paraId="4400953D">
      <w:pPr>
        <w:rPr>
          <w:rFonts w:hint="eastAsia" w:ascii="宋体" w:hAnsi="宋体" w:eastAsia="宋体" w:cs="宋体"/>
          <w:color w:val="auto"/>
          <w:highlight w:val="none"/>
        </w:rPr>
      </w:pPr>
    </w:p>
    <w:p w14:paraId="23FF3520">
      <w:pPr>
        <w:rPr>
          <w:rFonts w:hint="eastAsia" w:ascii="宋体" w:hAnsi="宋体" w:eastAsia="宋体" w:cs="宋体"/>
          <w:color w:val="auto"/>
          <w:highlight w:val="none"/>
        </w:rPr>
      </w:pPr>
    </w:p>
    <w:p w14:paraId="2BAA5DB8">
      <w:pPr>
        <w:rPr>
          <w:rFonts w:hint="eastAsia" w:ascii="宋体" w:hAnsi="宋体" w:eastAsia="宋体" w:cs="宋体"/>
          <w:color w:val="auto"/>
          <w:highlight w:val="none"/>
        </w:rPr>
      </w:pPr>
    </w:p>
    <w:p w14:paraId="672FECC5">
      <w:pPr>
        <w:rPr>
          <w:rFonts w:hint="eastAsia" w:ascii="宋体" w:hAnsi="宋体" w:eastAsia="宋体" w:cs="宋体"/>
          <w:color w:val="auto"/>
          <w:highlight w:val="none"/>
        </w:rPr>
      </w:pPr>
    </w:p>
    <w:p w14:paraId="5222AB0D">
      <w:pPr>
        <w:rPr>
          <w:rFonts w:hint="eastAsia" w:ascii="宋体" w:hAnsi="宋体" w:eastAsia="宋体" w:cs="宋体"/>
          <w:color w:val="auto"/>
          <w:highlight w:val="none"/>
        </w:rPr>
      </w:pPr>
    </w:p>
    <w:p w14:paraId="4ED816E7">
      <w:pPr>
        <w:rPr>
          <w:rFonts w:hint="eastAsia" w:ascii="宋体" w:hAnsi="宋体" w:eastAsia="宋体" w:cs="宋体"/>
          <w:color w:val="auto"/>
          <w:highlight w:val="none"/>
        </w:rPr>
      </w:pPr>
    </w:p>
    <w:p w14:paraId="433CE6B5">
      <w:pPr>
        <w:rPr>
          <w:rFonts w:hint="eastAsia" w:ascii="宋体" w:hAnsi="宋体" w:eastAsia="宋体" w:cs="宋体"/>
          <w:color w:val="auto"/>
          <w:highlight w:val="none"/>
        </w:rPr>
      </w:pPr>
    </w:p>
    <w:p w14:paraId="199D5776">
      <w:pPr>
        <w:rPr>
          <w:rFonts w:hint="eastAsia"/>
        </w:rPr>
      </w:pPr>
    </w:p>
    <w:p w14:paraId="261FF9DD">
      <w:pPr>
        <w:rPr>
          <w:rFonts w:hint="eastAsia"/>
        </w:rPr>
      </w:pPr>
    </w:p>
    <w:p w14:paraId="434A08B6">
      <w:pPr>
        <w:rPr>
          <w:rFonts w:hint="eastAsia"/>
        </w:rPr>
      </w:pPr>
    </w:p>
    <w:p w14:paraId="63DFDC3B">
      <w:pPr>
        <w:rPr>
          <w:rFonts w:hint="eastAsia"/>
        </w:rPr>
      </w:pPr>
    </w:p>
    <w:bookmarkEnd w:id="413"/>
    <w:p w14:paraId="7EC36658">
      <w:pPr>
        <w:pStyle w:val="185"/>
        <w:keepNext/>
        <w:keepLines/>
        <w:adjustRightInd/>
        <w:jc w:val="center"/>
        <w:rPr>
          <w:rStyle w:val="46"/>
          <w:rFonts w:hint="eastAsia" w:ascii="宋体" w:hAnsi="宋体" w:eastAsia="宋体" w:cs="宋体"/>
          <w:b/>
          <w:bCs/>
          <w:color w:val="auto"/>
          <w:sz w:val="28"/>
          <w:szCs w:val="18"/>
          <w:highlight w:val="none"/>
        </w:rPr>
      </w:pPr>
      <w:bookmarkStart w:id="419" w:name="_Toc135054607"/>
      <w:bookmarkStart w:id="420" w:name="_Toc10784"/>
      <w:bookmarkStart w:id="421" w:name="_Toc16622"/>
      <w:bookmarkStart w:id="422" w:name="_Toc18997"/>
      <w:bookmarkStart w:id="423" w:name="_Toc22481"/>
      <w:bookmarkStart w:id="424" w:name="_Hlt69698785"/>
      <w:r>
        <w:rPr>
          <w:rStyle w:val="46"/>
          <w:rFonts w:hint="eastAsia" w:ascii="宋体" w:hAnsi="宋体" w:eastAsia="宋体" w:cs="宋体"/>
          <w:b/>
          <w:bCs/>
          <w:color w:val="auto"/>
          <w:sz w:val="28"/>
          <w:szCs w:val="18"/>
          <w:highlight w:val="none"/>
        </w:rPr>
        <w:t>第五章</w:t>
      </w:r>
      <w:r>
        <w:rPr>
          <w:rStyle w:val="46"/>
          <w:rFonts w:hint="eastAsia" w:ascii="宋体" w:hAnsi="宋体" w:eastAsia="宋体" w:cs="宋体"/>
          <w:b/>
          <w:bCs/>
          <w:color w:val="auto"/>
          <w:sz w:val="28"/>
          <w:szCs w:val="18"/>
          <w:highlight w:val="none"/>
          <w:lang w:val="en-US" w:eastAsia="zh-CN"/>
        </w:rPr>
        <w:t xml:space="preserve">   </w:t>
      </w:r>
      <w:r>
        <w:rPr>
          <w:rStyle w:val="46"/>
          <w:rFonts w:hint="eastAsia" w:ascii="宋体" w:hAnsi="宋体" w:eastAsia="宋体" w:cs="宋体"/>
          <w:b/>
          <w:bCs/>
          <w:color w:val="auto"/>
          <w:sz w:val="28"/>
          <w:szCs w:val="18"/>
          <w:highlight w:val="none"/>
        </w:rPr>
        <w:t>投标文件格式</w:t>
      </w:r>
      <w:bookmarkEnd w:id="419"/>
      <w:bookmarkEnd w:id="420"/>
      <w:bookmarkEnd w:id="421"/>
      <w:bookmarkEnd w:id="422"/>
      <w:bookmarkEnd w:id="423"/>
    </w:p>
    <w:p w14:paraId="1706EA13">
      <w:pPr>
        <w:pStyle w:val="79"/>
        <w:keepNext/>
        <w:keepLines/>
        <w:adjustRightInd/>
        <w:jc w:val="both"/>
        <w:outlineLvl w:val="1"/>
        <w:rPr>
          <w:rFonts w:hint="eastAsia" w:ascii="宋体" w:hAnsi="宋体" w:eastAsia="宋体" w:cs="宋体"/>
          <w:b/>
          <w:color w:val="auto"/>
          <w:kern w:val="2"/>
          <w:highlight w:val="none"/>
          <w:lang w:val="en-US" w:eastAsia="zh-CN"/>
        </w:rPr>
      </w:pPr>
      <w:bookmarkStart w:id="425" w:name="_Toc464768767"/>
      <w:bookmarkStart w:id="426" w:name="_Toc14506"/>
      <w:bookmarkStart w:id="427" w:name="_Toc19464"/>
      <w:bookmarkStart w:id="428" w:name="_Toc135054608"/>
      <w:bookmarkStart w:id="429" w:name="_Toc396813629"/>
      <w:bookmarkStart w:id="430" w:name="_Toc29883"/>
      <w:bookmarkStart w:id="431" w:name="_Toc5098"/>
      <w:bookmarkStart w:id="432" w:name="_Toc71811193"/>
      <w:bookmarkStart w:id="433" w:name="_Toc396982994"/>
      <w:bookmarkStart w:id="434" w:name="_Toc10331"/>
      <w:bookmarkStart w:id="435" w:name="_Toc415171883"/>
      <w:bookmarkStart w:id="436" w:name="_Toc21348"/>
      <w:bookmarkStart w:id="437" w:name="_Toc14561"/>
      <w:bookmarkStart w:id="438" w:name="_Toc71811326"/>
      <w:bookmarkStart w:id="439" w:name="_Toc71813716"/>
      <w:r>
        <w:rPr>
          <w:rFonts w:hint="eastAsia" w:ascii="宋体" w:hAnsi="宋体" w:eastAsia="宋体" w:cs="宋体"/>
          <w:b/>
          <w:color w:val="auto"/>
          <w:kern w:val="2"/>
          <w:highlight w:val="none"/>
          <w:lang w:val="en-US" w:eastAsia="zh-CN"/>
        </w:rPr>
        <w:t>格式一</w:t>
      </w:r>
      <w:bookmarkEnd w:id="425"/>
      <w:bookmarkEnd w:id="426"/>
      <w:bookmarkEnd w:id="427"/>
      <w:r>
        <w:rPr>
          <w:rFonts w:hint="eastAsia" w:ascii="宋体" w:hAnsi="宋体" w:eastAsia="宋体" w:cs="宋体"/>
          <w:b/>
          <w:color w:val="auto"/>
          <w:kern w:val="2"/>
          <w:highlight w:val="none"/>
          <w:lang w:val="en-US" w:eastAsia="zh-CN"/>
        </w:rPr>
        <w:t xml:space="preserve">   封面</w:t>
      </w:r>
      <w:bookmarkEnd w:id="428"/>
      <w:bookmarkEnd w:id="429"/>
      <w:bookmarkEnd w:id="430"/>
      <w:bookmarkEnd w:id="431"/>
      <w:bookmarkEnd w:id="432"/>
      <w:bookmarkEnd w:id="433"/>
      <w:bookmarkEnd w:id="434"/>
      <w:bookmarkEnd w:id="435"/>
      <w:bookmarkEnd w:id="436"/>
      <w:bookmarkEnd w:id="437"/>
      <w:bookmarkEnd w:id="438"/>
      <w:bookmarkEnd w:id="439"/>
    </w:p>
    <w:p w14:paraId="5D7B8BBB">
      <w:pPr>
        <w:rPr>
          <w:rStyle w:val="67"/>
          <w:rFonts w:hint="eastAsia" w:ascii="宋体" w:hAnsi="宋体" w:eastAsia="宋体" w:cs="宋体"/>
          <w:color w:val="auto"/>
          <w:sz w:val="24"/>
          <w:highlight w:val="none"/>
        </w:rPr>
      </w:pPr>
    </w:p>
    <w:p w14:paraId="2FB9E092">
      <w:pPr>
        <w:pStyle w:val="116"/>
        <w:widowControl w:val="0"/>
        <w:wordWrap w:val="0"/>
        <w:adjustRightInd w:val="0"/>
        <w:snapToGrid w:val="0"/>
        <w:ind w:left="0" w:leftChars="0" w:firstLine="0" w:firstLineChars="0"/>
        <w:rPr>
          <w:rFonts w:hint="eastAsia" w:ascii="宋体" w:hAnsi="宋体" w:eastAsia="宋体" w:cs="宋体"/>
          <w:b/>
          <w:snapToGrid w:val="0"/>
          <w:color w:val="auto"/>
          <w:sz w:val="24"/>
          <w:highlight w:val="none"/>
        </w:rPr>
      </w:pPr>
      <w:bookmarkStart w:id="440" w:name="_Toc464768768"/>
      <w:bookmarkStart w:id="441" w:name="_Toc32042"/>
      <w:bookmarkStart w:id="442" w:name="_Toc9423"/>
      <w:bookmarkStart w:id="443" w:name="_Toc396813630"/>
      <w:bookmarkStart w:id="444" w:name="_Toc415171884"/>
      <w:bookmarkStart w:id="445" w:name="_Toc396982995"/>
    </w:p>
    <w:p w14:paraId="7A703DAB">
      <w:pPr>
        <w:pStyle w:val="116"/>
        <w:widowControl w:val="0"/>
        <w:wordWrap w:val="0"/>
        <w:adjustRightInd w:val="0"/>
        <w:snapToGrid w:val="0"/>
        <w:ind w:left="0" w:leftChars="0" w:firstLine="0" w:firstLineChars="0"/>
        <w:rPr>
          <w:rFonts w:hint="eastAsia" w:ascii="宋体" w:hAnsi="宋体" w:eastAsia="宋体" w:cs="宋体"/>
          <w:b/>
          <w:snapToGrid w:val="0"/>
          <w:color w:val="auto"/>
          <w:sz w:val="24"/>
          <w:highlight w:val="none"/>
        </w:rPr>
      </w:pPr>
    </w:p>
    <w:p w14:paraId="3111663D">
      <w:pPr>
        <w:pStyle w:val="116"/>
        <w:widowControl w:val="0"/>
        <w:wordWrap w:val="0"/>
        <w:adjustRightInd w:val="0"/>
        <w:snapToGrid w:val="0"/>
        <w:ind w:left="0" w:leftChars="0" w:firstLine="0" w:firstLineChars="0"/>
        <w:rPr>
          <w:rFonts w:hint="eastAsia" w:ascii="宋体" w:hAnsi="宋体" w:eastAsia="宋体" w:cs="宋体"/>
          <w:b/>
          <w:snapToGrid w:val="0"/>
          <w:color w:val="auto"/>
          <w:sz w:val="24"/>
          <w:highlight w:val="none"/>
        </w:rPr>
      </w:pPr>
    </w:p>
    <w:p w14:paraId="74D07C73">
      <w:pPr>
        <w:pStyle w:val="116"/>
        <w:widowControl w:val="0"/>
        <w:wordWrap w:val="0"/>
        <w:adjustRightInd w:val="0"/>
        <w:snapToGrid w:val="0"/>
        <w:ind w:left="0" w:leftChars="0" w:firstLine="0" w:firstLineChars="0"/>
        <w:rPr>
          <w:rFonts w:hint="eastAsia" w:ascii="宋体" w:hAnsi="宋体" w:eastAsia="宋体" w:cs="宋体"/>
          <w:b/>
          <w:snapToGrid w:val="0"/>
          <w:color w:val="auto"/>
          <w:sz w:val="24"/>
          <w:highlight w:val="none"/>
        </w:rPr>
      </w:pPr>
    </w:p>
    <w:p w14:paraId="7FB3A79A">
      <w:pPr>
        <w:pStyle w:val="116"/>
        <w:widowControl w:val="0"/>
        <w:wordWrap w:val="0"/>
        <w:adjustRightInd w:val="0"/>
        <w:snapToGrid w:val="0"/>
        <w:ind w:left="0" w:leftChars="0" w:firstLine="0" w:firstLineChars="0"/>
        <w:rPr>
          <w:rFonts w:hint="eastAsia" w:ascii="宋体" w:hAnsi="宋体" w:eastAsia="宋体" w:cs="宋体"/>
          <w:b/>
          <w:snapToGrid w:val="0"/>
          <w:color w:val="auto"/>
          <w:sz w:val="24"/>
          <w:highlight w:val="none"/>
        </w:rPr>
      </w:pPr>
    </w:p>
    <w:p w14:paraId="466EA81E">
      <w:pPr>
        <w:pStyle w:val="116"/>
        <w:widowControl w:val="0"/>
        <w:wordWrap w:val="0"/>
        <w:adjustRightInd w:val="0"/>
        <w:snapToGrid w:val="0"/>
        <w:ind w:firstLine="0"/>
        <w:rPr>
          <w:rFonts w:hint="eastAsia" w:ascii="宋体" w:hAnsi="宋体" w:eastAsia="宋体" w:cs="宋体"/>
          <w:b/>
          <w:snapToGrid w:val="0"/>
          <w:color w:val="auto"/>
          <w:sz w:val="24"/>
          <w:highlight w:val="none"/>
        </w:rPr>
      </w:pPr>
    </w:p>
    <w:p w14:paraId="4728B7AF">
      <w:pPr>
        <w:pStyle w:val="116"/>
        <w:widowControl w:val="0"/>
        <w:wordWrap w:val="0"/>
        <w:adjustRightInd w:val="0"/>
        <w:snapToGrid w:val="0"/>
        <w:ind w:left="0" w:leftChars="0" w:firstLine="0" w:firstLineChars="0"/>
        <w:rPr>
          <w:rFonts w:hint="eastAsia" w:ascii="宋体" w:hAnsi="宋体" w:eastAsia="宋体" w:cs="宋体"/>
          <w:b/>
          <w:snapToGrid w:val="0"/>
          <w:color w:val="auto"/>
          <w:sz w:val="24"/>
          <w:highlight w:val="none"/>
        </w:rPr>
      </w:pPr>
    </w:p>
    <w:p w14:paraId="47F0B1C1">
      <w:pPr>
        <w:pStyle w:val="116"/>
        <w:widowControl w:val="0"/>
        <w:wordWrap w:val="0"/>
        <w:adjustRightInd w:val="0"/>
        <w:snapToGrid w:val="0"/>
        <w:ind w:left="0" w:leftChars="0" w:firstLine="0" w:firstLineChars="0"/>
        <w:rPr>
          <w:rFonts w:hint="eastAsia" w:ascii="宋体" w:hAnsi="宋体" w:eastAsia="宋体" w:cs="宋体"/>
          <w:b/>
          <w:snapToGrid w:val="0"/>
          <w:color w:val="auto"/>
          <w:sz w:val="24"/>
          <w:highlight w:val="none"/>
        </w:rPr>
      </w:pPr>
    </w:p>
    <w:p w14:paraId="1A546E24">
      <w:pPr>
        <w:pStyle w:val="116"/>
        <w:widowControl w:val="0"/>
        <w:wordWrap w:val="0"/>
        <w:adjustRightInd w:val="0"/>
        <w:snapToGrid w:val="0"/>
        <w:ind w:firstLine="0"/>
        <w:jc w:val="center"/>
        <w:rPr>
          <w:rFonts w:hint="eastAsia" w:ascii="宋体" w:hAnsi="宋体" w:eastAsia="宋体" w:cs="宋体"/>
          <w:b/>
          <w:snapToGrid w:val="0"/>
          <w:color w:val="auto"/>
          <w:sz w:val="48"/>
          <w:szCs w:val="48"/>
          <w:highlight w:val="none"/>
        </w:rPr>
      </w:pPr>
      <w:bookmarkStart w:id="446" w:name="_Toc24590_WPSOffice_Level2"/>
      <w:bookmarkStart w:id="447" w:name="_Toc15910_WPSOffice_Level2"/>
      <w:bookmarkStart w:id="448" w:name="_Toc19515_WPSOffice_Level2"/>
      <w:bookmarkStart w:id="449" w:name="_Toc17225"/>
      <w:bookmarkStart w:id="450" w:name="_Toc10931_WPSOffice_Level2"/>
      <w:bookmarkStart w:id="451" w:name="_Toc14006"/>
      <w:bookmarkStart w:id="452" w:name="_Toc11141"/>
      <w:bookmarkStart w:id="453" w:name="_Toc14783"/>
      <w:bookmarkStart w:id="454" w:name="_Toc29993"/>
      <w:r>
        <w:rPr>
          <w:rFonts w:hint="eastAsia" w:ascii="宋体" w:hAnsi="宋体" w:eastAsia="宋体" w:cs="宋体"/>
          <w:b/>
          <w:snapToGrid w:val="0"/>
          <w:color w:val="auto"/>
          <w:sz w:val="48"/>
          <w:szCs w:val="48"/>
          <w:highlight w:val="none"/>
          <w:u w:val="single"/>
        </w:rPr>
        <w:t xml:space="preserve">   （项目名称）</w:t>
      </w:r>
      <w:bookmarkEnd w:id="446"/>
      <w:bookmarkEnd w:id="447"/>
      <w:bookmarkEnd w:id="448"/>
      <w:bookmarkEnd w:id="449"/>
      <w:bookmarkEnd w:id="450"/>
      <w:bookmarkEnd w:id="451"/>
      <w:bookmarkEnd w:id="452"/>
      <w:r>
        <w:rPr>
          <w:rFonts w:hint="eastAsia" w:ascii="宋体" w:hAnsi="宋体" w:eastAsia="宋体" w:cs="宋体"/>
          <w:b/>
          <w:snapToGrid w:val="0"/>
          <w:color w:val="auto"/>
          <w:sz w:val="48"/>
          <w:szCs w:val="48"/>
          <w:highlight w:val="none"/>
          <w:u w:val="single"/>
        </w:rPr>
        <w:t xml:space="preserve">  </w:t>
      </w:r>
      <w:bookmarkEnd w:id="453"/>
      <w:bookmarkEnd w:id="454"/>
      <w:r>
        <w:rPr>
          <w:rFonts w:hint="eastAsia" w:ascii="宋体" w:hAnsi="宋体" w:eastAsia="宋体" w:cs="宋体"/>
          <w:b/>
          <w:snapToGrid w:val="0"/>
          <w:color w:val="auto"/>
          <w:sz w:val="48"/>
          <w:szCs w:val="48"/>
          <w:highlight w:val="none"/>
        </w:rPr>
        <w:t>招标</w:t>
      </w:r>
    </w:p>
    <w:p w14:paraId="43ECB20E">
      <w:pPr>
        <w:pStyle w:val="116"/>
        <w:widowControl w:val="0"/>
        <w:wordWrap w:val="0"/>
        <w:adjustRightInd w:val="0"/>
        <w:snapToGrid w:val="0"/>
        <w:ind w:firstLine="0"/>
        <w:jc w:val="both"/>
        <w:rPr>
          <w:rFonts w:hint="eastAsia" w:ascii="宋体" w:hAnsi="宋体" w:eastAsia="宋体" w:cs="宋体"/>
          <w:b/>
          <w:snapToGrid w:val="0"/>
          <w:color w:val="auto"/>
          <w:sz w:val="48"/>
          <w:szCs w:val="48"/>
          <w:highlight w:val="none"/>
        </w:rPr>
      </w:pPr>
    </w:p>
    <w:p w14:paraId="55F1B960">
      <w:pPr>
        <w:pStyle w:val="116"/>
        <w:widowControl w:val="0"/>
        <w:wordWrap w:val="0"/>
        <w:adjustRightInd w:val="0"/>
        <w:snapToGrid w:val="0"/>
        <w:ind w:firstLine="0"/>
        <w:jc w:val="both"/>
        <w:rPr>
          <w:rFonts w:hint="eastAsia" w:ascii="宋体" w:hAnsi="宋体" w:eastAsia="宋体" w:cs="宋体"/>
          <w:b/>
          <w:snapToGrid w:val="0"/>
          <w:color w:val="auto"/>
          <w:sz w:val="32"/>
          <w:highlight w:val="none"/>
        </w:rPr>
      </w:pPr>
    </w:p>
    <w:p w14:paraId="0AEF591E">
      <w:pPr>
        <w:pStyle w:val="116"/>
        <w:widowControl w:val="0"/>
        <w:wordWrap w:val="0"/>
        <w:adjustRightInd w:val="0"/>
        <w:snapToGrid w:val="0"/>
        <w:ind w:firstLine="0"/>
        <w:jc w:val="center"/>
        <w:rPr>
          <w:rFonts w:hint="eastAsia" w:ascii="宋体" w:hAnsi="宋体" w:eastAsia="宋体" w:cs="宋体"/>
          <w:b/>
          <w:snapToGrid w:val="0"/>
          <w:color w:val="auto"/>
          <w:sz w:val="72"/>
          <w:highlight w:val="none"/>
        </w:rPr>
      </w:pPr>
      <w:bookmarkStart w:id="455" w:name="_Toc8798_WPSOffice_Level3"/>
      <w:bookmarkStart w:id="456" w:name="_Toc5301_WPSOffice_Level3"/>
      <w:r>
        <w:rPr>
          <w:rFonts w:hint="eastAsia" w:ascii="宋体" w:hAnsi="宋体" w:eastAsia="宋体" w:cs="宋体"/>
          <w:b/>
          <w:snapToGrid w:val="0"/>
          <w:color w:val="auto"/>
          <w:sz w:val="72"/>
          <w:highlight w:val="none"/>
        </w:rPr>
        <w:t>投  标  文  件</w:t>
      </w:r>
      <w:bookmarkEnd w:id="455"/>
      <w:bookmarkEnd w:id="456"/>
    </w:p>
    <w:p w14:paraId="342D8CFF">
      <w:pPr>
        <w:pStyle w:val="116"/>
        <w:widowControl w:val="0"/>
        <w:wordWrap w:val="0"/>
        <w:adjustRightInd w:val="0"/>
        <w:snapToGrid w:val="0"/>
        <w:ind w:firstLine="0"/>
        <w:jc w:val="both"/>
        <w:rPr>
          <w:rFonts w:hint="eastAsia" w:ascii="宋体" w:hAnsi="宋体" w:eastAsia="宋体" w:cs="宋体"/>
          <w:b/>
          <w:snapToGrid w:val="0"/>
          <w:color w:val="auto"/>
          <w:sz w:val="32"/>
          <w:highlight w:val="none"/>
        </w:rPr>
      </w:pPr>
    </w:p>
    <w:p w14:paraId="7EE45DC9">
      <w:pPr>
        <w:pStyle w:val="116"/>
        <w:widowControl w:val="0"/>
        <w:wordWrap w:val="0"/>
        <w:adjustRightInd w:val="0"/>
        <w:snapToGrid w:val="0"/>
        <w:ind w:firstLine="0"/>
        <w:jc w:val="center"/>
        <w:rPr>
          <w:rFonts w:hint="eastAsia" w:ascii="宋体" w:hAnsi="宋体" w:eastAsia="宋体" w:cs="宋体"/>
          <w:b/>
          <w:snapToGrid w:val="0"/>
          <w:color w:val="auto"/>
          <w:sz w:val="48"/>
          <w:szCs w:val="48"/>
          <w:highlight w:val="none"/>
        </w:rPr>
      </w:pPr>
      <w:bookmarkStart w:id="457" w:name="_Toc18349_WPSOffice_Level2"/>
      <w:bookmarkStart w:id="458" w:name="_Toc23773"/>
      <w:bookmarkStart w:id="459" w:name="_Toc24704"/>
      <w:bookmarkStart w:id="460" w:name="_Toc8292"/>
      <w:bookmarkStart w:id="461" w:name="_Toc6046_WPSOffice_Level2"/>
      <w:bookmarkStart w:id="462" w:name="_Toc2104"/>
      <w:bookmarkStart w:id="463" w:name="_Toc639_WPSOffice_Level2"/>
      <w:bookmarkStart w:id="464" w:name="_Toc14127"/>
      <w:bookmarkStart w:id="465" w:name="_Toc7210_WPSOffice_Level2"/>
      <w:r>
        <w:rPr>
          <w:rFonts w:hint="eastAsia" w:ascii="宋体" w:hAnsi="宋体" w:eastAsia="宋体" w:cs="宋体"/>
          <w:b/>
          <w:snapToGrid w:val="0"/>
          <w:color w:val="auto"/>
          <w:sz w:val="48"/>
          <w:szCs w:val="48"/>
          <w:highlight w:val="none"/>
        </w:rPr>
        <w:t>（商务经济标书／技术标书）</w:t>
      </w:r>
      <w:bookmarkEnd w:id="457"/>
      <w:bookmarkEnd w:id="458"/>
      <w:bookmarkEnd w:id="459"/>
      <w:bookmarkEnd w:id="460"/>
      <w:bookmarkEnd w:id="461"/>
      <w:bookmarkEnd w:id="462"/>
      <w:bookmarkEnd w:id="463"/>
      <w:bookmarkEnd w:id="464"/>
      <w:bookmarkEnd w:id="465"/>
    </w:p>
    <w:p w14:paraId="0529920E">
      <w:pPr>
        <w:pStyle w:val="116"/>
        <w:widowControl w:val="0"/>
        <w:wordWrap w:val="0"/>
        <w:adjustRightInd w:val="0"/>
        <w:snapToGrid w:val="0"/>
        <w:ind w:left="0" w:leftChars="0" w:firstLine="0" w:firstLineChars="0"/>
        <w:jc w:val="left"/>
        <w:rPr>
          <w:rFonts w:hint="eastAsia" w:ascii="宋体" w:hAnsi="宋体" w:eastAsia="宋体" w:cs="宋体"/>
          <w:b/>
          <w:snapToGrid w:val="0"/>
          <w:color w:val="auto"/>
          <w:highlight w:val="none"/>
        </w:rPr>
      </w:pPr>
    </w:p>
    <w:p w14:paraId="4C1F412A">
      <w:pPr>
        <w:pStyle w:val="116"/>
        <w:widowControl w:val="0"/>
        <w:wordWrap w:val="0"/>
        <w:adjustRightInd w:val="0"/>
        <w:snapToGrid w:val="0"/>
        <w:ind w:left="0" w:leftChars="0" w:firstLine="0" w:firstLineChars="0"/>
        <w:jc w:val="left"/>
        <w:rPr>
          <w:rFonts w:hint="eastAsia" w:ascii="宋体" w:hAnsi="宋体" w:eastAsia="宋体" w:cs="宋体"/>
          <w:b/>
          <w:snapToGrid w:val="0"/>
          <w:color w:val="auto"/>
          <w:sz w:val="32"/>
          <w:highlight w:val="none"/>
        </w:rPr>
      </w:pPr>
    </w:p>
    <w:p w14:paraId="65117974">
      <w:pPr>
        <w:pStyle w:val="116"/>
        <w:widowControl w:val="0"/>
        <w:wordWrap w:val="0"/>
        <w:adjustRightInd w:val="0"/>
        <w:snapToGrid w:val="0"/>
        <w:ind w:left="0" w:leftChars="0" w:firstLine="0" w:firstLineChars="0"/>
        <w:jc w:val="left"/>
        <w:rPr>
          <w:rFonts w:hint="eastAsia" w:ascii="宋体" w:hAnsi="宋体" w:eastAsia="宋体" w:cs="宋体"/>
          <w:b/>
          <w:snapToGrid w:val="0"/>
          <w:color w:val="auto"/>
          <w:sz w:val="32"/>
          <w:highlight w:val="none"/>
        </w:rPr>
      </w:pPr>
    </w:p>
    <w:p w14:paraId="3BE05C1E">
      <w:pPr>
        <w:pStyle w:val="116"/>
        <w:widowControl w:val="0"/>
        <w:wordWrap w:val="0"/>
        <w:adjustRightInd w:val="0"/>
        <w:snapToGrid w:val="0"/>
        <w:ind w:left="0" w:leftChars="0" w:firstLine="0" w:firstLineChars="0"/>
        <w:jc w:val="left"/>
        <w:rPr>
          <w:rFonts w:hint="eastAsia" w:ascii="宋体" w:hAnsi="宋体" w:eastAsia="宋体" w:cs="宋体"/>
          <w:b/>
          <w:snapToGrid w:val="0"/>
          <w:color w:val="auto"/>
          <w:sz w:val="32"/>
          <w:highlight w:val="none"/>
        </w:rPr>
      </w:pPr>
    </w:p>
    <w:p w14:paraId="7CCCD82B">
      <w:pPr>
        <w:pStyle w:val="116"/>
        <w:widowControl w:val="0"/>
        <w:wordWrap w:val="0"/>
        <w:adjustRightInd w:val="0"/>
        <w:snapToGrid w:val="0"/>
        <w:ind w:left="0" w:leftChars="0" w:firstLine="0" w:firstLineChars="0"/>
        <w:jc w:val="left"/>
        <w:rPr>
          <w:rFonts w:hint="eastAsia" w:ascii="宋体" w:hAnsi="宋体" w:eastAsia="宋体" w:cs="宋体"/>
          <w:b/>
          <w:snapToGrid w:val="0"/>
          <w:color w:val="auto"/>
          <w:sz w:val="32"/>
          <w:highlight w:val="none"/>
        </w:rPr>
      </w:pPr>
    </w:p>
    <w:p w14:paraId="3ACDB8B4">
      <w:pPr>
        <w:pStyle w:val="116"/>
        <w:widowControl w:val="0"/>
        <w:wordWrap w:val="0"/>
        <w:adjustRightInd w:val="0"/>
        <w:snapToGrid w:val="0"/>
        <w:ind w:firstLine="0"/>
        <w:jc w:val="center"/>
        <w:rPr>
          <w:rFonts w:hint="eastAsia" w:ascii="宋体" w:hAnsi="宋体" w:eastAsia="宋体" w:cs="宋体"/>
          <w:bCs/>
          <w:snapToGrid w:val="0"/>
          <w:color w:val="auto"/>
          <w:sz w:val="32"/>
          <w:highlight w:val="none"/>
        </w:rPr>
      </w:pPr>
      <w:bookmarkStart w:id="466" w:name="_Toc881_WPSOffice_Level2"/>
      <w:bookmarkStart w:id="467" w:name="_Toc15825_WPSOffice_Level2"/>
      <w:bookmarkStart w:id="468" w:name="_Toc3918_WPSOffice_Level2"/>
      <w:bookmarkStart w:id="469" w:name="_Toc23809"/>
      <w:bookmarkStart w:id="470" w:name="_Toc10578_WPSOffice_Level2"/>
      <w:bookmarkStart w:id="471" w:name="_Toc7044"/>
      <w:bookmarkStart w:id="472" w:name="_Toc695"/>
      <w:bookmarkStart w:id="473" w:name="_Toc9798"/>
      <w:bookmarkStart w:id="474" w:name="_Toc1506"/>
      <w:r>
        <w:rPr>
          <w:rFonts w:hint="eastAsia" w:ascii="宋体" w:hAnsi="宋体" w:eastAsia="宋体" w:cs="宋体"/>
          <w:bCs/>
          <w:snapToGrid w:val="0"/>
          <w:color w:val="auto"/>
          <w:sz w:val="32"/>
          <w:highlight w:val="none"/>
        </w:rPr>
        <w:t>投标人：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（盖单位章）</w:t>
      </w:r>
      <w:bookmarkEnd w:id="466"/>
      <w:bookmarkEnd w:id="467"/>
      <w:bookmarkEnd w:id="468"/>
      <w:bookmarkEnd w:id="469"/>
      <w:bookmarkEnd w:id="470"/>
      <w:bookmarkEnd w:id="471"/>
      <w:bookmarkEnd w:id="472"/>
      <w:bookmarkEnd w:id="473"/>
      <w:bookmarkEnd w:id="474"/>
    </w:p>
    <w:p w14:paraId="3BF1063F">
      <w:pPr>
        <w:pStyle w:val="116"/>
        <w:widowControl w:val="0"/>
        <w:wordWrap w:val="0"/>
        <w:adjustRightInd w:val="0"/>
        <w:snapToGrid w:val="0"/>
        <w:ind w:firstLine="0"/>
        <w:jc w:val="left"/>
        <w:rPr>
          <w:rFonts w:hint="eastAsia" w:ascii="宋体" w:hAnsi="宋体" w:eastAsia="宋体" w:cs="宋体"/>
          <w:bCs/>
          <w:snapToGrid w:val="0"/>
          <w:color w:val="auto"/>
          <w:sz w:val="32"/>
          <w:highlight w:val="none"/>
        </w:rPr>
      </w:pPr>
    </w:p>
    <w:p w14:paraId="53D0AEB4">
      <w:pPr>
        <w:pStyle w:val="116"/>
        <w:widowControl w:val="0"/>
        <w:wordWrap w:val="0"/>
        <w:adjustRightInd w:val="0"/>
        <w:snapToGrid w:val="0"/>
        <w:ind w:firstLine="0"/>
        <w:jc w:val="left"/>
        <w:rPr>
          <w:rFonts w:hint="eastAsia" w:ascii="宋体" w:hAnsi="宋体" w:eastAsia="宋体" w:cs="宋体"/>
          <w:bCs/>
          <w:snapToGrid w:val="0"/>
          <w:color w:val="auto"/>
          <w:sz w:val="32"/>
          <w:highlight w:val="none"/>
        </w:rPr>
      </w:pPr>
    </w:p>
    <w:p w14:paraId="168EEE0E">
      <w:pPr>
        <w:pStyle w:val="116"/>
        <w:widowControl w:val="0"/>
        <w:wordWrap w:val="0"/>
        <w:adjustRightInd w:val="0"/>
        <w:snapToGrid w:val="0"/>
        <w:ind w:firstLine="0"/>
        <w:jc w:val="left"/>
        <w:rPr>
          <w:rFonts w:hint="eastAsia" w:ascii="宋体" w:hAnsi="宋体" w:eastAsia="宋体" w:cs="宋体"/>
          <w:bCs/>
          <w:snapToGrid w:val="0"/>
          <w:color w:val="auto"/>
          <w:sz w:val="32"/>
          <w:highlight w:val="none"/>
        </w:rPr>
      </w:pPr>
    </w:p>
    <w:p w14:paraId="712C8BDE">
      <w:pPr>
        <w:pStyle w:val="116"/>
        <w:widowControl w:val="0"/>
        <w:adjustRightInd w:val="0"/>
        <w:snapToGrid w:val="0"/>
        <w:ind w:firstLine="0"/>
        <w:jc w:val="center"/>
        <w:rPr>
          <w:rFonts w:hint="eastAsia" w:ascii="宋体" w:hAnsi="宋体" w:eastAsia="宋体" w:cs="宋体"/>
          <w:bCs/>
          <w:snapToGrid w:val="0"/>
          <w:color w:val="auto"/>
          <w:sz w:val="32"/>
          <w:highlight w:val="none"/>
        </w:rPr>
      </w:pPr>
      <w:bookmarkStart w:id="475" w:name="_Toc31144"/>
      <w:bookmarkStart w:id="476" w:name="_Toc2370"/>
      <w:bookmarkStart w:id="477" w:name="_Toc27613_WPSOffice_Level2"/>
      <w:bookmarkStart w:id="478" w:name="_Toc13744_WPSOffice_Level2"/>
      <w:bookmarkStart w:id="479" w:name="_Toc12474"/>
      <w:bookmarkStart w:id="480" w:name="_Toc24086"/>
      <w:bookmarkStart w:id="481" w:name="_Toc27630_WPSOffice_Level2"/>
      <w:bookmarkStart w:id="482" w:name="_Toc29706"/>
      <w:bookmarkStart w:id="483" w:name="_Toc32628_WPSOffice_Level2"/>
      <w:r>
        <w:rPr>
          <w:rFonts w:hint="eastAsia" w:ascii="宋体" w:hAnsi="宋体" w:eastAsia="宋体" w:cs="宋体"/>
          <w:bCs/>
          <w:snapToGrid w:val="0"/>
          <w:color w:val="auto"/>
          <w:sz w:val="32"/>
          <w:highlight w:val="none"/>
        </w:rPr>
        <w:t>法定代表人或其委托代理人：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（签字或盖章）</w:t>
      </w:r>
      <w:bookmarkEnd w:id="475"/>
      <w:bookmarkEnd w:id="476"/>
      <w:bookmarkEnd w:id="477"/>
      <w:bookmarkEnd w:id="478"/>
      <w:bookmarkEnd w:id="479"/>
      <w:bookmarkEnd w:id="480"/>
      <w:bookmarkEnd w:id="481"/>
      <w:bookmarkEnd w:id="482"/>
      <w:bookmarkEnd w:id="483"/>
    </w:p>
    <w:p w14:paraId="3CF65948">
      <w:pPr>
        <w:pStyle w:val="116"/>
        <w:widowControl w:val="0"/>
        <w:adjustRightInd w:val="0"/>
        <w:snapToGrid w:val="0"/>
        <w:ind w:firstLine="0"/>
        <w:jc w:val="left"/>
        <w:rPr>
          <w:rFonts w:hint="eastAsia" w:ascii="宋体" w:hAnsi="宋体" w:eastAsia="宋体" w:cs="宋体"/>
          <w:bCs/>
          <w:snapToGrid w:val="0"/>
          <w:color w:val="auto"/>
          <w:sz w:val="32"/>
          <w:highlight w:val="none"/>
        </w:rPr>
      </w:pPr>
    </w:p>
    <w:p w14:paraId="1D85DA38">
      <w:pPr>
        <w:pStyle w:val="116"/>
        <w:widowControl w:val="0"/>
        <w:adjustRightInd w:val="0"/>
        <w:snapToGrid w:val="0"/>
        <w:ind w:firstLine="0"/>
        <w:jc w:val="left"/>
        <w:rPr>
          <w:rFonts w:hint="eastAsia" w:ascii="宋体" w:hAnsi="宋体" w:eastAsia="宋体" w:cs="宋体"/>
          <w:bCs/>
          <w:snapToGrid w:val="0"/>
          <w:color w:val="auto"/>
          <w:sz w:val="32"/>
          <w:highlight w:val="none"/>
          <w:u w:val="single"/>
        </w:rPr>
      </w:pPr>
    </w:p>
    <w:p w14:paraId="7496C8F1">
      <w:pPr>
        <w:pStyle w:val="116"/>
        <w:widowControl w:val="0"/>
        <w:adjustRightInd w:val="0"/>
        <w:snapToGrid w:val="0"/>
        <w:ind w:firstLine="0"/>
        <w:jc w:val="left"/>
        <w:rPr>
          <w:rFonts w:hint="eastAsia" w:ascii="宋体" w:hAnsi="宋体" w:eastAsia="宋体" w:cs="宋体"/>
          <w:bCs/>
          <w:snapToGrid w:val="0"/>
          <w:color w:val="auto"/>
          <w:sz w:val="32"/>
          <w:highlight w:val="none"/>
          <w:u w:val="single"/>
        </w:rPr>
      </w:pPr>
    </w:p>
    <w:p w14:paraId="54601DE3">
      <w:pPr>
        <w:pStyle w:val="116"/>
        <w:widowControl w:val="0"/>
        <w:adjustRightInd w:val="0"/>
        <w:snapToGrid w:val="0"/>
        <w:ind w:firstLine="0"/>
        <w:jc w:val="center"/>
        <w:rPr>
          <w:rFonts w:hint="eastAsia" w:ascii="宋体" w:hAnsi="宋体" w:eastAsia="宋体" w:cs="宋体"/>
          <w:bCs/>
          <w:snapToGrid w:val="0"/>
          <w:color w:val="auto"/>
          <w:sz w:val="32"/>
          <w:highlight w:val="none"/>
        </w:rPr>
      </w:pPr>
      <w:bookmarkStart w:id="484" w:name="_Toc15044_WPSOffice_Level2"/>
      <w:bookmarkStart w:id="485" w:name="_Toc28896"/>
      <w:bookmarkStart w:id="486" w:name="_Toc25506"/>
      <w:bookmarkStart w:id="487" w:name="_Toc23570"/>
      <w:bookmarkStart w:id="488" w:name="_Toc1745_WPSOffice_Level2"/>
      <w:bookmarkStart w:id="489" w:name="_Toc6799"/>
      <w:bookmarkStart w:id="490" w:name="_Toc4261_WPSOffice_Level2"/>
      <w:bookmarkStart w:id="491" w:name="_Toc7063"/>
      <w:bookmarkStart w:id="492" w:name="_Toc28423_WPSOffice_Level2"/>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年</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月</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日</w:t>
      </w:r>
      <w:bookmarkEnd w:id="484"/>
      <w:bookmarkEnd w:id="485"/>
      <w:bookmarkEnd w:id="486"/>
      <w:bookmarkEnd w:id="487"/>
      <w:bookmarkEnd w:id="488"/>
      <w:bookmarkEnd w:id="489"/>
      <w:bookmarkEnd w:id="490"/>
      <w:bookmarkEnd w:id="491"/>
      <w:bookmarkEnd w:id="492"/>
    </w:p>
    <w:p w14:paraId="01F77AA1">
      <w:pPr>
        <w:pStyle w:val="116"/>
        <w:widowControl w:val="0"/>
        <w:adjustRightInd w:val="0"/>
        <w:snapToGrid w:val="0"/>
        <w:ind w:firstLine="0"/>
        <w:jc w:val="both"/>
        <w:rPr>
          <w:rFonts w:hint="eastAsia" w:ascii="宋体" w:hAnsi="宋体" w:eastAsia="宋体" w:cs="宋体"/>
          <w:bCs/>
          <w:snapToGrid w:val="0"/>
          <w:color w:val="auto"/>
          <w:sz w:val="32"/>
          <w:highlight w:val="none"/>
        </w:rPr>
      </w:pPr>
    </w:p>
    <w:p w14:paraId="0B4FFC86">
      <w:pPr>
        <w:pStyle w:val="116"/>
        <w:widowControl w:val="0"/>
        <w:adjustRightInd w:val="0"/>
        <w:snapToGrid w:val="0"/>
        <w:ind w:firstLine="0"/>
        <w:jc w:val="both"/>
        <w:rPr>
          <w:rFonts w:hint="eastAsia" w:ascii="宋体" w:hAnsi="宋体" w:eastAsia="宋体" w:cs="宋体"/>
          <w:bCs/>
          <w:snapToGrid w:val="0"/>
          <w:color w:val="auto"/>
          <w:sz w:val="32"/>
          <w:highlight w:val="none"/>
        </w:rPr>
      </w:pPr>
    </w:p>
    <w:p w14:paraId="79561109">
      <w:pPr>
        <w:pStyle w:val="79"/>
        <w:keepNext/>
        <w:keepLines/>
        <w:adjustRightInd/>
        <w:jc w:val="both"/>
        <w:outlineLvl w:val="1"/>
        <w:rPr>
          <w:rFonts w:hint="eastAsia" w:ascii="宋体" w:hAnsi="宋体" w:eastAsia="宋体" w:cs="宋体"/>
          <w:b/>
          <w:color w:val="auto"/>
          <w:kern w:val="2"/>
          <w:highlight w:val="none"/>
          <w:lang w:val="en-US" w:eastAsia="zh-CN"/>
        </w:rPr>
      </w:pPr>
      <w:bookmarkStart w:id="493" w:name="_Toc71811194"/>
      <w:bookmarkStart w:id="494" w:name="_Toc71811327"/>
      <w:bookmarkStart w:id="495" w:name="_Toc8818"/>
      <w:bookmarkStart w:id="496" w:name="_Toc71813717"/>
      <w:bookmarkStart w:id="497" w:name="_Toc29067"/>
      <w:bookmarkStart w:id="498" w:name="_Toc16947"/>
      <w:bookmarkStart w:id="499" w:name="_Toc19165"/>
      <w:bookmarkStart w:id="500" w:name="_Toc135054609"/>
      <w:bookmarkStart w:id="501" w:name="_Toc14945"/>
      <w:r>
        <w:rPr>
          <w:rFonts w:hint="eastAsia" w:ascii="宋体" w:hAnsi="宋体" w:eastAsia="宋体" w:cs="宋体"/>
          <w:b/>
          <w:color w:val="auto"/>
          <w:kern w:val="2"/>
          <w:highlight w:val="none"/>
          <w:lang w:val="en-US" w:eastAsia="zh-CN"/>
        </w:rPr>
        <w:t>格式二</w:t>
      </w:r>
      <w:bookmarkEnd w:id="440"/>
      <w:bookmarkEnd w:id="441"/>
      <w:bookmarkEnd w:id="442"/>
      <w:bookmarkEnd w:id="443"/>
      <w:bookmarkEnd w:id="444"/>
      <w:bookmarkEnd w:id="445"/>
      <w:bookmarkEnd w:id="493"/>
      <w:bookmarkEnd w:id="494"/>
      <w:bookmarkEnd w:id="495"/>
      <w:bookmarkEnd w:id="496"/>
      <w:r>
        <w:rPr>
          <w:rFonts w:hint="eastAsia" w:ascii="宋体" w:hAnsi="宋体" w:eastAsia="宋体" w:cs="宋体"/>
          <w:b/>
          <w:color w:val="auto"/>
          <w:kern w:val="2"/>
          <w:highlight w:val="none"/>
          <w:lang w:val="en-US" w:eastAsia="zh-CN"/>
        </w:rPr>
        <w:t xml:space="preserve">   投标函</w:t>
      </w:r>
      <w:bookmarkEnd w:id="497"/>
      <w:bookmarkEnd w:id="498"/>
      <w:bookmarkEnd w:id="499"/>
      <w:bookmarkEnd w:id="500"/>
      <w:bookmarkEnd w:id="501"/>
    </w:p>
    <w:p w14:paraId="255CC74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  标  函</w:t>
      </w:r>
    </w:p>
    <w:p w14:paraId="28019C91">
      <w:pPr>
        <w:wordWrap w:val="0"/>
        <w:adjustRightInd w:val="0"/>
        <w:snapToGrid w:val="0"/>
        <w:spacing w:line="440" w:lineRule="exac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致：</w:t>
      </w:r>
      <w:r>
        <w:rPr>
          <w:rFonts w:hint="eastAsia" w:ascii="宋体" w:hAnsi="宋体" w:eastAsia="宋体" w:cs="宋体"/>
          <w:snapToGrid w:val="0"/>
          <w:color w:val="auto"/>
          <w:kern w:val="0"/>
          <w:sz w:val="24"/>
          <w:szCs w:val="22"/>
          <w:highlight w:val="none"/>
          <w:u w:val="single"/>
        </w:rPr>
        <w:t xml:space="preserve">                   </w:t>
      </w:r>
      <w:r>
        <w:rPr>
          <w:rFonts w:hint="eastAsia" w:ascii="宋体" w:hAnsi="宋体" w:eastAsia="宋体" w:cs="宋体"/>
          <w:snapToGrid w:val="0"/>
          <w:color w:val="auto"/>
          <w:kern w:val="0"/>
          <w:sz w:val="24"/>
          <w:szCs w:val="22"/>
          <w:highlight w:val="none"/>
        </w:rPr>
        <w:t>（招标人名称）</w:t>
      </w:r>
    </w:p>
    <w:p w14:paraId="22C7B24E">
      <w:pPr>
        <w:spacing w:beforeLines="5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32"/>
          <w:highlight w:val="none"/>
        </w:rPr>
        <w:t>1、经分析研究了贵方提供的</w:t>
      </w:r>
      <w:r>
        <w:rPr>
          <w:rFonts w:hint="eastAsia" w:ascii="宋体" w:hAnsi="宋体" w:eastAsia="宋体" w:cs="宋体"/>
          <w:color w:val="auto"/>
          <w:sz w:val="24"/>
          <w:szCs w:val="32"/>
          <w:highlight w:val="none"/>
          <w:u w:val="single"/>
        </w:rPr>
        <w:t xml:space="preserve">      </w:t>
      </w:r>
      <w:r>
        <w:rPr>
          <w:rFonts w:hint="eastAsia" w:ascii="宋体" w:hAnsi="宋体" w:eastAsia="宋体" w:cs="宋体"/>
          <w:b/>
          <w:bCs/>
          <w:color w:val="auto"/>
          <w:sz w:val="24"/>
          <w:szCs w:val="32"/>
          <w:highlight w:val="none"/>
          <w:u w:val="single"/>
        </w:rPr>
        <w:t xml:space="preserve">  </w:t>
      </w:r>
      <w:r>
        <w:rPr>
          <w:rFonts w:hint="eastAsia" w:ascii="宋体" w:hAnsi="宋体" w:eastAsia="宋体" w:cs="宋体"/>
          <w:snapToGrid w:val="0"/>
          <w:color w:val="auto"/>
          <w:kern w:val="0"/>
          <w:sz w:val="24"/>
          <w:szCs w:val="22"/>
          <w:highlight w:val="none"/>
          <w:u w:val="single"/>
        </w:rPr>
        <w:t>（项目名称）</w:t>
      </w:r>
      <w:r>
        <w:rPr>
          <w:rFonts w:hint="eastAsia" w:ascii="宋体" w:hAnsi="宋体" w:eastAsia="宋体" w:cs="宋体"/>
          <w:b/>
          <w:bCs/>
          <w:color w:val="auto"/>
          <w:sz w:val="24"/>
          <w:szCs w:val="32"/>
          <w:highlight w:val="none"/>
          <w:u w:val="single"/>
        </w:rPr>
        <w:t xml:space="preserve">      </w:t>
      </w:r>
      <w:r>
        <w:rPr>
          <w:rFonts w:hint="eastAsia" w:ascii="宋体" w:hAnsi="宋体" w:eastAsia="宋体" w:cs="宋体"/>
          <w:snapToGrid w:val="0"/>
          <w:color w:val="auto"/>
          <w:kern w:val="0"/>
          <w:sz w:val="24"/>
          <w:szCs w:val="22"/>
          <w:highlight w:val="none"/>
        </w:rPr>
        <w:t>（以下简称“本项目”）</w:t>
      </w:r>
      <w:r>
        <w:rPr>
          <w:rFonts w:hint="eastAsia" w:ascii="宋体" w:hAnsi="宋体" w:eastAsia="宋体" w:cs="宋体"/>
          <w:color w:val="auto"/>
          <w:sz w:val="24"/>
          <w:szCs w:val="24"/>
          <w:highlight w:val="none"/>
        </w:rPr>
        <w:t>招标文件中的投标须知、拟签订合同的主要条款、项目介绍、本次招标答疑后，我方（即文末签名人），考虑了本企业的实力和特点，愿意接受招标文件的全部内容和条件，愿以投标报价（人民币大写）：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元</w:t>
      </w:r>
      <w:r>
        <w:rPr>
          <w:rFonts w:hint="eastAsia" w:ascii="宋体" w:hAnsi="宋体" w:eastAsia="宋体" w:cs="宋体"/>
          <w:color w:val="auto"/>
          <w:sz w:val="24"/>
          <w:szCs w:val="24"/>
          <w:highlight w:val="none"/>
        </w:rPr>
        <w:t>作为酬金</w:t>
      </w:r>
      <w:r>
        <w:rPr>
          <w:rFonts w:hint="eastAsia" w:ascii="宋体" w:hAnsi="宋体" w:eastAsia="宋体" w:cs="宋体"/>
          <w:color w:val="auto"/>
          <w:sz w:val="24"/>
          <w:szCs w:val="32"/>
          <w:highlight w:val="none"/>
        </w:rPr>
        <w:t>，竞投承包上述工程。</w:t>
      </w:r>
    </w:p>
    <w:p w14:paraId="32068C9A">
      <w:pPr>
        <w:spacing w:beforeLines="50" w:line="44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2、如我方中标，我方保证按合同条款、规范和附件要求，实施并完成上述工程勘察设计</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 xml:space="preserve">   个日历天内完成合同约定的内容，并确保勘察设计文件质量达到</w:t>
      </w:r>
      <w:r>
        <w:rPr>
          <w:rFonts w:hint="eastAsia" w:ascii="宋体" w:hAnsi="宋体" w:eastAsia="宋体" w:cs="宋体"/>
          <w:color w:val="auto"/>
          <w:sz w:val="24"/>
          <w:szCs w:val="32"/>
          <w:highlight w:val="none"/>
          <w:u w:val="single"/>
          <w:lang w:val="en-US" w:eastAsia="zh-CN"/>
        </w:rPr>
        <w:t>测绘勘察要求：符合住建部颁布的现行有关测绘勘察规范要求。设计要求：符合现行的国家及地方的有关规划、设计的规范要求，并通过有关部门的审查，若需进行审图则必须经有资质的审图公司审图合格</w:t>
      </w:r>
      <w:r>
        <w:rPr>
          <w:rFonts w:hint="eastAsia" w:ascii="宋体" w:hAnsi="宋体" w:eastAsia="宋体" w:cs="宋体"/>
          <w:color w:val="auto"/>
          <w:sz w:val="24"/>
          <w:szCs w:val="32"/>
          <w:highlight w:val="none"/>
        </w:rPr>
        <w:t>标准并修补其任何缺陷。</w:t>
      </w:r>
    </w:p>
    <w:p w14:paraId="4CFA5EBB">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3、本投标函在你方接收我方递交的投标文件之日起、到招标文件规定的投标有效期期满前对我方具有约束力。我方随时准备接受你方发出的中标通知书。</w:t>
      </w:r>
    </w:p>
    <w:p w14:paraId="54523B7C">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4、我方在此声明，我方不存在本项目招标文件第一章第三节第4.4条“禁止投标条款”所列出的任何一种情形，并愿意承担因我方就此弄虚作假所引起的一切法律后果。</w:t>
      </w:r>
    </w:p>
    <w:p w14:paraId="28A1A789">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5、我方在此承诺，所递交投标文件的全部内容均为真实、有效、准确的，并愿意承担因我方就此弄虚作假所引起的一切法律后果，同时理解和同意有可能被要求提供更多的资料。</w:t>
      </w:r>
    </w:p>
    <w:p w14:paraId="7768A0BB">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2"/>
          <w:highlight w:val="none"/>
        </w:rPr>
      </w:pPr>
      <w:bookmarkStart w:id="502" w:name="_Hlt68771070"/>
      <w:bookmarkEnd w:id="502"/>
      <w:r>
        <w:rPr>
          <w:rFonts w:hint="eastAsia" w:ascii="宋体" w:hAnsi="宋体" w:eastAsia="宋体" w:cs="宋体"/>
          <w:snapToGrid w:val="0"/>
          <w:color w:val="auto"/>
          <w:kern w:val="0"/>
          <w:sz w:val="24"/>
          <w:szCs w:val="22"/>
          <w:highlight w:val="none"/>
        </w:rPr>
        <w:t>6、我方理解你方不一定要接纳收到的最低投标总价或任何投标总价的投标人中标，也不要求你方解释我方是否中标的原因。</w:t>
      </w:r>
    </w:p>
    <w:p w14:paraId="4F5976B8">
      <w:pPr>
        <w:wordWrap w:val="0"/>
        <w:adjustRightInd w:val="0"/>
        <w:snapToGrid w:val="0"/>
        <w:spacing w:line="440" w:lineRule="exact"/>
        <w:rPr>
          <w:rFonts w:hint="eastAsia" w:ascii="宋体" w:hAnsi="宋体" w:eastAsia="宋体" w:cs="宋体"/>
          <w:snapToGrid w:val="0"/>
          <w:color w:val="auto"/>
          <w:kern w:val="0"/>
          <w:sz w:val="24"/>
          <w:szCs w:val="22"/>
          <w:highlight w:val="none"/>
        </w:rPr>
      </w:pPr>
    </w:p>
    <w:p w14:paraId="4DB045B8">
      <w:pPr>
        <w:wordWrap w:val="0"/>
        <w:adjustRightInd w:val="0"/>
        <w:snapToGrid w:val="0"/>
        <w:spacing w:line="440" w:lineRule="exact"/>
        <w:jc w:val="righ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 xml:space="preserve">    投标人：</w:t>
      </w:r>
      <w:r>
        <w:rPr>
          <w:rFonts w:hint="eastAsia" w:ascii="宋体" w:hAnsi="宋体" w:eastAsia="宋体" w:cs="宋体"/>
          <w:snapToGrid w:val="0"/>
          <w:color w:val="auto"/>
          <w:kern w:val="0"/>
          <w:sz w:val="24"/>
          <w:szCs w:val="22"/>
          <w:highlight w:val="none"/>
          <w:u w:val="single"/>
        </w:rPr>
        <w:t xml:space="preserve">                              </w:t>
      </w:r>
      <w:r>
        <w:rPr>
          <w:rFonts w:hint="eastAsia" w:ascii="宋体" w:hAnsi="宋体" w:eastAsia="宋体" w:cs="宋体"/>
          <w:snapToGrid w:val="0"/>
          <w:color w:val="auto"/>
          <w:kern w:val="0"/>
          <w:sz w:val="24"/>
          <w:szCs w:val="22"/>
          <w:highlight w:val="none"/>
        </w:rPr>
        <w:t>（盖单位章）</w:t>
      </w:r>
    </w:p>
    <w:p w14:paraId="2855B5B8">
      <w:pPr>
        <w:wordWrap w:val="0"/>
        <w:adjustRightInd w:val="0"/>
        <w:snapToGrid w:val="0"/>
        <w:spacing w:line="440" w:lineRule="exact"/>
        <w:ind w:firstLine="480" w:firstLineChars="200"/>
        <w:jc w:val="righ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法定代表人或其委托代理人：</w:t>
      </w:r>
      <w:r>
        <w:rPr>
          <w:rFonts w:hint="eastAsia" w:ascii="宋体" w:hAnsi="宋体" w:eastAsia="宋体" w:cs="宋体"/>
          <w:snapToGrid w:val="0"/>
          <w:color w:val="auto"/>
          <w:kern w:val="0"/>
          <w:sz w:val="24"/>
          <w:szCs w:val="22"/>
          <w:highlight w:val="none"/>
          <w:u w:val="single"/>
        </w:rPr>
        <w:t xml:space="preserve">          </w:t>
      </w:r>
      <w:r>
        <w:rPr>
          <w:rFonts w:hint="eastAsia" w:ascii="宋体" w:hAnsi="宋体" w:eastAsia="宋体" w:cs="宋体"/>
          <w:snapToGrid w:val="0"/>
          <w:color w:val="auto"/>
          <w:kern w:val="0"/>
          <w:sz w:val="24"/>
          <w:szCs w:val="22"/>
          <w:highlight w:val="none"/>
        </w:rPr>
        <w:t>（签字或盖章）</w:t>
      </w:r>
    </w:p>
    <w:p w14:paraId="55E981C5">
      <w:pPr>
        <w:wordWrap w:val="0"/>
        <w:adjustRightInd w:val="0"/>
        <w:snapToGrid w:val="0"/>
        <w:spacing w:line="440" w:lineRule="exact"/>
        <w:jc w:val="lef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 xml:space="preserve">                                       </w:t>
      </w:r>
      <w:r>
        <w:rPr>
          <w:rFonts w:hint="eastAsia" w:ascii="宋体" w:hAnsi="宋体" w:eastAsia="宋体" w:cs="宋体"/>
          <w:snapToGrid w:val="0"/>
          <w:color w:val="auto"/>
          <w:kern w:val="0"/>
          <w:sz w:val="24"/>
          <w:szCs w:val="22"/>
          <w:highlight w:val="none"/>
          <w:u w:val="single"/>
        </w:rPr>
        <w:t xml:space="preserve">       </w:t>
      </w:r>
      <w:r>
        <w:rPr>
          <w:rFonts w:hint="eastAsia" w:ascii="宋体" w:hAnsi="宋体" w:eastAsia="宋体" w:cs="宋体"/>
          <w:snapToGrid w:val="0"/>
          <w:color w:val="auto"/>
          <w:kern w:val="0"/>
          <w:sz w:val="24"/>
          <w:szCs w:val="22"/>
          <w:highlight w:val="none"/>
        </w:rPr>
        <w:t>年</w:t>
      </w:r>
      <w:r>
        <w:rPr>
          <w:rFonts w:hint="eastAsia" w:ascii="宋体" w:hAnsi="宋体" w:eastAsia="宋体" w:cs="宋体"/>
          <w:snapToGrid w:val="0"/>
          <w:color w:val="auto"/>
          <w:kern w:val="0"/>
          <w:sz w:val="24"/>
          <w:szCs w:val="22"/>
          <w:highlight w:val="none"/>
          <w:u w:val="single"/>
        </w:rPr>
        <w:t xml:space="preserve">     </w:t>
      </w:r>
      <w:r>
        <w:rPr>
          <w:rFonts w:hint="eastAsia" w:ascii="宋体" w:hAnsi="宋体" w:eastAsia="宋体" w:cs="宋体"/>
          <w:snapToGrid w:val="0"/>
          <w:color w:val="auto"/>
          <w:kern w:val="0"/>
          <w:sz w:val="24"/>
          <w:szCs w:val="22"/>
          <w:highlight w:val="none"/>
        </w:rPr>
        <w:t>月</w:t>
      </w:r>
      <w:r>
        <w:rPr>
          <w:rFonts w:hint="eastAsia" w:ascii="宋体" w:hAnsi="宋体" w:eastAsia="宋体" w:cs="宋体"/>
          <w:snapToGrid w:val="0"/>
          <w:color w:val="auto"/>
          <w:kern w:val="0"/>
          <w:sz w:val="24"/>
          <w:szCs w:val="22"/>
          <w:highlight w:val="none"/>
          <w:u w:val="single"/>
        </w:rPr>
        <w:t xml:space="preserve">     </w:t>
      </w:r>
      <w:r>
        <w:rPr>
          <w:rFonts w:hint="eastAsia" w:ascii="宋体" w:hAnsi="宋体" w:eastAsia="宋体" w:cs="宋体"/>
          <w:snapToGrid w:val="0"/>
          <w:color w:val="auto"/>
          <w:kern w:val="0"/>
          <w:sz w:val="24"/>
          <w:szCs w:val="22"/>
          <w:highlight w:val="none"/>
        </w:rPr>
        <w:t>日</w:t>
      </w:r>
    </w:p>
    <w:p w14:paraId="37465D70">
      <w:pPr>
        <w:rPr>
          <w:rFonts w:hint="eastAsia"/>
        </w:rPr>
      </w:pPr>
    </w:p>
    <w:p w14:paraId="4C90727B">
      <w:pPr>
        <w:rPr>
          <w:rFonts w:hint="eastAsia"/>
        </w:rPr>
      </w:pPr>
    </w:p>
    <w:p w14:paraId="112BCAFA">
      <w:pPr>
        <w:rPr>
          <w:rFonts w:hint="eastAsia"/>
        </w:rPr>
      </w:pPr>
    </w:p>
    <w:p w14:paraId="43534F4E">
      <w:pPr>
        <w:rPr>
          <w:rFonts w:hint="eastAsia"/>
        </w:rPr>
      </w:pPr>
    </w:p>
    <w:p w14:paraId="325C1F2B">
      <w:pPr>
        <w:rPr>
          <w:rFonts w:hint="eastAsia"/>
        </w:rPr>
      </w:pPr>
    </w:p>
    <w:p w14:paraId="5A4D542F">
      <w:pPr>
        <w:rPr>
          <w:rFonts w:hint="eastAsia"/>
        </w:rPr>
      </w:pPr>
    </w:p>
    <w:p w14:paraId="5C854035">
      <w:pPr>
        <w:rPr>
          <w:rFonts w:hint="eastAsia"/>
        </w:rPr>
      </w:pPr>
    </w:p>
    <w:p w14:paraId="0AF1CA7E">
      <w:pPr>
        <w:rPr>
          <w:rFonts w:hint="eastAsia"/>
        </w:rPr>
      </w:pPr>
    </w:p>
    <w:p w14:paraId="4338214B">
      <w:pPr>
        <w:rPr>
          <w:rFonts w:hint="eastAsia"/>
        </w:rPr>
      </w:pPr>
    </w:p>
    <w:p w14:paraId="062F6C7E">
      <w:pPr>
        <w:rPr>
          <w:rFonts w:hint="eastAsia"/>
        </w:rPr>
      </w:pPr>
    </w:p>
    <w:p w14:paraId="3D59F521">
      <w:pPr>
        <w:rPr>
          <w:rFonts w:hint="eastAsia"/>
        </w:rPr>
      </w:pPr>
    </w:p>
    <w:p w14:paraId="6C12CA96">
      <w:pPr>
        <w:pStyle w:val="79"/>
        <w:keepNext/>
        <w:keepLines/>
        <w:adjustRightInd/>
        <w:jc w:val="both"/>
        <w:outlineLvl w:val="1"/>
        <w:rPr>
          <w:rFonts w:hint="eastAsia" w:ascii="宋体" w:hAnsi="宋体" w:eastAsia="宋体" w:cs="宋体"/>
          <w:b/>
          <w:color w:val="auto"/>
          <w:kern w:val="2"/>
          <w:highlight w:val="none"/>
          <w:lang w:val="en-US" w:eastAsia="zh-CN"/>
        </w:rPr>
      </w:pPr>
      <w:bookmarkStart w:id="503" w:name="_Toc71813718"/>
      <w:bookmarkStart w:id="504" w:name="_Toc71811328"/>
      <w:bookmarkStart w:id="505" w:name="_Toc30990"/>
      <w:bookmarkStart w:id="506" w:name="_Toc71811195"/>
      <w:bookmarkStart w:id="507" w:name="_Toc15396"/>
      <w:bookmarkStart w:id="508" w:name="_Toc4449"/>
      <w:bookmarkStart w:id="509" w:name="_Toc135054610"/>
      <w:bookmarkStart w:id="510" w:name="_Toc19906"/>
      <w:bookmarkStart w:id="511" w:name="_Toc25939"/>
      <w:r>
        <w:rPr>
          <w:rFonts w:hint="eastAsia" w:ascii="宋体" w:hAnsi="宋体" w:eastAsia="宋体" w:cs="宋体"/>
          <w:b/>
          <w:color w:val="auto"/>
          <w:kern w:val="2"/>
          <w:highlight w:val="none"/>
          <w:lang w:val="en-US" w:eastAsia="zh-CN"/>
        </w:rPr>
        <w:t>格式三</w:t>
      </w:r>
      <w:bookmarkEnd w:id="503"/>
      <w:bookmarkEnd w:id="504"/>
      <w:bookmarkEnd w:id="505"/>
      <w:bookmarkEnd w:id="506"/>
      <w:r>
        <w:rPr>
          <w:rFonts w:hint="eastAsia" w:ascii="宋体" w:hAnsi="宋体" w:eastAsia="宋体" w:cs="宋体"/>
          <w:b/>
          <w:color w:val="auto"/>
          <w:kern w:val="2"/>
          <w:highlight w:val="none"/>
          <w:lang w:val="en-US" w:eastAsia="zh-CN"/>
        </w:rPr>
        <w:t xml:space="preserve">   工程项目报价表</w:t>
      </w:r>
      <w:bookmarkEnd w:id="507"/>
      <w:bookmarkEnd w:id="508"/>
      <w:bookmarkEnd w:id="509"/>
      <w:bookmarkEnd w:id="510"/>
      <w:bookmarkEnd w:id="511"/>
    </w:p>
    <w:p w14:paraId="26C94538">
      <w:pPr>
        <w:pStyle w:val="116"/>
        <w:widowControl w:val="0"/>
        <w:wordWrap w:val="0"/>
        <w:adjustRightInd w:val="0"/>
        <w:snapToGrid w:val="0"/>
        <w:ind w:firstLine="0"/>
        <w:jc w:val="center"/>
        <w:rPr>
          <w:rFonts w:hint="eastAsia" w:ascii="宋体" w:hAnsi="宋体" w:eastAsia="宋体" w:cs="宋体"/>
          <w:b/>
          <w:snapToGrid w:val="0"/>
          <w:color w:val="C00000"/>
          <w:sz w:val="24"/>
          <w:szCs w:val="24"/>
          <w:highlight w:val="none"/>
        </w:rPr>
      </w:pPr>
    </w:p>
    <w:p w14:paraId="568CF10E">
      <w:pPr>
        <w:pStyle w:val="116"/>
        <w:widowControl w:val="0"/>
        <w:wordWrap w:val="0"/>
        <w:adjustRightInd w:val="0"/>
        <w:snapToGrid w:val="0"/>
        <w:spacing w:line="360" w:lineRule="auto"/>
        <w:ind w:firstLine="0"/>
        <w:jc w:val="center"/>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工程项目报价表</w:t>
      </w:r>
    </w:p>
    <w:tbl>
      <w:tblPr>
        <w:tblStyle w:val="33"/>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44"/>
        <w:gridCol w:w="1821"/>
        <w:gridCol w:w="2595"/>
        <w:gridCol w:w="3244"/>
      </w:tblGrid>
      <w:tr w14:paraId="20B1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1" w:type="dxa"/>
            <w:noWrap w:val="0"/>
            <w:vAlign w:val="center"/>
          </w:tcPr>
          <w:p w14:paraId="27C4F9AE">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44" w:type="dxa"/>
            <w:noWrap w:val="0"/>
            <w:vAlign w:val="center"/>
          </w:tcPr>
          <w:p w14:paraId="56300A92">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821" w:type="dxa"/>
            <w:noWrap w:val="0"/>
            <w:vAlign w:val="center"/>
          </w:tcPr>
          <w:p w14:paraId="4DF150A7">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投标下浮率</w:t>
            </w:r>
          </w:p>
        </w:tc>
        <w:tc>
          <w:tcPr>
            <w:tcW w:w="2595" w:type="dxa"/>
            <w:noWrap w:val="0"/>
            <w:vAlign w:val="center"/>
          </w:tcPr>
          <w:p w14:paraId="68A7A995">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投标报价</w:t>
            </w:r>
            <w:r>
              <w:rPr>
                <w:rFonts w:hint="eastAsia" w:ascii="宋体" w:hAnsi="宋体" w:eastAsia="宋体" w:cs="宋体"/>
                <w:b/>
                <w:bCs/>
                <w:color w:val="auto"/>
                <w:sz w:val="24"/>
                <w:szCs w:val="24"/>
                <w:highlight w:val="none"/>
              </w:rPr>
              <w:t>（元）</w:t>
            </w:r>
          </w:p>
        </w:tc>
        <w:tc>
          <w:tcPr>
            <w:tcW w:w="3244" w:type="dxa"/>
            <w:noWrap w:val="0"/>
            <w:vAlign w:val="center"/>
          </w:tcPr>
          <w:p w14:paraId="46C9AEDF">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D65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jc w:val="center"/>
        </w:trPr>
        <w:tc>
          <w:tcPr>
            <w:tcW w:w="851" w:type="dxa"/>
            <w:noWrap w:val="0"/>
            <w:vAlign w:val="center"/>
          </w:tcPr>
          <w:p w14:paraId="63874470">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w:t>
            </w:r>
          </w:p>
        </w:tc>
        <w:tc>
          <w:tcPr>
            <w:tcW w:w="1444" w:type="dxa"/>
            <w:shd w:val="clear" w:color="auto" w:fill="auto"/>
            <w:noWrap w:val="0"/>
            <w:vAlign w:val="center"/>
          </w:tcPr>
          <w:p w14:paraId="2B51C55B">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宋体"/>
                <w:i w:val="0"/>
                <w:iCs w:val="0"/>
                <w:caps w:val="0"/>
                <w:color w:val="auto"/>
                <w:spacing w:val="0"/>
                <w:sz w:val="24"/>
                <w:szCs w:val="24"/>
                <w:highlight w:val="none"/>
                <w:shd w:val="clear" w:fill="FFFFFF"/>
              </w:rPr>
              <w:t>勘察费</w:t>
            </w:r>
          </w:p>
        </w:tc>
        <w:tc>
          <w:tcPr>
            <w:tcW w:w="1821" w:type="dxa"/>
            <w:shd w:val="clear" w:color="auto" w:fill="auto"/>
            <w:noWrap w:val="0"/>
            <w:vAlign w:val="center"/>
          </w:tcPr>
          <w:p w14:paraId="79A44002">
            <w:pPr>
              <w:shd w:val="clear" w:color="auto" w:fill="auto"/>
              <w:spacing w:line="240" w:lineRule="auto"/>
              <w:jc w:val="center"/>
              <w:rPr>
                <w:rFonts w:hint="eastAsia" w:ascii="宋体" w:hAnsi="宋体" w:eastAsia="宋体" w:cs="宋体"/>
                <w:b w:val="0"/>
                <w:bCs w:val="0"/>
                <w:i w:val="0"/>
                <w:iCs w:val="0"/>
                <w:caps w:val="0"/>
                <w:color w:val="auto"/>
                <w:spacing w:val="0"/>
                <w:kern w:val="2"/>
                <w:sz w:val="24"/>
                <w:szCs w:val="24"/>
                <w:highlight w:val="none"/>
                <w:shd w:val="clear" w:fill="FFFFFF"/>
                <w:lang w:val="en-US" w:eastAsia="zh-CN" w:bidi="ar-SA"/>
              </w:rPr>
            </w:pPr>
          </w:p>
        </w:tc>
        <w:tc>
          <w:tcPr>
            <w:tcW w:w="2595" w:type="dxa"/>
            <w:shd w:val="clear" w:color="auto" w:fill="auto"/>
            <w:noWrap w:val="0"/>
            <w:vAlign w:val="center"/>
          </w:tcPr>
          <w:p w14:paraId="48F14C4C">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aps w:val="0"/>
                <w:color w:val="auto"/>
                <w:spacing w:val="0"/>
                <w:sz w:val="24"/>
                <w:szCs w:val="24"/>
                <w:highlight w:val="none"/>
                <w:shd w:val="clear" w:fill="FFFFFF"/>
                <w:lang w:val="en-US" w:eastAsia="zh-CN"/>
              </w:rPr>
            </w:pPr>
          </w:p>
        </w:tc>
        <w:tc>
          <w:tcPr>
            <w:tcW w:w="3244" w:type="dxa"/>
            <w:shd w:val="clear" w:color="auto" w:fill="auto"/>
            <w:noWrap w:val="0"/>
            <w:vAlign w:val="center"/>
          </w:tcPr>
          <w:p w14:paraId="6E4F2597">
            <w:pPr>
              <w:pageBreakBefore w:val="0"/>
              <w:kinsoku/>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宋体"/>
                <w:i w:val="0"/>
                <w:iCs w:val="0"/>
                <w:caps w:val="0"/>
                <w:color w:val="auto"/>
                <w:spacing w:val="0"/>
                <w:sz w:val="24"/>
                <w:szCs w:val="24"/>
                <w:highlight w:val="none"/>
                <w:shd w:val="clear" w:fill="FFFFFF"/>
              </w:rPr>
              <w:t>结算时按</w:t>
            </w:r>
            <w:r>
              <w:rPr>
                <w:rFonts w:hint="eastAsia" w:ascii="宋体" w:hAnsi="宋体" w:cs="宋体"/>
                <w:i w:val="0"/>
                <w:iCs w:val="0"/>
                <w:caps w:val="0"/>
                <w:color w:val="auto"/>
                <w:spacing w:val="0"/>
                <w:sz w:val="24"/>
                <w:szCs w:val="24"/>
                <w:highlight w:val="none"/>
                <w:shd w:val="clear" w:fill="FFFFFF"/>
                <w:lang w:eastAsia="zh-CN"/>
              </w:rPr>
              <w:t>预算</w:t>
            </w:r>
            <w:r>
              <w:rPr>
                <w:rFonts w:hint="eastAsia" w:ascii="宋体" w:hAnsi="宋体" w:eastAsia="宋体" w:cs="宋体"/>
                <w:i w:val="0"/>
                <w:iCs w:val="0"/>
                <w:caps w:val="0"/>
                <w:color w:val="auto"/>
                <w:spacing w:val="0"/>
                <w:sz w:val="24"/>
                <w:szCs w:val="24"/>
                <w:highlight w:val="none"/>
                <w:shd w:val="clear" w:fill="FFFFFF"/>
              </w:rPr>
              <w:t>审定的勘察费*（1-下浮率），投标人应分别报投标下浮率和勘察费。</w:t>
            </w:r>
          </w:p>
        </w:tc>
      </w:tr>
      <w:tr w14:paraId="2C07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exact"/>
          <w:jc w:val="center"/>
        </w:trPr>
        <w:tc>
          <w:tcPr>
            <w:tcW w:w="851" w:type="dxa"/>
            <w:noWrap w:val="0"/>
            <w:vAlign w:val="center"/>
          </w:tcPr>
          <w:p w14:paraId="5CBFED8E">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2</w:t>
            </w:r>
          </w:p>
        </w:tc>
        <w:tc>
          <w:tcPr>
            <w:tcW w:w="1444" w:type="dxa"/>
            <w:shd w:val="clear" w:color="auto" w:fill="auto"/>
            <w:noWrap w:val="0"/>
            <w:vAlign w:val="center"/>
          </w:tcPr>
          <w:p w14:paraId="4A02CAF7">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宋体"/>
                <w:i w:val="0"/>
                <w:iCs w:val="0"/>
                <w:caps w:val="0"/>
                <w:color w:val="auto"/>
                <w:spacing w:val="0"/>
                <w:sz w:val="24"/>
                <w:szCs w:val="24"/>
                <w:highlight w:val="none"/>
                <w:shd w:val="clear" w:fill="FFFFFF"/>
              </w:rPr>
              <w:t>设计费</w:t>
            </w:r>
          </w:p>
        </w:tc>
        <w:tc>
          <w:tcPr>
            <w:tcW w:w="1821" w:type="dxa"/>
            <w:shd w:val="clear" w:color="auto" w:fill="auto"/>
            <w:noWrap w:val="0"/>
            <w:vAlign w:val="center"/>
          </w:tcPr>
          <w:p w14:paraId="3941F3F4">
            <w:pPr>
              <w:shd w:val="clear" w:color="auto" w:fill="auto"/>
              <w:spacing w:line="240" w:lineRule="auto"/>
              <w:jc w:val="center"/>
              <w:rPr>
                <w:rFonts w:hint="eastAsia" w:ascii="宋体" w:hAnsi="宋体" w:eastAsia="宋体" w:cs="宋体"/>
                <w:b w:val="0"/>
                <w:bCs w:val="0"/>
                <w:i w:val="0"/>
                <w:iCs w:val="0"/>
                <w:caps w:val="0"/>
                <w:color w:val="auto"/>
                <w:spacing w:val="0"/>
                <w:kern w:val="2"/>
                <w:sz w:val="24"/>
                <w:szCs w:val="24"/>
                <w:highlight w:val="none"/>
                <w:shd w:val="clear" w:fill="FFFFFF"/>
                <w:lang w:val="en-US" w:eastAsia="zh-CN" w:bidi="ar-SA"/>
              </w:rPr>
            </w:pPr>
          </w:p>
        </w:tc>
        <w:tc>
          <w:tcPr>
            <w:tcW w:w="2595" w:type="dxa"/>
            <w:shd w:val="clear" w:color="auto" w:fill="auto"/>
            <w:noWrap w:val="0"/>
            <w:vAlign w:val="center"/>
          </w:tcPr>
          <w:p w14:paraId="081E0267">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aps w:val="0"/>
                <w:color w:val="auto"/>
                <w:spacing w:val="0"/>
                <w:sz w:val="24"/>
                <w:szCs w:val="24"/>
                <w:highlight w:val="none"/>
                <w:shd w:val="clear" w:fill="FFFFFF"/>
                <w:lang w:val="en-US" w:eastAsia="zh-CN"/>
              </w:rPr>
            </w:pPr>
          </w:p>
        </w:tc>
        <w:tc>
          <w:tcPr>
            <w:tcW w:w="3244" w:type="dxa"/>
            <w:shd w:val="clear" w:color="auto" w:fill="auto"/>
            <w:noWrap w:val="0"/>
            <w:vAlign w:val="center"/>
          </w:tcPr>
          <w:p w14:paraId="5005286D">
            <w:pPr>
              <w:pageBreakBefore w:val="0"/>
              <w:kinsoku/>
              <w:overflowPunct/>
              <w:topLinePunct w:val="0"/>
              <w:autoSpaceDE/>
              <w:autoSpaceDN/>
              <w:bidi w:val="0"/>
              <w:adjustRightInd w:val="0"/>
              <w:snapToGrid w:val="0"/>
              <w:spacing w:line="240" w:lineRule="auto"/>
              <w:jc w:val="left"/>
              <w:textAlignment w:val="auto"/>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宋体"/>
                <w:i w:val="0"/>
                <w:iCs w:val="0"/>
                <w:caps w:val="0"/>
                <w:color w:val="auto"/>
                <w:spacing w:val="0"/>
                <w:sz w:val="24"/>
                <w:szCs w:val="24"/>
                <w:highlight w:val="none"/>
                <w:shd w:val="clear" w:fill="FFFFFF"/>
              </w:rPr>
              <w:t>结算时按</w:t>
            </w:r>
            <w:r>
              <w:rPr>
                <w:rFonts w:hint="eastAsia" w:ascii="宋体" w:hAnsi="宋体" w:cs="宋体"/>
                <w:i w:val="0"/>
                <w:iCs w:val="0"/>
                <w:caps w:val="0"/>
                <w:color w:val="auto"/>
                <w:spacing w:val="0"/>
                <w:sz w:val="24"/>
                <w:szCs w:val="24"/>
                <w:highlight w:val="none"/>
                <w:shd w:val="clear" w:fill="FFFFFF"/>
                <w:lang w:eastAsia="zh-CN"/>
              </w:rPr>
              <w:t>预算</w:t>
            </w:r>
            <w:r>
              <w:rPr>
                <w:rFonts w:hint="eastAsia" w:ascii="宋体" w:hAnsi="宋体" w:eastAsia="宋体" w:cs="宋体"/>
                <w:i w:val="0"/>
                <w:iCs w:val="0"/>
                <w:caps w:val="0"/>
                <w:color w:val="auto"/>
                <w:spacing w:val="0"/>
                <w:sz w:val="24"/>
                <w:szCs w:val="24"/>
                <w:highlight w:val="none"/>
                <w:shd w:val="clear" w:fill="FFFFFF"/>
              </w:rPr>
              <w:t>审定的设计费*（1-下浮率），投标人应分别报投标下浮率和设计费。</w:t>
            </w:r>
          </w:p>
        </w:tc>
      </w:tr>
      <w:tr w14:paraId="1A96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16" w:type="dxa"/>
            <w:gridSpan w:val="3"/>
            <w:noWrap w:val="0"/>
            <w:vAlign w:val="center"/>
          </w:tcPr>
          <w:p w14:paraId="0F8BF275">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合计1+2（元）</w:t>
            </w:r>
          </w:p>
        </w:tc>
        <w:tc>
          <w:tcPr>
            <w:tcW w:w="2595" w:type="dxa"/>
            <w:shd w:val="clear" w:color="auto" w:fill="auto"/>
            <w:noWrap w:val="0"/>
            <w:vAlign w:val="center"/>
          </w:tcPr>
          <w:p w14:paraId="2000B276">
            <w:pPr>
              <w:pageBreakBefore w:val="0"/>
              <w:kinsoku/>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aps w:val="0"/>
                <w:color w:val="auto"/>
                <w:spacing w:val="0"/>
                <w:sz w:val="24"/>
                <w:szCs w:val="24"/>
                <w:highlight w:val="none"/>
                <w:shd w:val="clear" w:fill="FFFFFF"/>
                <w:lang w:val="en-US" w:eastAsia="zh-CN"/>
              </w:rPr>
            </w:pPr>
          </w:p>
        </w:tc>
        <w:tc>
          <w:tcPr>
            <w:tcW w:w="3244" w:type="dxa"/>
            <w:noWrap w:val="0"/>
            <w:vAlign w:val="center"/>
          </w:tcPr>
          <w:p w14:paraId="6E6D7DCB">
            <w:pPr>
              <w:pageBreakBefore w:val="0"/>
              <w:kinsoku/>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w:t>
            </w:r>
          </w:p>
        </w:tc>
      </w:tr>
    </w:tbl>
    <w:p w14:paraId="18CC1BF3">
      <w:pPr>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1、各单项或合计投标报价超过最高投标限价为无效报价。</w:t>
      </w:r>
    </w:p>
    <w:p w14:paraId="3AF0D573">
      <w:pPr>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2、投标报价按“四舍五入原则”精确到两位小数，投标下浮率，按“四舍五入原则”精</w:t>
      </w:r>
    </w:p>
    <w:p w14:paraId="119C9021">
      <w:pPr>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确到三位小数。”</w:t>
      </w:r>
    </w:p>
    <w:p w14:paraId="52141198">
      <w:pPr>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3、以上投标报价均为含税报价（增值税）。</w:t>
      </w:r>
    </w:p>
    <w:p w14:paraId="55D930E9">
      <w:pPr>
        <w:pStyle w:val="116"/>
        <w:widowControl w:val="0"/>
        <w:wordWrap w:val="0"/>
        <w:adjustRightInd w:val="0"/>
        <w:snapToGrid w:val="0"/>
        <w:spacing w:line="360" w:lineRule="auto"/>
        <w:ind w:firstLine="0"/>
        <w:rPr>
          <w:rFonts w:hint="eastAsia" w:ascii="宋体" w:hAnsi="宋体" w:eastAsia="宋体" w:cs="宋体"/>
          <w:b/>
          <w:snapToGrid w:val="0"/>
          <w:color w:val="auto"/>
          <w:sz w:val="24"/>
          <w:szCs w:val="24"/>
          <w:highlight w:val="none"/>
        </w:rPr>
      </w:pPr>
    </w:p>
    <w:p w14:paraId="12A156F7">
      <w:pPr>
        <w:pStyle w:val="116"/>
        <w:widowControl w:val="0"/>
        <w:wordWrap w:val="0"/>
        <w:adjustRightInd w:val="0"/>
        <w:snapToGrid w:val="0"/>
        <w:spacing w:line="360" w:lineRule="auto"/>
        <w:ind w:firstLine="0"/>
        <w:rPr>
          <w:rFonts w:hint="eastAsia" w:ascii="宋体" w:hAnsi="宋体" w:eastAsia="宋体" w:cs="宋体"/>
          <w:b/>
          <w:snapToGrid w:val="0"/>
          <w:color w:val="auto"/>
          <w:sz w:val="24"/>
          <w:szCs w:val="24"/>
          <w:highlight w:val="none"/>
        </w:rPr>
      </w:pPr>
    </w:p>
    <w:p w14:paraId="41633C4F">
      <w:pPr>
        <w:wordWrap w:val="0"/>
        <w:adjustRightInd w:val="0"/>
        <w:snapToGrid w:val="0"/>
        <w:spacing w:line="360" w:lineRule="auto"/>
        <w:ind w:firstLine="48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4AED6F1D">
      <w:pPr>
        <w:pStyle w:val="15"/>
        <w:rPr>
          <w:rFonts w:hint="eastAsia" w:ascii="宋体" w:hAnsi="宋体" w:eastAsia="宋体" w:cs="宋体"/>
          <w:color w:val="auto"/>
          <w:highlight w:val="none"/>
        </w:rPr>
      </w:pPr>
    </w:p>
    <w:p w14:paraId="69131C3F">
      <w:pPr>
        <w:wordWrap w:val="0"/>
        <w:adjustRightInd w:val="0"/>
        <w:snapToGrid w:val="0"/>
        <w:spacing w:line="360" w:lineRule="auto"/>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084C36D1">
      <w:pPr>
        <w:pStyle w:val="15"/>
        <w:rPr>
          <w:rFonts w:hint="eastAsia" w:ascii="宋体" w:hAnsi="宋体" w:eastAsia="宋体" w:cs="宋体"/>
          <w:color w:val="auto"/>
          <w:highlight w:val="none"/>
        </w:rPr>
      </w:pPr>
    </w:p>
    <w:p w14:paraId="2BF48CB7">
      <w:pPr>
        <w:wordWrap w:val="0"/>
        <w:adjustRightInd w:val="0"/>
        <w:snapToGri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2043F32B">
      <w:pPr>
        <w:wordWrap w:val="0"/>
        <w:adjustRightInd w:val="0"/>
        <w:snapToGrid w:val="0"/>
        <w:spacing w:line="360" w:lineRule="auto"/>
        <w:jc w:val="left"/>
        <w:rPr>
          <w:rFonts w:hint="eastAsia" w:ascii="宋体" w:hAnsi="宋体" w:eastAsia="宋体" w:cs="宋体"/>
          <w:snapToGrid w:val="0"/>
          <w:color w:val="auto"/>
          <w:kern w:val="0"/>
          <w:sz w:val="24"/>
          <w:szCs w:val="24"/>
          <w:highlight w:val="none"/>
        </w:rPr>
      </w:pPr>
    </w:p>
    <w:p w14:paraId="62A97DDA">
      <w:pPr>
        <w:wordWrap w:val="0"/>
        <w:adjustRightInd w:val="0"/>
        <w:snapToGrid w:val="0"/>
        <w:spacing w:line="360" w:lineRule="auto"/>
        <w:jc w:val="left"/>
        <w:rPr>
          <w:rFonts w:hint="eastAsia" w:ascii="宋体" w:hAnsi="宋体" w:eastAsia="宋体" w:cs="宋体"/>
          <w:snapToGrid w:val="0"/>
          <w:color w:val="auto"/>
          <w:kern w:val="0"/>
          <w:sz w:val="24"/>
          <w:szCs w:val="24"/>
          <w:highlight w:val="none"/>
        </w:rPr>
      </w:pPr>
    </w:p>
    <w:p w14:paraId="1994F0AA">
      <w:pPr>
        <w:wordWrap w:val="0"/>
        <w:adjustRightInd w:val="0"/>
        <w:snapToGrid w:val="0"/>
        <w:spacing w:line="360" w:lineRule="auto"/>
        <w:jc w:val="left"/>
        <w:rPr>
          <w:rFonts w:hint="eastAsia" w:ascii="宋体" w:hAnsi="宋体" w:eastAsia="宋体" w:cs="宋体"/>
          <w:snapToGrid w:val="0"/>
          <w:color w:val="auto"/>
          <w:kern w:val="0"/>
          <w:sz w:val="24"/>
          <w:szCs w:val="24"/>
          <w:highlight w:val="none"/>
        </w:rPr>
      </w:pPr>
    </w:p>
    <w:p w14:paraId="207C1F6B">
      <w:pPr>
        <w:rPr>
          <w:rFonts w:hint="eastAsia"/>
        </w:rPr>
      </w:pPr>
    </w:p>
    <w:p w14:paraId="4FE99272">
      <w:pPr>
        <w:rPr>
          <w:rFonts w:hint="eastAsia"/>
        </w:rPr>
      </w:pPr>
    </w:p>
    <w:p w14:paraId="6F523074">
      <w:pPr>
        <w:rPr>
          <w:rFonts w:hint="eastAsia"/>
        </w:rPr>
      </w:pPr>
    </w:p>
    <w:p w14:paraId="6FA242CC">
      <w:pPr>
        <w:rPr>
          <w:rFonts w:hint="eastAsia"/>
        </w:rPr>
      </w:pPr>
    </w:p>
    <w:p w14:paraId="03615908">
      <w:pPr>
        <w:rPr>
          <w:rFonts w:hint="eastAsia" w:ascii="宋体" w:hAnsi="宋体" w:eastAsia="宋体" w:cs="宋体"/>
          <w:snapToGrid w:val="0"/>
          <w:color w:val="auto"/>
          <w:kern w:val="0"/>
          <w:sz w:val="24"/>
          <w:szCs w:val="24"/>
          <w:highlight w:val="none"/>
        </w:rPr>
      </w:pPr>
    </w:p>
    <w:p w14:paraId="6814611B">
      <w:pPr>
        <w:rPr>
          <w:rFonts w:hint="eastAsia"/>
        </w:rPr>
      </w:pPr>
    </w:p>
    <w:p w14:paraId="27B78EB1">
      <w:pPr>
        <w:rPr>
          <w:rFonts w:hint="eastAsia"/>
        </w:rPr>
      </w:pPr>
    </w:p>
    <w:p w14:paraId="7D00FDF3">
      <w:pPr>
        <w:pStyle w:val="79"/>
        <w:keepNext/>
        <w:keepLines/>
        <w:adjustRightInd/>
        <w:jc w:val="both"/>
        <w:outlineLvl w:val="1"/>
        <w:rPr>
          <w:rFonts w:hint="eastAsia" w:ascii="宋体" w:hAnsi="宋体" w:eastAsia="宋体" w:cs="宋体"/>
          <w:b/>
          <w:color w:val="auto"/>
          <w:kern w:val="2"/>
          <w:highlight w:val="none"/>
          <w:lang w:val="en-US" w:eastAsia="zh-CN"/>
        </w:rPr>
      </w:pPr>
      <w:bookmarkStart w:id="512" w:name="_Toc1810"/>
      <w:bookmarkStart w:id="513" w:name="_Toc135054611"/>
      <w:bookmarkStart w:id="514" w:name="_Toc32457"/>
      <w:bookmarkStart w:id="515" w:name="_Toc12085"/>
      <w:bookmarkStart w:id="516" w:name="_Toc9604"/>
      <w:r>
        <w:rPr>
          <w:rFonts w:hint="eastAsia" w:ascii="宋体" w:hAnsi="宋体" w:eastAsia="宋体" w:cs="宋体"/>
          <w:b/>
          <w:color w:val="auto"/>
          <w:kern w:val="2"/>
          <w:highlight w:val="none"/>
          <w:lang w:val="en-US" w:eastAsia="zh-CN"/>
        </w:rPr>
        <w:t>格式四   各项承诺一览表</w:t>
      </w:r>
      <w:bookmarkEnd w:id="512"/>
      <w:bookmarkEnd w:id="513"/>
      <w:bookmarkEnd w:id="514"/>
      <w:bookmarkEnd w:id="515"/>
      <w:bookmarkEnd w:id="516"/>
    </w:p>
    <w:p w14:paraId="1C86F997">
      <w:pPr>
        <w:keepNext w:val="0"/>
        <w:keepLines w:val="0"/>
        <w:pageBreakBefore w:val="0"/>
        <w:widowControl w:val="0"/>
        <w:kinsoku/>
        <w:wordWrap/>
        <w:overflowPunct/>
        <w:topLinePunct w:val="0"/>
        <w:autoSpaceDE/>
        <w:autoSpaceDN/>
        <w:bidi w:val="0"/>
        <w:spacing w:before="100" w:after="100" w:line="3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各项承诺一览表</w:t>
      </w:r>
    </w:p>
    <w:tbl>
      <w:tblPr>
        <w:tblStyle w:val="33"/>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7"/>
        <w:gridCol w:w="1539"/>
        <w:gridCol w:w="3407"/>
        <w:gridCol w:w="4426"/>
      </w:tblGrid>
      <w:tr w14:paraId="58E4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587" w:type="dxa"/>
            <w:noWrap w:val="0"/>
            <w:vAlign w:val="center"/>
          </w:tcPr>
          <w:p w14:paraId="0142C8ED">
            <w:pPr>
              <w:keepNext w:val="0"/>
              <w:keepLines w:val="0"/>
              <w:pageBreakBefore w:val="0"/>
              <w:widowControl w:val="0"/>
              <w:shd w:val="clear" w:color="auto" w:fill="auto"/>
              <w:kinsoku/>
              <w:overflowPunct/>
              <w:topLinePunct w:val="0"/>
              <w:autoSpaceDE/>
              <w:autoSpaceDN/>
              <w:bidi w:val="0"/>
              <w:adjustRightInd w:val="0"/>
              <w:snapToGrid w:val="0"/>
              <w:spacing w:beforeAutospacing="0" w:line="312"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39" w:type="dxa"/>
            <w:noWrap w:val="0"/>
            <w:vAlign w:val="center"/>
          </w:tcPr>
          <w:p w14:paraId="3151C878">
            <w:pPr>
              <w:keepNext w:val="0"/>
              <w:keepLines w:val="0"/>
              <w:pageBreakBefore w:val="0"/>
              <w:widowControl w:val="0"/>
              <w:shd w:val="clear" w:color="auto" w:fill="auto"/>
              <w:kinsoku/>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承诺标题</w:t>
            </w:r>
          </w:p>
        </w:tc>
        <w:tc>
          <w:tcPr>
            <w:tcW w:w="3407" w:type="dxa"/>
            <w:noWrap w:val="0"/>
            <w:vAlign w:val="center"/>
          </w:tcPr>
          <w:p w14:paraId="605624FC">
            <w:pPr>
              <w:keepNext w:val="0"/>
              <w:keepLines w:val="0"/>
              <w:pageBreakBefore w:val="0"/>
              <w:widowControl w:val="0"/>
              <w:shd w:val="clear" w:color="auto" w:fill="auto"/>
              <w:kinsoku/>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承诺内容</w:t>
            </w:r>
          </w:p>
        </w:tc>
        <w:tc>
          <w:tcPr>
            <w:tcW w:w="4426" w:type="dxa"/>
            <w:tcBorders>
              <w:bottom w:val="single" w:color="auto" w:sz="4" w:space="0"/>
            </w:tcBorders>
            <w:noWrap w:val="0"/>
            <w:vAlign w:val="center"/>
          </w:tcPr>
          <w:p w14:paraId="11640340">
            <w:pPr>
              <w:keepNext w:val="0"/>
              <w:keepLines w:val="0"/>
              <w:pageBreakBefore w:val="0"/>
              <w:widowControl w:val="0"/>
              <w:shd w:val="clear" w:color="auto" w:fill="auto"/>
              <w:kinsoku/>
              <w:overflowPunct/>
              <w:topLinePunct w:val="0"/>
              <w:autoSpaceDE/>
              <w:autoSpaceDN/>
              <w:bidi w:val="0"/>
              <w:adjustRightInd w:val="0"/>
              <w:snapToGrid w:val="0"/>
              <w:spacing w:line="312"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违约承诺</w:t>
            </w:r>
          </w:p>
        </w:tc>
      </w:tr>
      <w:tr w14:paraId="373D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87" w:type="dxa"/>
            <w:noWrap w:val="0"/>
            <w:vAlign w:val="center"/>
          </w:tcPr>
          <w:p w14:paraId="0378D2BC">
            <w:pPr>
              <w:keepNext w:val="0"/>
              <w:keepLines w:val="0"/>
              <w:pageBreakBefore w:val="0"/>
              <w:widowControl w:val="0"/>
              <w:shd w:val="clear" w:color="auto" w:fill="auto"/>
              <w:kinsoku/>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39" w:type="dxa"/>
            <w:noWrap w:val="0"/>
            <w:vAlign w:val="center"/>
          </w:tcPr>
          <w:p w14:paraId="6E86E175">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对招标文件条款自愿接受承诺</w:t>
            </w:r>
          </w:p>
        </w:tc>
        <w:tc>
          <w:tcPr>
            <w:tcW w:w="3407" w:type="dxa"/>
            <w:noWrap w:val="0"/>
            <w:vAlign w:val="center"/>
          </w:tcPr>
          <w:p w14:paraId="23B4BA1E">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我方保证接受招标文件的所有条款，响应招标文件的</w:t>
            </w:r>
            <w:bookmarkStart w:id="517" w:name="_Hlt66510765"/>
            <w:bookmarkEnd w:id="517"/>
            <w:r>
              <w:rPr>
                <w:rFonts w:hint="eastAsia" w:ascii="宋体" w:hAnsi="宋体" w:eastAsia="宋体" w:cs="宋体"/>
                <w:color w:val="auto"/>
                <w:sz w:val="21"/>
                <w:szCs w:val="21"/>
                <w:highlight w:val="none"/>
                <w:lang w:val="en-US" w:eastAsia="zh-CN"/>
              </w:rPr>
              <w:t>所有要求。</w:t>
            </w:r>
          </w:p>
        </w:tc>
        <w:tc>
          <w:tcPr>
            <w:tcW w:w="4426" w:type="dxa"/>
            <w:tcBorders>
              <w:tr2bl w:val="single" w:color="auto" w:sz="4" w:space="0"/>
            </w:tcBorders>
            <w:noWrap w:val="0"/>
            <w:vAlign w:val="center"/>
          </w:tcPr>
          <w:p w14:paraId="2C2394F0">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firstLine="210" w:firstLineChars="100"/>
              <w:textAlignment w:val="auto"/>
              <w:rPr>
                <w:rFonts w:hint="eastAsia" w:ascii="宋体" w:hAnsi="宋体" w:eastAsia="宋体" w:cs="宋体"/>
                <w:color w:val="auto"/>
                <w:sz w:val="21"/>
                <w:szCs w:val="21"/>
                <w:highlight w:val="none"/>
                <w:lang w:val="en-US" w:eastAsia="zh-CN"/>
              </w:rPr>
            </w:pPr>
          </w:p>
        </w:tc>
      </w:tr>
      <w:tr w14:paraId="2552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1" w:hRule="atLeast"/>
          <w:jc w:val="center"/>
        </w:trPr>
        <w:tc>
          <w:tcPr>
            <w:tcW w:w="587" w:type="dxa"/>
            <w:noWrap w:val="0"/>
            <w:vAlign w:val="center"/>
          </w:tcPr>
          <w:p w14:paraId="26B55129">
            <w:pPr>
              <w:keepNext w:val="0"/>
              <w:keepLines w:val="0"/>
              <w:pageBreakBefore w:val="0"/>
              <w:widowControl w:val="0"/>
              <w:shd w:val="clear" w:color="auto" w:fill="auto"/>
              <w:kinsoku/>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39" w:type="dxa"/>
            <w:noWrap w:val="0"/>
            <w:vAlign w:val="center"/>
          </w:tcPr>
          <w:p w14:paraId="1FC649ED">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履约保证金承诺</w:t>
            </w:r>
          </w:p>
        </w:tc>
        <w:tc>
          <w:tcPr>
            <w:tcW w:w="3407" w:type="dxa"/>
            <w:noWrap w:val="0"/>
            <w:vAlign w:val="center"/>
          </w:tcPr>
          <w:p w14:paraId="1499C633">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我方保证按时缴纳全部履约保证金</w:t>
            </w:r>
            <w:bookmarkStart w:id="518" w:name="_Hlt104711307"/>
            <w:bookmarkEnd w:id="518"/>
            <w:r>
              <w:rPr>
                <w:rFonts w:hint="eastAsia" w:ascii="宋体" w:hAnsi="宋体" w:eastAsia="宋体" w:cs="宋体"/>
                <w:color w:val="auto"/>
                <w:sz w:val="21"/>
                <w:szCs w:val="21"/>
                <w:highlight w:val="none"/>
                <w:lang w:val="en-US" w:eastAsia="zh-CN"/>
              </w:rPr>
              <w:t>。</w:t>
            </w:r>
          </w:p>
        </w:tc>
        <w:tc>
          <w:tcPr>
            <w:tcW w:w="4426" w:type="dxa"/>
            <w:noWrap w:val="0"/>
            <w:vAlign w:val="center"/>
          </w:tcPr>
          <w:p w14:paraId="5487640B">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勘察、设计过程中，如由于我方自身的资金、技术、质量、非不可抗力等原因给招标人造成经济损失、工期延误时，或未能按招标文件所约定的各项承诺完成时，我方同意扣除相应履约保证金，并承担由此引起的所有责任。</w:t>
            </w:r>
          </w:p>
        </w:tc>
      </w:tr>
      <w:tr w14:paraId="1BC4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9" w:hRule="atLeast"/>
          <w:jc w:val="center"/>
        </w:trPr>
        <w:tc>
          <w:tcPr>
            <w:tcW w:w="587" w:type="dxa"/>
            <w:noWrap w:val="0"/>
            <w:vAlign w:val="center"/>
          </w:tcPr>
          <w:p w14:paraId="402B2B8F">
            <w:pPr>
              <w:pStyle w:val="117"/>
              <w:keepNext w:val="0"/>
              <w:keepLines w:val="0"/>
              <w:pageBreakBefore w:val="0"/>
              <w:widowControl w:val="0"/>
              <w:shd w:val="clear" w:color="auto" w:fill="auto"/>
              <w:kinsoku/>
              <w:wordWrap w:val="0"/>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39" w:type="dxa"/>
            <w:noWrap w:val="0"/>
            <w:vAlign w:val="center"/>
          </w:tcPr>
          <w:p w14:paraId="0B1AE989">
            <w:pPr>
              <w:pStyle w:val="168"/>
              <w:keepNext w:val="0"/>
              <w:keepLines w:val="0"/>
              <w:pageBreakBefore w:val="0"/>
              <w:widowControl w:val="0"/>
              <w:shd w:val="clear" w:color="auto" w:fill="auto"/>
              <w:kinsoku/>
              <w:wordWrap w:val="0"/>
              <w:overflowPunct/>
              <w:topLinePunct w:val="0"/>
              <w:autoSpaceDE/>
              <w:autoSpaceDN/>
              <w:bidi w:val="0"/>
              <w:adjustRightInd w:val="0"/>
              <w:snapToGrid w:val="0"/>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无禁止投标</w:t>
            </w:r>
          </w:p>
          <w:p w14:paraId="1A9A692B">
            <w:pPr>
              <w:pStyle w:val="168"/>
              <w:keepNext w:val="0"/>
              <w:keepLines w:val="0"/>
              <w:pageBreakBefore w:val="0"/>
              <w:widowControl w:val="0"/>
              <w:shd w:val="clear" w:color="auto" w:fill="auto"/>
              <w:kinsoku/>
              <w:wordWrap w:val="0"/>
              <w:overflowPunct/>
              <w:topLinePunct w:val="0"/>
              <w:autoSpaceDE/>
              <w:autoSpaceDN/>
              <w:bidi w:val="0"/>
              <w:adjustRightInd w:val="0"/>
              <w:snapToGrid w:val="0"/>
              <w:spacing w:line="34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情形的承诺</w:t>
            </w:r>
          </w:p>
        </w:tc>
        <w:tc>
          <w:tcPr>
            <w:tcW w:w="3407" w:type="dxa"/>
            <w:noWrap w:val="0"/>
            <w:vAlign w:val="center"/>
          </w:tcPr>
          <w:p w14:paraId="437F06E4">
            <w:pPr>
              <w:pStyle w:val="168"/>
              <w:keepNext w:val="0"/>
              <w:keepLines w:val="0"/>
              <w:pageBreakBefore w:val="0"/>
              <w:widowControl w:val="0"/>
              <w:shd w:val="clear" w:color="auto" w:fill="auto"/>
              <w:kinsoku/>
              <w:wordWrap w:val="0"/>
              <w:overflowPunct/>
              <w:topLinePunct w:val="0"/>
              <w:autoSpaceDE/>
              <w:autoSpaceDN/>
              <w:bidi w:val="0"/>
              <w:adjustRightInd w:val="0"/>
              <w:snapToGrid w:val="0"/>
              <w:spacing w:line="340" w:lineRule="exact"/>
              <w:ind w:firstLine="210" w:firstLineChars="1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我方不存在招标文件第一章第三节第</w:t>
            </w:r>
            <w:r>
              <w:rPr>
                <w:rFonts w:hint="eastAsia"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.4条“禁止投标条款”规定的任何一种情形。</w:t>
            </w:r>
          </w:p>
        </w:tc>
        <w:tc>
          <w:tcPr>
            <w:tcW w:w="4426" w:type="dxa"/>
            <w:noWrap w:val="0"/>
            <w:vAlign w:val="center"/>
          </w:tcPr>
          <w:p w14:paraId="1298B552">
            <w:pPr>
              <w:pStyle w:val="168"/>
              <w:keepNext w:val="0"/>
              <w:keepLines w:val="0"/>
              <w:pageBreakBefore w:val="0"/>
              <w:widowControl w:val="0"/>
              <w:shd w:val="clear" w:color="auto" w:fill="auto"/>
              <w:kinsoku/>
              <w:wordWrap w:val="0"/>
              <w:overflowPunct/>
              <w:topLinePunct w:val="0"/>
              <w:autoSpaceDE/>
              <w:autoSpaceDN/>
              <w:bidi w:val="0"/>
              <w:adjustRightInd w:val="0"/>
              <w:snapToGrid w:val="0"/>
              <w:spacing w:line="340" w:lineRule="exact"/>
              <w:ind w:firstLine="210" w:firstLineChars="1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如果我方有招标文件第一章第三节第</w:t>
            </w:r>
            <w:r>
              <w:rPr>
                <w:rFonts w:hint="eastAsia"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.4条“禁止投标条款”规定的任何一种情形，我方接受招标人或其授权的招标代理机构或其组建的评标委员会依据招标文件作出的相应处理以及有关监督部门作出的行政处罚，并承担由此引起的一切法律后果。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14:paraId="05B6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4" w:hRule="atLeast"/>
          <w:jc w:val="center"/>
        </w:trPr>
        <w:tc>
          <w:tcPr>
            <w:tcW w:w="587" w:type="dxa"/>
            <w:noWrap w:val="0"/>
            <w:vAlign w:val="center"/>
          </w:tcPr>
          <w:p w14:paraId="39539EEB">
            <w:pPr>
              <w:keepNext w:val="0"/>
              <w:keepLines w:val="0"/>
              <w:pageBreakBefore w:val="0"/>
              <w:widowControl w:val="0"/>
              <w:shd w:val="clear" w:color="auto" w:fill="auto"/>
              <w:kinsoku/>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39" w:type="dxa"/>
            <w:noWrap w:val="0"/>
            <w:vAlign w:val="center"/>
          </w:tcPr>
          <w:p w14:paraId="37846BE8">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工期、进度承诺</w:t>
            </w:r>
          </w:p>
        </w:tc>
        <w:tc>
          <w:tcPr>
            <w:tcW w:w="3407" w:type="dxa"/>
            <w:noWrap w:val="0"/>
            <w:vAlign w:val="center"/>
          </w:tcPr>
          <w:p w14:paraId="3AC1BD08">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我方保证从中标通知书发出之日起开工，并在招标文件规定要求的勘察、设计工期内完成全部招标工程。</w:t>
            </w:r>
          </w:p>
          <w:p w14:paraId="78156285">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我方保证按我方投标文件中的勘察、设计进度计划完成勘察、设计任务。</w:t>
            </w:r>
          </w:p>
        </w:tc>
        <w:tc>
          <w:tcPr>
            <w:tcW w:w="4426" w:type="dxa"/>
            <w:noWrap w:val="0"/>
            <w:vAlign w:val="center"/>
          </w:tcPr>
          <w:p w14:paraId="2F8F386E">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若因我方原因，勘察、设计没有按期完成时，我方须在逾期第壹天起每天按</w:t>
            </w:r>
            <w:r>
              <w:rPr>
                <w:rFonts w:hint="eastAsia" w:ascii="宋体" w:hAnsi="宋体" w:eastAsia="宋体" w:cs="宋体"/>
                <w:color w:val="auto"/>
                <w:kern w:val="2"/>
                <w:sz w:val="21"/>
                <w:szCs w:val="21"/>
                <w:highlight w:val="none"/>
                <w:u w:val="single"/>
                <w:lang w:val="en-US" w:eastAsia="zh-CN" w:bidi="ar-SA"/>
              </w:rPr>
              <w:t>合同价款的1‰</w:t>
            </w:r>
            <w:r>
              <w:rPr>
                <w:rFonts w:hint="eastAsia" w:ascii="宋体" w:hAnsi="宋体" w:eastAsia="宋体" w:cs="宋体"/>
                <w:color w:val="auto"/>
                <w:kern w:val="2"/>
                <w:sz w:val="21"/>
                <w:szCs w:val="21"/>
                <w:highlight w:val="none"/>
                <w:lang w:val="en-US" w:eastAsia="zh-CN" w:bidi="ar-SA"/>
              </w:rPr>
              <w:t>向招标人返纳逾期违约金。</w:t>
            </w:r>
          </w:p>
          <w:p w14:paraId="0B07C990">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若因我方原因，勘察、设计的进度未能按我方投标文件中的设计进度计划完成勘察、设计任务，延期达到30日历天，招标人有权终止合同。我方愿意承担所有由此引起的责任及经济损失。</w:t>
            </w:r>
          </w:p>
        </w:tc>
      </w:tr>
      <w:tr w14:paraId="5D00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3" w:hRule="atLeast"/>
          <w:jc w:val="center"/>
        </w:trPr>
        <w:tc>
          <w:tcPr>
            <w:tcW w:w="587" w:type="dxa"/>
            <w:noWrap w:val="0"/>
            <w:vAlign w:val="center"/>
          </w:tcPr>
          <w:p w14:paraId="56E3E69F">
            <w:pPr>
              <w:keepNext w:val="0"/>
              <w:keepLines w:val="0"/>
              <w:pageBreakBefore w:val="0"/>
              <w:widowControl w:val="0"/>
              <w:shd w:val="clear" w:color="auto" w:fill="auto"/>
              <w:kinsoku/>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2"/>
                <w:kern w:val="2"/>
                <w:sz w:val="21"/>
                <w:szCs w:val="21"/>
                <w:highlight w:val="none"/>
                <w:lang w:val="en-US" w:eastAsia="zh-CN" w:bidi="ar-SA"/>
              </w:rPr>
              <w:t>5</w:t>
            </w:r>
          </w:p>
        </w:tc>
        <w:tc>
          <w:tcPr>
            <w:tcW w:w="1539" w:type="dxa"/>
            <w:noWrap w:val="0"/>
            <w:vAlign w:val="center"/>
          </w:tcPr>
          <w:p w14:paraId="08B75DC2">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质量承诺</w:t>
            </w:r>
          </w:p>
        </w:tc>
        <w:tc>
          <w:tcPr>
            <w:tcW w:w="3407" w:type="dxa"/>
            <w:noWrap w:val="0"/>
            <w:vAlign w:val="center"/>
          </w:tcPr>
          <w:p w14:paraId="7409FD95">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我方保证按照现行的国家、广东省规定和合同约定的技术规范、标准进行设计，按本招标文件规定的内容、时间及份数向招标人交付设计文件，并对提交的设计文件质量负责。</w:t>
            </w:r>
          </w:p>
          <w:p w14:paraId="5E812548">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设计合理使用年限为50年。</w:t>
            </w:r>
          </w:p>
          <w:p w14:paraId="658DE6E5">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我方保证按经过批准的方案设计概算（建安费）进行限额设计，并对设计文件出现的遗漏或错误负责修改或补充。</w:t>
            </w:r>
          </w:p>
        </w:tc>
        <w:tc>
          <w:tcPr>
            <w:tcW w:w="4426" w:type="dxa"/>
            <w:noWrap w:val="0"/>
            <w:vAlign w:val="center"/>
          </w:tcPr>
          <w:p w14:paraId="4DD41DD8">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因我方设计错误造成工程质量事故损失，我方除负责采取补救措施外，并保证免收损失部分的设计费，并根据损失程度向发包人支付赔偿金，赔偿金为直接损失部分设计费的30%。造成第三方损失的，由韶关市仲裁委员会进行仲裁，并根据仲裁结果承担责任。</w:t>
            </w:r>
          </w:p>
          <w:p w14:paraId="06FAF293">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我方同意所有违约金以及赔偿金在勘察、设计费中扣除或在履约保证金中扣除。</w:t>
            </w:r>
          </w:p>
        </w:tc>
      </w:tr>
      <w:tr w14:paraId="256A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87" w:type="dxa"/>
            <w:noWrap w:val="0"/>
            <w:vAlign w:val="center"/>
          </w:tcPr>
          <w:p w14:paraId="67AEB8B4">
            <w:pPr>
              <w:keepNext w:val="0"/>
              <w:keepLines w:val="0"/>
              <w:pageBreakBefore w:val="0"/>
              <w:widowControl w:val="0"/>
              <w:shd w:val="clear" w:color="auto" w:fill="auto"/>
              <w:kinsoku/>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6</w:t>
            </w:r>
          </w:p>
        </w:tc>
        <w:tc>
          <w:tcPr>
            <w:tcW w:w="1539" w:type="dxa"/>
            <w:noWrap w:val="0"/>
            <w:vAlign w:val="center"/>
          </w:tcPr>
          <w:p w14:paraId="5D72B7EC">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账户承诺</w:t>
            </w:r>
          </w:p>
        </w:tc>
        <w:tc>
          <w:tcPr>
            <w:tcW w:w="3407" w:type="dxa"/>
            <w:noWrap w:val="0"/>
            <w:vAlign w:val="center"/>
          </w:tcPr>
          <w:p w14:paraId="1233AA2E">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我方保证招标人的资金随时可划入合同中规定的我方账户。</w:t>
            </w:r>
          </w:p>
        </w:tc>
        <w:tc>
          <w:tcPr>
            <w:tcW w:w="4426" w:type="dxa"/>
            <w:noWrap w:val="0"/>
            <w:vAlign w:val="center"/>
          </w:tcPr>
          <w:p w14:paraId="56441EAC">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若因我方原因造成招标人的资金无法划入合同中规定的我方账户，如时间达到30日历天，招标人有权终止合同。我方承担由此造成的所有责任及经济损失。</w:t>
            </w:r>
          </w:p>
        </w:tc>
      </w:tr>
      <w:tr w14:paraId="7733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0" w:hRule="atLeast"/>
          <w:jc w:val="center"/>
        </w:trPr>
        <w:tc>
          <w:tcPr>
            <w:tcW w:w="587" w:type="dxa"/>
            <w:noWrap w:val="0"/>
            <w:vAlign w:val="center"/>
          </w:tcPr>
          <w:p w14:paraId="065D0277">
            <w:pPr>
              <w:keepNext w:val="0"/>
              <w:keepLines w:val="0"/>
              <w:pageBreakBefore w:val="0"/>
              <w:widowControl w:val="0"/>
              <w:shd w:val="clear" w:color="auto" w:fill="auto"/>
              <w:kinsoku/>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1539" w:type="dxa"/>
            <w:noWrap w:val="0"/>
            <w:vAlign w:val="center"/>
          </w:tcPr>
          <w:p w14:paraId="0D6AB3EC">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工程的配合服务承诺</w:t>
            </w:r>
          </w:p>
        </w:tc>
        <w:tc>
          <w:tcPr>
            <w:tcW w:w="3407" w:type="dxa"/>
            <w:noWrap w:val="0"/>
            <w:vAlign w:val="center"/>
          </w:tcPr>
          <w:p w14:paraId="7148D76C">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方保证安排各专业设计人员不定期到现场配合施工，并安排一名设计代表作为处理现场问题及联络双方需协调事宜。根据施工进度情况和招标人的要求，每个专业各安排二名专职设计人员组成设计小组配合施工。其他专业为不定期到现场配合施工。配合施工的设计人员应服从施工需要，随时到现场配合施工。</w:t>
            </w:r>
          </w:p>
        </w:tc>
        <w:tc>
          <w:tcPr>
            <w:tcW w:w="4426" w:type="dxa"/>
            <w:noWrap w:val="0"/>
            <w:vAlign w:val="center"/>
          </w:tcPr>
          <w:p w14:paraId="7D93F7D9">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若因我方原因，未及时配合与施工单位的工程施工，给招标人或施工单位造成损失的，我方承担所有的责任及经济损失。</w:t>
            </w:r>
          </w:p>
          <w:p w14:paraId="59F2BF22">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各专业安排施工现场的专职设计人员未及时配合与施工单位的工程施工，每缺席一人次扣除1000元,缺席累计达10人次的，招标人有权终止合同。我方承担由此造成的所有责任及经济损失。</w:t>
            </w:r>
          </w:p>
        </w:tc>
      </w:tr>
      <w:tr w14:paraId="450A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7" w:hRule="atLeast"/>
          <w:jc w:val="center"/>
        </w:trPr>
        <w:tc>
          <w:tcPr>
            <w:tcW w:w="587" w:type="dxa"/>
            <w:noWrap w:val="0"/>
            <w:vAlign w:val="center"/>
          </w:tcPr>
          <w:p w14:paraId="1B7CA80C">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1539" w:type="dxa"/>
            <w:noWrap w:val="0"/>
            <w:vAlign w:val="center"/>
          </w:tcPr>
          <w:p w14:paraId="3645DAC2">
            <w:pPr>
              <w:pStyle w:val="12"/>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项目管理班子人员承诺</w:t>
            </w:r>
          </w:p>
        </w:tc>
        <w:tc>
          <w:tcPr>
            <w:tcW w:w="3407" w:type="dxa"/>
            <w:noWrap w:val="0"/>
            <w:vAlign w:val="center"/>
          </w:tcPr>
          <w:p w14:paraId="3E2C1B39">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firstLine="412" w:firstLineChars="200"/>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我</w:t>
            </w:r>
            <w:r>
              <w:rPr>
                <w:rFonts w:hint="eastAsia" w:ascii="宋体" w:hAnsi="宋体" w:eastAsia="宋体" w:cs="宋体"/>
                <w:color w:val="auto"/>
                <w:spacing w:val="-2"/>
                <w:kern w:val="2"/>
                <w:sz w:val="21"/>
                <w:szCs w:val="21"/>
                <w:highlight w:val="none"/>
                <w:u w:val="single"/>
                <w:lang w:val="en-US" w:eastAsia="zh-CN" w:bidi="ar-SA"/>
              </w:rPr>
              <w:t>方保证投标文件中所拟派的</w:t>
            </w:r>
            <w:r>
              <w:rPr>
                <w:rFonts w:hint="eastAsia" w:ascii="宋体" w:hAnsi="宋体" w:eastAsia="宋体" w:cs="宋体"/>
                <w:color w:val="auto"/>
                <w:spacing w:val="-2"/>
                <w:kern w:val="2"/>
                <w:sz w:val="21"/>
                <w:szCs w:val="21"/>
                <w:highlight w:val="none"/>
                <w:lang w:val="en-US" w:eastAsia="zh-CN" w:bidi="ar-SA"/>
              </w:rPr>
              <w:t>设计负责人具有相对的资格证书。拟派人员全部到位，负责各自职责。</w:t>
            </w:r>
          </w:p>
        </w:tc>
        <w:tc>
          <w:tcPr>
            <w:tcW w:w="4426" w:type="dxa"/>
            <w:noWrap w:val="0"/>
            <w:vAlign w:val="center"/>
          </w:tcPr>
          <w:p w14:paraId="3127D12C">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若我方中标后，各负责人未按时参加招标人要求出席的会议（包括图纸会审和技术交底等，具体以招标人书面通知为准），每缺席一人次扣1000元违约金。我方承担由此造成的所有责任及经济损失。</w:t>
            </w:r>
          </w:p>
        </w:tc>
      </w:tr>
      <w:tr w14:paraId="5008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5" w:hRule="atLeast"/>
          <w:jc w:val="center"/>
        </w:trPr>
        <w:tc>
          <w:tcPr>
            <w:tcW w:w="587" w:type="dxa"/>
            <w:noWrap w:val="0"/>
            <w:vAlign w:val="center"/>
          </w:tcPr>
          <w:p w14:paraId="0F559E9E">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1539" w:type="dxa"/>
            <w:noWrap w:val="0"/>
            <w:vAlign w:val="center"/>
          </w:tcPr>
          <w:p w14:paraId="38542031">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项目负责人承诺</w:t>
            </w:r>
          </w:p>
        </w:tc>
        <w:tc>
          <w:tcPr>
            <w:tcW w:w="3407" w:type="dxa"/>
            <w:noWrap w:val="0"/>
            <w:vAlign w:val="center"/>
          </w:tcPr>
          <w:p w14:paraId="17D6D82E">
            <w:pPr>
              <w:pStyle w:val="12"/>
              <w:keepNext w:val="0"/>
              <w:keepLines w:val="0"/>
              <w:pageBreakBefore w:val="0"/>
              <w:widowControl w:val="0"/>
              <w:shd w:val="clear" w:color="auto" w:fill="auto"/>
              <w:kinsoku/>
              <w:wordWrap/>
              <w:overflowPunct/>
              <w:topLinePunct w:val="0"/>
              <w:autoSpaceDE/>
              <w:autoSpaceDN/>
              <w:bidi w:val="0"/>
              <w:adjustRightInd w:val="0"/>
              <w:snapToGrid w:val="0"/>
              <w:spacing w:line="320" w:lineRule="exact"/>
              <w:ind w:left="0" w:leftChars="0" w:firstLine="412" w:firstLineChars="200"/>
              <w:jc w:val="left"/>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kern w:val="2"/>
                <w:sz w:val="21"/>
                <w:szCs w:val="21"/>
                <w:highlight w:val="none"/>
                <w:lang w:val="en-US" w:eastAsia="zh-CN" w:bidi="ar-SA"/>
              </w:rPr>
              <w:t>我方保证投标文件中所拟派的</w:t>
            </w:r>
            <w:r>
              <w:rPr>
                <w:rFonts w:hint="eastAsia" w:ascii="宋体" w:hAnsi="宋体" w:eastAsia="宋体" w:cs="宋体"/>
                <w:color w:val="auto"/>
                <w:spacing w:val="-2"/>
                <w:kern w:val="2"/>
                <w:sz w:val="21"/>
                <w:szCs w:val="21"/>
                <w:highlight w:val="none"/>
                <w:u w:val="single"/>
                <w:lang w:val="en-US" w:eastAsia="zh-CN" w:bidi="ar-SA"/>
              </w:rPr>
              <w:t>设计负责人</w:t>
            </w:r>
            <w:r>
              <w:rPr>
                <w:rFonts w:hint="eastAsia" w:ascii="宋体" w:hAnsi="宋体" w:eastAsia="宋体" w:cs="宋体"/>
                <w:color w:val="auto"/>
                <w:spacing w:val="-2"/>
                <w:kern w:val="2"/>
                <w:sz w:val="21"/>
                <w:szCs w:val="21"/>
                <w:highlight w:val="none"/>
                <w:lang w:val="en-US" w:eastAsia="zh-CN" w:bidi="ar-SA"/>
              </w:rPr>
              <w:t>负责本项目勘察设计全过程（包括完善方案设计及方案深化、方案设计评审、方案设计修编、施工图设计审查、施工图设计修编、预算跟踪服务、图纸会审和技术交底）。</w:t>
            </w:r>
          </w:p>
        </w:tc>
        <w:tc>
          <w:tcPr>
            <w:tcW w:w="4426" w:type="dxa"/>
            <w:noWrap w:val="0"/>
            <w:vAlign w:val="center"/>
          </w:tcPr>
          <w:p w14:paraId="690162D5">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若因我方原因，项目负责人未准时参加本项目勘察设计全过程（包括完善方案设计及方案深化、方案设计评审、方案设计修编、施工图设计审查、施工图设计修编、预算跟踪服务、图纸会审和技术交底）的，每缺席一次扣1000元（以发包人发出的违约通知为准）。</w:t>
            </w:r>
          </w:p>
        </w:tc>
      </w:tr>
      <w:tr w14:paraId="1AD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5" w:hRule="atLeast"/>
          <w:jc w:val="center"/>
        </w:trPr>
        <w:tc>
          <w:tcPr>
            <w:tcW w:w="587" w:type="dxa"/>
            <w:noWrap w:val="0"/>
            <w:vAlign w:val="center"/>
          </w:tcPr>
          <w:p w14:paraId="45ECBD67">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1539" w:type="dxa"/>
            <w:noWrap w:val="0"/>
            <w:vAlign w:val="center"/>
          </w:tcPr>
          <w:p w14:paraId="28526016">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对不平衡报价的承诺</w:t>
            </w:r>
          </w:p>
        </w:tc>
        <w:tc>
          <w:tcPr>
            <w:tcW w:w="3407" w:type="dxa"/>
            <w:noWrap w:val="0"/>
            <w:vAlign w:val="center"/>
          </w:tcPr>
          <w:p w14:paraId="2CC42E3B">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如我方中标，我方无条件同意招标人对我方投标报价中界定为不平衡报价的综合单价在总价不变的情况下对各综合单价进行修正，并承担责任。</w:t>
            </w:r>
          </w:p>
        </w:tc>
        <w:tc>
          <w:tcPr>
            <w:tcW w:w="4426" w:type="dxa"/>
            <w:noWrap w:val="0"/>
            <w:vAlign w:val="center"/>
          </w:tcPr>
          <w:p w14:paraId="01D5D49C">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如我方不同意修正，招标人有权终止合同。我方承担由此造成的所有责任及经济损失。</w:t>
            </w:r>
          </w:p>
        </w:tc>
      </w:tr>
      <w:tr w14:paraId="3AA4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587" w:type="dxa"/>
            <w:noWrap w:val="0"/>
            <w:vAlign w:val="center"/>
          </w:tcPr>
          <w:p w14:paraId="2831D84A">
            <w:pPr>
              <w:keepNext w:val="0"/>
              <w:keepLines w:val="0"/>
              <w:pageBreakBefore w:val="0"/>
              <w:widowControl w:val="0"/>
              <w:shd w:val="clear" w:color="auto" w:fill="auto"/>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p>
        </w:tc>
        <w:tc>
          <w:tcPr>
            <w:tcW w:w="1539" w:type="dxa"/>
            <w:noWrap w:val="0"/>
            <w:vAlign w:val="center"/>
          </w:tcPr>
          <w:p w14:paraId="414238E2">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廉政承诺</w:t>
            </w:r>
          </w:p>
        </w:tc>
        <w:tc>
          <w:tcPr>
            <w:tcW w:w="3407" w:type="dxa"/>
            <w:noWrap w:val="0"/>
            <w:vAlign w:val="center"/>
          </w:tcPr>
          <w:p w14:paraId="1921F521">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我方保证严格遵守有关法律法规及廉政规定。</w:t>
            </w:r>
          </w:p>
        </w:tc>
        <w:tc>
          <w:tcPr>
            <w:tcW w:w="4426" w:type="dxa"/>
            <w:noWrap w:val="0"/>
            <w:vAlign w:val="center"/>
          </w:tcPr>
          <w:p w14:paraId="0592FFA0">
            <w:pPr>
              <w:pStyle w:val="12"/>
              <w:keepNext w:val="0"/>
              <w:keepLines w:val="0"/>
              <w:pageBreakBefore w:val="0"/>
              <w:widowControl w:val="0"/>
              <w:shd w:val="clear" w:color="auto" w:fill="auto"/>
              <w:kinsoku/>
              <w:overflowPunct/>
              <w:topLinePunct w:val="0"/>
              <w:autoSpaceDE/>
              <w:autoSpaceDN/>
              <w:bidi w:val="0"/>
              <w:adjustRightInd w:val="0"/>
              <w:snapToGrid w:val="0"/>
              <w:spacing w:line="3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如我单位及其工作人员违反本承诺规定的，愿接受党纪、政纪处理直至追究法律责任；给招标单位造成经济损失的，依法给予赔偿。</w:t>
            </w:r>
          </w:p>
        </w:tc>
      </w:tr>
    </w:tbl>
    <w:p w14:paraId="01B2BA44">
      <w:pPr>
        <w:rPr>
          <w:rFonts w:hint="eastAsia" w:ascii="宋体" w:hAnsi="宋体" w:eastAsia="宋体" w:cs="宋体"/>
          <w:color w:val="auto"/>
          <w:highlight w:val="none"/>
        </w:rPr>
      </w:pPr>
    </w:p>
    <w:p w14:paraId="060E6CDC">
      <w:pPr>
        <w:wordWrap w:val="0"/>
        <w:adjustRightInd w:val="0"/>
        <w:snapToGrid w:val="0"/>
        <w:spacing w:line="440" w:lineRule="exact"/>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4C847152">
      <w:pPr>
        <w:pStyle w:val="15"/>
        <w:rPr>
          <w:rFonts w:hint="eastAsia" w:ascii="宋体" w:hAnsi="宋体" w:eastAsia="宋体" w:cs="宋体"/>
          <w:color w:val="auto"/>
          <w:highlight w:val="none"/>
        </w:rPr>
      </w:pPr>
    </w:p>
    <w:p w14:paraId="1DA3A4D6">
      <w:pPr>
        <w:wordWrap w:val="0"/>
        <w:adjustRightInd w:val="0"/>
        <w:snapToGrid w:val="0"/>
        <w:spacing w:line="44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21566A85">
      <w:pPr>
        <w:pStyle w:val="15"/>
        <w:rPr>
          <w:rFonts w:hint="eastAsia" w:ascii="宋体" w:hAnsi="宋体" w:eastAsia="宋体" w:cs="宋体"/>
          <w:color w:val="auto"/>
          <w:highlight w:val="none"/>
        </w:rPr>
      </w:pPr>
    </w:p>
    <w:p w14:paraId="3E54B964">
      <w:pPr>
        <w:wordWrap w:val="0"/>
        <w:adjustRightInd w:val="0"/>
        <w:snapToGrid w:val="0"/>
        <w:spacing w:line="440" w:lineRule="exact"/>
        <w:jc w:val="left"/>
        <w:rPr>
          <w:rFonts w:hint="eastAsia" w:ascii="宋体" w:hAnsi="宋体" w:eastAsia="宋体" w:cs="宋体"/>
          <w:b/>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7826D173">
      <w:pPr>
        <w:wordWrap w:val="0"/>
        <w:adjustRightInd w:val="0"/>
        <w:snapToGrid w:val="0"/>
        <w:spacing w:line="400" w:lineRule="exact"/>
        <w:rPr>
          <w:rFonts w:hint="eastAsia" w:ascii="宋体" w:hAnsi="宋体" w:eastAsia="宋体" w:cs="宋体"/>
          <w:snapToGrid w:val="0"/>
          <w:color w:val="auto"/>
          <w:kern w:val="0"/>
          <w:sz w:val="24"/>
          <w:szCs w:val="24"/>
          <w:highlight w:val="none"/>
        </w:rPr>
      </w:pPr>
    </w:p>
    <w:p w14:paraId="3ACABFEC">
      <w:pPr>
        <w:rPr>
          <w:rFonts w:hint="eastAsia"/>
        </w:rPr>
      </w:pPr>
    </w:p>
    <w:p w14:paraId="4B9D1B9D">
      <w:pPr>
        <w:pStyle w:val="79"/>
        <w:keepNext/>
        <w:keepLines/>
        <w:adjustRightInd/>
        <w:jc w:val="both"/>
        <w:outlineLvl w:val="1"/>
        <w:rPr>
          <w:rFonts w:hint="eastAsia" w:ascii="宋体" w:hAnsi="宋体" w:eastAsia="宋体" w:cs="宋体"/>
          <w:b/>
          <w:color w:val="auto"/>
          <w:kern w:val="2"/>
          <w:highlight w:val="none"/>
          <w:lang w:val="en-US" w:eastAsia="zh-CN"/>
        </w:rPr>
      </w:pPr>
      <w:bookmarkStart w:id="519" w:name="_Toc26259"/>
      <w:bookmarkStart w:id="520" w:name="_Toc4169"/>
      <w:bookmarkStart w:id="521" w:name="_Toc24745"/>
      <w:bookmarkStart w:id="522" w:name="_Toc135054612"/>
      <w:bookmarkStart w:id="523" w:name="_Toc16294"/>
      <w:r>
        <w:rPr>
          <w:rFonts w:hint="eastAsia" w:ascii="宋体" w:hAnsi="宋体" w:eastAsia="宋体" w:cs="宋体"/>
          <w:b/>
          <w:color w:val="auto"/>
          <w:kern w:val="2"/>
          <w:highlight w:val="none"/>
          <w:lang w:val="en-US" w:eastAsia="zh-CN"/>
        </w:rPr>
        <w:t>格式五   投标人基本情况表</w:t>
      </w:r>
      <w:bookmarkEnd w:id="519"/>
      <w:bookmarkEnd w:id="520"/>
      <w:bookmarkEnd w:id="521"/>
      <w:bookmarkEnd w:id="522"/>
      <w:bookmarkEnd w:id="523"/>
    </w:p>
    <w:p w14:paraId="3F613FD3">
      <w:pPr>
        <w:wordWrap w:val="0"/>
        <w:adjustRightInd w:val="0"/>
        <w:snapToGrid w:val="0"/>
        <w:spacing w:line="440" w:lineRule="exact"/>
        <w:rPr>
          <w:rFonts w:hint="eastAsia" w:ascii="宋体" w:hAnsi="宋体" w:eastAsia="宋体" w:cs="宋体"/>
          <w:b/>
          <w:bCs/>
          <w:snapToGrid w:val="0"/>
          <w:color w:val="auto"/>
          <w:kern w:val="0"/>
          <w:sz w:val="24"/>
          <w:szCs w:val="24"/>
          <w:highlight w:val="none"/>
        </w:rPr>
      </w:pPr>
    </w:p>
    <w:p w14:paraId="4B1149F3">
      <w:pPr>
        <w:pStyle w:val="116"/>
        <w:widowControl w:val="0"/>
        <w:wordWrap w:val="0"/>
        <w:adjustRightInd w:val="0"/>
        <w:snapToGrid w:val="0"/>
        <w:spacing w:line="400" w:lineRule="exact"/>
        <w:ind w:firstLine="0"/>
        <w:jc w:val="center"/>
        <w:rPr>
          <w:rFonts w:hint="eastAsia" w:ascii="宋体" w:hAnsi="宋体" w:eastAsia="宋体" w:cs="宋体"/>
          <w:snapToGrid w:val="0"/>
          <w:color w:val="auto"/>
          <w:sz w:val="24"/>
          <w:szCs w:val="24"/>
          <w:highlight w:val="none"/>
        </w:rPr>
      </w:pPr>
      <w:r>
        <w:rPr>
          <w:rFonts w:hint="eastAsia" w:ascii="宋体" w:hAnsi="宋体" w:eastAsia="宋体" w:cs="宋体"/>
          <w:b/>
          <w:snapToGrid w:val="0"/>
          <w:color w:val="auto"/>
          <w:sz w:val="24"/>
          <w:szCs w:val="24"/>
          <w:highlight w:val="none"/>
        </w:rPr>
        <w:t>投标人基本情况表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927"/>
        <w:gridCol w:w="1746"/>
        <w:gridCol w:w="833"/>
        <w:gridCol w:w="293"/>
        <w:gridCol w:w="995"/>
        <w:gridCol w:w="267"/>
        <w:gridCol w:w="733"/>
        <w:gridCol w:w="1469"/>
      </w:tblGrid>
      <w:tr w14:paraId="159F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34" w:type="dxa"/>
            <w:vAlign w:val="center"/>
          </w:tcPr>
          <w:p w14:paraId="3E9AEA30">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投标人名称</w:t>
            </w:r>
          </w:p>
        </w:tc>
        <w:tc>
          <w:tcPr>
            <w:tcW w:w="7263" w:type="dxa"/>
            <w:gridSpan w:val="8"/>
            <w:vAlign w:val="center"/>
          </w:tcPr>
          <w:p w14:paraId="3C91530D">
            <w:pPr>
              <w:pStyle w:val="162"/>
              <w:wordWrap w:val="0"/>
              <w:adjustRightInd w:val="0"/>
              <w:snapToGrid w:val="0"/>
              <w:jc w:val="center"/>
              <w:rPr>
                <w:rFonts w:hint="eastAsia" w:ascii="宋体" w:hAnsi="宋体" w:eastAsia="宋体" w:cs="宋体"/>
                <w:snapToGrid w:val="0"/>
                <w:color w:val="auto"/>
                <w:kern w:val="0"/>
                <w:szCs w:val="21"/>
                <w:highlight w:val="none"/>
              </w:rPr>
            </w:pPr>
          </w:p>
        </w:tc>
      </w:tr>
      <w:tr w14:paraId="781E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34" w:type="dxa"/>
            <w:vAlign w:val="center"/>
          </w:tcPr>
          <w:p w14:paraId="16539F7A">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注册地址</w:t>
            </w:r>
          </w:p>
        </w:tc>
        <w:tc>
          <w:tcPr>
            <w:tcW w:w="3506" w:type="dxa"/>
            <w:gridSpan w:val="3"/>
            <w:vAlign w:val="center"/>
          </w:tcPr>
          <w:p w14:paraId="1D5781F5">
            <w:pPr>
              <w:pStyle w:val="162"/>
              <w:wordWrap w:val="0"/>
              <w:adjustRightInd w:val="0"/>
              <w:snapToGrid w:val="0"/>
              <w:jc w:val="center"/>
              <w:rPr>
                <w:rFonts w:hint="eastAsia" w:ascii="宋体" w:hAnsi="宋体" w:eastAsia="宋体" w:cs="宋体"/>
                <w:snapToGrid w:val="0"/>
                <w:color w:val="auto"/>
                <w:kern w:val="0"/>
                <w:szCs w:val="21"/>
                <w:highlight w:val="none"/>
              </w:rPr>
            </w:pPr>
          </w:p>
        </w:tc>
        <w:tc>
          <w:tcPr>
            <w:tcW w:w="1288" w:type="dxa"/>
            <w:gridSpan w:val="2"/>
            <w:vAlign w:val="center"/>
          </w:tcPr>
          <w:p w14:paraId="5F30D0CF">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邮政编码</w:t>
            </w:r>
          </w:p>
        </w:tc>
        <w:tc>
          <w:tcPr>
            <w:tcW w:w="2469" w:type="dxa"/>
            <w:gridSpan w:val="3"/>
            <w:vAlign w:val="center"/>
          </w:tcPr>
          <w:p w14:paraId="1083B9DC">
            <w:pPr>
              <w:pStyle w:val="162"/>
              <w:wordWrap w:val="0"/>
              <w:adjustRightInd w:val="0"/>
              <w:snapToGrid w:val="0"/>
              <w:jc w:val="center"/>
              <w:rPr>
                <w:rFonts w:hint="eastAsia" w:ascii="宋体" w:hAnsi="宋体" w:eastAsia="宋体" w:cs="宋体"/>
                <w:snapToGrid w:val="0"/>
                <w:color w:val="auto"/>
                <w:kern w:val="0"/>
                <w:szCs w:val="21"/>
                <w:highlight w:val="none"/>
              </w:rPr>
            </w:pPr>
          </w:p>
        </w:tc>
      </w:tr>
      <w:tr w14:paraId="48C2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34" w:type="dxa"/>
            <w:vMerge w:val="restart"/>
            <w:vAlign w:val="center"/>
          </w:tcPr>
          <w:p w14:paraId="0019FD12">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联系方式</w:t>
            </w:r>
          </w:p>
        </w:tc>
        <w:tc>
          <w:tcPr>
            <w:tcW w:w="927" w:type="dxa"/>
            <w:vAlign w:val="center"/>
          </w:tcPr>
          <w:p w14:paraId="75840A17">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联系人</w:t>
            </w:r>
          </w:p>
        </w:tc>
        <w:tc>
          <w:tcPr>
            <w:tcW w:w="2579" w:type="dxa"/>
            <w:gridSpan w:val="2"/>
            <w:vAlign w:val="center"/>
          </w:tcPr>
          <w:p w14:paraId="1B55ADC9">
            <w:pPr>
              <w:pStyle w:val="162"/>
              <w:wordWrap w:val="0"/>
              <w:adjustRightInd w:val="0"/>
              <w:snapToGrid w:val="0"/>
              <w:jc w:val="center"/>
              <w:rPr>
                <w:rFonts w:hint="eastAsia" w:ascii="宋体" w:hAnsi="宋体" w:eastAsia="宋体" w:cs="宋体"/>
                <w:snapToGrid w:val="0"/>
                <w:color w:val="auto"/>
                <w:kern w:val="0"/>
                <w:szCs w:val="21"/>
                <w:highlight w:val="none"/>
              </w:rPr>
            </w:pPr>
          </w:p>
        </w:tc>
        <w:tc>
          <w:tcPr>
            <w:tcW w:w="1288" w:type="dxa"/>
            <w:gridSpan w:val="2"/>
            <w:vAlign w:val="center"/>
          </w:tcPr>
          <w:p w14:paraId="0660E2BA">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  话</w:t>
            </w:r>
          </w:p>
        </w:tc>
        <w:tc>
          <w:tcPr>
            <w:tcW w:w="2469" w:type="dxa"/>
            <w:gridSpan w:val="3"/>
            <w:vAlign w:val="center"/>
          </w:tcPr>
          <w:p w14:paraId="64B1362C">
            <w:pPr>
              <w:pStyle w:val="162"/>
              <w:wordWrap w:val="0"/>
              <w:adjustRightInd w:val="0"/>
              <w:snapToGrid w:val="0"/>
              <w:jc w:val="center"/>
              <w:rPr>
                <w:rFonts w:hint="eastAsia" w:ascii="宋体" w:hAnsi="宋体" w:eastAsia="宋体" w:cs="宋体"/>
                <w:snapToGrid w:val="0"/>
                <w:color w:val="auto"/>
                <w:kern w:val="0"/>
                <w:szCs w:val="21"/>
                <w:highlight w:val="none"/>
              </w:rPr>
            </w:pPr>
          </w:p>
        </w:tc>
      </w:tr>
      <w:tr w14:paraId="010D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34" w:type="dxa"/>
            <w:vMerge w:val="continue"/>
            <w:vAlign w:val="center"/>
          </w:tcPr>
          <w:p w14:paraId="02598653">
            <w:pPr>
              <w:pStyle w:val="162"/>
              <w:wordWrap w:val="0"/>
              <w:adjustRightInd w:val="0"/>
              <w:snapToGrid w:val="0"/>
              <w:jc w:val="center"/>
              <w:rPr>
                <w:rFonts w:hint="eastAsia" w:ascii="宋体" w:hAnsi="宋体" w:eastAsia="宋体" w:cs="宋体"/>
                <w:snapToGrid w:val="0"/>
                <w:color w:val="auto"/>
                <w:kern w:val="0"/>
                <w:szCs w:val="21"/>
                <w:highlight w:val="none"/>
              </w:rPr>
            </w:pPr>
          </w:p>
        </w:tc>
        <w:tc>
          <w:tcPr>
            <w:tcW w:w="927" w:type="dxa"/>
            <w:vAlign w:val="center"/>
          </w:tcPr>
          <w:p w14:paraId="57B5C577">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p>
        </w:tc>
        <w:tc>
          <w:tcPr>
            <w:tcW w:w="2579" w:type="dxa"/>
            <w:gridSpan w:val="2"/>
            <w:vAlign w:val="center"/>
          </w:tcPr>
          <w:p w14:paraId="32CF0967">
            <w:pPr>
              <w:pStyle w:val="162"/>
              <w:wordWrap w:val="0"/>
              <w:adjustRightInd w:val="0"/>
              <w:snapToGrid w:val="0"/>
              <w:jc w:val="center"/>
              <w:rPr>
                <w:rFonts w:hint="eastAsia" w:ascii="宋体" w:hAnsi="宋体" w:eastAsia="宋体" w:cs="宋体"/>
                <w:snapToGrid w:val="0"/>
                <w:color w:val="auto"/>
                <w:kern w:val="0"/>
                <w:szCs w:val="21"/>
                <w:highlight w:val="none"/>
              </w:rPr>
            </w:pPr>
          </w:p>
        </w:tc>
        <w:tc>
          <w:tcPr>
            <w:tcW w:w="1288" w:type="dxa"/>
            <w:gridSpan w:val="2"/>
            <w:vAlign w:val="center"/>
          </w:tcPr>
          <w:p w14:paraId="70A46B29">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电子邮箱</w:t>
            </w:r>
          </w:p>
        </w:tc>
        <w:tc>
          <w:tcPr>
            <w:tcW w:w="2469" w:type="dxa"/>
            <w:gridSpan w:val="3"/>
            <w:vAlign w:val="center"/>
          </w:tcPr>
          <w:p w14:paraId="7F13B0C8">
            <w:pPr>
              <w:pStyle w:val="162"/>
              <w:wordWrap w:val="0"/>
              <w:adjustRightInd w:val="0"/>
              <w:snapToGrid w:val="0"/>
              <w:jc w:val="center"/>
              <w:rPr>
                <w:rFonts w:hint="eastAsia" w:ascii="宋体" w:hAnsi="宋体" w:eastAsia="宋体" w:cs="宋体"/>
                <w:snapToGrid w:val="0"/>
                <w:color w:val="auto"/>
                <w:kern w:val="0"/>
                <w:szCs w:val="21"/>
                <w:highlight w:val="none"/>
              </w:rPr>
            </w:pPr>
          </w:p>
        </w:tc>
      </w:tr>
      <w:tr w14:paraId="1607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34" w:type="dxa"/>
            <w:vAlign w:val="center"/>
          </w:tcPr>
          <w:p w14:paraId="6D6E3F26">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单位性质</w:t>
            </w:r>
          </w:p>
        </w:tc>
        <w:tc>
          <w:tcPr>
            <w:tcW w:w="7263" w:type="dxa"/>
            <w:gridSpan w:val="8"/>
            <w:vAlign w:val="center"/>
          </w:tcPr>
          <w:p w14:paraId="67D4E10E">
            <w:pPr>
              <w:pStyle w:val="162"/>
              <w:wordWrap w:val="0"/>
              <w:adjustRightInd w:val="0"/>
              <w:snapToGrid w:val="0"/>
              <w:jc w:val="center"/>
              <w:rPr>
                <w:rFonts w:hint="eastAsia" w:ascii="宋体" w:hAnsi="宋体" w:eastAsia="宋体" w:cs="宋体"/>
                <w:snapToGrid w:val="0"/>
                <w:color w:val="auto"/>
                <w:kern w:val="0"/>
                <w:szCs w:val="21"/>
                <w:highlight w:val="none"/>
              </w:rPr>
            </w:pPr>
          </w:p>
        </w:tc>
      </w:tr>
      <w:tr w14:paraId="7DA6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34" w:type="dxa"/>
            <w:vAlign w:val="center"/>
          </w:tcPr>
          <w:p w14:paraId="22122FAB">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w:t>
            </w:r>
          </w:p>
        </w:tc>
        <w:tc>
          <w:tcPr>
            <w:tcW w:w="927" w:type="dxa"/>
            <w:vAlign w:val="center"/>
          </w:tcPr>
          <w:p w14:paraId="059B72F0">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姓名</w:t>
            </w:r>
          </w:p>
        </w:tc>
        <w:tc>
          <w:tcPr>
            <w:tcW w:w="1746" w:type="dxa"/>
            <w:vAlign w:val="center"/>
          </w:tcPr>
          <w:p w14:paraId="79F4F6A5">
            <w:pPr>
              <w:pStyle w:val="162"/>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vAlign w:val="center"/>
          </w:tcPr>
          <w:p w14:paraId="4275256D">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技术职称</w:t>
            </w:r>
          </w:p>
        </w:tc>
        <w:tc>
          <w:tcPr>
            <w:tcW w:w="1262" w:type="dxa"/>
            <w:gridSpan w:val="2"/>
            <w:vAlign w:val="center"/>
          </w:tcPr>
          <w:p w14:paraId="01BC3D98">
            <w:pPr>
              <w:pStyle w:val="162"/>
              <w:wordWrap w:val="0"/>
              <w:adjustRightInd w:val="0"/>
              <w:snapToGrid w:val="0"/>
              <w:jc w:val="center"/>
              <w:rPr>
                <w:rFonts w:hint="eastAsia" w:ascii="宋体" w:hAnsi="宋体" w:eastAsia="宋体" w:cs="宋体"/>
                <w:snapToGrid w:val="0"/>
                <w:color w:val="auto"/>
                <w:kern w:val="0"/>
                <w:szCs w:val="21"/>
                <w:highlight w:val="none"/>
              </w:rPr>
            </w:pPr>
          </w:p>
        </w:tc>
        <w:tc>
          <w:tcPr>
            <w:tcW w:w="733" w:type="dxa"/>
            <w:vAlign w:val="center"/>
          </w:tcPr>
          <w:p w14:paraId="4FB5CACD">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电话</w:t>
            </w:r>
          </w:p>
        </w:tc>
        <w:tc>
          <w:tcPr>
            <w:tcW w:w="1469" w:type="dxa"/>
            <w:vAlign w:val="center"/>
          </w:tcPr>
          <w:p w14:paraId="69529CC4">
            <w:pPr>
              <w:pStyle w:val="162"/>
              <w:wordWrap w:val="0"/>
              <w:adjustRightInd w:val="0"/>
              <w:snapToGrid w:val="0"/>
              <w:jc w:val="center"/>
              <w:rPr>
                <w:rFonts w:hint="eastAsia" w:ascii="宋体" w:hAnsi="宋体" w:eastAsia="宋体" w:cs="宋体"/>
                <w:snapToGrid w:val="0"/>
                <w:color w:val="auto"/>
                <w:kern w:val="0"/>
                <w:szCs w:val="21"/>
                <w:highlight w:val="none"/>
              </w:rPr>
            </w:pPr>
          </w:p>
        </w:tc>
      </w:tr>
      <w:tr w14:paraId="185A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34" w:type="dxa"/>
            <w:vAlign w:val="center"/>
          </w:tcPr>
          <w:p w14:paraId="6EF6A578">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成立时间</w:t>
            </w:r>
          </w:p>
        </w:tc>
        <w:tc>
          <w:tcPr>
            <w:tcW w:w="2673" w:type="dxa"/>
            <w:gridSpan w:val="2"/>
            <w:vAlign w:val="center"/>
          </w:tcPr>
          <w:p w14:paraId="5E382FF0">
            <w:pPr>
              <w:pStyle w:val="162"/>
              <w:wordWrap w:val="0"/>
              <w:adjustRightInd w:val="0"/>
              <w:snapToGrid w:val="0"/>
              <w:jc w:val="center"/>
              <w:rPr>
                <w:rFonts w:hint="eastAsia" w:ascii="宋体" w:hAnsi="宋体" w:eastAsia="宋体" w:cs="宋体"/>
                <w:snapToGrid w:val="0"/>
                <w:color w:val="auto"/>
                <w:kern w:val="0"/>
                <w:szCs w:val="21"/>
                <w:highlight w:val="none"/>
              </w:rPr>
            </w:pPr>
          </w:p>
        </w:tc>
        <w:tc>
          <w:tcPr>
            <w:tcW w:w="4590" w:type="dxa"/>
            <w:gridSpan w:val="6"/>
            <w:vAlign w:val="center"/>
          </w:tcPr>
          <w:p w14:paraId="3045EA4D">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员工总人数（个）：</w:t>
            </w:r>
          </w:p>
        </w:tc>
      </w:tr>
      <w:tr w14:paraId="40B0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34" w:type="dxa"/>
            <w:vAlign w:val="center"/>
          </w:tcPr>
          <w:p w14:paraId="7A318494">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企业资质等级</w:t>
            </w:r>
          </w:p>
        </w:tc>
        <w:tc>
          <w:tcPr>
            <w:tcW w:w="2673" w:type="dxa"/>
            <w:gridSpan w:val="2"/>
            <w:vAlign w:val="center"/>
          </w:tcPr>
          <w:p w14:paraId="1807836F">
            <w:pPr>
              <w:pStyle w:val="162"/>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vMerge w:val="restart"/>
            <w:vAlign w:val="center"/>
          </w:tcPr>
          <w:p w14:paraId="3B2DC71B">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其中</w:t>
            </w:r>
          </w:p>
        </w:tc>
        <w:tc>
          <w:tcPr>
            <w:tcW w:w="1995" w:type="dxa"/>
            <w:gridSpan w:val="3"/>
            <w:vAlign w:val="center"/>
          </w:tcPr>
          <w:p w14:paraId="366019E1">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设计负责人</w:t>
            </w:r>
          </w:p>
        </w:tc>
        <w:tc>
          <w:tcPr>
            <w:tcW w:w="1469" w:type="dxa"/>
            <w:vAlign w:val="center"/>
          </w:tcPr>
          <w:p w14:paraId="725DAAF7">
            <w:pPr>
              <w:pStyle w:val="162"/>
              <w:wordWrap w:val="0"/>
              <w:adjustRightInd w:val="0"/>
              <w:snapToGrid w:val="0"/>
              <w:jc w:val="center"/>
              <w:rPr>
                <w:rFonts w:hint="eastAsia" w:ascii="宋体" w:hAnsi="宋体" w:eastAsia="宋体" w:cs="宋体"/>
                <w:snapToGrid w:val="0"/>
                <w:color w:val="auto"/>
                <w:kern w:val="0"/>
                <w:szCs w:val="21"/>
                <w:highlight w:val="none"/>
              </w:rPr>
            </w:pPr>
          </w:p>
        </w:tc>
      </w:tr>
      <w:tr w14:paraId="102C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34" w:type="dxa"/>
            <w:vAlign w:val="center"/>
          </w:tcPr>
          <w:p w14:paraId="1FDC252E">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营业执照号</w:t>
            </w:r>
          </w:p>
        </w:tc>
        <w:tc>
          <w:tcPr>
            <w:tcW w:w="2673" w:type="dxa"/>
            <w:gridSpan w:val="2"/>
            <w:vAlign w:val="center"/>
          </w:tcPr>
          <w:p w14:paraId="76EF664C">
            <w:pPr>
              <w:pStyle w:val="162"/>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vMerge w:val="continue"/>
            <w:vAlign w:val="center"/>
          </w:tcPr>
          <w:p w14:paraId="3BD4E59C">
            <w:pPr>
              <w:pStyle w:val="162"/>
              <w:wordWrap w:val="0"/>
              <w:adjustRightInd w:val="0"/>
              <w:snapToGrid w:val="0"/>
              <w:jc w:val="center"/>
              <w:rPr>
                <w:rFonts w:hint="eastAsia" w:ascii="宋体" w:hAnsi="宋体" w:eastAsia="宋体" w:cs="宋体"/>
                <w:snapToGrid w:val="0"/>
                <w:color w:val="auto"/>
                <w:kern w:val="0"/>
                <w:szCs w:val="21"/>
                <w:highlight w:val="none"/>
              </w:rPr>
            </w:pPr>
          </w:p>
        </w:tc>
        <w:tc>
          <w:tcPr>
            <w:tcW w:w="1995" w:type="dxa"/>
            <w:gridSpan w:val="3"/>
            <w:vAlign w:val="center"/>
          </w:tcPr>
          <w:p w14:paraId="5BF2541F">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高级职称人员</w:t>
            </w:r>
          </w:p>
        </w:tc>
        <w:tc>
          <w:tcPr>
            <w:tcW w:w="1469" w:type="dxa"/>
            <w:vAlign w:val="center"/>
          </w:tcPr>
          <w:p w14:paraId="18E6A673">
            <w:pPr>
              <w:pStyle w:val="162"/>
              <w:wordWrap w:val="0"/>
              <w:adjustRightInd w:val="0"/>
              <w:snapToGrid w:val="0"/>
              <w:jc w:val="center"/>
              <w:rPr>
                <w:rFonts w:hint="eastAsia" w:ascii="宋体" w:hAnsi="宋体" w:eastAsia="宋体" w:cs="宋体"/>
                <w:snapToGrid w:val="0"/>
                <w:color w:val="auto"/>
                <w:kern w:val="0"/>
                <w:szCs w:val="21"/>
                <w:highlight w:val="none"/>
              </w:rPr>
            </w:pPr>
          </w:p>
        </w:tc>
      </w:tr>
      <w:tr w14:paraId="5901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34" w:type="dxa"/>
            <w:vAlign w:val="center"/>
          </w:tcPr>
          <w:p w14:paraId="0A1660CD">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注册资金</w:t>
            </w:r>
          </w:p>
        </w:tc>
        <w:tc>
          <w:tcPr>
            <w:tcW w:w="2673" w:type="dxa"/>
            <w:gridSpan w:val="2"/>
            <w:vAlign w:val="center"/>
          </w:tcPr>
          <w:p w14:paraId="2B88A628">
            <w:pPr>
              <w:pStyle w:val="162"/>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vMerge w:val="continue"/>
            <w:vAlign w:val="center"/>
          </w:tcPr>
          <w:p w14:paraId="7A1C7B64">
            <w:pPr>
              <w:pStyle w:val="162"/>
              <w:wordWrap w:val="0"/>
              <w:adjustRightInd w:val="0"/>
              <w:snapToGrid w:val="0"/>
              <w:jc w:val="center"/>
              <w:rPr>
                <w:rFonts w:hint="eastAsia" w:ascii="宋体" w:hAnsi="宋体" w:eastAsia="宋体" w:cs="宋体"/>
                <w:snapToGrid w:val="0"/>
                <w:color w:val="auto"/>
                <w:kern w:val="0"/>
                <w:szCs w:val="21"/>
                <w:highlight w:val="none"/>
              </w:rPr>
            </w:pPr>
          </w:p>
        </w:tc>
        <w:tc>
          <w:tcPr>
            <w:tcW w:w="1995" w:type="dxa"/>
            <w:gridSpan w:val="3"/>
            <w:vAlign w:val="center"/>
          </w:tcPr>
          <w:p w14:paraId="6FD99CB5">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中级职称人员</w:t>
            </w:r>
          </w:p>
        </w:tc>
        <w:tc>
          <w:tcPr>
            <w:tcW w:w="1469" w:type="dxa"/>
            <w:vAlign w:val="center"/>
          </w:tcPr>
          <w:p w14:paraId="1320ADD0">
            <w:pPr>
              <w:pStyle w:val="162"/>
              <w:wordWrap w:val="0"/>
              <w:adjustRightInd w:val="0"/>
              <w:snapToGrid w:val="0"/>
              <w:jc w:val="center"/>
              <w:rPr>
                <w:rFonts w:hint="eastAsia" w:ascii="宋体" w:hAnsi="宋体" w:eastAsia="宋体" w:cs="宋体"/>
                <w:snapToGrid w:val="0"/>
                <w:color w:val="auto"/>
                <w:kern w:val="0"/>
                <w:szCs w:val="21"/>
                <w:highlight w:val="none"/>
              </w:rPr>
            </w:pPr>
          </w:p>
        </w:tc>
      </w:tr>
      <w:tr w14:paraId="07BD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34" w:type="dxa"/>
            <w:vAlign w:val="center"/>
          </w:tcPr>
          <w:p w14:paraId="3950436A">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开户银行</w:t>
            </w:r>
          </w:p>
        </w:tc>
        <w:tc>
          <w:tcPr>
            <w:tcW w:w="2673" w:type="dxa"/>
            <w:gridSpan w:val="2"/>
            <w:vAlign w:val="center"/>
          </w:tcPr>
          <w:p w14:paraId="3361EEAD">
            <w:pPr>
              <w:pStyle w:val="162"/>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vMerge w:val="continue"/>
            <w:vAlign w:val="center"/>
          </w:tcPr>
          <w:p w14:paraId="6EA627BF">
            <w:pPr>
              <w:pStyle w:val="162"/>
              <w:wordWrap w:val="0"/>
              <w:adjustRightInd w:val="0"/>
              <w:snapToGrid w:val="0"/>
              <w:jc w:val="center"/>
              <w:rPr>
                <w:rFonts w:hint="eastAsia" w:ascii="宋体" w:hAnsi="宋体" w:eastAsia="宋体" w:cs="宋体"/>
                <w:snapToGrid w:val="0"/>
                <w:color w:val="auto"/>
                <w:kern w:val="0"/>
                <w:szCs w:val="21"/>
                <w:highlight w:val="none"/>
              </w:rPr>
            </w:pPr>
          </w:p>
        </w:tc>
        <w:tc>
          <w:tcPr>
            <w:tcW w:w="1995" w:type="dxa"/>
            <w:gridSpan w:val="3"/>
            <w:vAlign w:val="center"/>
          </w:tcPr>
          <w:p w14:paraId="5B80BC1E">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初级职称人员</w:t>
            </w:r>
          </w:p>
        </w:tc>
        <w:tc>
          <w:tcPr>
            <w:tcW w:w="1469" w:type="dxa"/>
            <w:vAlign w:val="center"/>
          </w:tcPr>
          <w:p w14:paraId="5CF4C993">
            <w:pPr>
              <w:pStyle w:val="162"/>
              <w:wordWrap w:val="0"/>
              <w:adjustRightInd w:val="0"/>
              <w:snapToGrid w:val="0"/>
              <w:jc w:val="center"/>
              <w:rPr>
                <w:rFonts w:hint="eastAsia" w:ascii="宋体" w:hAnsi="宋体" w:eastAsia="宋体" w:cs="宋体"/>
                <w:snapToGrid w:val="0"/>
                <w:color w:val="auto"/>
                <w:kern w:val="0"/>
                <w:szCs w:val="21"/>
                <w:highlight w:val="none"/>
              </w:rPr>
            </w:pPr>
          </w:p>
        </w:tc>
      </w:tr>
      <w:tr w14:paraId="6C47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934" w:type="dxa"/>
            <w:vAlign w:val="center"/>
          </w:tcPr>
          <w:p w14:paraId="525D13B8">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账号</w:t>
            </w:r>
          </w:p>
        </w:tc>
        <w:tc>
          <w:tcPr>
            <w:tcW w:w="2673" w:type="dxa"/>
            <w:gridSpan w:val="2"/>
            <w:vAlign w:val="center"/>
          </w:tcPr>
          <w:p w14:paraId="74798905">
            <w:pPr>
              <w:pStyle w:val="162"/>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vMerge w:val="continue"/>
            <w:vAlign w:val="center"/>
          </w:tcPr>
          <w:p w14:paraId="76F9F3D4">
            <w:pPr>
              <w:pStyle w:val="162"/>
              <w:wordWrap w:val="0"/>
              <w:adjustRightInd w:val="0"/>
              <w:snapToGrid w:val="0"/>
              <w:jc w:val="center"/>
              <w:rPr>
                <w:rFonts w:hint="eastAsia" w:ascii="宋体" w:hAnsi="宋体" w:eastAsia="宋体" w:cs="宋体"/>
                <w:snapToGrid w:val="0"/>
                <w:color w:val="auto"/>
                <w:kern w:val="0"/>
                <w:szCs w:val="21"/>
                <w:highlight w:val="none"/>
              </w:rPr>
            </w:pPr>
          </w:p>
        </w:tc>
        <w:tc>
          <w:tcPr>
            <w:tcW w:w="1995" w:type="dxa"/>
            <w:gridSpan w:val="3"/>
            <w:vAlign w:val="center"/>
          </w:tcPr>
          <w:p w14:paraId="535EE0FC">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技术员</w:t>
            </w:r>
          </w:p>
        </w:tc>
        <w:tc>
          <w:tcPr>
            <w:tcW w:w="1469" w:type="dxa"/>
            <w:vAlign w:val="center"/>
          </w:tcPr>
          <w:p w14:paraId="3BDA2481">
            <w:pPr>
              <w:pStyle w:val="162"/>
              <w:wordWrap w:val="0"/>
              <w:adjustRightInd w:val="0"/>
              <w:snapToGrid w:val="0"/>
              <w:jc w:val="center"/>
              <w:rPr>
                <w:rFonts w:hint="eastAsia" w:ascii="宋体" w:hAnsi="宋体" w:eastAsia="宋体" w:cs="宋体"/>
                <w:snapToGrid w:val="0"/>
                <w:color w:val="auto"/>
                <w:kern w:val="0"/>
                <w:szCs w:val="21"/>
                <w:highlight w:val="none"/>
              </w:rPr>
            </w:pPr>
          </w:p>
        </w:tc>
      </w:tr>
      <w:tr w14:paraId="0886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934" w:type="dxa"/>
            <w:vAlign w:val="center"/>
          </w:tcPr>
          <w:p w14:paraId="1555E3CE">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经营范围</w:t>
            </w:r>
          </w:p>
        </w:tc>
        <w:tc>
          <w:tcPr>
            <w:tcW w:w="7263" w:type="dxa"/>
            <w:gridSpan w:val="8"/>
            <w:vAlign w:val="center"/>
          </w:tcPr>
          <w:p w14:paraId="6DAA83B6">
            <w:pPr>
              <w:pStyle w:val="162"/>
              <w:wordWrap w:val="0"/>
              <w:adjustRightInd w:val="0"/>
              <w:snapToGrid w:val="0"/>
              <w:jc w:val="center"/>
              <w:rPr>
                <w:rFonts w:hint="eastAsia" w:ascii="宋体" w:hAnsi="宋体" w:eastAsia="宋体" w:cs="宋体"/>
                <w:snapToGrid w:val="0"/>
                <w:color w:val="auto"/>
                <w:kern w:val="0"/>
                <w:szCs w:val="21"/>
                <w:highlight w:val="none"/>
              </w:rPr>
            </w:pPr>
          </w:p>
        </w:tc>
      </w:tr>
      <w:tr w14:paraId="6274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jc w:val="center"/>
        </w:trPr>
        <w:tc>
          <w:tcPr>
            <w:tcW w:w="1934" w:type="dxa"/>
            <w:vAlign w:val="center"/>
          </w:tcPr>
          <w:p w14:paraId="54E95CF2">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关联企业情况</w:t>
            </w:r>
          </w:p>
        </w:tc>
        <w:tc>
          <w:tcPr>
            <w:tcW w:w="7263" w:type="dxa"/>
            <w:gridSpan w:val="8"/>
            <w:vAlign w:val="center"/>
          </w:tcPr>
          <w:p w14:paraId="0E1D8E46">
            <w:pPr>
              <w:pStyle w:val="162"/>
              <w:wordWrap w:val="0"/>
              <w:adjustRightInd w:val="0"/>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包括但不限于与投标人存在以下关系的不同单位：</w:t>
            </w:r>
          </w:p>
          <w:p w14:paraId="4C3A5FB8">
            <w:pPr>
              <w:pStyle w:val="162"/>
              <w:wordWrap w:val="0"/>
              <w:adjustRightInd w:val="0"/>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1．法定代表人为同一人的。</w:t>
            </w:r>
          </w:p>
          <w:p w14:paraId="1001483A">
            <w:pPr>
              <w:pStyle w:val="162"/>
              <w:wordWrap w:val="0"/>
              <w:adjustRightInd w:val="0"/>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2．存在控股、管理关系的。</w:t>
            </w:r>
          </w:p>
          <w:p w14:paraId="62BFD056">
            <w:pPr>
              <w:pStyle w:val="162"/>
              <w:wordWrap w:val="0"/>
              <w:adjustRightInd w:val="0"/>
              <w:snapToGrid w:val="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3．主要人员相互任职的。</w:t>
            </w:r>
          </w:p>
        </w:tc>
      </w:tr>
      <w:tr w14:paraId="3453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934" w:type="dxa"/>
            <w:vAlign w:val="center"/>
          </w:tcPr>
          <w:p w14:paraId="3DB91FA5">
            <w:pPr>
              <w:pStyle w:val="16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c>
          <w:tcPr>
            <w:tcW w:w="7263" w:type="dxa"/>
            <w:gridSpan w:val="8"/>
            <w:vAlign w:val="center"/>
          </w:tcPr>
          <w:p w14:paraId="2060EF64">
            <w:pPr>
              <w:pStyle w:val="162"/>
              <w:wordWrap w:val="0"/>
              <w:adjustRightInd w:val="0"/>
              <w:snapToGrid w:val="0"/>
              <w:jc w:val="center"/>
              <w:rPr>
                <w:rFonts w:hint="eastAsia" w:ascii="宋体" w:hAnsi="宋体" w:eastAsia="宋体" w:cs="宋体"/>
                <w:snapToGrid w:val="0"/>
                <w:color w:val="auto"/>
                <w:kern w:val="0"/>
                <w:szCs w:val="21"/>
                <w:highlight w:val="none"/>
              </w:rPr>
            </w:pPr>
          </w:p>
        </w:tc>
      </w:tr>
    </w:tbl>
    <w:p w14:paraId="48A7B3D0">
      <w:pPr>
        <w:pStyle w:val="162"/>
        <w:wordWrap w:val="0"/>
        <w:adjustRightInd w:val="0"/>
        <w:snapToGrid w:val="0"/>
        <w:spacing w:line="400" w:lineRule="exac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说明：</w:t>
      </w:r>
    </w:p>
    <w:p w14:paraId="51838F75">
      <w:pPr>
        <w:pStyle w:val="162"/>
        <w:wordWrap w:val="0"/>
        <w:adjustRightInd w:val="0"/>
        <w:snapToGrid w:val="0"/>
        <w:spacing w:line="400" w:lineRule="exact"/>
        <w:ind w:firstLine="420" w:firstLineChars="200"/>
        <w:outlineLvl w:val="9"/>
        <w:rPr>
          <w:rFonts w:hint="eastAsia" w:ascii="宋体" w:hAnsi="宋体" w:eastAsia="宋体" w:cs="宋体"/>
          <w:snapToGrid w:val="0"/>
          <w:color w:val="auto"/>
          <w:kern w:val="0"/>
          <w:szCs w:val="21"/>
          <w:highlight w:val="none"/>
        </w:rPr>
      </w:pPr>
      <w:bookmarkStart w:id="524" w:name="_Toc22152"/>
      <w:r>
        <w:rPr>
          <w:rFonts w:hint="eastAsia" w:ascii="宋体" w:hAnsi="宋体" w:eastAsia="宋体" w:cs="宋体"/>
          <w:snapToGrid w:val="0"/>
          <w:color w:val="auto"/>
          <w:kern w:val="0"/>
          <w:szCs w:val="21"/>
          <w:highlight w:val="none"/>
        </w:rPr>
        <w:t>1.《投标人基本情况表》后应附以下资料：</w:t>
      </w:r>
      <w:bookmarkEnd w:id="524"/>
    </w:p>
    <w:p w14:paraId="7A573248">
      <w:pPr>
        <w:pStyle w:val="162"/>
        <w:wordWrap w:val="0"/>
        <w:adjustRightInd w:val="0"/>
        <w:snapToGri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（1）企业营业执照、资质证书的扫描件</w:t>
      </w:r>
      <w:r>
        <w:rPr>
          <w:rFonts w:hint="eastAsia" w:ascii="宋体" w:hAnsi="宋体" w:eastAsia="宋体" w:cs="宋体"/>
          <w:b/>
          <w:bCs/>
          <w:snapToGrid w:val="0"/>
          <w:color w:val="auto"/>
          <w:kern w:val="0"/>
          <w:szCs w:val="21"/>
          <w:highlight w:val="none"/>
        </w:rPr>
        <w:t>（因推行电子证照，部分企业已不存在副本等纸质证书。可打印件营业执照、资质证书实时网页查询页）</w:t>
      </w:r>
      <w:r>
        <w:rPr>
          <w:rFonts w:hint="eastAsia" w:ascii="宋体" w:hAnsi="宋体" w:eastAsia="宋体" w:cs="宋体"/>
          <w:snapToGrid w:val="0"/>
          <w:color w:val="auto"/>
          <w:kern w:val="0"/>
          <w:szCs w:val="21"/>
          <w:highlight w:val="none"/>
        </w:rPr>
        <w:t>；</w:t>
      </w:r>
    </w:p>
    <w:p w14:paraId="7844D68A">
      <w:pPr>
        <w:pStyle w:val="162"/>
        <w:wordWrap w:val="0"/>
        <w:adjustRightInd w:val="0"/>
        <w:snapToGri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（2）“进粤企业和人员诚信信息登记平台”企业信息情况打印页扫描件。（适用于省外企业）；</w:t>
      </w:r>
    </w:p>
    <w:p w14:paraId="04D3EDD5">
      <w:pPr>
        <w:pStyle w:val="162"/>
        <w:wordWrap w:val="0"/>
        <w:adjustRightInd w:val="0"/>
        <w:snapToGri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（3）《法人和非法人组织公共信用信息报告》打印件扫描件(在“信用中国（https://www.creditchina.gov.cn）”网站企业查询界面中下载)。</w:t>
      </w:r>
    </w:p>
    <w:p w14:paraId="6BFA7CA5">
      <w:pPr>
        <w:pStyle w:val="162"/>
        <w:wordWrap w:val="0"/>
        <w:adjustRightInd w:val="0"/>
        <w:snapToGrid w:val="0"/>
        <w:spacing w:line="400" w:lineRule="exact"/>
        <w:rPr>
          <w:rFonts w:hint="eastAsia" w:ascii="宋体" w:hAnsi="宋体" w:eastAsia="宋体" w:cs="宋体"/>
          <w:snapToGrid w:val="0"/>
          <w:color w:val="auto"/>
          <w:kern w:val="0"/>
          <w:szCs w:val="21"/>
          <w:highlight w:val="none"/>
        </w:rPr>
      </w:pPr>
    </w:p>
    <w:p w14:paraId="6B80CBC3">
      <w:pPr>
        <w:pStyle w:val="162"/>
        <w:wordWrap w:val="0"/>
        <w:adjustRightInd w:val="0"/>
        <w:snapToGrid w:val="0"/>
        <w:spacing w:line="400" w:lineRule="exact"/>
        <w:rPr>
          <w:rFonts w:hint="eastAsia" w:ascii="宋体" w:hAnsi="宋体" w:eastAsia="宋体" w:cs="宋体"/>
          <w:snapToGrid w:val="0"/>
          <w:color w:val="auto"/>
          <w:kern w:val="0"/>
          <w:szCs w:val="21"/>
          <w:highlight w:val="none"/>
        </w:rPr>
      </w:pPr>
    </w:p>
    <w:p w14:paraId="01659118">
      <w:pPr>
        <w:pStyle w:val="162"/>
        <w:wordWrap w:val="0"/>
        <w:adjustRightInd w:val="0"/>
        <w:snapToGrid w:val="0"/>
        <w:spacing w:line="400" w:lineRule="exact"/>
        <w:rPr>
          <w:rFonts w:hint="eastAsia" w:ascii="宋体" w:hAnsi="宋体" w:eastAsia="宋体" w:cs="宋体"/>
          <w:snapToGrid w:val="0"/>
          <w:color w:val="auto"/>
          <w:kern w:val="0"/>
          <w:szCs w:val="21"/>
          <w:highlight w:val="none"/>
        </w:rPr>
      </w:pPr>
    </w:p>
    <w:p w14:paraId="44B72549">
      <w:pPr>
        <w:pStyle w:val="79"/>
        <w:keepNext/>
        <w:keepLines/>
        <w:adjustRightInd/>
        <w:jc w:val="both"/>
        <w:outlineLvl w:val="1"/>
        <w:rPr>
          <w:rFonts w:hint="eastAsia" w:ascii="宋体" w:hAnsi="宋体" w:eastAsia="宋体" w:cs="宋体"/>
          <w:color w:val="auto"/>
          <w:highlight w:val="none"/>
        </w:rPr>
      </w:pPr>
      <w:bookmarkStart w:id="525" w:name="_Toc19436"/>
      <w:bookmarkStart w:id="526" w:name="_Toc4703"/>
      <w:bookmarkStart w:id="527" w:name="_Toc13412"/>
      <w:bookmarkStart w:id="528" w:name="_Toc1232"/>
      <w:bookmarkStart w:id="529" w:name="_Toc26036"/>
      <w:bookmarkStart w:id="530" w:name="_Toc135054614"/>
      <w:r>
        <w:rPr>
          <w:rFonts w:hint="eastAsia" w:ascii="宋体" w:hAnsi="宋体" w:eastAsia="宋体" w:cs="宋体"/>
          <w:b/>
          <w:color w:val="auto"/>
          <w:kern w:val="2"/>
          <w:highlight w:val="none"/>
          <w:lang w:val="en-US" w:eastAsia="zh-CN"/>
        </w:rPr>
        <w:t>格式六   设计负责人简历表</w:t>
      </w:r>
      <w:bookmarkEnd w:id="525"/>
      <w:bookmarkEnd w:id="526"/>
      <w:bookmarkEnd w:id="527"/>
      <w:bookmarkEnd w:id="528"/>
      <w:bookmarkEnd w:id="529"/>
    </w:p>
    <w:p w14:paraId="4147EA48">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设计负责人简历表</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87"/>
        <w:gridCol w:w="704"/>
        <w:gridCol w:w="1473"/>
        <w:gridCol w:w="922"/>
        <w:gridCol w:w="99"/>
        <w:gridCol w:w="1158"/>
        <w:gridCol w:w="737"/>
        <w:gridCol w:w="66"/>
        <w:gridCol w:w="1358"/>
      </w:tblGrid>
      <w:tr w14:paraId="2BAC5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735" w:type="dxa"/>
            <w:gridSpan w:val="10"/>
            <w:vAlign w:val="center"/>
          </w:tcPr>
          <w:p w14:paraId="4F68BD1E">
            <w:pPr>
              <w:jc w:val="center"/>
              <w:rPr>
                <w:rFonts w:hint="eastAsia" w:ascii="宋体" w:hAnsi="宋体" w:eastAsia="宋体" w:cs="宋体"/>
                <w:color w:val="auto"/>
                <w:highlight w:val="none"/>
              </w:rPr>
            </w:pPr>
            <w:r>
              <w:rPr>
                <w:rFonts w:hint="eastAsia" w:ascii="宋体" w:hAnsi="宋体" w:eastAsia="宋体" w:cs="宋体"/>
                <w:color w:val="auto"/>
                <w:highlight w:val="none"/>
              </w:rPr>
              <w:t>1.基本情况</w:t>
            </w:r>
          </w:p>
        </w:tc>
      </w:tr>
      <w:tr w14:paraId="000D8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7EDE7CC1">
            <w:pPr>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387" w:type="dxa"/>
            <w:vAlign w:val="center"/>
          </w:tcPr>
          <w:p w14:paraId="6D050CC8">
            <w:pPr>
              <w:jc w:val="center"/>
              <w:rPr>
                <w:rFonts w:hint="eastAsia" w:ascii="宋体" w:hAnsi="宋体" w:eastAsia="宋体" w:cs="宋体"/>
                <w:color w:val="auto"/>
                <w:highlight w:val="none"/>
              </w:rPr>
            </w:pPr>
          </w:p>
        </w:tc>
        <w:tc>
          <w:tcPr>
            <w:tcW w:w="704" w:type="dxa"/>
            <w:vAlign w:val="center"/>
          </w:tcPr>
          <w:p w14:paraId="71AA2853">
            <w:pPr>
              <w:jc w:val="center"/>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473" w:type="dxa"/>
            <w:vAlign w:val="center"/>
          </w:tcPr>
          <w:p w14:paraId="7B921BE7">
            <w:pPr>
              <w:jc w:val="center"/>
              <w:rPr>
                <w:rFonts w:hint="eastAsia" w:ascii="宋体" w:hAnsi="宋体" w:eastAsia="宋体" w:cs="宋体"/>
                <w:color w:val="auto"/>
                <w:highlight w:val="none"/>
              </w:rPr>
            </w:pPr>
          </w:p>
        </w:tc>
        <w:tc>
          <w:tcPr>
            <w:tcW w:w="922" w:type="dxa"/>
            <w:vAlign w:val="center"/>
          </w:tcPr>
          <w:p w14:paraId="06695FC3">
            <w:pPr>
              <w:jc w:val="center"/>
              <w:rPr>
                <w:rFonts w:hint="eastAsia" w:ascii="宋体" w:hAnsi="宋体" w:eastAsia="宋体" w:cs="宋体"/>
                <w:color w:val="auto"/>
                <w:highlight w:val="none"/>
              </w:rPr>
            </w:pPr>
            <w:r>
              <w:rPr>
                <w:rFonts w:hint="eastAsia" w:ascii="宋体" w:hAnsi="宋体" w:eastAsia="宋体" w:cs="宋体"/>
                <w:color w:val="auto"/>
                <w:highlight w:val="none"/>
              </w:rPr>
              <w:t>年 龄</w:t>
            </w:r>
          </w:p>
        </w:tc>
        <w:tc>
          <w:tcPr>
            <w:tcW w:w="1257" w:type="dxa"/>
            <w:gridSpan w:val="2"/>
            <w:vAlign w:val="center"/>
          </w:tcPr>
          <w:p w14:paraId="5097724A">
            <w:pPr>
              <w:jc w:val="center"/>
              <w:rPr>
                <w:rFonts w:hint="eastAsia" w:ascii="宋体" w:hAnsi="宋体" w:eastAsia="宋体" w:cs="宋体"/>
                <w:color w:val="auto"/>
                <w:highlight w:val="none"/>
              </w:rPr>
            </w:pPr>
          </w:p>
        </w:tc>
        <w:tc>
          <w:tcPr>
            <w:tcW w:w="737" w:type="dxa"/>
            <w:vAlign w:val="center"/>
          </w:tcPr>
          <w:p w14:paraId="53244277">
            <w:pPr>
              <w:jc w:val="center"/>
              <w:rPr>
                <w:rFonts w:hint="eastAsia" w:ascii="宋体" w:hAnsi="宋体" w:eastAsia="宋体" w:cs="宋体"/>
                <w:color w:val="auto"/>
                <w:highlight w:val="none"/>
              </w:rPr>
            </w:pPr>
            <w:r>
              <w:rPr>
                <w:rFonts w:hint="eastAsia" w:ascii="宋体" w:hAnsi="宋体" w:eastAsia="宋体" w:cs="宋体"/>
                <w:color w:val="auto"/>
                <w:highlight w:val="none"/>
              </w:rPr>
              <w:t>学位</w:t>
            </w:r>
          </w:p>
        </w:tc>
        <w:tc>
          <w:tcPr>
            <w:tcW w:w="1424" w:type="dxa"/>
            <w:gridSpan w:val="2"/>
            <w:vAlign w:val="center"/>
          </w:tcPr>
          <w:p w14:paraId="0EB354BA">
            <w:pPr>
              <w:jc w:val="center"/>
              <w:rPr>
                <w:rFonts w:hint="eastAsia" w:ascii="宋体" w:hAnsi="宋体" w:eastAsia="宋体" w:cs="宋体"/>
                <w:color w:val="auto"/>
                <w:highlight w:val="none"/>
              </w:rPr>
            </w:pPr>
          </w:p>
        </w:tc>
      </w:tr>
      <w:tr w14:paraId="2FED2D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08B84D72">
            <w:pPr>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387" w:type="dxa"/>
            <w:vAlign w:val="center"/>
          </w:tcPr>
          <w:p w14:paraId="40784645">
            <w:pPr>
              <w:jc w:val="center"/>
              <w:rPr>
                <w:rFonts w:hint="eastAsia" w:ascii="宋体" w:hAnsi="宋体" w:eastAsia="宋体" w:cs="宋体"/>
                <w:color w:val="auto"/>
                <w:highlight w:val="none"/>
              </w:rPr>
            </w:pPr>
          </w:p>
        </w:tc>
        <w:tc>
          <w:tcPr>
            <w:tcW w:w="2177" w:type="dxa"/>
            <w:gridSpan w:val="2"/>
            <w:vAlign w:val="center"/>
          </w:tcPr>
          <w:p w14:paraId="078193C2">
            <w:pPr>
              <w:jc w:val="center"/>
              <w:rPr>
                <w:rFonts w:hint="eastAsia" w:ascii="宋体" w:hAnsi="宋体" w:eastAsia="宋体" w:cs="宋体"/>
                <w:color w:val="auto"/>
                <w:highlight w:val="none"/>
              </w:rPr>
            </w:pPr>
            <w:r>
              <w:rPr>
                <w:rFonts w:hint="eastAsia" w:ascii="宋体" w:hAnsi="宋体" w:eastAsia="宋体" w:cs="宋体"/>
                <w:color w:val="auto"/>
                <w:spacing w:val="-12"/>
                <w:highlight w:val="none"/>
              </w:rPr>
              <w:t>为投标人服务时间</w:t>
            </w:r>
          </w:p>
        </w:tc>
        <w:tc>
          <w:tcPr>
            <w:tcW w:w="922" w:type="dxa"/>
            <w:vAlign w:val="center"/>
          </w:tcPr>
          <w:p w14:paraId="01EE0A0B">
            <w:pPr>
              <w:jc w:val="center"/>
              <w:rPr>
                <w:rFonts w:hint="eastAsia" w:ascii="宋体" w:hAnsi="宋体" w:eastAsia="宋体" w:cs="宋体"/>
                <w:color w:val="auto"/>
                <w:highlight w:val="none"/>
              </w:rPr>
            </w:pPr>
          </w:p>
        </w:tc>
        <w:tc>
          <w:tcPr>
            <w:tcW w:w="1994" w:type="dxa"/>
            <w:gridSpan w:val="3"/>
            <w:vAlign w:val="center"/>
          </w:tcPr>
          <w:p w14:paraId="4B25C31E">
            <w:pPr>
              <w:jc w:val="center"/>
              <w:rPr>
                <w:rFonts w:hint="eastAsia" w:ascii="宋体" w:hAnsi="宋体" w:eastAsia="宋体" w:cs="宋体"/>
                <w:color w:val="auto"/>
                <w:highlight w:val="none"/>
              </w:rPr>
            </w:pPr>
            <w:r>
              <w:rPr>
                <w:rFonts w:hint="eastAsia" w:ascii="宋体" w:hAnsi="宋体" w:eastAsia="宋体" w:cs="宋体"/>
                <w:color w:val="auto"/>
                <w:highlight w:val="none"/>
              </w:rPr>
              <w:t>在本合同中</w:t>
            </w:r>
          </w:p>
          <w:p w14:paraId="564C1709">
            <w:pPr>
              <w:jc w:val="center"/>
              <w:rPr>
                <w:rFonts w:hint="eastAsia" w:ascii="宋体" w:hAnsi="宋体" w:eastAsia="宋体" w:cs="宋体"/>
                <w:color w:val="auto"/>
                <w:spacing w:val="-12"/>
                <w:highlight w:val="none"/>
              </w:rPr>
            </w:pPr>
            <w:r>
              <w:rPr>
                <w:rFonts w:hint="eastAsia" w:ascii="宋体" w:hAnsi="宋体" w:eastAsia="宋体" w:cs="宋体"/>
                <w:color w:val="auto"/>
                <w:highlight w:val="none"/>
              </w:rPr>
              <w:t>拟任职</w:t>
            </w:r>
          </w:p>
        </w:tc>
        <w:tc>
          <w:tcPr>
            <w:tcW w:w="1424" w:type="dxa"/>
            <w:gridSpan w:val="2"/>
            <w:vAlign w:val="center"/>
          </w:tcPr>
          <w:p w14:paraId="5136F244">
            <w:pPr>
              <w:jc w:val="center"/>
              <w:rPr>
                <w:rFonts w:hint="eastAsia" w:ascii="宋体" w:hAnsi="宋体" w:eastAsia="宋体" w:cs="宋体"/>
                <w:color w:val="auto"/>
                <w:highlight w:val="none"/>
              </w:rPr>
            </w:pPr>
          </w:p>
        </w:tc>
      </w:tr>
      <w:tr w14:paraId="24CE66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2FE0331B">
            <w:pPr>
              <w:jc w:val="center"/>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7904" w:type="dxa"/>
            <w:gridSpan w:val="9"/>
            <w:vAlign w:val="center"/>
          </w:tcPr>
          <w:p w14:paraId="57623607">
            <w:pPr>
              <w:ind w:firstLine="600"/>
              <w:jc w:val="center"/>
              <w:rPr>
                <w:rFonts w:hint="eastAsia" w:ascii="宋体" w:hAnsi="宋体" w:eastAsia="宋体" w:cs="宋体"/>
                <w:color w:val="auto"/>
                <w:highlight w:val="none"/>
              </w:rPr>
            </w:pPr>
            <w:r>
              <w:rPr>
                <w:rFonts w:hint="eastAsia" w:ascii="宋体" w:hAnsi="宋体" w:eastAsia="宋体" w:cs="宋体"/>
                <w:color w:val="auto"/>
                <w:highlight w:val="none"/>
              </w:rPr>
              <w:t>年毕业于              学校           专业</w:t>
            </w:r>
          </w:p>
        </w:tc>
      </w:tr>
      <w:tr w14:paraId="3B0FB0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35" w:type="dxa"/>
            <w:gridSpan w:val="10"/>
            <w:vAlign w:val="center"/>
          </w:tcPr>
          <w:p w14:paraId="12F187CB">
            <w:pPr>
              <w:jc w:val="center"/>
              <w:rPr>
                <w:rFonts w:hint="eastAsia" w:ascii="宋体" w:hAnsi="宋体" w:eastAsia="宋体" w:cs="宋体"/>
                <w:color w:val="auto"/>
                <w:highlight w:val="none"/>
              </w:rPr>
            </w:pPr>
            <w:r>
              <w:rPr>
                <w:rFonts w:hint="eastAsia" w:ascii="宋体" w:hAnsi="宋体" w:eastAsia="宋体" w:cs="宋体"/>
                <w:color w:val="auto"/>
                <w:highlight w:val="none"/>
              </w:rPr>
              <w:t>2.经历</w:t>
            </w:r>
          </w:p>
        </w:tc>
      </w:tr>
      <w:tr w14:paraId="4482D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25BBB26E">
            <w:pPr>
              <w:jc w:val="center"/>
              <w:rPr>
                <w:rFonts w:hint="eastAsia" w:ascii="宋体" w:hAnsi="宋体" w:eastAsia="宋体" w:cs="宋体"/>
                <w:color w:val="auto"/>
                <w:highlight w:val="none"/>
              </w:rPr>
            </w:pPr>
            <w:r>
              <w:rPr>
                <w:rFonts w:hint="eastAsia" w:ascii="宋体" w:hAnsi="宋体" w:eastAsia="宋体" w:cs="宋体"/>
                <w:color w:val="auto"/>
                <w:highlight w:val="none"/>
              </w:rPr>
              <w:t>时间</w:t>
            </w:r>
          </w:p>
        </w:tc>
        <w:tc>
          <w:tcPr>
            <w:tcW w:w="4585" w:type="dxa"/>
            <w:gridSpan w:val="5"/>
            <w:vAlign w:val="center"/>
          </w:tcPr>
          <w:p w14:paraId="2917AA1A">
            <w:pPr>
              <w:jc w:val="center"/>
              <w:rPr>
                <w:rFonts w:hint="eastAsia" w:ascii="宋体" w:hAnsi="宋体" w:eastAsia="宋体" w:cs="宋体"/>
                <w:color w:val="auto"/>
                <w:highlight w:val="none"/>
              </w:rPr>
            </w:pPr>
            <w:r>
              <w:rPr>
                <w:rFonts w:hint="eastAsia" w:ascii="宋体" w:hAnsi="宋体" w:eastAsia="宋体" w:cs="宋体"/>
                <w:color w:val="auto"/>
                <w:highlight w:val="none"/>
              </w:rPr>
              <w:t>负责过的主要工程（类型和金额）</w:t>
            </w:r>
          </w:p>
        </w:tc>
        <w:tc>
          <w:tcPr>
            <w:tcW w:w="1961" w:type="dxa"/>
            <w:gridSpan w:val="3"/>
            <w:vAlign w:val="center"/>
          </w:tcPr>
          <w:p w14:paraId="7F876D34">
            <w:pPr>
              <w:jc w:val="center"/>
              <w:rPr>
                <w:rFonts w:hint="eastAsia" w:ascii="宋体" w:hAnsi="宋体" w:eastAsia="宋体" w:cs="宋体"/>
                <w:color w:val="auto"/>
                <w:highlight w:val="none"/>
              </w:rPr>
            </w:pPr>
            <w:r>
              <w:rPr>
                <w:rFonts w:hint="eastAsia" w:ascii="宋体" w:hAnsi="宋体" w:eastAsia="宋体" w:cs="宋体"/>
                <w:color w:val="auto"/>
                <w:highlight w:val="none"/>
              </w:rPr>
              <w:t>该项目中任职</w:t>
            </w:r>
          </w:p>
        </w:tc>
        <w:tc>
          <w:tcPr>
            <w:tcW w:w="1358" w:type="dxa"/>
            <w:vAlign w:val="center"/>
          </w:tcPr>
          <w:p w14:paraId="05CAD664">
            <w:pPr>
              <w:jc w:val="center"/>
              <w:rPr>
                <w:rFonts w:hint="eastAsia" w:ascii="宋体" w:hAnsi="宋体" w:eastAsia="宋体" w:cs="宋体"/>
                <w:color w:val="auto"/>
                <w:highlight w:val="none"/>
              </w:rPr>
            </w:pPr>
            <w:r>
              <w:rPr>
                <w:rFonts w:hint="eastAsia" w:ascii="宋体" w:hAnsi="宋体" w:eastAsia="宋体" w:cs="宋体"/>
                <w:color w:val="auto"/>
                <w:highlight w:val="none"/>
              </w:rPr>
              <w:t>备 注</w:t>
            </w:r>
          </w:p>
        </w:tc>
      </w:tr>
      <w:tr w14:paraId="11F484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354B3084">
            <w:pPr>
              <w:jc w:val="center"/>
              <w:rPr>
                <w:rFonts w:hint="eastAsia" w:ascii="宋体" w:hAnsi="宋体" w:eastAsia="宋体" w:cs="宋体"/>
                <w:color w:val="auto"/>
                <w:highlight w:val="none"/>
              </w:rPr>
            </w:pPr>
          </w:p>
        </w:tc>
        <w:tc>
          <w:tcPr>
            <w:tcW w:w="4585" w:type="dxa"/>
            <w:gridSpan w:val="5"/>
            <w:vAlign w:val="center"/>
          </w:tcPr>
          <w:p w14:paraId="7439711E">
            <w:pPr>
              <w:jc w:val="center"/>
              <w:rPr>
                <w:rFonts w:hint="eastAsia" w:ascii="宋体" w:hAnsi="宋体" w:eastAsia="宋体" w:cs="宋体"/>
                <w:color w:val="auto"/>
                <w:highlight w:val="none"/>
              </w:rPr>
            </w:pPr>
          </w:p>
        </w:tc>
        <w:tc>
          <w:tcPr>
            <w:tcW w:w="1961" w:type="dxa"/>
            <w:gridSpan w:val="3"/>
            <w:vAlign w:val="center"/>
          </w:tcPr>
          <w:p w14:paraId="5EC2CCA5">
            <w:pPr>
              <w:jc w:val="center"/>
              <w:rPr>
                <w:rFonts w:hint="eastAsia" w:ascii="宋体" w:hAnsi="宋体" w:eastAsia="宋体" w:cs="宋体"/>
                <w:color w:val="auto"/>
                <w:highlight w:val="none"/>
              </w:rPr>
            </w:pPr>
          </w:p>
        </w:tc>
        <w:tc>
          <w:tcPr>
            <w:tcW w:w="1358" w:type="dxa"/>
            <w:vAlign w:val="center"/>
          </w:tcPr>
          <w:p w14:paraId="3F2711D5">
            <w:pPr>
              <w:jc w:val="center"/>
              <w:rPr>
                <w:rFonts w:hint="eastAsia" w:ascii="宋体" w:hAnsi="宋体" w:eastAsia="宋体" w:cs="宋体"/>
                <w:color w:val="auto"/>
                <w:highlight w:val="none"/>
              </w:rPr>
            </w:pPr>
          </w:p>
        </w:tc>
      </w:tr>
      <w:tr w14:paraId="6CD7AD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5E431B82">
            <w:pPr>
              <w:jc w:val="center"/>
              <w:rPr>
                <w:rFonts w:hint="eastAsia" w:ascii="宋体" w:hAnsi="宋体" w:eastAsia="宋体" w:cs="宋体"/>
                <w:color w:val="auto"/>
                <w:highlight w:val="none"/>
              </w:rPr>
            </w:pPr>
          </w:p>
        </w:tc>
        <w:tc>
          <w:tcPr>
            <w:tcW w:w="4585" w:type="dxa"/>
            <w:gridSpan w:val="5"/>
            <w:vAlign w:val="center"/>
          </w:tcPr>
          <w:p w14:paraId="0BA1BAD5">
            <w:pPr>
              <w:jc w:val="center"/>
              <w:rPr>
                <w:rFonts w:hint="eastAsia" w:ascii="宋体" w:hAnsi="宋体" w:eastAsia="宋体" w:cs="宋体"/>
                <w:color w:val="auto"/>
                <w:highlight w:val="none"/>
              </w:rPr>
            </w:pPr>
          </w:p>
        </w:tc>
        <w:tc>
          <w:tcPr>
            <w:tcW w:w="1961" w:type="dxa"/>
            <w:gridSpan w:val="3"/>
            <w:vAlign w:val="center"/>
          </w:tcPr>
          <w:p w14:paraId="2B87CD61">
            <w:pPr>
              <w:jc w:val="center"/>
              <w:rPr>
                <w:rFonts w:hint="eastAsia" w:ascii="宋体" w:hAnsi="宋体" w:eastAsia="宋体" w:cs="宋体"/>
                <w:color w:val="auto"/>
                <w:highlight w:val="none"/>
              </w:rPr>
            </w:pPr>
          </w:p>
        </w:tc>
        <w:tc>
          <w:tcPr>
            <w:tcW w:w="1358" w:type="dxa"/>
            <w:vAlign w:val="center"/>
          </w:tcPr>
          <w:p w14:paraId="7E3AE9F2">
            <w:pPr>
              <w:jc w:val="center"/>
              <w:rPr>
                <w:rFonts w:hint="eastAsia" w:ascii="宋体" w:hAnsi="宋体" w:eastAsia="宋体" w:cs="宋体"/>
                <w:color w:val="auto"/>
                <w:highlight w:val="none"/>
              </w:rPr>
            </w:pPr>
          </w:p>
        </w:tc>
      </w:tr>
      <w:tr w14:paraId="60522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22135F3D">
            <w:pPr>
              <w:jc w:val="center"/>
              <w:rPr>
                <w:rFonts w:hint="eastAsia" w:ascii="宋体" w:hAnsi="宋体" w:eastAsia="宋体" w:cs="宋体"/>
                <w:color w:val="auto"/>
                <w:highlight w:val="none"/>
              </w:rPr>
            </w:pPr>
          </w:p>
        </w:tc>
        <w:tc>
          <w:tcPr>
            <w:tcW w:w="4585" w:type="dxa"/>
            <w:gridSpan w:val="5"/>
            <w:vAlign w:val="center"/>
          </w:tcPr>
          <w:p w14:paraId="35B70D5D">
            <w:pPr>
              <w:jc w:val="center"/>
              <w:rPr>
                <w:rFonts w:hint="eastAsia" w:ascii="宋体" w:hAnsi="宋体" w:eastAsia="宋体" w:cs="宋体"/>
                <w:color w:val="auto"/>
                <w:highlight w:val="none"/>
              </w:rPr>
            </w:pPr>
          </w:p>
        </w:tc>
        <w:tc>
          <w:tcPr>
            <w:tcW w:w="1961" w:type="dxa"/>
            <w:gridSpan w:val="3"/>
            <w:vAlign w:val="center"/>
          </w:tcPr>
          <w:p w14:paraId="0842DFD9">
            <w:pPr>
              <w:jc w:val="center"/>
              <w:rPr>
                <w:rFonts w:hint="eastAsia" w:ascii="宋体" w:hAnsi="宋体" w:eastAsia="宋体" w:cs="宋体"/>
                <w:color w:val="auto"/>
                <w:highlight w:val="none"/>
              </w:rPr>
            </w:pPr>
          </w:p>
        </w:tc>
        <w:tc>
          <w:tcPr>
            <w:tcW w:w="1358" w:type="dxa"/>
            <w:vAlign w:val="center"/>
          </w:tcPr>
          <w:p w14:paraId="17EB0E1A">
            <w:pPr>
              <w:jc w:val="center"/>
              <w:rPr>
                <w:rFonts w:hint="eastAsia" w:ascii="宋体" w:hAnsi="宋体" w:eastAsia="宋体" w:cs="宋体"/>
                <w:color w:val="auto"/>
                <w:highlight w:val="none"/>
              </w:rPr>
            </w:pPr>
          </w:p>
        </w:tc>
      </w:tr>
      <w:tr w14:paraId="72400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735" w:type="dxa"/>
            <w:gridSpan w:val="10"/>
            <w:vAlign w:val="center"/>
          </w:tcPr>
          <w:p w14:paraId="2CFB3BF3">
            <w:pPr>
              <w:jc w:val="center"/>
              <w:rPr>
                <w:rFonts w:hint="eastAsia" w:ascii="宋体" w:hAnsi="宋体" w:eastAsia="宋体" w:cs="宋体"/>
                <w:color w:val="auto"/>
                <w:highlight w:val="none"/>
              </w:rPr>
            </w:pPr>
            <w:r>
              <w:rPr>
                <w:rFonts w:hint="eastAsia" w:ascii="宋体" w:hAnsi="宋体" w:eastAsia="宋体" w:cs="宋体"/>
                <w:color w:val="auto"/>
                <w:highlight w:val="none"/>
              </w:rPr>
              <w:t>3.获奖情况（如有）</w:t>
            </w:r>
          </w:p>
        </w:tc>
      </w:tr>
      <w:tr w14:paraId="0BCC2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5" w:type="dxa"/>
            <w:gridSpan w:val="10"/>
            <w:vAlign w:val="center"/>
          </w:tcPr>
          <w:p w14:paraId="00C9093E">
            <w:pPr>
              <w:jc w:val="center"/>
              <w:rPr>
                <w:rFonts w:hint="eastAsia" w:ascii="宋体" w:hAnsi="宋体" w:eastAsia="宋体" w:cs="宋体"/>
                <w:color w:val="auto"/>
                <w:highlight w:val="none"/>
              </w:rPr>
            </w:pPr>
          </w:p>
        </w:tc>
      </w:tr>
      <w:tr w14:paraId="09B423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35" w:type="dxa"/>
            <w:gridSpan w:val="10"/>
            <w:vAlign w:val="center"/>
          </w:tcPr>
          <w:p w14:paraId="7B8FB47C">
            <w:pPr>
              <w:jc w:val="center"/>
              <w:rPr>
                <w:rFonts w:hint="eastAsia" w:ascii="宋体" w:hAnsi="宋体" w:eastAsia="宋体" w:cs="宋体"/>
                <w:color w:val="auto"/>
                <w:highlight w:val="none"/>
              </w:rPr>
            </w:pPr>
            <w:r>
              <w:rPr>
                <w:rFonts w:hint="eastAsia" w:ascii="宋体" w:hAnsi="宋体" w:eastAsia="宋体" w:cs="宋体"/>
                <w:color w:val="auto"/>
                <w:highlight w:val="none"/>
              </w:rPr>
              <w:t>4.目前承担的任务</w:t>
            </w:r>
          </w:p>
        </w:tc>
      </w:tr>
      <w:tr w14:paraId="4A738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5" w:type="dxa"/>
            <w:gridSpan w:val="10"/>
            <w:vAlign w:val="center"/>
          </w:tcPr>
          <w:p w14:paraId="0E22BD4D">
            <w:pPr>
              <w:jc w:val="center"/>
              <w:rPr>
                <w:rFonts w:hint="eastAsia" w:ascii="宋体" w:hAnsi="宋体" w:eastAsia="宋体" w:cs="宋体"/>
                <w:color w:val="auto"/>
                <w:highlight w:val="none"/>
              </w:rPr>
            </w:pPr>
          </w:p>
        </w:tc>
      </w:tr>
    </w:tbl>
    <w:p w14:paraId="379C80F0">
      <w:pPr>
        <w:wordWrap w:val="0"/>
        <w:adjustRightInd w:val="0"/>
        <w:snapToGrid w:val="0"/>
        <w:spacing w:line="440" w:lineRule="exact"/>
        <w:ind w:firstLine="570"/>
        <w:jc w:val="right"/>
        <w:rPr>
          <w:rFonts w:hint="eastAsia" w:ascii="宋体" w:hAnsi="宋体" w:eastAsia="宋体" w:cs="宋体"/>
          <w:snapToGrid w:val="0"/>
          <w:color w:val="auto"/>
          <w:kern w:val="0"/>
          <w:szCs w:val="28"/>
          <w:highlight w:val="none"/>
        </w:rPr>
      </w:pPr>
      <w:r>
        <w:rPr>
          <w:rFonts w:hint="eastAsia" w:ascii="宋体" w:hAnsi="宋体" w:eastAsia="宋体" w:cs="宋体"/>
          <w:color w:val="auto"/>
          <w:szCs w:val="24"/>
          <w:highlight w:val="none"/>
        </w:rPr>
        <w:t>注：本表不够时自制</w:t>
      </w:r>
    </w:p>
    <w:p w14:paraId="54F85AE7">
      <w:pPr>
        <w:wordWrap w:val="0"/>
        <w:adjustRightInd w:val="0"/>
        <w:snapToGrid w:val="0"/>
        <w:spacing w:line="400" w:lineRule="exac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说明：《设计负责人简历表》后应附拟派设计负责人以下资料：</w:t>
      </w:r>
    </w:p>
    <w:p w14:paraId="37CCAFEC">
      <w:pPr>
        <w:wordWrap w:val="0"/>
        <w:adjustRightInd w:val="0"/>
        <w:snapToGrid w:val="0"/>
        <w:spacing w:line="400" w:lineRule="exact"/>
        <w:ind w:firstLine="420" w:firstLineChars="200"/>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1．身份证彩色扫描件；</w:t>
      </w:r>
    </w:p>
    <w:p w14:paraId="3983D5D6">
      <w:pPr>
        <w:wordWrap w:val="0"/>
        <w:adjustRightInd w:val="0"/>
        <w:snapToGrid w:val="0"/>
        <w:spacing w:line="400" w:lineRule="exact"/>
        <w:ind w:firstLine="420" w:firstLineChars="20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2．注册证书（如需）、职称证（如需）彩色扫描件（须扫描至变更注册栏，电子证书除外）；</w:t>
      </w:r>
    </w:p>
    <w:p w14:paraId="7277AAB8">
      <w:pPr>
        <w:wordWrap w:val="0"/>
        <w:adjustRightInd w:val="0"/>
        <w:snapToGrid w:val="0"/>
        <w:spacing w:line="400" w:lineRule="exact"/>
        <w:ind w:firstLine="420" w:firstLineChars="20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3．在本单位缴纳社保的证明（至少</w:t>
      </w:r>
      <w:r>
        <w:rPr>
          <w:rFonts w:hint="eastAsia" w:ascii="宋体" w:hAnsi="宋体" w:cs="宋体"/>
          <w:snapToGrid w:val="0"/>
          <w:color w:val="auto"/>
          <w:kern w:val="0"/>
          <w:szCs w:val="28"/>
          <w:highlight w:val="none"/>
          <w:lang w:val="en-US" w:eastAsia="zh-CN"/>
        </w:rPr>
        <w:t>3</w:t>
      </w:r>
      <w:r>
        <w:rPr>
          <w:rFonts w:hint="eastAsia" w:ascii="宋体" w:hAnsi="宋体" w:eastAsia="宋体" w:cs="宋体"/>
          <w:snapToGrid w:val="0"/>
          <w:color w:val="auto"/>
          <w:kern w:val="0"/>
          <w:szCs w:val="28"/>
          <w:highlight w:val="none"/>
        </w:rPr>
        <w:t>个月，其中必须有</w:t>
      </w:r>
      <w:r>
        <w:rPr>
          <w:rFonts w:hint="eastAsia" w:ascii="宋体" w:hAnsi="宋体" w:eastAsia="宋体" w:cs="宋体"/>
          <w:snapToGrid w:val="0"/>
          <w:color w:val="auto"/>
          <w:kern w:val="0"/>
          <w:szCs w:val="28"/>
          <w:highlight w:val="none"/>
          <w:lang w:eastAsia="zh-CN"/>
        </w:rPr>
        <w:t>202</w:t>
      </w:r>
      <w:r>
        <w:rPr>
          <w:rFonts w:hint="eastAsia" w:ascii="宋体" w:hAnsi="宋体" w:cs="宋体"/>
          <w:snapToGrid w:val="0"/>
          <w:color w:val="auto"/>
          <w:kern w:val="0"/>
          <w:szCs w:val="28"/>
          <w:highlight w:val="none"/>
          <w:lang w:val="en-US" w:eastAsia="zh-CN"/>
        </w:rPr>
        <w:t>5</w:t>
      </w:r>
      <w:r>
        <w:rPr>
          <w:rFonts w:hint="eastAsia" w:ascii="宋体" w:hAnsi="宋体" w:eastAsia="宋体" w:cs="宋体"/>
          <w:snapToGrid w:val="0"/>
          <w:color w:val="auto"/>
          <w:kern w:val="0"/>
          <w:szCs w:val="28"/>
          <w:highlight w:val="none"/>
          <w:lang w:eastAsia="zh-CN"/>
        </w:rPr>
        <w:t>年</w:t>
      </w:r>
      <w:r>
        <w:rPr>
          <w:rFonts w:hint="eastAsia" w:ascii="宋体" w:hAnsi="宋体" w:eastAsia="宋体" w:cs="宋体"/>
          <w:snapToGrid w:val="0"/>
          <w:color w:val="auto"/>
          <w:kern w:val="0"/>
          <w:szCs w:val="28"/>
          <w:highlight w:val="none"/>
          <w:lang w:val="en-US" w:eastAsia="zh-CN"/>
        </w:rPr>
        <w:t>0</w:t>
      </w:r>
      <w:r>
        <w:rPr>
          <w:rFonts w:hint="eastAsia" w:ascii="宋体" w:hAnsi="宋体" w:cs="宋体"/>
          <w:snapToGrid w:val="0"/>
          <w:color w:val="auto"/>
          <w:kern w:val="0"/>
          <w:szCs w:val="28"/>
          <w:highlight w:val="none"/>
          <w:lang w:val="en-US" w:eastAsia="zh-CN"/>
        </w:rPr>
        <w:t>1</w:t>
      </w:r>
      <w:r>
        <w:rPr>
          <w:rFonts w:hint="eastAsia" w:ascii="宋体" w:hAnsi="宋体" w:eastAsia="宋体" w:cs="宋体"/>
          <w:snapToGrid w:val="0"/>
          <w:color w:val="auto"/>
          <w:kern w:val="0"/>
          <w:szCs w:val="28"/>
          <w:highlight w:val="none"/>
          <w:lang w:eastAsia="zh-CN"/>
        </w:rPr>
        <w:t>月</w:t>
      </w:r>
      <w:r>
        <w:rPr>
          <w:rFonts w:hint="eastAsia" w:ascii="宋体" w:hAnsi="宋体" w:eastAsia="宋体" w:cs="宋体"/>
          <w:snapToGrid w:val="0"/>
          <w:color w:val="auto"/>
          <w:kern w:val="0"/>
          <w:szCs w:val="28"/>
          <w:highlight w:val="none"/>
        </w:rPr>
        <w:t>）</w:t>
      </w:r>
      <w:r>
        <w:rPr>
          <w:rFonts w:hint="eastAsia" w:ascii="宋体" w:hAnsi="宋体" w:eastAsia="宋体" w:cs="宋体"/>
          <w:snapToGrid w:val="0"/>
          <w:color w:val="auto"/>
          <w:kern w:val="0"/>
          <w:szCs w:val="28"/>
          <w:highlight w:val="none"/>
          <w:lang w:eastAsia="zh-CN"/>
        </w:rPr>
        <w:t>扫描件</w:t>
      </w:r>
      <w:r>
        <w:rPr>
          <w:rFonts w:hint="eastAsia" w:ascii="宋体" w:hAnsi="宋体" w:eastAsia="宋体" w:cs="宋体"/>
          <w:snapToGrid w:val="0"/>
          <w:color w:val="auto"/>
          <w:kern w:val="0"/>
          <w:szCs w:val="28"/>
          <w:highlight w:val="none"/>
        </w:rPr>
        <w:t>（非独立法人分支机构出具社保，予以认可）；（若由上级事业单位统一缴纳的，必须提供上级事业单位出具的投标人在编人员社保在上级事业单位缴纳的证明文件及该人员在上级事业单位缴纳的社保证明。）</w:t>
      </w:r>
    </w:p>
    <w:p w14:paraId="14618593">
      <w:pPr>
        <w:wordWrap w:val="0"/>
        <w:adjustRightInd w:val="0"/>
        <w:snapToGrid w:val="0"/>
        <w:spacing w:line="400" w:lineRule="exact"/>
        <w:ind w:firstLine="420" w:firstLineChars="200"/>
        <w:rPr>
          <w:rFonts w:hint="eastAsia" w:ascii="宋体" w:hAnsi="宋体" w:eastAsia="宋体" w:cs="宋体"/>
          <w:snapToGrid w:val="0"/>
          <w:color w:val="auto"/>
          <w:kern w:val="0"/>
          <w:szCs w:val="28"/>
          <w:highlight w:val="none"/>
          <w:lang w:eastAsia="zh-CN"/>
        </w:rPr>
      </w:pPr>
      <w:r>
        <w:rPr>
          <w:rFonts w:hint="eastAsia" w:ascii="宋体" w:hAnsi="宋体" w:eastAsia="宋体" w:cs="宋体"/>
          <w:snapToGrid w:val="0"/>
          <w:color w:val="auto"/>
          <w:kern w:val="0"/>
          <w:szCs w:val="28"/>
          <w:highlight w:val="none"/>
        </w:rPr>
        <w:t>4.拟派设计负责人为退休返聘人员无法提供社保证明的，提供退休证和劳动合同/返聘证明</w:t>
      </w:r>
      <w:r>
        <w:rPr>
          <w:rFonts w:hint="eastAsia" w:ascii="宋体" w:hAnsi="宋体" w:eastAsia="宋体" w:cs="宋体"/>
          <w:snapToGrid w:val="0"/>
          <w:color w:val="auto"/>
          <w:kern w:val="0"/>
          <w:szCs w:val="28"/>
          <w:highlight w:val="none"/>
          <w:lang w:eastAsia="zh-CN"/>
        </w:rPr>
        <w:t>扫描件。</w:t>
      </w:r>
    </w:p>
    <w:p w14:paraId="08FEF372">
      <w:pPr>
        <w:rPr>
          <w:rFonts w:hint="eastAsia" w:ascii="宋体" w:hAnsi="宋体" w:eastAsia="宋体" w:cs="宋体"/>
          <w:color w:val="auto"/>
          <w:highlight w:val="none"/>
        </w:rPr>
      </w:pPr>
    </w:p>
    <w:p w14:paraId="1AC41AA6">
      <w:pPr>
        <w:rPr>
          <w:rFonts w:hint="eastAsia" w:ascii="宋体" w:hAnsi="宋体" w:eastAsia="宋体" w:cs="宋体"/>
          <w:color w:val="auto"/>
          <w:highlight w:val="none"/>
        </w:rPr>
      </w:pPr>
    </w:p>
    <w:p w14:paraId="00ECE151">
      <w:pPr>
        <w:pStyle w:val="79"/>
        <w:keepNext/>
        <w:keepLines/>
        <w:adjustRightInd/>
        <w:jc w:val="both"/>
        <w:outlineLvl w:val="1"/>
        <w:rPr>
          <w:rFonts w:hint="eastAsia" w:ascii="宋体" w:hAnsi="宋体" w:eastAsia="宋体" w:cs="宋体"/>
          <w:b/>
          <w:bCs/>
          <w:snapToGrid w:val="0"/>
          <w:color w:val="auto"/>
          <w:kern w:val="0"/>
          <w:szCs w:val="24"/>
          <w:highlight w:val="none"/>
        </w:rPr>
      </w:pPr>
      <w:bookmarkStart w:id="531" w:name="_Toc8364"/>
      <w:bookmarkStart w:id="532" w:name="_Toc27118"/>
      <w:bookmarkStart w:id="533" w:name="_Toc20370"/>
      <w:bookmarkStart w:id="534" w:name="_Toc15975"/>
      <w:r>
        <w:rPr>
          <w:rFonts w:hint="eastAsia" w:ascii="宋体" w:hAnsi="宋体" w:eastAsia="宋体" w:cs="宋体"/>
          <w:b/>
          <w:color w:val="auto"/>
          <w:kern w:val="2"/>
          <w:highlight w:val="none"/>
          <w:lang w:val="en-US" w:eastAsia="zh-CN"/>
        </w:rPr>
        <w:t>格式七   本项目拟投入的人员基本情况表</w:t>
      </w:r>
      <w:bookmarkEnd w:id="530"/>
      <w:bookmarkEnd w:id="531"/>
      <w:bookmarkEnd w:id="532"/>
      <w:bookmarkEnd w:id="533"/>
      <w:bookmarkEnd w:id="534"/>
    </w:p>
    <w:p w14:paraId="5AB6DA40">
      <w:pPr>
        <w:wordWrap w:val="0"/>
        <w:adjustRightInd w:val="0"/>
        <w:snapToGrid w:val="0"/>
        <w:spacing w:line="440" w:lineRule="exact"/>
        <w:ind w:firstLine="570"/>
        <w:jc w:val="center"/>
        <w:rPr>
          <w:rFonts w:hint="eastAsia" w:ascii="宋体" w:hAnsi="宋体" w:eastAsia="宋体" w:cs="宋体"/>
          <w:snapToGrid w:val="0"/>
          <w:color w:val="auto"/>
          <w:kern w:val="0"/>
          <w:highlight w:val="none"/>
        </w:rPr>
      </w:pPr>
      <w:r>
        <w:rPr>
          <w:rFonts w:hint="eastAsia" w:ascii="宋体" w:hAnsi="宋体" w:eastAsia="宋体" w:cs="宋体"/>
          <w:b/>
          <w:snapToGrid w:val="0"/>
          <w:color w:val="auto"/>
          <w:kern w:val="0"/>
          <w:sz w:val="30"/>
          <w:highlight w:val="none"/>
        </w:rPr>
        <w:t>本项目拟投入的人员基本情况表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1407"/>
        <w:gridCol w:w="1320"/>
        <w:gridCol w:w="3202"/>
      </w:tblGrid>
      <w:tr w14:paraId="7F88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247" w:type="dxa"/>
            <w:vAlign w:val="center"/>
          </w:tcPr>
          <w:p w14:paraId="548620E4">
            <w:pPr>
              <w:adjustRightInd w:val="0"/>
              <w:snapToGrid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人员安排</w:t>
            </w:r>
          </w:p>
        </w:tc>
        <w:tc>
          <w:tcPr>
            <w:tcW w:w="1407" w:type="dxa"/>
            <w:vAlign w:val="center"/>
          </w:tcPr>
          <w:p w14:paraId="75546ED7">
            <w:pPr>
              <w:adjustRightInd w:val="0"/>
              <w:snapToGrid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320" w:type="dxa"/>
            <w:vAlign w:val="center"/>
          </w:tcPr>
          <w:p w14:paraId="66CE93B0">
            <w:pPr>
              <w:adjustRightInd w:val="0"/>
              <w:snapToGrid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年 龄</w:t>
            </w:r>
          </w:p>
        </w:tc>
        <w:tc>
          <w:tcPr>
            <w:tcW w:w="3202" w:type="dxa"/>
            <w:vAlign w:val="center"/>
          </w:tcPr>
          <w:p w14:paraId="2186ABD2">
            <w:pPr>
              <w:adjustRightInd w:val="0"/>
              <w:snapToGrid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职称证或注册执业专业</w:t>
            </w:r>
          </w:p>
        </w:tc>
      </w:tr>
      <w:tr w14:paraId="06EA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2247" w:type="dxa"/>
            <w:vAlign w:val="center"/>
          </w:tcPr>
          <w:p w14:paraId="470E94EE">
            <w:pPr>
              <w:adjustRightInd w:val="0"/>
              <w:snapToGrid w:val="0"/>
              <w:spacing w:line="440" w:lineRule="exact"/>
              <w:rPr>
                <w:rFonts w:hint="eastAsia" w:ascii="宋体" w:hAnsi="宋体" w:eastAsia="宋体" w:cs="宋体"/>
                <w:b/>
                <w:color w:val="auto"/>
                <w:highlight w:val="none"/>
              </w:rPr>
            </w:pPr>
            <w:r>
              <w:rPr>
                <w:rFonts w:hint="eastAsia" w:ascii="宋体" w:hAnsi="宋体" w:eastAsia="宋体" w:cs="宋体"/>
                <w:b/>
                <w:color w:val="auto"/>
                <w:highlight w:val="none"/>
              </w:rPr>
              <w:t>设计负责人</w:t>
            </w:r>
          </w:p>
        </w:tc>
        <w:tc>
          <w:tcPr>
            <w:tcW w:w="1407" w:type="dxa"/>
            <w:vAlign w:val="center"/>
          </w:tcPr>
          <w:p w14:paraId="1F9BFF47">
            <w:pPr>
              <w:adjustRightInd w:val="0"/>
              <w:snapToGrid w:val="0"/>
              <w:spacing w:line="440" w:lineRule="exact"/>
              <w:rPr>
                <w:rFonts w:hint="eastAsia" w:ascii="宋体" w:hAnsi="宋体" w:eastAsia="宋体" w:cs="宋体"/>
                <w:color w:val="auto"/>
                <w:highlight w:val="none"/>
              </w:rPr>
            </w:pPr>
          </w:p>
        </w:tc>
        <w:tc>
          <w:tcPr>
            <w:tcW w:w="1320" w:type="dxa"/>
          </w:tcPr>
          <w:p w14:paraId="0417CFF9">
            <w:pPr>
              <w:adjustRightInd w:val="0"/>
              <w:snapToGrid w:val="0"/>
              <w:spacing w:line="440" w:lineRule="exact"/>
              <w:rPr>
                <w:rFonts w:hint="eastAsia" w:ascii="宋体" w:hAnsi="宋体" w:eastAsia="宋体" w:cs="宋体"/>
                <w:color w:val="auto"/>
                <w:highlight w:val="none"/>
              </w:rPr>
            </w:pPr>
          </w:p>
        </w:tc>
        <w:tc>
          <w:tcPr>
            <w:tcW w:w="3202" w:type="dxa"/>
            <w:vAlign w:val="center"/>
          </w:tcPr>
          <w:p w14:paraId="49E1EA6C">
            <w:pPr>
              <w:adjustRightInd w:val="0"/>
              <w:snapToGrid w:val="0"/>
              <w:spacing w:line="440" w:lineRule="exact"/>
              <w:rPr>
                <w:rFonts w:hint="eastAsia" w:ascii="宋体" w:hAnsi="宋体" w:eastAsia="宋体" w:cs="宋体"/>
                <w:color w:val="auto"/>
                <w:highlight w:val="none"/>
              </w:rPr>
            </w:pPr>
          </w:p>
        </w:tc>
      </w:tr>
      <w:tr w14:paraId="30ED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2247" w:type="dxa"/>
            <w:vAlign w:val="center"/>
          </w:tcPr>
          <w:p w14:paraId="1D109126">
            <w:pPr>
              <w:adjustRightInd w:val="0"/>
              <w:snapToGrid w:val="0"/>
              <w:spacing w:line="440" w:lineRule="exact"/>
              <w:rPr>
                <w:rFonts w:hint="eastAsia" w:ascii="宋体" w:hAnsi="宋体" w:eastAsia="宋体" w:cs="宋体"/>
                <w:b/>
                <w:color w:val="auto"/>
                <w:highlight w:val="none"/>
              </w:rPr>
            </w:pPr>
            <w:r>
              <w:rPr>
                <w:rFonts w:hint="eastAsia" w:ascii="宋体" w:hAnsi="宋体" w:eastAsia="宋体" w:cs="宋体"/>
                <w:b/>
                <w:color w:val="auto"/>
                <w:highlight w:val="none"/>
              </w:rPr>
              <w:t>....各专业负责人</w:t>
            </w:r>
          </w:p>
        </w:tc>
        <w:tc>
          <w:tcPr>
            <w:tcW w:w="1407" w:type="dxa"/>
            <w:vAlign w:val="center"/>
          </w:tcPr>
          <w:p w14:paraId="35772351">
            <w:pPr>
              <w:adjustRightInd w:val="0"/>
              <w:snapToGrid w:val="0"/>
              <w:spacing w:line="440" w:lineRule="exact"/>
              <w:rPr>
                <w:rFonts w:hint="eastAsia" w:ascii="宋体" w:hAnsi="宋体" w:eastAsia="宋体" w:cs="宋体"/>
                <w:color w:val="auto"/>
                <w:highlight w:val="none"/>
              </w:rPr>
            </w:pPr>
          </w:p>
        </w:tc>
        <w:tc>
          <w:tcPr>
            <w:tcW w:w="1320" w:type="dxa"/>
          </w:tcPr>
          <w:p w14:paraId="5755BD8A">
            <w:pPr>
              <w:adjustRightInd w:val="0"/>
              <w:snapToGrid w:val="0"/>
              <w:spacing w:line="440" w:lineRule="exact"/>
              <w:rPr>
                <w:rFonts w:hint="eastAsia" w:ascii="宋体" w:hAnsi="宋体" w:eastAsia="宋体" w:cs="宋体"/>
                <w:color w:val="auto"/>
                <w:highlight w:val="none"/>
              </w:rPr>
            </w:pPr>
          </w:p>
        </w:tc>
        <w:tc>
          <w:tcPr>
            <w:tcW w:w="3202" w:type="dxa"/>
            <w:vAlign w:val="center"/>
          </w:tcPr>
          <w:p w14:paraId="3CF80E1F">
            <w:pPr>
              <w:adjustRightInd w:val="0"/>
              <w:snapToGrid w:val="0"/>
              <w:spacing w:line="440" w:lineRule="exact"/>
              <w:rPr>
                <w:rFonts w:hint="eastAsia" w:ascii="宋体" w:hAnsi="宋体" w:eastAsia="宋体" w:cs="宋体"/>
                <w:color w:val="auto"/>
                <w:highlight w:val="none"/>
              </w:rPr>
            </w:pPr>
          </w:p>
        </w:tc>
      </w:tr>
      <w:tr w14:paraId="2802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2247" w:type="dxa"/>
            <w:vAlign w:val="center"/>
          </w:tcPr>
          <w:p w14:paraId="2D3485D8">
            <w:pPr>
              <w:adjustRightInd w:val="0"/>
              <w:snapToGrid w:val="0"/>
              <w:spacing w:line="440" w:lineRule="exact"/>
              <w:rPr>
                <w:rFonts w:hint="eastAsia" w:ascii="宋体" w:hAnsi="宋体" w:eastAsia="宋体" w:cs="宋体"/>
                <w:b/>
                <w:color w:val="auto"/>
                <w:highlight w:val="none"/>
              </w:rPr>
            </w:pPr>
          </w:p>
        </w:tc>
        <w:tc>
          <w:tcPr>
            <w:tcW w:w="1407" w:type="dxa"/>
            <w:vAlign w:val="center"/>
          </w:tcPr>
          <w:p w14:paraId="14994798">
            <w:pPr>
              <w:adjustRightInd w:val="0"/>
              <w:snapToGrid w:val="0"/>
              <w:spacing w:line="440" w:lineRule="exact"/>
              <w:rPr>
                <w:rFonts w:hint="eastAsia" w:ascii="宋体" w:hAnsi="宋体" w:eastAsia="宋体" w:cs="宋体"/>
                <w:color w:val="auto"/>
                <w:highlight w:val="none"/>
              </w:rPr>
            </w:pPr>
          </w:p>
        </w:tc>
        <w:tc>
          <w:tcPr>
            <w:tcW w:w="1320" w:type="dxa"/>
          </w:tcPr>
          <w:p w14:paraId="639DA97B">
            <w:pPr>
              <w:adjustRightInd w:val="0"/>
              <w:snapToGrid w:val="0"/>
              <w:spacing w:line="440" w:lineRule="exact"/>
              <w:rPr>
                <w:rFonts w:hint="eastAsia" w:ascii="宋体" w:hAnsi="宋体" w:eastAsia="宋体" w:cs="宋体"/>
                <w:color w:val="auto"/>
                <w:highlight w:val="none"/>
              </w:rPr>
            </w:pPr>
          </w:p>
        </w:tc>
        <w:tc>
          <w:tcPr>
            <w:tcW w:w="3202" w:type="dxa"/>
            <w:vAlign w:val="center"/>
          </w:tcPr>
          <w:p w14:paraId="2A881A67">
            <w:pPr>
              <w:adjustRightInd w:val="0"/>
              <w:snapToGrid w:val="0"/>
              <w:spacing w:line="440" w:lineRule="exact"/>
              <w:rPr>
                <w:rFonts w:hint="eastAsia" w:ascii="宋体" w:hAnsi="宋体" w:eastAsia="宋体" w:cs="宋体"/>
                <w:color w:val="auto"/>
                <w:highlight w:val="none"/>
              </w:rPr>
            </w:pPr>
          </w:p>
        </w:tc>
      </w:tr>
      <w:tr w14:paraId="6BA1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2247" w:type="dxa"/>
            <w:vAlign w:val="center"/>
          </w:tcPr>
          <w:p w14:paraId="374524FE">
            <w:pPr>
              <w:adjustRightInd w:val="0"/>
              <w:snapToGrid w:val="0"/>
              <w:spacing w:line="440" w:lineRule="exact"/>
              <w:rPr>
                <w:rFonts w:hint="eastAsia" w:ascii="宋体" w:hAnsi="宋体" w:eastAsia="宋体" w:cs="宋体"/>
                <w:b/>
                <w:color w:val="auto"/>
                <w:highlight w:val="none"/>
              </w:rPr>
            </w:pPr>
          </w:p>
        </w:tc>
        <w:tc>
          <w:tcPr>
            <w:tcW w:w="1407" w:type="dxa"/>
            <w:vAlign w:val="center"/>
          </w:tcPr>
          <w:p w14:paraId="4ED576B9">
            <w:pPr>
              <w:adjustRightInd w:val="0"/>
              <w:snapToGrid w:val="0"/>
              <w:spacing w:line="440" w:lineRule="exact"/>
              <w:rPr>
                <w:rFonts w:hint="eastAsia" w:ascii="宋体" w:hAnsi="宋体" w:eastAsia="宋体" w:cs="宋体"/>
                <w:color w:val="auto"/>
                <w:highlight w:val="none"/>
              </w:rPr>
            </w:pPr>
          </w:p>
        </w:tc>
        <w:tc>
          <w:tcPr>
            <w:tcW w:w="1320" w:type="dxa"/>
          </w:tcPr>
          <w:p w14:paraId="3DD00B57">
            <w:pPr>
              <w:adjustRightInd w:val="0"/>
              <w:snapToGrid w:val="0"/>
              <w:spacing w:line="440" w:lineRule="exact"/>
              <w:rPr>
                <w:rFonts w:hint="eastAsia" w:ascii="宋体" w:hAnsi="宋体" w:eastAsia="宋体" w:cs="宋体"/>
                <w:color w:val="auto"/>
                <w:highlight w:val="none"/>
              </w:rPr>
            </w:pPr>
          </w:p>
        </w:tc>
        <w:tc>
          <w:tcPr>
            <w:tcW w:w="3202" w:type="dxa"/>
            <w:vAlign w:val="center"/>
          </w:tcPr>
          <w:p w14:paraId="6D7A05E6">
            <w:pPr>
              <w:adjustRightInd w:val="0"/>
              <w:snapToGrid w:val="0"/>
              <w:spacing w:line="440" w:lineRule="exact"/>
              <w:rPr>
                <w:rFonts w:hint="eastAsia" w:ascii="宋体" w:hAnsi="宋体" w:eastAsia="宋体" w:cs="宋体"/>
                <w:color w:val="auto"/>
                <w:highlight w:val="none"/>
              </w:rPr>
            </w:pPr>
          </w:p>
        </w:tc>
      </w:tr>
      <w:tr w14:paraId="154E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14:paraId="1FFF2E73">
            <w:pPr>
              <w:adjustRightInd w:val="0"/>
              <w:snapToGrid w:val="0"/>
              <w:spacing w:line="440" w:lineRule="exact"/>
              <w:rPr>
                <w:rFonts w:hint="eastAsia" w:ascii="宋体" w:hAnsi="宋体" w:eastAsia="宋体" w:cs="宋体"/>
                <w:b/>
                <w:color w:val="auto"/>
                <w:highlight w:val="none"/>
              </w:rPr>
            </w:pPr>
          </w:p>
        </w:tc>
        <w:tc>
          <w:tcPr>
            <w:tcW w:w="1407" w:type="dxa"/>
            <w:vAlign w:val="center"/>
          </w:tcPr>
          <w:p w14:paraId="1B22EADC">
            <w:pPr>
              <w:adjustRightInd w:val="0"/>
              <w:snapToGrid w:val="0"/>
              <w:spacing w:line="440" w:lineRule="exact"/>
              <w:rPr>
                <w:rFonts w:hint="eastAsia" w:ascii="宋体" w:hAnsi="宋体" w:eastAsia="宋体" w:cs="宋体"/>
                <w:color w:val="auto"/>
                <w:highlight w:val="none"/>
              </w:rPr>
            </w:pPr>
          </w:p>
        </w:tc>
        <w:tc>
          <w:tcPr>
            <w:tcW w:w="1320" w:type="dxa"/>
          </w:tcPr>
          <w:p w14:paraId="5448E493">
            <w:pPr>
              <w:adjustRightInd w:val="0"/>
              <w:snapToGrid w:val="0"/>
              <w:spacing w:line="440" w:lineRule="exact"/>
              <w:rPr>
                <w:rFonts w:hint="eastAsia" w:ascii="宋体" w:hAnsi="宋体" w:eastAsia="宋体" w:cs="宋体"/>
                <w:color w:val="auto"/>
                <w:highlight w:val="none"/>
              </w:rPr>
            </w:pPr>
          </w:p>
        </w:tc>
        <w:tc>
          <w:tcPr>
            <w:tcW w:w="3202" w:type="dxa"/>
            <w:vAlign w:val="center"/>
          </w:tcPr>
          <w:p w14:paraId="72529252">
            <w:pPr>
              <w:adjustRightInd w:val="0"/>
              <w:snapToGrid w:val="0"/>
              <w:spacing w:line="440" w:lineRule="exact"/>
              <w:rPr>
                <w:rFonts w:hint="eastAsia" w:ascii="宋体" w:hAnsi="宋体" w:eastAsia="宋体" w:cs="宋体"/>
                <w:color w:val="auto"/>
                <w:highlight w:val="none"/>
              </w:rPr>
            </w:pPr>
          </w:p>
        </w:tc>
      </w:tr>
      <w:tr w14:paraId="4F56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14:paraId="1EC0DAFA">
            <w:pPr>
              <w:adjustRightInd w:val="0"/>
              <w:snapToGrid w:val="0"/>
              <w:spacing w:line="440" w:lineRule="exact"/>
              <w:rPr>
                <w:rFonts w:hint="eastAsia" w:ascii="宋体" w:hAnsi="宋体" w:eastAsia="宋体" w:cs="宋体"/>
                <w:b/>
                <w:color w:val="auto"/>
                <w:highlight w:val="none"/>
              </w:rPr>
            </w:pPr>
          </w:p>
        </w:tc>
        <w:tc>
          <w:tcPr>
            <w:tcW w:w="1407" w:type="dxa"/>
            <w:vAlign w:val="center"/>
          </w:tcPr>
          <w:p w14:paraId="4A17D364">
            <w:pPr>
              <w:adjustRightInd w:val="0"/>
              <w:snapToGrid w:val="0"/>
              <w:spacing w:line="440" w:lineRule="exact"/>
              <w:rPr>
                <w:rFonts w:hint="eastAsia" w:ascii="宋体" w:hAnsi="宋体" w:eastAsia="宋体" w:cs="宋体"/>
                <w:color w:val="auto"/>
                <w:highlight w:val="none"/>
              </w:rPr>
            </w:pPr>
          </w:p>
        </w:tc>
        <w:tc>
          <w:tcPr>
            <w:tcW w:w="1320" w:type="dxa"/>
          </w:tcPr>
          <w:p w14:paraId="44A661E8">
            <w:pPr>
              <w:adjustRightInd w:val="0"/>
              <w:snapToGrid w:val="0"/>
              <w:spacing w:line="440" w:lineRule="exact"/>
              <w:rPr>
                <w:rFonts w:hint="eastAsia" w:ascii="宋体" w:hAnsi="宋体" w:eastAsia="宋体" w:cs="宋体"/>
                <w:color w:val="auto"/>
                <w:highlight w:val="none"/>
              </w:rPr>
            </w:pPr>
          </w:p>
        </w:tc>
        <w:tc>
          <w:tcPr>
            <w:tcW w:w="3202" w:type="dxa"/>
            <w:vAlign w:val="center"/>
          </w:tcPr>
          <w:p w14:paraId="249D2F42">
            <w:pPr>
              <w:adjustRightInd w:val="0"/>
              <w:snapToGrid w:val="0"/>
              <w:spacing w:line="440" w:lineRule="exact"/>
              <w:rPr>
                <w:rFonts w:hint="eastAsia" w:ascii="宋体" w:hAnsi="宋体" w:eastAsia="宋体" w:cs="宋体"/>
                <w:color w:val="auto"/>
                <w:highlight w:val="none"/>
              </w:rPr>
            </w:pPr>
          </w:p>
        </w:tc>
      </w:tr>
      <w:tr w14:paraId="263F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14:paraId="45EEC526">
            <w:pPr>
              <w:adjustRightInd w:val="0"/>
              <w:snapToGrid w:val="0"/>
              <w:spacing w:line="440" w:lineRule="exact"/>
              <w:rPr>
                <w:rFonts w:hint="eastAsia" w:ascii="宋体" w:hAnsi="宋体" w:eastAsia="宋体" w:cs="宋体"/>
                <w:b/>
                <w:color w:val="auto"/>
                <w:highlight w:val="none"/>
              </w:rPr>
            </w:pPr>
          </w:p>
        </w:tc>
        <w:tc>
          <w:tcPr>
            <w:tcW w:w="1407" w:type="dxa"/>
            <w:vAlign w:val="center"/>
          </w:tcPr>
          <w:p w14:paraId="478082F0">
            <w:pPr>
              <w:adjustRightInd w:val="0"/>
              <w:snapToGrid w:val="0"/>
              <w:spacing w:line="440" w:lineRule="exact"/>
              <w:rPr>
                <w:rFonts w:hint="eastAsia" w:ascii="宋体" w:hAnsi="宋体" w:eastAsia="宋体" w:cs="宋体"/>
                <w:color w:val="auto"/>
                <w:highlight w:val="none"/>
              </w:rPr>
            </w:pPr>
          </w:p>
        </w:tc>
        <w:tc>
          <w:tcPr>
            <w:tcW w:w="1320" w:type="dxa"/>
          </w:tcPr>
          <w:p w14:paraId="0AE0C353">
            <w:pPr>
              <w:adjustRightInd w:val="0"/>
              <w:snapToGrid w:val="0"/>
              <w:spacing w:line="440" w:lineRule="exact"/>
              <w:rPr>
                <w:rFonts w:hint="eastAsia" w:ascii="宋体" w:hAnsi="宋体" w:eastAsia="宋体" w:cs="宋体"/>
                <w:color w:val="auto"/>
                <w:highlight w:val="none"/>
              </w:rPr>
            </w:pPr>
          </w:p>
        </w:tc>
        <w:tc>
          <w:tcPr>
            <w:tcW w:w="3202" w:type="dxa"/>
            <w:vAlign w:val="center"/>
          </w:tcPr>
          <w:p w14:paraId="23B0D728">
            <w:pPr>
              <w:adjustRightInd w:val="0"/>
              <w:snapToGrid w:val="0"/>
              <w:spacing w:line="440" w:lineRule="exact"/>
              <w:rPr>
                <w:rFonts w:hint="eastAsia" w:ascii="宋体" w:hAnsi="宋体" w:eastAsia="宋体" w:cs="宋体"/>
                <w:color w:val="auto"/>
                <w:highlight w:val="none"/>
              </w:rPr>
            </w:pPr>
          </w:p>
        </w:tc>
      </w:tr>
    </w:tbl>
    <w:p w14:paraId="4412A7A2">
      <w:pPr>
        <w:wordWrap w:val="0"/>
        <w:adjustRightInd w:val="0"/>
        <w:snapToGrid w:val="0"/>
        <w:spacing w:line="400" w:lineRule="exac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xml:space="preserve">   说明：</w:t>
      </w:r>
    </w:p>
    <w:p w14:paraId="35DFAF6B">
      <w:pPr>
        <w:wordWrap w:val="0"/>
        <w:adjustRightInd w:val="0"/>
        <w:snapToGrid w:val="0"/>
        <w:spacing w:line="400" w:lineRule="exact"/>
        <w:ind w:firstLine="420" w:firstLineChars="20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1.《本项目拟投入的人员基本情况表》后应附拟派其他主要人员（设计负责人除外）以下资料：</w:t>
      </w:r>
    </w:p>
    <w:p w14:paraId="37409907">
      <w:pPr>
        <w:wordWrap w:val="0"/>
        <w:adjustRightInd w:val="0"/>
        <w:snapToGrid w:val="0"/>
        <w:spacing w:line="400" w:lineRule="exact"/>
        <w:ind w:firstLine="478" w:firstLineChars="228"/>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（1）身份证彩色扫描件；</w:t>
      </w:r>
    </w:p>
    <w:p w14:paraId="158E7E3C">
      <w:pPr>
        <w:wordWrap w:val="0"/>
        <w:adjustRightInd w:val="0"/>
        <w:snapToGrid w:val="0"/>
        <w:spacing w:line="400" w:lineRule="exact"/>
        <w:ind w:firstLine="478" w:firstLineChars="228"/>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（2）毕业证（如需）、职称证（如需）、注册证书（如需）的彩色扫描件（须扫描至变更注册栏，电子证书除外）；</w:t>
      </w:r>
    </w:p>
    <w:p w14:paraId="69F89EA4">
      <w:pPr>
        <w:wordWrap w:val="0"/>
        <w:adjustRightInd w:val="0"/>
        <w:snapToGrid w:val="0"/>
        <w:spacing w:line="400" w:lineRule="exact"/>
        <w:ind w:firstLine="478" w:firstLineChars="228"/>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（3）在本单位缴纳社保的证明（至少3个月，其中必须有2025年01月）</w:t>
      </w:r>
      <w:r>
        <w:rPr>
          <w:rFonts w:hint="eastAsia" w:ascii="宋体" w:hAnsi="宋体" w:eastAsia="宋体" w:cs="宋体"/>
          <w:snapToGrid w:val="0"/>
          <w:color w:val="auto"/>
          <w:kern w:val="0"/>
          <w:szCs w:val="28"/>
          <w:highlight w:val="none"/>
          <w:lang w:eastAsia="zh-CN"/>
        </w:rPr>
        <w:t>扫描件</w:t>
      </w:r>
      <w:r>
        <w:rPr>
          <w:rFonts w:hint="eastAsia" w:ascii="宋体" w:hAnsi="宋体" w:eastAsia="宋体" w:cs="宋体"/>
          <w:snapToGrid w:val="0"/>
          <w:color w:val="auto"/>
          <w:kern w:val="0"/>
          <w:szCs w:val="28"/>
          <w:highlight w:val="none"/>
        </w:rPr>
        <w:t>。（非独立法人分支机构出具社保，予以认可）（若由上级事业单位统一缴纳的，必须提供上级事业单位出具的投标人在编人员社保在上级事业单位缴纳的证明文件及该人员在上级事业单位缴纳的社保证明。）</w:t>
      </w:r>
    </w:p>
    <w:p w14:paraId="2A83603F">
      <w:pPr>
        <w:wordWrap w:val="0"/>
        <w:adjustRightInd w:val="0"/>
        <w:snapToGrid w:val="0"/>
        <w:spacing w:line="400" w:lineRule="exact"/>
        <w:ind w:firstLine="478" w:firstLineChars="228"/>
        <w:rPr>
          <w:rFonts w:hint="eastAsia" w:ascii="宋体" w:hAnsi="宋体" w:eastAsia="宋体" w:cs="宋体"/>
          <w:snapToGrid w:val="0"/>
          <w:color w:val="auto"/>
          <w:kern w:val="0"/>
          <w:szCs w:val="28"/>
          <w:highlight w:val="none"/>
          <w:lang w:eastAsia="zh-CN"/>
        </w:rPr>
      </w:pPr>
      <w:r>
        <w:rPr>
          <w:rFonts w:hint="eastAsia" w:ascii="宋体" w:hAnsi="宋体" w:eastAsia="宋体" w:cs="宋体"/>
          <w:snapToGrid w:val="0"/>
          <w:color w:val="auto"/>
          <w:kern w:val="0"/>
          <w:szCs w:val="28"/>
          <w:highlight w:val="none"/>
        </w:rPr>
        <w:t>（4）拟派人员为退休返聘人员无法提供社保证明的，提供退休证和劳动合同/返聘证明</w:t>
      </w:r>
      <w:r>
        <w:rPr>
          <w:rFonts w:hint="eastAsia" w:ascii="宋体" w:hAnsi="宋体" w:eastAsia="宋体" w:cs="宋体"/>
          <w:snapToGrid w:val="0"/>
          <w:color w:val="auto"/>
          <w:kern w:val="0"/>
          <w:szCs w:val="28"/>
          <w:highlight w:val="none"/>
          <w:lang w:eastAsia="zh-CN"/>
        </w:rPr>
        <w:t>扫描件。</w:t>
      </w:r>
    </w:p>
    <w:p w14:paraId="1EACF720">
      <w:pPr>
        <w:rPr>
          <w:rFonts w:hint="eastAsia" w:ascii="宋体" w:hAnsi="宋体" w:eastAsia="宋体" w:cs="宋体"/>
          <w:color w:val="auto"/>
          <w:highlight w:val="none"/>
        </w:rPr>
      </w:pPr>
    </w:p>
    <w:p w14:paraId="364B5718">
      <w:pPr>
        <w:rPr>
          <w:rFonts w:hint="eastAsia" w:ascii="宋体" w:hAnsi="宋体" w:eastAsia="宋体" w:cs="宋体"/>
          <w:color w:val="auto"/>
          <w:highlight w:val="none"/>
        </w:rPr>
      </w:pPr>
    </w:p>
    <w:p w14:paraId="3EA77420">
      <w:pPr>
        <w:rPr>
          <w:rFonts w:hint="eastAsia" w:ascii="宋体" w:hAnsi="宋体" w:eastAsia="宋体" w:cs="宋体"/>
          <w:color w:val="auto"/>
          <w:highlight w:val="none"/>
        </w:rPr>
      </w:pPr>
    </w:p>
    <w:p w14:paraId="41A6FEC3">
      <w:pPr>
        <w:rPr>
          <w:rFonts w:hint="eastAsia" w:ascii="宋体" w:hAnsi="宋体" w:eastAsia="宋体" w:cs="宋体"/>
          <w:color w:val="auto"/>
          <w:highlight w:val="none"/>
        </w:rPr>
      </w:pPr>
    </w:p>
    <w:p w14:paraId="393E8009">
      <w:pPr>
        <w:rPr>
          <w:rFonts w:hint="eastAsia" w:ascii="宋体" w:hAnsi="宋体" w:eastAsia="宋体" w:cs="宋体"/>
          <w:color w:val="auto"/>
          <w:highlight w:val="none"/>
        </w:rPr>
      </w:pPr>
    </w:p>
    <w:p w14:paraId="466F2FB7">
      <w:pPr>
        <w:rPr>
          <w:rFonts w:hint="eastAsia" w:ascii="宋体" w:hAnsi="宋体" w:eastAsia="宋体" w:cs="宋体"/>
          <w:color w:val="auto"/>
          <w:highlight w:val="none"/>
        </w:rPr>
      </w:pPr>
    </w:p>
    <w:p w14:paraId="72970922">
      <w:pPr>
        <w:rPr>
          <w:rFonts w:hint="eastAsia" w:ascii="宋体" w:hAnsi="宋体" w:eastAsia="宋体" w:cs="宋体"/>
          <w:color w:val="auto"/>
          <w:highlight w:val="none"/>
        </w:rPr>
      </w:pPr>
    </w:p>
    <w:p w14:paraId="00DE3036">
      <w:pPr>
        <w:rPr>
          <w:rFonts w:hint="eastAsia" w:ascii="宋体" w:hAnsi="宋体" w:eastAsia="宋体" w:cs="宋体"/>
          <w:color w:val="auto"/>
          <w:highlight w:val="none"/>
        </w:rPr>
      </w:pPr>
    </w:p>
    <w:p w14:paraId="3244F847">
      <w:pPr>
        <w:pStyle w:val="79"/>
        <w:keepNext/>
        <w:keepLines/>
        <w:adjustRightInd/>
        <w:jc w:val="both"/>
        <w:outlineLvl w:val="1"/>
        <w:rPr>
          <w:rFonts w:hint="eastAsia" w:ascii="宋体" w:hAnsi="宋体" w:eastAsia="宋体" w:cs="宋体"/>
          <w:b/>
          <w:color w:val="auto"/>
          <w:kern w:val="2"/>
          <w:highlight w:val="none"/>
          <w:lang w:val="en-US" w:eastAsia="zh-CN"/>
        </w:rPr>
      </w:pPr>
      <w:bookmarkStart w:id="535" w:name="_Toc3722"/>
      <w:bookmarkStart w:id="536" w:name="_Toc25024"/>
      <w:bookmarkStart w:id="537" w:name="_Toc31032"/>
      <w:bookmarkStart w:id="538" w:name="_Toc23722"/>
      <w:bookmarkStart w:id="539" w:name="_Toc135054615"/>
      <w:r>
        <w:rPr>
          <w:rFonts w:hint="eastAsia" w:ascii="宋体" w:hAnsi="宋体" w:eastAsia="宋体" w:cs="宋体"/>
          <w:b/>
          <w:color w:val="auto"/>
          <w:kern w:val="2"/>
          <w:highlight w:val="none"/>
          <w:lang w:val="en-US" w:eastAsia="zh-CN"/>
        </w:rPr>
        <w:t>格式八   法定代表人身份证明书</w:t>
      </w:r>
      <w:bookmarkEnd w:id="535"/>
      <w:bookmarkEnd w:id="536"/>
      <w:bookmarkEnd w:id="537"/>
      <w:bookmarkEnd w:id="538"/>
      <w:bookmarkEnd w:id="539"/>
    </w:p>
    <w:p w14:paraId="55FF59CE">
      <w:pPr>
        <w:wordWrap w:val="0"/>
        <w:adjustRightInd w:val="0"/>
        <w:snapToGrid w:val="0"/>
        <w:spacing w:line="440" w:lineRule="exact"/>
        <w:ind w:firstLine="570"/>
        <w:jc w:val="center"/>
        <w:rPr>
          <w:rFonts w:hint="eastAsia" w:ascii="宋体" w:hAnsi="宋体" w:eastAsia="宋体" w:cs="宋体"/>
          <w:b/>
          <w:snapToGrid w:val="0"/>
          <w:color w:val="auto"/>
          <w:kern w:val="0"/>
          <w:sz w:val="30"/>
          <w:highlight w:val="none"/>
        </w:rPr>
      </w:pPr>
      <w:bookmarkStart w:id="540" w:name="_Toc3759"/>
      <w:r>
        <w:rPr>
          <w:rFonts w:hint="eastAsia" w:ascii="宋体" w:hAnsi="宋体" w:eastAsia="宋体" w:cs="宋体"/>
          <w:b/>
          <w:snapToGrid w:val="0"/>
          <w:color w:val="auto"/>
          <w:kern w:val="0"/>
          <w:sz w:val="30"/>
          <w:highlight w:val="none"/>
        </w:rPr>
        <w:t>法定代表人身份证明书</w:t>
      </w:r>
      <w:bookmarkEnd w:id="540"/>
    </w:p>
    <w:p w14:paraId="6AC05E4C">
      <w:pPr>
        <w:adjustRightInd w:val="0"/>
        <w:snapToGrid w:val="0"/>
        <w:spacing w:line="440" w:lineRule="exact"/>
        <w:rPr>
          <w:rFonts w:hint="eastAsia" w:ascii="宋体" w:hAnsi="宋体" w:eastAsia="宋体" w:cs="宋体"/>
          <w:color w:val="auto"/>
          <w:sz w:val="24"/>
          <w:szCs w:val="24"/>
          <w:highlight w:val="none"/>
        </w:rPr>
      </w:pPr>
    </w:p>
    <w:p w14:paraId="2E943949">
      <w:pPr>
        <w:snapToGrid w:val="0"/>
        <w:spacing w:line="440" w:lineRule="exact"/>
        <w:rPr>
          <w:rFonts w:hint="eastAsia" w:ascii="宋体" w:hAnsi="宋体" w:eastAsia="宋体" w:cs="宋体"/>
          <w:color w:val="auto"/>
          <w:sz w:val="24"/>
          <w:szCs w:val="24"/>
          <w:highlight w:val="none"/>
          <w:u w:val="single"/>
        </w:rPr>
      </w:pPr>
      <w:bookmarkStart w:id="541" w:name="_Toc118541763"/>
      <w:bookmarkStart w:id="542" w:name="_Toc535300004"/>
      <w:bookmarkStart w:id="543" w:name="_Toc48547015"/>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6FAFA53B">
      <w:pPr>
        <w:snapToGrid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102D80ED">
      <w:pPr>
        <w:snapToGrid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4137E73B">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  联系电话：</w:t>
      </w:r>
      <w:r>
        <w:rPr>
          <w:rFonts w:hint="eastAsia" w:ascii="宋体" w:hAnsi="宋体" w:eastAsia="宋体" w:cs="宋体"/>
          <w:color w:val="auto"/>
          <w:sz w:val="24"/>
          <w:szCs w:val="24"/>
          <w:highlight w:val="none"/>
          <w:u w:val="single"/>
        </w:rPr>
        <w:t xml:space="preserve">                      </w:t>
      </w:r>
    </w:p>
    <w:p w14:paraId="43B0C62E">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经营期限：</w:t>
      </w:r>
      <w:r>
        <w:rPr>
          <w:rFonts w:hint="eastAsia" w:ascii="宋体" w:hAnsi="宋体" w:eastAsia="宋体" w:cs="宋体"/>
          <w:color w:val="auto"/>
          <w:sz w:val="24"/>
          <w:szCs w:val="24"/>
          <w:highlight w:val="none"/>
          <w:u w:val="single"/>
        </w:rPr>
        <w:t xml:space="preserve">                      </w:t>
      </w:r>
    </w:p>
    <w:p w14:paraId="4E08FD12">
      <w:pPr>
        <w:snapToGrid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主    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兼    营：</w:t>
      </w:r>
      <w:r>
        <w:rPr>
          <w:rFonts w:hint="eastAsia" w:ascii="宋体" w:hAnsi="宋体" w:eastAsia="宋体" w:cs="宋体"/>
          <w:color w:val="auto"/>
          <w:sz w:val="24"/>
          <w:szCs w:val="24"/>
          <w:highlight w:val="none"/>
          <w:u w:val="single"/>
        </w:rPr>
        <w:t xml:space="preserve">                      </w:t>
      </w:r>
    </w:p>
    <w:p w14:paraId="15E8E565">
      <w:pPr>
        <w:snapToGrid w:val="0"/>
        <w:spacing w:line="440" w:lineRule="exact"/>
        <w:rPr>
          <w:rFonts w:hint="eastAsia" w:ascii="宋体" w:hAnsi="宋体" w:eastAsia="宋体" w:cs="宋体"/>
          <w:color w:val="auto"/>
          <w:sz w:val="24"/>
          <w:szCs w:val="24"/>
          <w:highlight w:val="none"/>
        </w:rPr>
      </w:pPr>
    </w:p>
    <w:p w14:paraId="16ABB3ED">
      <w:pPr>
        <w:snapToGrid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    别：</w:t>
      </w:r>
      <w:r>
        <w:rPr>
          <w:rFonts w:hint="eastAsia" w:ascii="宋体" w:hAnsi="宋体" w:eastAsia="宋体" w:cs="宋体"/>
          <w:color w:val="auto"/>
          <w:sz w:val="24"/>
          <w:szCs w:val="24"/>
          <w:highlight w:val="none"/>
          <w:u w:val="single"/>
        </w:rPr>
        <w:t xml:space="preserve">                      </w:t>
      </w:r>
    </w:p>
    <w:p w14:paraId="5C5CE440">
      <w:pPr>
        <w:snapToGrid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    务：</w:t>
      </w:r>
      <w:r>
        <w:rPr>
          <w:rFonts w:hint="eastAsia" w:ascii="宋体" w:hAnsi="宋体" w:eastAsia="宋体" w:cs="宋体"/>
          <w:color w:val="auto"/>
          <w:sz w:val="24"/>
          <w:szCs w:val="24"/>
          <w:highlight w:val="none"/>
          <w:u w:val="single"/>
        </w:rPr>
        <w:t xml:space="preserve">                      </w:t>
      </w:r>
    </w:p>
    <w:p w14:paraId="794518F0">
      <w:pPr>
        <w:snapToGrid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手机号码：</w:t>
      </w:r>
      <w:r>
        <w:rPr>
          <w:rFonts w:hint="eastAsia" w:ascii="宋体" w:hAnsi="宋体" w:eastAsia="宋体" w:cs="宋体"/>
          <w:color w:val="auto"/>
          <w:sz w:val="24"/>
          <w:szCs w:val="24"/>
          <w:highlight w:val="none"/>
          <w:u w:val="single"/>
        </w:rPr>
        <w:t xml:space="preserve">                      </w:t>
      </w:r>
    </w:p>
    <w:p w14:paraId="115409EF">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40317B73">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38FEC723">
      <w:pPr>
        <w:snapToGrid w:val="0"/>
        <w:spacing w:line="440" w:lineRule="exact"/>
        <w:rPr>
          <w:rFonts w:hint="eastAsia" w:ascii="宋体" w:hAnsi="宋体" w:eastAsia="宋体" w:cs="宋体"/>
          <w:color w:val="auto"/>
          <w:sz w:val="24"/>
          <w:szCs w:val="24"/>
          <w:highlight w:val="none"/>
        </w:rPr>
      </w:pPr>
    </w:p>
    <w:p w14:paraId="233D99F8">
      <w:pPr>
        <w:snapToGrid w:val="0"/>
        <w:spacing w:line="440" w:lineRule="exact"/>
        <w:rPr>
          <w:rFonts w:hint="eastAsia" w:ascii="宋体" w:hAnsi="宋体" w:eastAsia="宋体" w:cs="宋体"/>
          <w:color w:val="auto"/>
          <w:sz w:val="24"/>
          <w:szCs w:val="24"/>
          <w:highlight w:val="none"/>
        </w:rPr>
      </w:pPr>
    </w:p>
    <w:p w14:paraId="3CF7531F">
      <w:pPr>
        <w:snapToGrid w:val="0"/>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p>
    <w:p w14:paraId="33767D95">
      <w:pPr>
        <w:snapToGrid w:val="0"/>
        <w:spacing w:line="440" w:lineRule="exact"/>
        <w:jc w:val="right"/>
        <w:rPr>
          <w:rFonts w:hint="eastAsia" w:ascii="宋体" w:hAnsi="宋体" w:eastAsia="宋体" w:cs="宋体"/>
          <w:color w:val="auto"/>
          <w:sz w:val="24"/>
          <w:szCs w:val="24"/>
          <w:highlight w:val="none"/>
        </w:rPr>
      </w:pPr>
    </w:p>
    <w:p w14:paraId="0AE4F6E9">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562CBE5D">
      <w:pPr>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4F54268">
      <w:pPr>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0FB914CE">
      <w:pPr>
        <w:snapToGrid w:val="0"/>
        <w:spacing w:line="440" w:lineRule="exact"/>
        <w:rPr>
          <w:rFonts w:hint="eastAsia" w:ascii="宋体" w:hAnsi="宋体" w:eastAsia="宋体" w:cs="宋体"/>
          <w:color w:val="auto"/>
          <w:sz w:val="24"/>
          <w:szCs w:val="24"/>
          <w:highlight w:val="none"/>
        </w:rPr>
      </w:pPr>
    </w:p>
    <w:p w14:paraId="2ED2E951">
      <w:pPr>
        <w:snapToGrid w:val="0"/>
        <w:spacing w:line="440" w:lineRule="exact"/>
        <w:rPr>
          <w:rFonts w:hint="eastAsia" w:ascii="宋体" w:hAnsi="宋体" w:eastAsia="宋体" w:cs="宋体"/>
          <w:b/>
          <w:color w:val="auto"/>
          <w:sz w:val="24"/>
          <w:szCs w:val="24"/>
          <w:highlight w:val="none"/>
        </w:rPr>
      </w:pPr>
    </w:p>
    <w:p w14:paraId="4F6B250D">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825115" cy="1584325"/>
                        </a:xfrm>
                        <a:prstGeom prst="flowChartAlternateProcess">
                          <a:avLst/>
                        </a:prstGeom>
                        <a:solidFill>
                          <a:srgbClr val="FFFFFF"/>
                        </a:solidFill>
                        <a:ln w="9525">
                          <a:solidFill>
                            <a:srgbClr val="000000"/>
                          </a:solidFill>
                          <a:miter lim="800000"/>
                        </a:ln>
                        <a:effectLst/>
                      </wps:spPr>
                      <wps:txbx>
                        <w:txbxContent>
                          <w:p w14:paraId="4C8DE665">
                            <w:pPr>
                              <w:jc w:val="center"/>
                              <w:rPr>
                                <w:szCs w:val="21"/>
                              </w:rPr>
                            </w:pPr>
                          </w:p>
                          <w:p w14:paraId="127D49A9">
                            <w:pPr>
                              <w:jc w:val="center"/>
                              <w:rPr>
                                <w:szCs w:val="21"/>
                              </w:rPr>
                            </w:pPr>
                          </w:p>
                          <w:p w14:paraId="28289FD6">
                            <w:pPr>
                              <w:jc w:val="center"/>
                              <w:rPr>
                                <w:szCs w:val="21"/>
                              </w:rPr>
                            </w:pPr>
                          </w:p>
                          <w:p w14:paraId="6D780762">
                            <w:pPr>
                              <w:jc w:val="center"/>
                              <w:rPr>
                                <w:szCs w:val="21"/>
                              </w:rPr>
                            </w:pPr>
                            <w:r>
                              <w:rPr>
                                <w:rFonts w:hint="eastAsia"/>
                                <w:szCs w:val="21"/>
                              </w:rPr>
                              <w:t>法定代表人身份证</w:t>
                            </w:r>
                            <w:r>
                              <w:rPr>
                                <w:rFonts w:hint="eastAsia" w:ascii="宋体" w:hAnsi="宋体" w:cs="宋体"/>
                                <w:snapToGrid w:val="0"/>
                                <w:kern w:val="0"/>
                                <w:szCs w:val="21"/>
                              </w:rPr>
                              <w:t>扫描件</w:t>
                            </w:r>
                            <w:r>
                              <w:rPr>
                                <w:rFonts w:hint="eastAsia"/>
                                <w:szCs w:val="21"/>
                              </w:rPr>
                              <w:t>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27.5pt;margin-top:1.6pt;height:124.75pt;width:222.45pt;z-index:251659264;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hXUptgAAAAJAQAADwAAAAAAAAABACAAAAAiAAAAZHJzL2Rvd25yZXYueG1sUEsBAhQAFAAA&#10;AAgAh07iQNa5M/xhAgAArwQAAA4AAAAAAAAAAQAgAAAAJwEAAGRycy9lMm9Eb2MueG1sUEsFBgAA&#10;AAAGAAYAWQEAAPoFAAAAAA==&#10;">
                <v:fill on="t" focussize="0,0"/>
                <v:stroke color="#000000" miterlimit="8" joinstyle="miter"/>
                <v:imagedata o:title=""/>
                <o:lock v:ext="edit" aspectratio="f"/>
                <v:textbox>
                  <w:txbxContent>
                    <w:p w14:paraId="4C8DE665">
                      <w:pPr>
                        <w:jc w:val="center"/>
                        <w:rPr>
                          <w:szCs w:val="21"/>
                        </w:rPr>
                      </w:pPr>
                    </w:p>
                    <w:p w14:paraId="127D49A9">
                      <w:pPr>
                        <w:jc w:val="center"/>
                        <w:rPr>
                          <w:szCs w:val="21"/>
                        </w:rPr>
                      </w:pPr>
                    </w:p>
                    <w:p w14:paraId="28289FD6">
                      <w:pPr>
                        <w:jc w:val="center"/>
                        <w:rPr>
                          <w:szCs w:val="21"/>
                        </w:rPr>
                      </w:pPr>
                    </w:p>
                    <w:p w14:paraId="6D780762">
                      <w:pPr>
                        <w:jc w:val="center"/>
                        <w:rPr>
                          <w:szCs w:val="21"/>
                        </w:rPr>
                      </w:pPr>
                      <w:r>
                        <w:rPr>
                          <w:rFonts w:hint="eastAsia"/>
                          <w:szCs w:val="21"/>
                        </w:rPr>
                        <w:t>法定代表人身份证</w:t>
                      </w:r>
                      <w:r>
                        <w:rPr>
                          <w:rFonts w:hint="eastAsia" w:ascii="宋体" w:hAnsi="宋体" w:cs="宋体"/>
                          <w:snapToGrid w:val="0"/>
                          <w:kern w:val="0"/>
                          <w:szCs w:val="21"/>
                        </w:rPr>
                        <w:t>扫描件</w:t>
                      </w:r>
                      <w:r>
                        <w:rPr>
                          <w:rFonts w:hint="eastAsia"/>
                          <w:szCs w:val="21"/>
                        </w:rPr>
                        <w:t>正、反面</w:t>
                      </w:r>
                    </w:p>
                  </w:txbxContent>
                </v:textbox>
              </v:shape>
            </w:pict>
          </mc:Fallback>
        </mc:AlternateContent>
      </w:r>
    </w:p>
    <w:p w14:paraId="5B2483C5">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color w:val="auto"/>
          <w:sz w:val="24"/>
          <w:szCs w:val="24"/>
          <w:highlight w:val="none"/>
        </w:rPr>
      </w:pPr>
    </w:p>
    <w:p w14:paraId="4EF793B3">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color w:val="auto"/>
          <w:sz w:val="24"/>
          <w:szCs w:val="24"/>
          <w:highlight w:val="none"/>
        </w:rPr>
      </w:pPr>
    </w:p>
    <w:p w14:paraId="3D0E07F7">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color w:val="auto"/>
          <w:sz w:val="24"/>
          <w:szCs w:val="24"/>
          <w:highlight w:val="none"/>
        </w:rPr>
      </w:pPr>
    </w:p>
    <w:p w14:paraId="19F8F508">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color w:val="auto"/>
          <w:sz w:val="24"/>
          <w:szCs w:val="24"/>
          <w:highlight w:val="none"/>
        </w:rPr>
      </w:pPr>
    </w:p>
    <w:p w14:paraId="772C370C">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color w:val="auto"/>
          <w:sz w:val="24"/>
          <w:szCs w:val="24"/>
          <w:highlight w:val="none"/>
        </w:rPr>
      </w:pPr>
    </w:p>
    <w:p w14:paraId="770F099A">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color w:val="auto"/>
          <w:sz w:val="24"/>
          <w:szCs w:val="24"/>
          <w:highlight w:val="none"/>
        </w:rPr>
      </w:pPr>
    </w:p>
    <w:p w14:paraId="5A43F3D9">
      <w:pPr>
        <w:pStyle w:val="79"/>
        <w:keepNext/>
        <w:keepLines/>
        <w:adjustRightInd/>
        <w:jc w:val="both"/>
        <w:outlineLvl w:val="1"/>
        <w:rPr>
          <w:rFonts w:hint="eastAsia" w:ascii="宋体" w:hAnsi="宋体" w:eastAsia="宋体" w:cs="宋体"/>
          <w:b/>
          <w:color w:val="auto"/>
          <w:kern w:val="2"/>
          <w:highlight w:val="none"/>
          <w:lang w:val="en-US" w:eastAsia="zh-CN"/>
        </w:rPr>
      </w:pPr>
      <w:bookmarkStart w:id="544" w:name="_Toc135054616"/>
      <w:bookmarkStart w:id="545" w:name="_Toc18664"/>
      <w:bookmarkStart w:id="546" w:name="_Toc20552"/>
      <w:bookmarkStart w:id="547" w:name="_Toc13656"/>
      <w:bookmarkStart w:id="548" w:name="_Toc14163"/>
      <w:bookmarkStart w:id="549" w:name="_Toc210101349"/>
      <w:r>
        <w:rPr>
          <w:rFonts w:hint="eastAsia" w:ascii="宋体" w:hAnsi="宋体" w:eastAsia="宋体" w:cs="宋体"/>
          <w:b/>
          <w:color w:val="auto"/>
          <w:kern w:val="2"/>
          <w:highlight w:val="none"/>
          <w:lang w:val="en-US" w:eastAsia="zh-CN"/>
        </w:rPr>
        <w:t>格式九   法定代表人授权委托书</w:t>
      </w:r>
      <w:bookmarkEnd w:id="544"/>
      <w:bookmarkEnd w:id="545"/>
      <w:bookmarkEnd w:id="546"/>
      <w:bookmarkEnd w:id="547"/>
      <w:bookmarkEnd w:id="548"/>
    </w:p>
    <w:bookmarkEnd w:id="541"/>
    <w:bookmarkEnd w:id="542"/>
    <w:bookmarkEnd w:id="543"/>
    <w:bookmarkEnd w:id="549"/>
    <w:p w14:paraId="47E0E0D8">
      <w:pPr>
        <w:wordWrap w:val="0"/>
        <w:adjustRightInd w:val="0"/>
        <w:snapToGrid w:val="0"/>
        <w:spacing w:line="440" w:lineRule="exact"/>
        <w:ind w:firstLine="570"/>
        <w:jc w:val="center"/>
        <w:rPr>
          <w:rFonts w:hint="eastAsia" w:ascii="宋体" w:hAnsi="宋体" w:eastAsia="宋体" w:cs="宋体"/>
          <w:b/>
          <w:snapToGrid w:val="0"/>
          <w:color w:val="auto"/>
          <w:kern w:val="0"/>
          <w:sz w:val="30"/>
          <w:highlight w:val="none"/>
        </w:rPr>
      </w:pPr>
      <w:bookmarkStart w:id="550" w:name="_Toc9230"/>
      <w:r>
        <w:rPr>
          <w:rFonts w:hint="eastAsia" w:ascii="宋体" w:hAnsi="宋体" w:eastAsia="宋体" w:cs="宋体"/>
          <w:b/>
          <w:snapToGrid w:val="0"/>
          <w:color w:val="auto"/>
          <w:kern w:val="0"/>
          <w:sz w:val="30"/>
          <w:highlight w:val="none"/>
        </w:rPr>
        <w:t>法定代表人授权委托书</w:t>
      </w:r>
      <w:bookmarkEnd w:id="550"/>
    </w:p>
    <w:p w14:paraId="7AA82A51">
      <w:pPr>
        <w:adjustRightInd w:val="0"/>
        <w:snapToGrid w:val="0"/>
        <w:spacing w:line="440" w:lineRule="exact"/>
        <w:rPr>
          <w:rFonts w:hint="eastAsia" w:ascii="宋体" w:hAnsi="宋体" w:eastAsia="宋体" w:cs="宋体"/>
          <w:color w:val="auto"/>
          <w:sz w:val="24"/>
          <w:szCs w:val="24"/>
          <w:highlight w:val="none"/>
        </w:rPr>
      </w:pPr>
    </w:p>
    <w:p w14:paraId="31FED264">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（项目名称）投标文件、签订合同和处理有关事宜，其法律后果由我方承担。</w:t>
      </w:r>
    </w:p>
    <w:p w14:paraId="5D6434C5">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不早于投标文件中标注的投标有效期截止时间</w:t>
      </w:r>
      <w:r>
        <w:rPr>
          <w:rFonts w:hint="eastAsia" w:ascii="宋体" w:hAnsi="宋体" w:eastAsia="宋体" w:cs="宋体"/>
          <w:color w:val="auto"/>
          <w:sz w:val="24"/>
          <w:szCs w:val="24"/>
          <w:highlight w:val="none"/>
        </w:rPr>
        <w:t xml:space="preserve"> 。</w:t>
      </w:r>
    </w:p>
    <w:p w14:paraId="7A3AA5A8">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代理人无转委托权。</w:t>
      </w:r>
    </w:p>
    <w:p w14:paraId="75F7FA4E">
      <w:pPr>
        <w:snapToGrid w:val="0"/>
        <w:spacing w:line="440" w:lineRule="exact"/>
        <w:rPr>
          <w:rFonts w:hint="eastAsia" w:ascii="宋体" w:hAnsi="宋体" w:eastAsia="宋体" w:cs="宋体"/>
          <w:color w:val="auto"/>
          <w:sz w:val="24"/>
          <w:szCs w:val="24"/>
          <w:highlight w:val="none"/>
        </w:rPr>
      </w:pPr>
    </w:p>
    <w:p w14:paraId="02330572">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p>
    <w:p w14:paraId="2A83922A">
      <w:pPr>
        <w:snapToGrid w:val="0"/>
        <w:spacing w:line="440" w:lineRule="exact"/>
        <w:rPr>
          <w:rFonts w:hint="eastAsia" w:ascii="宋体" w:hAnsi="宋体" w:eastAsia="宋体" w:cs="宋体"/>
          <w:color w:val="auto"/>
          <w:sz w:val="24"/>
          <w:szCs w:val="24"/>
          <w:highlight w:val="none"/>
        </w:rPr>
      </w:pPr>
    </w:p>
    <w:p w14:paraId="141E3738">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30D965B">
      <w:pPr>
        <w:snapToGrid w:val="0"/>
        <w:spacing w:line="440" w:lineRule="exact"/>
        <w:rPr>
          <w:rFonts w:hint="eastAsia" w:ascii="宋体" w:hAnsi="宋体" w:eastAsia="宋体" w:cs="宋体"/>
          <w:color w:val="auto"/>
          <w:sz w:val="24"/>
          <w:szCs w:val="24"/>
          <w:highlight w:val="none"/>
        </w:rPr>
      </w:pPr>
    </w:p>
    <w:p w14:paraId="581063EB">
      <w:pPr>
        <w:snapToGrid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身份证号码：</w:t>
      </w:r>
      <w:r>
        <w:rPr>
          <w:rFonts w:hint="eastAsia" w:ascii="宋体" w:hAnsi="宋体" w:eastAsia="宋体" w:cs="宋体"/>
          <w:color w:val="auto"/>
          <w:sz w:val="24"/>
          <w:szCs w:val="24"/>
          <w:highlight w:val="none"/>
          <w:u w:val="single"/>
        </w:rPr>
        <w:t xml:space="preserve">                        </w:t>
      </w:r>
    </w:p>
    <w:p w14:paraId="11FACF17">
      <w:pPr>
        <w:snapToGrid w:val="0"/>
        <w:spacing w:line="440" w:lineRule="exact"/>
        <w:rPr>
          <w:rFonts w:hint="eastAsia" w:ascii="宋体" w:hAnsi="宋体" w:eastAsia="宋体" w:cs="宋体"/>
          <w:color w:val="auto"/>
          <w:sz w:val="24"/>
          <w:szCs w:val="24"/>
          <w:highlight w:val="none"/>
        </w:rPr>
      </w:pPr>
    </w:p>
    <w:p w14:paraId="20B5C91D">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02DC568">
      <w:pPr>
        <w:snapToGrid w:val="0"/>
        <w:spacing w:line="440" w:lineRule="exact"/>
        <w:rPr>
          <w:rFonts w:hint="eastAsia" w:ascii="宋体" w:hAnsi="宋体" w:eastAsia="宋体" w:cs="宋体"/>
          <w:color w:val="auto"/>
          <w:sz w:val="24"/>
          <w:szCs w:val="24"/>
          <w:highlight w:val="none"/>
        </w:rPr>
      </w:pPr>
    </w:p>
    <w:p w14:paraId="7AFF0C09">
      <w:pPr>
        <w:snapToGrid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身份证号码：</w:t>
      </w:r>
      <w:r>
        <w:rPr>
          <w:rFonts w:hint="eastAsia" w:ascii="宋体" w:hAnsi="宋体" w:eastAsia="宋体" w:cs="宋体"/>
          <w:color w:val="auto"/>
          <w:sz w:val="24"/>
          <w:szCs w:val="24"/>
          <w:highlight w:val="none"/>
          <w:u w:val="single"/>
        </w:rPr>
        <w:t xml:space="preserve">                        </w:t>
      </w:r>
    </w:p>
    <w:p w14:paraId="58F5D277">
      <w:pPr>
        <w:snapToGrid w:val="0"/>
        <w:spacing w:line="440" w:lineRule="exact"/>
        <w:rPr>
          <w:rFonts w:hint="eastAsia" w:ascii="宋体" w:hAnsi="宋体" w:eastAsia="宋体" w:cs="宋体"/>
          <w:color w:val="auto"/>
          <w:sz w:val="24"/>
          <w:szCs w:val="24"/>
          <w:highlight w:val="none"/>
        </w:rPr>
      </w:pPr>
    </w:p>
    <w:p w14:paraId="2552A842">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4416D9A">
      <w:pPr>
        <w:snapToGrid w:val="0"/>
        <w:spacing w:line="440" w:lineRule="exact"/>
        <w:rPr>
          <w:rFonts w:hint="eastAsia" w:ascii="宋体" w:hAnsi="宋体" w:eastAsia="宋体" w:cs="宋体"/>
          <w:color w:val="auto"/>
          <w:sz w:val="24"/>
          <w:szCs w:val="24"/>
          <w:highlight w:val="none"/>
        </w:rPr>
      </w:pPr>
    </w:p>
    <w:p w14:paraId="754C9E3B">
      <w:pPr>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190875" cy="1584325"/>
                        </a:xfrm>
                        <a:prstGeom prst="flowChartAlternateProcess">
                          <a:avLst/>
                        </a:prstGeom>
                        <a:solidFill>
                          <a:srgbClr val="FFFFFF"/>
                        </a:solidFill>
                        <a:ln w="9525">
                          <a:solidFill>
                            <a:srgbClr val="000000"/>
                          </a:solidFill>
                          <a:miter lim="800000"/>
                        </a:ln>
                        <a:effectLst/>
                      </wps:spPr>
                      <wps:txbx>
                        <w:txbxContent>
                          <w:p w14:paraId="3FEAE49B">
                            <w:pPr>
                              <w:jc w:val="center"/>
                              <w:rPr>
                                <w:szCs w:val="21"/>
                              </w:rPr>
                            </w:pPr>
                          </w:p>
                          <w:p w14:paraId="12BE9AA8">
                            <w:pPr>
                              <w:jc w:val="center"/>
                              <w:rPr>
                                <w:szCs w:val="21"/>
                              </w:rPr>
                            </w:pPr>
                          </w:p>
                          <w:p w14:paraId="16F8B157">
                            <w:pPr>
                              <w:jc w:val="center"/>
                              <w:rPr>
                                <w:szCs w:val="21"/>
                              </w:rPr>
                            </w:pPr>
                          </w:p>
                          <w:p w14:paraId="1B99FF49">
                            <w:pPr>
                              <w:jc w:val="center"/>
                              <w:rPr>
                                <w:szCs w:val="21"/>
                              </w:rPr>
                            </w:pPr>
                            <w:r>
                              <w:rPr>
                                <w:rFonts w:hint="eastAsia"/>
                                <w:szCs w:val="21"/>
                              </w:rPr>
                              <w:t>委托代理人身份证</w:t>
                            </w:r>
                            <w:r>
                              <w:rPr>
                                <w:rFonts w:hint="eastAsia" w:ascii="宋体" w:hAnsi="宋体" w:cs="宋体"/>
                                <w:snapToGrid w:val="0"/>
                                <w:kern w:val="0"/>
                                <w:szCs w:val="21"/>
                              </w:rPr>
                              <w:t>扫描件</w:t>
                            </w:r>
                            <w:r>
                              <w:rPr>
                                <w:rFonts w:hint="eastAsia"/>
                                <w:szCs w:val="21"/>
                              </w:rPr>
                              <w:t>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5.5pt;margin-top:2.6pt;height:124.75pt;width:251.25pt;z-index:251660288;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yfTrNgAAAAJAQAADwAAAAAAAAABACAAAAAiAAAAZHJzL2Rvd25yZXYueG1sUEsBAhQAFAAA&#10;AAgAh07iQOK6AdxhAgAArwQAAA4AAAAAAAAAAQAgAAAAJwEAAGRycy9lMm9Eb2MueG1sUEsFBgAA&#10;AAAGAAYAWQEAAPoFAAAAAA==&#10;">
                <v:fill on="t" focussize="0,0"/>
                <v:stroke color="#000000" miterlimit="8" joinstyle="miter"/>
                <v:imagedata o:title=""/>
                <o:lock v:ext="edit" aspectratio="f"/>
                <v:textbox>
                  <w:txbxContent>
                    <w:p w14:paraId="3FEAE49B">
                      <w:pPr>
                        <w:jc w:val="center"/>
                        <w:rPr>
                          <w:szCs w:val="21"/>
                        </w:rPr>
                      </w:pPr>
                    </w:p>
                    <w:p w14:paraId="12BE9AA8">
                      <w:pPr>
                        <w:jc w:val="center"/>
                        <w:rPr>
                          <w:szCs w:val="21"/>
                        </w:rPr>
                      </w:pPr>
                    </w:p>
                    <w:p w14:paraId="16F8B157">
                      <w:pPr>
                        <w:jc w:val="center"/>
                        <w:rPr>
                          <w:szCs w:val="21"/>
                        </w:rPr>
                      </w:pPr>
                    </w:p>
                    <w:p w14:paraId="1B99FF49">
                      <w:pPr>
                        <w:jc w:val="center"/>
                        <w:rPr>
                          <w:szCs w:val="21"/>
                        </w:rPr>
                      </w:pPr>
                      <w:r>
                        <w:rPr>
                          <w:rFonts w:hint="eastAsia"/>
                          <w:szCs w:val="21"/>
                        </w:rPr>
                        <w:t>委托代理人身份证</w:t>
                      </w:r>
                      <w:r>
                        <w:rPr>
                          <w:rFonts w:hint="eastAsia" w:ascii="宋体" w:hAnsi="宋体" w:cs="宋体"/>
                          <w:snapToGrid w:val="0"/>
                          <w:kern w:val="0"/>
                          <w:szCs w:val="21"/>
                        </w:rPr>
                        <w:t>扫描件</w:t>
                      </w:r>
                      <w:r>
                        <w:rPr>
                          <w:rFonts w:hint="eastAsia"/>
                          <w:szCs w:val="21"/>
                        </w:rPr>
                        <w:t>正、反面</w:t>
                      </w:r>
                    </w:p>
                  </w:txbxContent>
                </v:textbox>
              </v:shape>
            </w:pict>
          </mc:Fallback>
        </mc:AlternateContent>
      </w:r>
    </w:p>
    <w:p w14:paraId="4F3F4E55">
      <w:pPr>
        <w:pStyle w:val="11"/>
        <w:rPr>
          <w:rFonts w:hint="eastAsia" w:ascii="宋体" w:hAnsi="宋体" w:eastAsia="宋体" w:cs="宋体"/>
          <w:color w:val="auto"/>
          <w:sz w:val="24"/>
          <w:szCs w:val="24"/>
          <w:highlight w:val="none"/>
        </w:rPr>
      </w:pPr>
    </w:p>
    <w:p w14:paraId="11D6A3A5">
      <w:pPr>
        <w:rPr>
          <w:rFonts w:hint="eastAsia" w:ascii="宋体" w:hAnsi="宋体" w:eastAsia="宋体" w:cs="宋体"/>
          <w:color w:val="auto"/>
          <w:sz w:val="24"/>
          <w:szCs w:val="24"/>
          <w:highlight w:val="none"/>
        </w:rPr>
      </w:pPr>
    </w:p>
    <w:p w14:paraId="116582CA">
      <w:pPr>
        <w:rPr>
          <w:rFonts w:hint="eastAsia" w:ascii="宋体" w:hAnsi="宋体" w:eastAsia="宋体" w:cs="宋体"/>
          <w:color w:val="auto"/>
          <w:sz w:val="24"/>
          <w:szCs w:val="24"/>
          <w:highlight w:val="none"/>
        </w:rPr>
      </w:pPr>
    </w:p>
    <w:p w14:paraId="47954214">
      <w:pPr>
        <w:rPr>
          <w:rFonts w:hint="eastAsia" w:ascii="宋体" w:hAnsi="宋体" w:eastAsia="宋体" w:cs="宋体"/>
          <w:color w:val="auto"/>
          <w:sz w:val="24"/>
          <w:szCs w:val="24"/>
          <w:highlight w:val="none"/>
        </w:rPr>
      </w:pPr>
    </w:p>
    <w:p w14:paraId="1F0C70C3">
      <w:pPr>
        <w:rPr>
          <w:rFonts w:hint="eastAsia" w:ascii="宋体" w:hAnsi="宋体" w:eastAsia="宋体" w:cs="宋体"/>
          <w:color w:val="auto"/>
          <w:sz w:val="24"/>
          <w:szCs w:val="24"/>
          <w:highlight w:val="none"/>
        </w:rPr>
      </w:pPr>
    </w:p>
    <w:p w14:paraId="1B67696B">
      <w:pPr>
        <w:rPr>
          <w:rFonts w:hint="eastAsia" w:ascii="宋体" w:hAnsi="宋体" w:eastAsia="宋体" w:cs="宋体"/>
          <w:color w:val="auto"/>
          <w:sz w:val="24"/>
          <w:szCs w:val="24"/>
          <w:highlight w:val="none"/>
        </w:rPr>
      </w:pPr>
    </w:p>
    <w:p w14:paraId="50179F54">
      <w:pPr>
        <w:rPr>
          <w:rFonts w:hint="eastAsia" w:ascii="宋体" w:hAnsi="宋体" w:eastAsia="宋体" w:cs="宋体"/>
          <w:color w:val="auto"/>
          <w:highlight w:val="none"/>
        </w:rPr>
      </w:pPr>
    </w:p>
    <w:bookmarkEnd w:id="424"/>
    <w:p w14:paraId="20926800">
      <w:pPr>
        <w:pStyle w:val="185"/>
        <w:keepNext/>
        <w:keepLines/>
        <w:adjustRightInd/>
        <w:jc w:val="center"/>
        <w:rPr>
          <w:rFonts w:hint="eastAsia" w:ascii="宋体" w:hAnsi="宋体" w:eastAsia="宋体" w:cs="宋体"/>
          <w:color w:val="auto"/>
          <w:highlight w:val="none"/>
        </w:rPr>
      </w:pPr>
      <w:bookmarkStart w:id="551" w:name="_Toc31919"/>
      <w:bookmarkStart w:id="552" w:name="_Toc14780"/>
      <w:bookmarkStart w:id="553" w:name="_Toc4399"/>
      <w:bookmarkStart w:id="554" w:name="_Toc24616"/>
      <w:bookmarkStart w:id="555" w:name="_Toc20762"/>
      <w:bookmarkStart w:id="556" w:name="_Toc31567"/>
      <w:r>
        <w:rPr>
          <w:rStyle w:val="46"/>
          <w:rFonts w:hint="eastAsia" w:ascii="宋体" w:hAnsi="宋体" w:eastAsia="宋体" w:cs="宋体"/>
          <w:b/>
          <w:bCs/>
          <w:color w:val="auto"/>
          <w:sz w:val="28"/>
          <w:szCs w:val="18"/>
          <w:highlight w:val="none"/>
        </w:rPr>
        <w:t>第六章</w:t>
      </w:r>
      <w:bookmarkEnd w:id="551"/>
      <w:r>
        <w:rPr>
          <w:rStyle w:val="46"/>
          <w:rFonts w:hint="eastAsia" w:ascii="宋体" w:hAnsi="宋体" w:eastAsia="宋体" w:cs="宋体"/>
          <w:b/>
          <w:bCs/>
          <w:color w:val="auto"/>
          <w:sz w:val="28"/>
          <w:szCs w:val="18"/>
          <w:highlight w:val="none"/>
          <w:lang w:val="en-US" w:eastAsia="zh-CN"/>
        </w:rPr>
        <w:t xml:space="preserve">   </w:t>
      </w:r>
      <w:r>
        <w:rPr>
          <w:rStyle w:val="46"/>
          <w:rFonts w:hint="eastAsia" w:ascii="宋体" w:hAnsi="宋体" w:eastAsia="宋体" w:cs="宋体"/>
          <w:b/>
          <w:bCs/>
          <w:color w:val="auto"/>
          <w:sz w:val="28"/>
          <w:szCs w:val="18"/>
          <w:highlight w:val="none"/>
        </w:rPr>
        <w:t>其他资料</w:t>
      </w:r>
      <w:bookmarkEnd w:id="552"/>
      <w:bookmarkEnd w:id="553"/>
      <w:bookmarkEnd w:id="554"/>
      <w:bookmarkEnd w:id="555"/>
      <w:bookmarkEnd w:id="556"/>
    </w:p>
    <w:p w14:paraId="6AF64FFA">
      <w:pPr>
        <w:pStyle w:val="109"/>
        <w:wordWrap w:val="0"/>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snapToGrid w:val="0"/>
          <w:color w:val="auto"/>
          <w:kern w:val="0"/>
          <w:sz w:val="24"/>
          <w:highlight w:val="none"/>
        </w:rPr>
        <w:t xml:space="preserve">  </w:t>
      </w:r>
      <w:r>
        <w:rPr>
          <w:rFonts w:hint="eastAsia" w:ascii="宋体" w:hAnsi="宋体" w:eastAsia="宋体" w:cs="宋体"/>
          <w:snapToGrid w:val="0"/>
          <w:color w:val="auto"/>
          <w:kern w:val="0"/>
          <w:sz w:val="24"/>
          <w:szCs w:val="22"/>
          <w:highlight w:val="none"/>
        </w:rPr>
        <w:t>本招标文件随文另附</w:t>
      </w:r>
      <w:r>
        <w:rPr>
          <w:rFonts w:hint="eastAsia" w:ascii="宋体" w:hAnsi="宋体" w:eastAsia="宋体" w:cs="宋体"/>
          <w:snapToGrid w:val="0"/>
          <w:color w:val="auto"/>
          <w:kern w:val="0"/>
          <w:sz w:val="24"/>
          <w:szCs w:val="22"/>
          <w:highlight w:val="none"/>
          <w:u w:val="single"/>
        </w:rPr>
        <w:t xml:space="preserve"> 可行性研究报告 </w:t>
      </w:r>
      <w:r>
        <w:rPr>
          <w:rFonts w:hint="eastAsia" w:ascii="宋体" w:hAnsi="宋体" w:eastAsia="宋体" w:cs="宋体"/>
          <w:snapToGrid w:val="0"/>
          <w:color w:val="auto"/>
          <w:kern w:val="0"/>
          <w:sz w:val="24"/>
          <w:szCs w:val="22"/>
          <w:highlight w:val="none"/>
        </w:rPr>
        <w:t>（电子文件）一套</w:t>
      </w:r>
      <w:r>
        <w:rPr>
          <w:rFonts w:hint="eastAsia" w:ascii="宋体" w:hAnsi="宋体" w:eastAsia="宋体" w:cs="宋体"/>
          <w:snapToGrid w:val="0"/>
          <w:color w:val="auto"/>
          <w:kern w:val="0"/>
          <w:sz w:val="24"/>
          <w:highlight w:val="none"/>
        </w:rPr>
        <w:t>。</w:t>
      </w:r>
    </w:p>
    <w:sectPr>
      <w:footerReference r:id="rId6" w:type="default"/>
      <w:endnotePr>
        <w:numFmt w:val="decimal"/>
      </w:endnotePr>
      <w:pgSz w:w="11907" w:h="16840"/>
      <w:pgMar w:top="1134" w:right="1134" w:bottom="1134" w:left="1134" w:header="850" w:footer="850" w:gutter="0"/>
      <w:pgNumType w:fmt="decimal" w:start="1"/>
      <w:cols w:space="0" w:num="1"/>
      <w:rtlGutter w:val="0"/>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00104">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F83C4">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60B7B">
    <w:pPr>
      <w:pStyle w:val="2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51D75">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451D75">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9E604">
    <w:pPr>
      <w:ind w:firstLine="180" w:firstLineChars="100"/>
      <w:rPr>
        <w:rFonts w:ascii="黑体" w:hAnsi="黑体" w:eastAsia="黑体"/>
        <w:sz w:val="18"/>
        <w:szCs w:val="18"/>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E1CD6"/>
    <w:multiLevelType w:val="multilevel"/>
    <w:tmpl w:val="7B5E1CD6"/>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85" w:firstLine="0"/>
      </w:pPr>
      <w:rPr>
        <w:rFonts w:hint="eastAsia"/>
      </w:rPr>
    </w:lvl>
    <w:lvl w:ilvl="2" w:tentative="0">
      <w:start w:val="1"/>
      <w:numFmt w:val="decimal"/>
      <w:isLgl/>
      <w:suff w:val="space"/>
      <w:lvlText w:val="%1.%2.%3"/>
      <w:lvlJc w:val="left"/>
      <w:pPr>
        <w:ind w:left="170" w:firstLine="0"/>
      </w:pPr>
      <w:rPr>
        <w:rFonts w:hint="eastAsia"/>
      </w:rPr>
    </w:lvl>
    <w:lvl w:ilvl="3" w:tentative="0">
      <w:start w:val="1"/>
      <w:numFmt w:val="decimal"/>
      <w:pStyle w:val="227"/>
      <w:isLgl/>
      <w:suff w:val="space"/>
      <w:lvlText w:val="（%4）"/>
      <w:lvlJc w:val="left"/>
      <w:pPr>
        <w:ind w:left="255" w:firstLine="0"/>
      </w:pPr>
      <w:rPr>
        <w:rFonts w:hint="eastAsia"/>
      </w:rPr>
    </w:lvl>
    <w:lvl w:ilvl="4" w:tentative="0">
      <w:start w:val="1"/>
      <w:numFmt w:val="decimal"/>
      <w:suff w:val="space"/>
      <w:lvlText w:val="%5）"/>
      <w:lvlJc w:val="left"/>
      <w:pPr>
        <w:ind w:left="567" w:firstLine="0"/>
      </w:pPr>
      <w:rPr>
        <w:rFonts w:hint="eastAsia"/>
      </w:rPr>
    </w:lvl>
    <w:lvl w:ilvl="5" w:tentative="0">
      <w:start w:val="1"/>
      <w:numFmt w:val="decimal"/>
      <w:lvlText w:val="%1.%2.%3.%4.%5.%6"/>
      <w:lvlJc w:val="left"/>
      <w:pPr>
        <w:ind w:left="425" w:firstLine="0"/>
      </w:pPr>
      <w:rPr>
        <w:rFonts w:hint="eastAsia"/>
      </w:rPr>
    </w:lvl>
    <w:lvl w:ilvl="6" w:tentative="0">
      <w:start w:val="1"/>
      <w:numFmt w:val="decimal"/>
      <w:lvlText w:val="%1.%2.%3.%4.%5.%6.%7"/>
      <w:lvlJc w:val="left"/>
      <w:pPr>
        <w:ind w:left="510" w:firstLine="0"/>
      </w:pPr>
      <w:rPr>
        <w:rFonts w:hint="eastAsia"/>
      </w:rPr>
    </w:lvl>
    <w:lvl w:ilvl="7" w:tentative="0">
      <w:start w:val="1"/>
      <w:numFmt w:val="decimal"/>
      <w:lvlText w:val="%1.%2.%3.%4.%5.%6.%7.%8"/>
      <w:lvlJc w:val="left"/>
      <w:pPr>
        <w:ind w:left="595" w:firstLine="0"/>
      </w:pPr>
      <w:rPr>
        <w:rFonts w:hint="eastAsia"/>
      </w:rPr>
    </w:lvl>
    <w:lvl w:ilvl="8" w:tentative="0">
      <w:start w:val="1"/>
      <w:numFmt w:val="decimal"/>
      <w:lvlText w:val="%1.%2.%3.%4.%5.%6.%7.%8.%9"/>
      <w:lvlJc w:val="left"/>
      <w:pPr>
        <w:ind w:left="6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ZTY2YWNjYTlkY2Y2NWI1NWViNmFkMzY3ZGVjZjAifQ=="/>
  </w:docVars>
  <w:rsids>
    <w:rsidRoot w:val="00172A27"/>
    <w:rsid w:val="000C008A"/>
    <w:rsid w:val="001A0DF6"/>
    <w:rsid w:val="00224EA7"/>
    <w:rsid w:val="00250132"/>
    <w:rsid w:val="00260025"/>
    <w:rsid w:val="00292BAB"/>
    <w:rsid w:val="002B4361"/>
    <w:rsid w:val="00362833"/>
    <w:rsid w:val="003672B8"/>
    <w:rsid w:val="00420319"/>
    <w:rsid w:val="00447823"/>
    <w:rsid w:val="00490642"/>
    <w:rsid w:val="004E48A5"/>
    <w:rsid w:val="00566F6B"/>
    <w:rsid w:val="00583D59"/>
    <w:rsid w:val="005F2B5C"/>
    <w:rsid w:val="005F4ED1"/>
    <w:rsid w:val="005F65CD"/>
    <w:rsid w:val="0060413B"/>
    <w:rsid w:val="00622D5E"/>
    <w:rsid w:val="00627B96"/>
    <w:rsid w:val="006D22E6"/>
    <w:rsid w:val="006E3E5C"/>
    <w:rsid w:val="006E4339"/>
    <w:rsid w:val="00766543"/>
    <w:rsid w:val="007A2E7B"/>
    <w:rsid w:val="007D04DF"/>
    <w:rsid w:val="007F449D"/>
    <w:rsid w:val="0087702D"/>
    <w:rsid w:val="00953266"/>
    <w:rsid w:val="009E70F5"/>
    <w:rsid w:val="00A21374"/>
    <w:rsid w:val="00A56DAE"/>
    <w:rsid w:val="00AC7DD3"/>
    <w:rsid w:val="00C16411"/>
    <w:rsid w:val="00CC2D06"/>
    <w:rsid w:val="00CD79DA"/>
    <w:rsid w:val="00D64AE1"/>
    <w:rsid w:val="00D72721"/>
    <w:rsid w:val="00D826D6"/>
    <w:rsid w:val="00DE522B"/>
    <w:rsid w:val="00EF246C"/>
    <w:rsid w:val="00FA053C"/>
    <w:rsid w:val="00FB1434"/>
    <w:rsid w:val="00FE4565"/>
    <w:rsid w:val="01284C10"/>
    <w:rsid w:val="013637D1"/>
    <w:rsid w:val="01487854"/>
    <w:rsid w:val="014B08FF"/>
    <w:rsid w:val="015D0D5E"/>
    <w:rsid w:val="01722330"/>
    <w:rsid w:val="017B7436"/>
    <w:rsid w:val="017C4E0F"/>
    <w:rsid w:val="01E52B01"/>
    <w:rsid w:val="01E90844"/>
    <w:rsid w:val="01FB2325"/>
    <w:rsid w:val="020A5418"/>
    <w:rsid w:val="021119D0"/>
    <w:rsid w:val="02181129"/>
    <w:rsid w:val="025C3E89"/>
    <w:rsid w:val="025F4662"/>
    <w:rsid w:val="0261487E"/>
    <w:rsid w:val="02614A9D"/>
    <w:rsid w:val="0281653D"/>
    <w:rsid w:val="0288005D"/>
    <w:rsid w:val="0295355F"/>
    <w:rsid w:val="02A14C7A"/>
    <w:rsid w:val="02A66735"/>
    <w:rsid w:val="02B50726"/>
    <w:rsid w:val="02D92666"/>
    <w:rsid w:val="02E64D83"/>
    <w:rsid w:val="032A1114"/>
    <w:rsid w:val="033D4DE7"/>
    <w:rsid w:val="035717DD"/>
    <w:rsid w:val="036A7762"/>
    <w:rsid w:val="036C5FC7"/>
    <w:rsid w:val="036D1000"/>
    <w:rsid w:val="036E42B8"/>
    <w:rsid w:val="03742742"/>
    <w:rsid w:val="03764359"/>
    <w:rsid w:val="03863E70"/>
    <w:rsid w:val="0388408C"/>
    <w:rsid w:val="038A570F"/>
    <w:rsid w:val="03993C05"/>
    <w:rsid w:val="039B3BCC"/>
    <w:rsid w:val="03A5079A"/>
    <w:rsid w:val="03C74BB5"/>
    <w:rsid w:val="03D56995"/>
    <w:rsid w:val="03D756A0"/>
    <w:rsid w:val="03DB240E"/>
    <w:rsid w:val="03DD0C55"/>
    <w:rsid w:val="03DD6186"/>
    <w:rsid w:val="03F1578E"/>
    <w:rsid w:val="03FE7EAB"/>
    <w:rsid w:val="041651F4"/>
    <w:rsid w:val="04376843"/>
    <w:rsid w:val="047C599F"/>
    <w:rsid w:val="047D5273"/>
    <w:rsid w:val="04883195"/>
    <w:rsid w:val="04AC7907"/>
    <w:rsid w:val="04C47C32"/>
    <w:rsid w:val="04D37589"/>
    <w:rsid w:val="05076271"/>
    <w:rsid w:val="05151950"/>
    <w:rsid w:val="05524952"/>
    <w:rsid w:val="0552716B"/>
    <w:rsid w:val="05704DD8"/>
    <w:rsid w:val="05873555"/>
    <w:rsid w:val="05900FD6"/>
    <w:rsid w:val="05B60993"/>
    <w:rsid w:val="05DC421B"/>
    <w:rsid w:val="05F96B7B"/>
    <w:rsid w:val="06440C53"/>
    <w:rsid w:val="06581AF4"/>
    <w:rsid w:val="0667442D"/>
    <w:rsid w:val="0687062B"/>
    <w:rsid w:val="06934E0E"/>
    <w:rsid w:val="06C4362D"/>
    <w:rsid w:val="06D05B2E"/>
    <w:rsid w:val="06F757B1"/>
    <w:rsid w:val="0701218C"/>
    <w:rsid w:val="07181F63"/>
    <w:rsid w:val="07302A71"/>
    <w:rsid w:val="07470275"/>
    <w:rsid w:val="075319B8"/>
    <w:rsid w:val="07554FBF"/>
    <w:rsid w:val="075A458B"/>
    <w:rsid w:val="078F7797"/>
    <w:rsid w:val="07927288"/>
    <w:rsid w:val="079528D4"/>
    <w:rsid w:val="07B611C8"/>
    <w:rsid w:val="07B9626F"/>
    <w:rsid w:val="07BE1E2B"/>
    <w:rsid w:val="07C16796"/>
    <w:rsid w:val="07DC537F"/>
    <w:rsid w:val="07FA4B11"/>
    <w:rsid w:val="08311EA7"/>
    <w:rsid w:val="084D0D93"/>
    <w:rsid w:val="08766BA9"/>
    <w:rsid w:val="08795696"/>
    <w:rsid w:val="08934557"/>
    <w:rsid w:val="08B35707"/>
    <w:rsid w:val="08B60D54"/>
    <w:rsid w:val="0915481B"/>
    <w:rsid w:val="09306D58"/>
    <w:rsid w:val="09506C10"/>
    <w:rsid w:val="095E3700"/>
    <w:rsid w:val="096F5750"/>
    <w:rsid w:val="097759FD"/>
    <w:rsid w:val="097807E7"/>
    <w:rsid w:val="097A4477"/>
    <w:rsid w:val="097F1A8E"/>
    <w:rsid w:val="09A45076"/>
    <w:rsid w:val="09AD03A9"/>
    <w:rsid w:val="09B204CA"/>
    <w:rsid w:val="09CD4815"/>
    <w:rsid w:val="0A073F5D"/>
    <w:rsid w:val="0A157CFC"/>
    <w:rsid w:val="0A1F6F14"/>
    <w:rsid w:val="0A2E299B"/>
    <w:rsid w:val="0A317A4F"/>
    <w:rsid w:val="0A4D5D22"/>
    <w:rsid w:val="0A981059"/>
    <w:rsid w:val="0A9E5F43"/>
    <w:rsid w:val="0AA21531"/>
    <w:rsid w:val="0ACE1618"/>
    <w:rsid w:val="0AD63509"/>
    <w:rsid w:val="0AD81455"/>
    <w:rsid w:val="0AF777D1"/>
    <w:rsid w:val="0B011394"/>
    <w:rsid w:val="0B057D70"/>
    <w:rsid w:val="0B1B73EC"/>
    <w:rsid w:val="0B2B5A29"/>
    <w:rsid w:val="0B301C8C"/>
    <w:rsid w:val="0B30303F"/>
    <w:rsid w:val="0B48482D"/>
    <w:rsid w:val="0B5E674B"/>
    <w:rsid w:val="0B8213C1"/>
    <w:rsid w:val="0BA13F3D"/>
    <w:rsid w:val="0BC65752"/>
    <w:rsid w:val="0BF56037"/>
    <w:rsid w:val="0C030754"/>
    <w:rsid w:val="0C1C7A68"/>
    <w:rsid w:val="0C2A7A8F"/>
    <w:rsid w:val="0C3628D7"/>
    <w:rsid w:val="0C767178"/>
    <w:rsid w:val="0C782EF0"/>
    <w:rsid w:val="0C7A2DAD"/>
    <w:rsid w:val="0C837F8F"/>
    <w:rsid w:val="0C8A2C23"/>
    <w:rsid w:val="0CBB2DDD"/>
    <w:rsid w:val="0CCF6888"/>
    <w:rsid w:val="0CD143AE"/>
    <w:rsid w:val="0CD8398F"/>
    <w:rsid w:val="0CE642FD"/>
    <w:rsid w:val="0D1D5845"/>
    <w:rsid w:val="0D501777"/>
    <w:rsid w:val="0D562B05"/>
    <w:rsid w:val="0D682F64"/>
    <w:rsid w:val="0D6945E7"/>
    <w:rsid w:val="0D75742F"/>
    <w:rsid w:val="0D8E6743"/>
    <w:rsid w:val="0D8F1D4E"/>
    <w:rsid w:val="0E0013EF"/>
    <w:rsid w:val="0E1A530F"/>
    <w:rsid w:val="0E2269C7"/>
    <w:rsid w:val="0E325320"/>
    <w:rsid w:val="0E3270CE"/>
    <w:rsid w:val="0E3746E5"/>
    <w:rsid w:val="0E5A03D3"/>
    <w:rsid w:val="0E6010CF"/>
    <w:rsid w:val="0EAC6E81"/>
    <w:rsid w:val="0EAD49A7"/>
    <w:rsid w:val="0EC95C60"/>
    <w:rsid w:val="0EE54141"/>
    <w:rsid w:val="0EE7435D"/>
    <w:rsid w:val="0EED3B7D"/>
    <w:rsid w:val="0EF63DBF"/>
    <w:rsid w:val="0EF72B5D"/>
    <w:rsid w:val="0F24110D"/>
    <w:rsid w:val="0F397773"/>
    <w:rsid w:val="0F4E08F6"/>
    <w:rsid w:val="0F8E6586"/>
    <w:rsid w:val="0FA536C2"/>
    <w:rsid w:val="0FD61CDB"/>
    <w:rsid w:val="0FEC61F7"/>
    <w:rsid w:val="0FF87354"/>
    <w:rsid w:val="1008126D"/>
    <w:rsid w:val="101C0036"/>
    <w:rsid w:val="102F1175"/>
    <w:rsid w:val="10371EDE"/>
    <w:rsid w:val="103A670E"/>
    <w:rsid w:val="10521CAA"/>
    <w:rsid w:val="106123C3"/>
    <w:rsid w:val="106519DD"/>
    <w:rsid w:val="108005C5"/>
    <w:rsid w:val="10953945"/>
    <w:rsid w:val="10B63FE7"/>
    <w:rsid w:val="10BA4216"/>
    <w:rsid w:val="10BA43DB"/>
    <w:rsid w:val="10C975B3"/>
    <w:rsid w:val="10CD68DE"/>
    <w:rsid w:val="10D5363F"/>
    <w:rsid w:val="112847B9"/>
    <w:rsid w:val="112D6828"/>
    <w:rsid w:val="112F4685"/>
    <w:rsid w:val="113969C6"/>
    <w:rsid w:val="113B273E"/>
    <w:rsid w:val="113C66CF"/>
    <w:rsid w:val="11511F61"/>
    <w:rsid w:val="11586E4C"/>
    <w:rsid w:val="1159587A"/>
    <w:rsid w:val="116F23E8"/>
    <w:rsid w:val="117479FE"/>
    <w:rsid w:val="118C0DBA"/>
    <w:rsid w:val="118C2F9A"/>
    <w:rsid w:val="11AF7682"/>
    <w:rsid w:val="11C269BB"/>
    <w:rsid w:val="11C646FD"/>
    <w:rsid w:val="11C664AC"/>
    <w:rsid w:val="11CD68D0"/>
    <w:rsid w:val="12105979"/>
    <w:rsid w:val="121F5BBC"/>
    <w:rsid w:val="1226519C"/>
    <w:rsid w:val="1239627B"/>
    <w:rsid w:val="123D6313"/>
    <w:rsid w:val="127B42E6"/>
    <w:rsid w:val="12850115"/>
    <w:rsid w:val="12902616"/>
    <w:rsid w:val="12C7072D"/>
    <w:rsid w:val="12CD386A"/>
    <w:rsid w:val="12D96DE4"/>
    <w:rsid w:val="12E94387"/>
    <w:rsid w:val="12FE3A23"/>
    <w:rsid w:val="131B6383"/>
    <w:rsid w:val="131C20FB"/>
    <w:rsid w:val="1340228E"/>
    <w:rsid w:val="13451652"/>
    <w:rsid w:val="134566BC"/>
    <w:rsid w:val="135339EB"/>
    <w:rsid w:val="13712447"/>
    <w:rsid w:val="13776A14"/>
    <w:rsid w:val="138C54D3"/>
    <w:rsid w:val="13960100"/>
    <w:rsid w:val="13A20852"/>
    <w:rsid w:val="13A93F69"/>
    <w:rsid w:val="13BC70A7"/>
    <w:rsid w:val="13CC5710"/>
    <w:rsid w:val="142474B9"/>
    <w:rsid w:val="143C4803"/>
    <w:rsid w:val="146A67F3"/>
    <w:rsid w:val="149C1746"/>
    <w:rsid w:val="14B20F69"/>
    <w:rsid w:val="14CE0A94"/>
    <w:rsid w:val="1505553D"/>
    <w:rsid w:val="15282FD9"/>
    <w:rsid w:val="153D158C"/>
    <w:rsid w:val="155D0ED5"/>
    <w:rsid w:val="15735CFA"/>
    <w:rsid w:val="1579432B"/>
    <w:rsid w:val="15BD5E17"/>
    <w:rsid w:val="15C471A6"/>
    <w:rsid w:val="15C9656A"/>
    <w:rsid w:val="15D74796"/>
    <w:rsid w:val="15DD2016"/>
    <w:rsid w:val="15E038B4"/>
    <w:rsid w:val="16040F1C"/>
    <w:rsid w:val="16082FC8"/>
    <w:rsid w:val="160A26DF"/>
    <w:rsid w:val="161D68B6"/>
    <w:rsid w:val="16297009"/>
    <w:rsid w:val="1636461D"/>
    <w:rsid w:val="165E3157"/>
    <w:rsid w:val="166167A3"/>
    <w:rsid w:val="16825292"/>
    <w:rsid w:val="1686445B"/>
    <w:rsid w:val="169528F0"/>
    <w:rsid w:val="16CB6312"/>
    <w:rsid w:val="16CD4493"/>
    <w:rsid w:val="16FA2753"/>
    <w:rsid w:val="16FD7459"/>
    <w:rsid w:val="171E28E6"/>
    <w:rsid w:val="172F68A1"/>
    <w:rsid w:val="17457E73"/>
    <w:rsid w:val="175B1444"/>
    <w:rsid w:val="1772678E"/>
    <w:rsid w:val="17854713"/>
    <w:rsid w:val="17AA4179"/>
    <w:rsid w:val="17AA5F28"/>
    <w:rsid w:val="17AC7EF2"/>
    <w:rsid w:val="17C4348D"/>
    <w:rsid w:val="17C52AFB"/>
    <w:rsid w:val="17CC40F0"/>
    <w:rsid w:val="17D64F6F"/>
    <w:rsid w:val="17D80CE7"/>
    <w:rsid w:val="17F03046"/>
    <w:rsid w:val="17F453F5"/>
    <w:rsid w:val="18023FB5"/>
    <w:rsid w:val="18644328"/>
    <w:rsid w:val="18B55378"/>
    <w:rsid w:val="18BF5A03"/>
    <w:rsid w:val="18CA609F"/>
    <w:rsid w:val="18E76C76"/>
    <w:rsid w:val="18EA3BA9"/>
    <w:rsid w:val="190873AA"/>
    <w:rsid w:val="19400412"/>
    <w:rsid w:val="196D545F"/>
    <w:rsid w:val="1981715C"/>
    <w:rsid w:val="19A90B8D"/>
    <w:rsid w:val="19B83048"/>
    <w:rsid w:val="19C31523"/>
    <w:rsid w:val="19F17E3E"/>
    <w:rsid w:val="19F32492"/>
    <w:rsid w:val="19FA01DC"/>
    <w:rsid w:val="1A0A7151"/>
    <w:rsid w:val="1A293A7B"/>
    <w:rsid w:val="1A3366A8"/>
    <w:rsid w:val="1A3A0959"/>
    <w:rsid w:val="1A6C6398"/>
    <w:rsid w:val="1AA2738A"/>
    <w:rsid w:val="1AE6371B"/>
    <w:rsid w:val="1B1F4E7E"/>
    <w:rsid w:val="1B391A9C"/>
    <w:rsid w:val="1B5C7199"/>
    <w:rsid w:val="1BA373D1"/>
    <w:rsid w:val="1BCA5AA9"/>
    <w:rsid w:val="1BD01312"/>
    <w:rsid w:val="1BD9502D"/>
    <w:rsid w:val="1BE35EAC"/>
    <w:rsid w:val="1C071B9A"/>
    <w:rsid w:val="1C2A3ADB"/>
    <w:rsid w:val="1C3D55BC"/>
    <w:rsid w:val="1C444B9D"/>
    <w:rsid w:val="1C6F168E"/>
    <w:rsid w:val="1C7A5BA8"/>
    <w:rsid w:val="1C827473"/>
    <w:rsid w:val="1CC3000A"/>
    <w:rsid w:val="1CEC0D90"/>
    <w:rsid w:val="1CED26FE"/>
    <w:rsid w:val="1CFD2714"/>
    <w:rsid w:val="1D0460DA"/>
    <w:rsid w:val="1D136C2A"/>
    <w:rsid w:val="1D145387"/>
    <w:rsid w:val="1D3369BF"/>
    <w:rsid w:val="1D521DF2"/>
    <w:rsid w:val="1D633229"/>
    <w:rsid w:val="1D7A45EE"/>
    <w:rsid w:val="1D9456B0"/>
    <w:rsid w:val="1D970CFC"/>
    <w:rsid w:val="1DAC5316"/>
    <w:rsid w:val="1DB16262"/>
    <w:rsid w:val="1DD261D8"/>
    <w:rsid w:val="1E0349E4"/>
    <w:rsid w:val="1E234C86"/>
    <w:rsid w:val="1E3B5B2B"/>
    <w:rsid w:val="1E562965"/>
    <w:rsid w:val="1E601A36"/>
    <w:rsid w:val="1E635082"/>
    <w:rsid w:val="1E6C2189"/>
    <w:rsid w:val="1E82465A"/>
    <w:rsid w:val="1E91399D"/>
    <w:rsid w:val="1EBF330F"/>
    <w:rsid w:val="1EC02A83"/>
    <w:rsid w:val="1EC37049"/>
    <w:rsid w:val="1ED8781E"/>
    <w:rsid w:val="1EE8664A"/>
    <w:rsid w:val="1F02489B"/>
    <w:rsid w:val="1F040613"/>
    <w:rsid w:val="1F220A99"/>
    <w:rsid w:val="1F253597"/>
    <w:rsid w:val="1F262EC1"/>
    <w:rsid w:val="1F3848F4"/>
    <w:rsid w:val="1F5E41C7"/>
    <w:rsid w:val="1F645556"/>
    <w:rsid w:val="1F8A5A67"/>
    <w:rsid w:val="1F8D23B7"/>
    <w:rsid w:val="1F953961"/>
    <w:rsid w:val="1F95570F"/>
    <w:rsid w:val="1F9846EC"/>
    <w:rsid w:val="1FA37E2C"/>
    <w:rsid w:val="1FEE3EF7"/>
    <w:rsid w:val="1FF24910"/>
    <w:rsid w:val="1FF32470"/>
    <w:rsid w:val="202D3B9A"/>
    <w:rsid w:val="2031368A"/>
    <w:rsid w:val="203C5B8B"/>
    <w:rsid w:val="20880DD0"/>
    <w:rsid w:val="20A51982"/>
    <w:rsid w:val="20CC33B3"/>
    <w:rsid w:val="20CE712B"/>
    <w:rsid w:val="20D12777"/>
    <w:rsid w:val="20D740E1"/>
    <w:rsid w:val="20DB53A4"/>
    <w:rsid w:val="20DC7264"/>
    <w:rsid w:val="20EF0E4F"/>
    <w:rsid w:val="212136FE"/>
    <w:rsid w:val="21230D1E"/>
    <w:rsid w:val="21294361"/>
    <w:rsid w:val="21311468"/>
    <w:rsid w:val="21336F8E"/>
    <w:rsid w:val="217C6B87"/>
    <w:rsid w:val="217F6677"/>
    <w:rsid w:val="21843C8D"/>
    <w:rsid w:val="21920158"/>
    <w:rsid w:val="21A8797C"/>
    <w:rsid w:val="21B005DE"/>
    <w:rsid w:val="21DE15EF"/>
    <w:rsid w:val="21DE28A2"/>
    <w:rsid w:val="21DF35AE"/>
    <w:rsid w:val="22280ABD"/>
    <w:rsid w:val="226C110E"/>
    <w:rsid w:val="22AB1196"/>
    <w:rsid w:val="22D64075"/>
    <w:rsid w:val="23072480"/>
    <w:rsid w:val="232748D0"/>
    <w:rsid w:val="23294AEC"/>
    <w:rsid w:val="23474F72"/>
    <w:rsid w:val="237044C9"/>
    <w:rsid w:val="239D1036"/>
    <w:rsid w:val="239E2DA5"/>
    <w:rsid w:val="23A02DE2"/>
    <w:rsid w:val="23A55102"/>
    <w:rsid w:val="23CA33DB"/>
    <w:rsid w:val="23FF75FB"/>
    <w:rsid w:val="24125580"/>
    <w:rsid w:val="24194B61"/>
    <w:rsid w:val="241D454D"/>
    <w:rsid w:val="24246D53"/>
    <w:rsid w:val="2437353F"/>
    <w:rsid w:val="24376D95"/>
    <w:rsid w:val="2469758B"/>
    <w:rsid w:val="246F22D4"/>
    <w:rsid w:val="248B0E8F"/>
    <w:rsid w:val="24926A2F"/>
    <w:rsid w:val="24A24B56"/>
    <w:rsid w:val="24A563F4"/>
    <w:rsid w:val="24A62ECE"/>
    <w:rsid w:val="24CA430B"/>
    <w:rsid w:val="24D740D4"/>
    <w:rsid w:val="24EE1B79"/>
    <w:rsid w:val="25315EDA"/>
    <w:rsid w:val="253521D1"/>
    <w:rsid w:val="253F4153"/>
    <w:rsid w:val="25661C11"/>
    <w:rsid w:val="256C26F8"/>
    <w:rsid w:val="256E4A38"/>
    <w:rsid w:val="25822292"/>
    <w:rsid w:val="25C96113"/>
    <w:rsid w:val="25F07BA6"/>
    <w:rsid w:val="26211AAB"/>
    <w:rsid w:val="26247A03"/>
    <w:rsid w:val="262B68FA"/>
    <w:rsid w:val="264944B9"/>
    <w:rsid w:val="267E0CAB"/>
    <w:rsid w:val="26822E97"/>
    <w:rsid w:val="26946721"/>
    <w:rsid w:val="269C3827"/>
    <w:rsid w:val="269E7B9C"/>
    <w:rsid w:val="26CA3EF0"/>
    <w:rsid w:val="26E643AD"/>
    <w:rsid w:val="26F47310"/>
    <w:rsid w:val="270C2D4B"/>
    <w:rsid w:val="271C1A02"/>
    <w:rsid w:val="274C6FFB"/>
    <w:rsid w:val="27565784"/>
    <w:rsid w:val="276E2ACE"/>
    <w:rsid w:val="27A40BE5"/>
    <w:rsid w:val="27AA5AD0"/>
    <w:rsid w:val="27BB7CDD"/>
    <w:rsid w:val="27C272BD"/>
    <w:rsid w:val="28186EDD"/>
    <w:rsid w:val="281F24B4"/>
    <w:rsid w:val="2835183D"/>
    <w:rsid w:val="285919D0"/>
    <w:rsid w:val="286F11F3"/>
    <w:rsid w:val="28722A91"/>
    <w:rsid w:val="28760635"/>
    <w:rsid w:val="28A644E9"/>
    <w:rsid w:val="28B07116"/>
    <w:rsid w:val="28C72DDD"/>
    <w:rsid w:val="28D15A0A"/>
    <w:rsid w:val="28F17E5A"/>
    <w:rsid w:val="29021EC6"/>
    <w:rsid w:val="291C47AB"/>
    <w:rsid w:val="292518B2"/>
    <w:rsid w:val="2927387C"/>
    <w:rsid w:val="292A336C"/>
    <w:rsid w:val="2941165E"/>
    <w:rsid w:val="29453D02"/>
    <w:rsid w:val="295E4DC4"/>
    <w:rsid w:val="297840D8"/>
    <w:rsid w:val="297939AC"/>
    <w:rsid w:val="298A3856"/>
    <w:rsid w:val="298C36DF"/>
    <w:rsid w:val="29BA46F0"/>
    <w:rsid w:val="29CC4423"/>
    <w:rsid w:val="29E4351B"/>
    <w:rsid w:val="2A102562"/>
    <w:rsid w:val="2A3E70CF"/>
    <w:rsid w:val="2A7B22F3"/>
    <w:rsid w:val="2AA809EC"/>
    <w:rsid w:val="2AC86999"/>
    <w:rsid w:val="2AC90C66"/>
    <w:rsid w:val="2ACA6CDE"/>
    <w:rsid w:val="2ADC2444"/>
    <w:rsid w:val="2AE82B97"/>
    <w:rsid w:val="2AFE23BA"/>
    <w:rsid w:val="2B261911"/>
    <w:rsid w:val="2B435B8C"/>
    <w:rsid w:val="2B647DF0"/>
    <w:rsid w:val="2B6D7278"/>
    <w:rsid w:val="2B6E2239"/>
    <w:rsid w:val="2B7803BF"/>
    <w:rsid w:val="2B85488A"/>
    <w:rsid w:val="2B8760F7"/>
    <w:rsid w:val="2B935A45"/>
    <w:rsid w:val="2B94641F"/>
    <w:rsid w:val="2BB02982"/>
    <w:rsid w:val="2BC453B2"/>
    <w:rsid w:val="2BCA60F5"/>
    <w:rsid w:val="2BE772F2"/>
    <w:rsid w:val="2BFC0FF0"/>
    <w:rsid w:val="2C027C88"/>
    <w:rsid w:val="2C1300E8"/>
    <w:rsid w:val="2C28637C"/>
    <w:rsid w:val="2C3D5164"/>
    <w:rsid w:val="2C46226B"/>
    <w:rsid w:val="2C721548"/>
    <w:rsid w:val="2C755D0D"/>
    <w:rsid w:val="2C78619D"/>
    <w:rsid w:val="2CB311EF"/>
    <w:rsid w:val="2CBB3510"/>
    <w:rsid w:val="2CCD0296"/>
    <w:rsid w:val="2CDC2BCF"/>
    <w:rsid w:val="2CDE24A4"/>
    <w:rsid w:val="2CE33F5E"/>
    <w:rsid w:val="2CE55951"/>
    <w:rsid w:val="2D095878"/>
    <w:rsid w:val="2D391DD0"/>
    <w:rsid w:val="2D3C7BF5"/>
    <w:rsid w:val="2D3E73E6"/>
    <w:rsid w:val="2D426ED6"/>
    <w:rsid w:val="2D5E3577"/>
    <w:rsid w:val="2D614E83"/>
    <w:rsid w:val="2DB76B15"/>
    <w:rsid w:val="2DBF0527"/>
    <w:rsid w:val="2DE63E77"/>
    <w:rsid w:val="2DE75388"/>
    <w:rsid w:val="2DFD104F"/>
    <w:rsid w:val="2E0C4DEE"/>
    <w:rsid w:val="2E0E7FCC"/>
    <w:rsid w:val="2E6764C9"/>
    <w:rsid w:val="2E6E3D4C"/>
    <w:rsid w:val="2E8E1CA7"/>
    <w:rsid w:val="2EB57E94"/>
    <w:rsid w:val="2EC81296"/>
    <w:rsid w:val="2ED33B5E"/>
    <w:rsid w:val="2EDC2A13"/>
    <w:rsid w:val="2EDD678B"/>
    <w:rsid w:val="2EE43F4C"/>
    <w:rsid w:val="2EED2E72"/>
    <w:rsid w:val="2F0B154A"/>
    <w:rsid w:val="2F141D40"/>
    <w:rsid w:val="2F307202"/>
    <w:rsid w:val="2F650C5A"/>
    <w:rsid w:val="2F666780"/>
    <w:rsid w:val="2F68699C"/>
    <w:rsid w:val="2F7D4445"/>
    <w:rsid w:val="2F911A4F"/>
    <w:rsid w:val="2F9D1912"/>
    <w:rsid w:val="2FB43990"/>
    <w:rsid w:val="2FE029D7"/>
    <w:rsid w:val="2FE83639"/>
    <w:rsid w:val="2FEE1A62"/>
    <w:rsid w:val="301B57BD"/>
    <w:rsid w:val="301E705B"/>
    <w:rsid w:val="303739FC"/>
    <w:rsid w:val="3049057C"/>
    <w:rsid w:val="30564A47"/>
    <w:rsid w:val="305E1101"/>
    <w:rsid w:val="307A6791"/>
    <w:rsid w:val="30B63755"/>
    <w:rsid w:val="30C47C02"/>
    <w:rsid w:val="30F93D50"/>
    <w:rsid w:val="31375948"/>
    <w:rsid w:val="314D7BF8"/>
    <w:rsid w:val="31692558"/>
    <w:rsid w:val="318232C0"/>
    <w:rsid w:val="31ED53A6"/>
    <w:rsid w:val="322B4C94"/>
    <w:rsid w:val="32340DB8"/>
    <w:rsid w:val="323B4247"/>
    <w:rsid w:val="325D2040"/>
    <w:rsid w:val="325F4087"/>
    <w:rsid w:val="327F2033"/>
    <w:rsid w:val="32827A03"/>
    <w:rsid w:val="32883D73"/>
    <w:rsid w:val="32933D30"/>
    <w:rsid w:val="329F4483"/>
    <w:rsid w:val="32C54CDA"/>
    <w:rsid w:val="32C75788"/>
    <w:rsid w:val="32CB171C"/>
    <w:rsid w:val="32CD4DF1"/>
    <w:rsid w:val="32D33A39"/>
    <w:rsid w:val="32DB5690"/>
    <w:rsid w:val="32E97DF4"/>
    <w:rsid w:val="3310712F"/>
    <w:rsid w:val="332275FD"/>
    <w:rsid w:val="333077D1"/>
    <w:rsid w:val="333D3C9C"/>
    <w:rsid w:val="3353526D"/>
    <w:rsid w:val="33601144"/>
    <w:rsid w:val="33631954"/>
    <w:rsid w:val="33686F6B"/>
    <w:rsid w:val="33791178"/>
    <w:rsid w:val="337A7851"/>
    <w:rsid w:val="33811DDB"/>
    <w:rsid w:val="338D3BB2"/>
    <w:rsid w:val="33AF6948"/>
    <w:rsid w:val="33B03948"/>
    <w:rsid w:val="33CC086F"/>
    <w:rsid w:val="33ED56C2"/>
    <w:rsid w:val="33FE78CF"/>
    <w:rsid w:val="344A6670"/>
    <w:rsid w:val="34580D8D"/>
    <w:rsid w:val="347D416F"/>
    <w:rsid w:val="34884436"/>
    <w:rsid w:val="348A2F11"/>
    <w:rsid w:val="34B955A4"/>
    <w:rsid w:val="34D4418C"/>
    <w:rsid w:val="34D76ADF"/>
    <w:rsid w:val="34E57BDD"/>
    <w:rsid w:val="34F85173"/>
    <w:rsid w:val="35064C8D"/>
    <w:rsid w:val="35262C3A"/>
    <w:rsid w:val="35325511"/>
    <w:rsid w:val="35374E47"/>
    <w:rsid w:val="35817F56"/>
    <w:rsid w:val="358D0F0B"/>
    <w:rsid w:val="359776DB"/>
    <w:rsid w:val="35CA5CBB"/>
    <w:rsid w:val="35DB7EC8"/>
    <w:rsid w:val="35E11256"/>
    <w:rsid w:val="35E93C67"/>
    <w:rsid w:val="361231BE"/>
    <w:rsid w:val="36422B4B"/>
    <w:rsid w:val="367E6AA5"/>
    <w:rsid w:val="369C58F9"/>
    <w:rsid w:val="36AA0128"/>
    <w:rsid w:val="36CC7811"/>
    <w:rsid w:val="36D273EB"/>
    <w:rsid w:val="36DF5796"/>
    <w:rsid w:val="37321D6A"/>
    <w:rsid w:val="37533A8E"/>
    <w:rsid w:val="37814AE6"/>
    <w:rsid w:val="37955E55"/>
    <w:rsid w:val="37AA4173"/>
    <w:rsid w:val="37B7226F"/>
    <w:rsid w:val="37DF17C6"/>
    <w:rsid w:val="37EC0CBC"/>
    <w:rsid w:val="38252186"/>
    <w:rsid w:val="383B4C4E"/>
    <w:rsid w:val="383C4522"/>
    <w:rsid w:val="38B22A36"/>
    <w:rsid w:val="38B844F1"/>
    <w:rsid w:val="38CA4224"/>
    <w:rsid w:val="38CC1D4A"/>
    <w:rsid w:val="38DF7CCF"/>
    <w:rsid w:val="38F913A2"/>
    <w:rsid w:val="39162FC5"/>
    <w:rsid w:val="393873DF"/>
    <w:rsid w:val="393F076E"/>
    <w:rsid w:val="39447B32"/>
    <w:rsid w:val="394C69E7"/>
    <w:rsid w:val="39557F91"/>
    <w:rsid w:val="3991089E"/>
    <w:rsid w:val="39992257"/>
    <w:rsid w:val="39B27192"/>
    <w:rsid w:val="39B34CB8"/>
    <w:rsid w:val="39DA652D"/>
    <w:rsid w:val="3A3F02FA"/>
    <w:rsid w:val="3A766411"/>
    <w:rsid w:val="3A7B57D6"/>
    <w:rsid w:val="3A80103E"/>
    <w:rsid w:val="3AAF547F"/>
    <w:rsid w:val="3AC70A1B"/>
    <w:rsid w:val="3AF64E5C"/>
    <w:rsid w:val="3B2C2F74"/>
    <w:rsid w:val="3B2C6AD0"/>
    <w:rsid w:val="3B3F4A55"/>
    <w:rsid w:val="3B7A5A8D"/>
    <w:rsid w:val="3BAC7C11"/>
    <w:rsid w:val="3BB341FD"/>
    <w:rsid w:val="3BC74A4B"/>
    <w:rsid w:val="3BCA4F4C"/>
    <w:rsid w:val="3BCD0EA7"/>
    <w:rsid w:val="3BCF0444"/>
    <w:rsid w:val="3BE63123"/>
    <w:rsid w:val="3BE93138"/>
    <w:rsid w:val="3C12216A"/>
    <w:rsid w:val="3C1D0120"/>
    <w:rsid w:val="3C417B47"/>
    <w:rsid w:val="3C463BC1"/>
    <w:rsid w:val="3C4B567C"/>
    <w:rsid w:val="3C53008C"/>
    <w:rsid w:val="3C5C5193"/>
    <w:rsid w:val="3C5E53AF"/>
    <w:rsid w:val="3C7303B6"/>
    <w:rsid w:val="3C7B7D0F"/>
    <w:rsid w:val="3C844B13"/>
    <w:rsid w:val="3CAA23A2"/>
    <w:rsid w:val="3CB7686D"/>
    <w:rsid w:val="3CBB45AF"/>
    <w:rsid w:val="3CC86CCC"/>
    <w:rsid w:val="3CE26E73"/>
    <w:rsid w:val="3CE51A38"/>
    <w:rsid w:val="3CFA56B4"/>
    <w:rsid w:val="3D053A7C"/>
    <w:rsid w:val="3D2F28A7"/>
    <w:rsid w:val="3D2F4655"/>
    <w:rsid w:val="3D332398"/>
    <w:rsid w:val="3D3B56F0"/>
    <w:rsid w:val="3D4225DB"/>
    <w:rsid w:val="3D580050"/>
    <w:rsid w:val="3D606F05"/>
    <w:rsid w:val="3D6A7D83"/>
    <w:rsid w:val="3D7529B0"/>
    <w:rsid w:val="3D995F73"/>
    <w:rsid w:val="3DA037A5"/>
    <w:rsid w:val="3DB86D41"/>
    <w:rsid w:val="3DD86A9B"/>
    <w:rsid w:val="3DE43692"/>
    <w:rsid w:val="3E3F6B1A"/>
    <w:rsid w:val="3E504B0F"/>
    <w:rsid w:val="3E66054B"/>
    <w:rsid w:val="3E682515"/>
    <w:rsid w:val="3E6E2F0C"/>
    <w:rsid w:val="3E8F5DAE"/>
    <w:rsid w:val="3E976956"/>
    <w:rsid w:val="3EA01CAF"/>
    <w:rsid w:val="3EBC63BD"/>
    <w:rsid w:val="3EBF7C5B"/>
    <w:rsid w:val="3ED538E6"/>
    <w:rsid w:val="3EF146FC"/>
    <w:rsid w:val="3F3B3785"/>
    <w:rsid w:val="3F3D5750"/>
    <w:rsid w:val="3F7B6278"/>
    <w:rsid w:val="3F7F7839"/>
    <w:rsid w:val="3F952DC8"/>
    <w:rsid w:val="3F961152"/>
    <w:rsid w:val="3FAA090B"/>
    <w:rsid w:val="40063D93"/>
    <w:rsid w:val="401945D4"/>
    <w:rsid w:val="404A1B1F"/>
    <w:rsid w:val="407707ED"/>
    <w:rsid w:val="40776A3F"/>
    <w:rsid w:val="40A142F2"/>
    <w:rsid w:val="40D84324"/>
    <w:rsid w:val="411E4559"/>
    <w:rsid w:val="41322966"/>
    <w:rsid w:val="416A2100"/>
    <w:rsid w:val="416E3BCA"/>
    <w:rsid w:val="417575B0"/>
    <w:rsid w:val="41763D28"/>
    <w:rsid w:val="417967E7"/>
    <w:rsid w:val="418036D2"/>
    <w:rsid w:val="41913608"/>
    <w:rsid w:val="41941C47"/>
    <w:rsid w:val="419E7FFC"/>
    <w:rsid w:val="41A2501B"/>
    <w:rsid w:val="41A76EB0"/>
    <w:rsid w:val="41A970CC"/>
    <w:rsid w:val="41B63597"/>
    <w:rsid w:val="41C757A4"/>
    <w:rsid w:val="41C86479"/>
    <w:rsid w:val="41DF489C"/>
    <w:rsid w:val="41F77BF2"/>
    <w:rsid w:val="42224789"/>
    <w:rsid w:val="423B3A9C"/>
    <w:rsid w:val="42402E61"/>
    <w:rsid w:val="42521512"/>
    <w:rsid w:val="425D3A13"/>
    <w:rsid w:val="427D6662"/>
    <w:rsid w:val="42815953"/>
    <w:rsid w:val="42827D14"/>
    <w:rsid w:val="42D00689"/>
    <w:rsid w:val="42E35261"/>
    <w:rsid w:val="430E5F3A"/>
    <w:rsid w:val="431E31A2"/>
    <w:rsid w:val="433C187A"/>
    <w:rsid w:val="4340580E"/>
    <w:rsid w:val="434626F9"/>
    <w:rsid w:val="4352109E"/>
    <w:rsid w:val="438D35E3"/>
    <w:rsid w:val="438D360E"/>
    <w:rsid w:val="43B753A5"/>
    <w:rsid w:val="43B81625"/>
    <w:rsid w:val="43C07D99"/>
    <w:rsid w:val="43D83C99"/>
    <w:rsid w:val="43D97042"/>
    <w:rsid w:val="43E57747"/>
    <w:rsid w:val="43EB1E2A"/>
    <w:rsid w:val="442073EE"/>
    <w:rsid w:val="442962A2"/>
    <w:rsid w:val="44472BCC"/>
    <w:rsid w:val="44580936"/>
    <w:rsid w:val="44586B88"/>
    <w:rsid w:val="44754A5F"/>
    <w:rsid w:val="449675F4"/>
    <w:rsid w:val="44C15265"/>
    <w:rsid w:val="44C47D79"/>
    <w:rsid w:val="44C61D43"/>
    <w:rsid w:val="44FC7513"/>
    <w:rsid w:val="456F4713"/>
    <w:rsid w:val="45BC6CA2"/>
    <w:rsid w:val="45D43421"/>
    <w:rsid w:val="45DB35CC"/>
    <w:rsid w:val="45EA7CB3"/>
    <w:rsid w:val="45EF7078"/>
    <w:rsid w:val="45F36B68"/>
    <w:rsid w:val="45F5169E"/>
    <w:rsid w:val="45F60406"/>
    <w:rsid w:val="45F9345F"/>
    <w:rsid w:val="45FD79E7"/>
    <w:rsid w:val="46113492"/>
    <w:rsid w:val="4617099C"/>
    <w:rsid w:val="462F56C6"/>
    <w:rsid w:val="464B69A4"/>
    <w:rsid w:val="46587D6C"/>
    <w:rsid w:val="4665558C"/>
    <w:rsid w:val="4665733A"/>
    <w:rsid w:val="46737CA9"/>
    <w:rsid w:val="468679DC"/>
    <w:rsid w:val="469043B7"/>
    <w:rsid w:val="46B67B95"/>
    <w:rsid w:val="46C95B1B"/>
    <w:rsid w:val="46D2678D"/>
    <w:rsid w:val="46E14C12"/>
    <w:rsid w:val="470A0C21"/>
    <w:rsid w:val="471274C2"/>
    <w:rsid w:val="4724127B"/>
    <w:rsid w:val="472557AB"/>
    <w:rsid w:val="47256C62"/>
    <w:rsid w:val="472E1AEE"/>
    <w:rsid w:val="475305F1"/>
    <w:rsid w:val="478A7058"/>
    <w:rsid w:val="479451D4"/>
    <w:rsid w:val="47A04ACD"/>
    <w:rsid w:val="47B5127A"/>
    <w:rsid w:val="47B727F3"/>
    <w:rsid w:val="47D21ECE"/>
    <w:rsid w:val="48133F67"/>
    <w:rsid w:val="481903DC"/>
    <w:rsid w:val="48324F29"/>
    <w:rsid w:val="483B65A4"/>
    <w:rsid w:val="4847319B"/>
    <w:rsid w:val="484C255F"/>
    <w:rsid w:val="48847F4B"/>
    <w:rsid w:val="48B02812"/>
    <w:rsid w:val="48B84099"/>
    <w:rsid w:val="48D10CB7"/>
    <w:rsid w:val="491C1D51"/>
    <w:rsid w:val="49284F02"/>
    <w:rsid w:val="495A0CAC"/>
    <w:rsid w:val="496D4D42"/>
    <w:rsid w:val="4981448B"/>
    <w:rsid w:val="49BB5BEF"/>
    <w:rsid w:val="49C10D2B"/>
    <w:rsid w:val="4A094BA5"/>
    <w:rsid w:val="4A1672C9"/>
    <w:rsid w:val="4A280DAA"/>
    <w:rsid w:val="4AA03036"/>
    <w:rsid w:val="4AB34B18"/>
    <w:rsid w:val="4ACA592D"/>
    <w:rsid w:val="4ADD1A9D"/>
    <w:rsid w:val="4AEA4C8F"/>
    <w:rsid w:val="4B0D30A6"/>
    <w:rsid w:val="4B187071"/>
    <w:rsid w:val="4B3519D1"/>
    <w:rsid w:val="4B844420"/>
    <w:rsid w:val="4BA10E14"/>
    <w:rsid w:val="4BA213D4"/>
    <w:rsid w:val="4BB5666E"/>
    <w:rsid w:val="4BBD1143"/>
    <w:rsid w:val="4BC03338"/>
    <w:rsid w:val="4C0B6DF5"/>
    <w:rsid w:val="4C0D0258"/>
    <w:rsid w:val="4C3861B2"/>
    <w:rsid w:val="4C4023DB"/>
    <w:rsid w:val="4C4C5224"/>
    <w:rsid w:val="4CD76580"/>
    <w:rsid w:val="4CF819F7"/>
    <w:rsid w:val="4D2003CE"/>
    <w:rsid w:val="4D652687"/>
    <w:rsid w:val="4D6640C3"/>
    <w:rsid w:val="4D6D5452"/>
    <w:rsid w:val="4D830C29"/>
    <w:rsid w:val="4DBF1A26"/>
    <w:rsid w:val="4DC30A37"/>
    <w:rsid w:val="4DC40DEA"/>
    <w:rsid w:val="4DC64B62"/>
    <w:rsid w:val="4DF23BA9"/>
    <w:rsid w:val="4E2D1DF5"/>
    <w:rsid w:val="4E883785"/>
    <w:rsid w:val="4EAC01FC"/>
    <w:rsid w:val="4EC8490A"/>
    <w:rsid w:val="4EE259CC"/>
    <w:rsid w:val="4EE85AD0"/>
    <w:rsid w:val="4EEA0D24"/>
    <w:rsid w:val="4EEA4880"/>
    <w:rsid w:val="4F3021BF"/>
    <w:rsid w:val="4F363F69"/>
    <w:rsid w:val="4F3B332E"/>
    <w:rsid w:val="4F721CE4"/>
    <w:rsid w:val="4F8371AD"/>
    <w:rsid w:val="4FB94960"/>
    <w:rsid w:val="4FC60E49"/>
    <w:rsid w:val="4FDD6193"/>
    <w:rsid w:val="504D50C7"/>
    <w:rsid w:val="504F7091"/>
    <w:rsid w:val="507028FD"/>
    <w:rsid w:val="5070341A"/>
    <w:rsid w:val="50AB6AEF"/>
    <w:rsid w:val="50AC50B2"/>
    <w:rsid w:val="50B74C36"/>
    <w:rsid w:val="50E7551B"/>
    <w:rsid w:val="50EE4AFC"/>
    <w:rsid w:val="51164004"/>
    <w:rsid w:val="511E4CB5"/>
    <w:rsid w:val="51200A2D"/>
    <w:rsid w:val="5150625C"/>
    <w:rsid w:val="515F043C"/>
    <w:rsid w:val="51616E44"/>
    <w:rsid w:val="516B5D29"/>
    <w:rsid w:val="5176064D"/>
    <w:rsid w:val="51B573C7"/>
    <w:rsid w:val="51BD002A"/>
    <w:rsid w:val="51DE425A"/>
    <w:rsid w:val="51F06651"/>
    <w:rsid w:val="51FD48CA"/>
    <w:rsid w:val="5209326F"/>
    <w:rsid w:val="5233653E"/>
    <w:rsid w:val="52372D1D"/>
    <w:rsid w:val="52391DA6"/>
    <w:rsid w:val="523F1387"/>
    <w:rsid w:val="52521CAE"/>
    <w:rsid w:val="525941F7"/>
    <w:rsid w:val="525E7DAE"/>
    <w:rsid w:val="526B6063"/>
    <w:rsid w:val="526C7747"/>
    <w:rsid w:val="52884ADC"/>
    <w:rsid w:val="5305323C"/>
    <w:rsid w:val="53395DD6"/>
    <w:rsid w:val="53486019"/>
    <w:rsid w:val="534D3630"/>
    <w:rsid w:val="53715570"/>
    <w:rsid w:val="539575BD"/>
    <w:rsid w:val="53A92F5C"/>
    <w:rsid w:val="53D53935"/>
    <w:rsid w:val="53E65B08"/>
    <w:rsid w:val="5402266C"/>
    <w:rsid w:val="54316AAD"/>
    <w:rsid w:val="54510997"/>
    <w:rsid w:val="54745318"/>
    <w:rsid w:val="547F5A6B"/>
    <w:rsid w:val="54834E17"/>
    <w:rsid w:val="5483555B"/>
    <w:rsid w:val="548412D3"/>
    <w:rsid w:val="548D1D4F"/>
    <w:rsid w:val="54B25E40"/>
    <w:rsid w:val="54BB0F84"/>
    <w:rsid w:val="54F72943"/>
    <w:rsid w:val="55032E10"/>
    <w:rsid w:val="55076432"/>
    <w:rsid w:val="551A5EDA"/>
    <w:rsid w:val="551B5793"/>
    <w:rsid w:val="5520724E"/>
    <w:rsid w:val="55287EB0"/>
    <w:rsid w:val="553F1BCB"/>
    <w:rsid w:val="55480552"/>
    <w:rsid w:val="557B0928"/>
    <w:rsid w:val="557C2517"/>
    <w:rsid w:val="557E18D0"/>
    <w:rsid w:val="55962D13"/>
    <w:rsid w:val="559C5CF1"/>
    <w:rsid w:val="55B81234"/>
    <w:rsid w:val="55BF2BBE"/>
    <w:rsid w:val="560A5808"/>
    <w:rsid w:val="561C5C67"/>
    <w:rsid w:val="561D19DF"/>
    <w:rsid w:val="5630526E"/>
    <w:rsid w:val="564F5953"/>
    <w:rsid w:val="56505911"/>
    <w:rsid w:val="56574EF1"/>
    <w:rsid w:val="565A42E9"/>
    <w:rsid w:val="56666EE2"/>
    <w:rsid w:val="567333AD"/>
    <w:rsid w:val="56892BD1"/>
    <w:rsid w:val="56DC0634"/>
    <w:rsid w:val="56EF50B2"/>
    <w:rsid w:val="56EF6ED8"/>
    <w:rsid w:val="56F03A2E"/>
    <w:rsid w:val="570D3802"/>
    <w:rsid w:val="57121829"/>
    <w:rsid w:val="5714693E"/>
    <w:rsid w:val="57293AEF"/>
    <w:rsid w:val="573F22A2"/>
    <w:rsid w:val="577C44E3"/>
    <w:rsid w:val="57917F8F"/>
    <w:rsid w:val="579269A8"/>
    <w:rsid w:val="579A57BC"/>
    <w:rsid w:val="57A37CC2"/>
    <w:rsid w:val="57A74D3D"/>
    <w:rsid w:val="57B22162"/>
    <w:rsid w:val="57C320DC"/>
    <w:rsid w:val="57D460CD"/>
    <w:rsid w:val="57DA5C9F"/>
    <w:rsid w:val="581F1A3E"/>
    <w:rsid w:val="582159B3"/>
    <w:rsid w:val="58564D34"/>
    <w:rsid w:val="585D60C3"/>
    <w:rsid w:val="586E02D0"/>
    <w:rsid w:val="587D49B7"/>
    <w:rsid w:val="58931AE5"/>
    <w:rsid w:val="589A10C5"/>
    <w:rsid w:val="58AD2C61"/>
    <w:rsid w:val="58AE691E"/>
    <w:rsid w:val="58C25983"/>
    <w:rsid w:val="58C4462C"/>
    <w:rsid w:val="58DC16DE"/>
    <w:rsid w:val="58E81E30"/>
    <w:rsid w:val="58EE31BF"/>
    <w:rsid w:val="5901634D"/>
    <w:rsid w:val="591C7D2C"/>
    <w:rsid w:val="592E53F3"/>
    <w:rsid w:val="593126CD"/>
    <w:rsid w:val="59592D2E"/>
    <w:rsid w:val="59771406"/>
    <w:rsid w:val="59783B2E"/>
    <w:rsid w:val="5980650D"/>
    <w:rsid w:val="59990616"/>
    <w:rsid w:val="59B368E2"/>
    <w:rsid w:val="59B83EF9"/>
    <w:rsid w:val="59BB5797"/>
    <w:rsid w:val="59BB7545"/>
    <w:rsid w:val="59BD7F5E"/>
    <w:rsid w:val="59DB3E06"/>
    <w:rsid w:val="59E0348F"/>
    <w:rsid w:val="5A08675B"/>
    <w:rsid w:val="5A160626"/>
    <w:rsid w:val="5A1A3A00"/>
    <w:rsid w:val="5A223AC7"/>
    <w:rsid w:val="5A3A490E"/>
    <w:rsid w:val="5A656ACC"/>
    <w:rsid w:val="5A6E4BE7"/>
    <w:rsid w:val="5A8C0E92"/>
    <w:rsid w:val="5AC32B55"/>
    <w:rsid w:val="5AFA409D"/>
    <w:rsid w:val="5B0D2022"/>
    <w:rsid w:val="5B174656"/>
    <w:rsid w:val="5B2630E4"/>
    <w:rsid w:val="5B3C0040"/>
    <w:rsid w:val="5B3C46B5"/>
    <w:rsid w:val="5B3C6463"/>
    <w:rsid w:val="5B422FE3"/>
    <w:rsid w:val="5B443ACC"/>
    <w:rsid w:val="5B5163B3"/>
    <w:rsid w:val="5B555777"/>
    <w:rsid w:val="5B6B6D49"/>
    <w:rsid w:val="5B7976B8"/>
    <w:rsid w:val="5B7E7DD1"/>
    <w:rsid w:val="5BA242CD"/>
    <w:rsid w:val="5BA33419"/>
    <w:rsid w:val="5BAA7871"/>
    <w:rsid w:val="5BCF72D8"/>
    <w:rsid w:val="5BF46D3E"/>
    <w:rsid w:val="5C1473E0"/>
    <w:rsid w:val="5C2E04A2"/>
    <w:rsid w:val="5C3A2476"/>
    <w:rsid w:val="5CB73B2D"/>
    <w:rsid w:val="5D0A1C1C"/>
    <w:rsid w:val="5D170F36"/>
    <w:rsid w:val="5D1A27D4"/>
    <w:rsid w:val="5D4810F0"/>
    <w:rsid w:val="5D5F28DD"/>
    <w:rsid w:val="5D6323CD"/>
    <w:rsid w:val="5D6558B5"/>
    <w:rsid w:val="5D74063C"/>
    <w:rsid w:val="5D9D6323"/>
    <w:rsid w:val="5DBE7604"/>
    <w:rsid w:val="5DF17E6F"/>
    <w:rsid w:val="5DF94AE0"/>
    <w:rsid w:val="5E453881"/>
    <w:rsid w:val="5E473A9D"/>
    <w:rsid w:val="5E7E4EC5"/>
    <w:rsid w:val="5EBA426F"/>
    <w:rsid w:val="5EBC7BE3"/>
    <w:rsid w:val="5EC96332"/>
    <w:rsid w:val="5ECE7D1A"/>
    <w:rsid w:val="5EFC63C5"/>
    <w:rsid w:val="5F007281"/>
    <w:rsid w:val="5F182D44"/>
    <w:rsid w:val="5F463D55"/>
    <w:rsid w:val="5F651AFB"/>
    <w:rsid w:val="5F6D12E1"/>
    <w:rsid w:val="5F74118B"/>
    <w:rsid w:val="5F950838"/>
    <w:rsid w:val="5F9F5213"/>
    <w:rsid w:val="5FDE5D3B"/>
    <w:rsid w:val="60003F04"/>
    <w:rsid w:val="60234096"/>
    <w:rsid w:val="60282246"/>
    <w:rsid w:val="60392E2E"/>
    <w:rsid w:val="605D3104"/>
    <w:rsid w:val="60600E46"/>
    <w:rsid w:val="60691B21"/>
    <w:rsid w:val="607F1B26"/>
    <w:rsid w:val="60A76A75"/>
    <w:rsid w:val="60AF1486"/>
    <w:rsid w:val="60BB7E2A"/>
    <w:rsid w:val="60D64C64"/>
    <w:rsid w:val="60D84E80"/>
    <w:rsid w:val="60F11A9E"/>
    <w:rsid w:val="60FE7473"/>
    <w:rsid w:val="61113EEE"/>
    <w:rsid w:val="611A0FF5"/>
    <w:rsid w:val="612E2CF2"/>
    <w:rsid w:val="61502C69"/>
    <w:rsid w:val="61707DCC"/>
    <w:rsid w:val="6171498D"/>
    <w:rsid w:val="61742C47"/>
    <w:rsid w:val="61C133F8"/>
    <w:rsid w:val="61DE2022"/>
    <w:rsid w:val="61DF5D9B"/>
    <w:rsid w:val="61EE62B8"/>
    <w:rsid w:val="61F21F72"/>
    <w:rsid w:val="61FB01D4"/>
    <w:rsid w:val="620D2908"/>
    <w:rsid w:val="621A7743"/>
    <w:rsid w:val="622671AB"/>
    <w:rsid w:val="625F45FB"/>
    <w:rsid w:val="62612C54"/>
    <w:rsid w:val="62864468"/>
    <w:rsid w:val="62AF1C11"/>
    <w:rsid w:val="62C531E2"/>
    <w:rsid w:val="62DB2A06"/>
    <w:rsid w:val="633839B4"/>
    <w:rsid w:val="634E142A"/>
    <w:rsid w:val="635F615A"/>
    <w:rsid w:val="63764156"/>
    <w:rsid w:val="637846F9"/>
    <w:rsid w:val="63953D64"/>
    <w:rsid w:val="639E415F"/>
    <w:rsid w:val="639F3861"/>
    <w:rsid w:val="63B03E93"/>
    <w:rsid w:val="63D26282"/>
    <w:rsid w:val="63ED0C43"/>
    <w:rsid w:val="63F23DAF"/>
    <w:rsid w:val="63F91396"/>
    <w:rsid w:val="640146EE"/>
    <w:rsid w:val="64104931"/>
    <w:rsid w:val="64373ACD"/>
    <w:rsid w:val="64524F24"/>
    <w:rsid w:val="645667E8"/>
    <w:rsid w:val="645C7B76"/>
    <w:rsid w:val="64682077"/>
    <w:rsid w:val="646A5DEF"/>
    <w:rsid w:val="64852BFC"/>
    <w:rsid w:val="648F2172"/>
    <w:rsid w:val="64994927"/>
    <w:rsid w:val="64A55079"/>
    <w:rsid w:val="64FF0C2E"/>
    <w:rsid w:val="651569E0"/>
    <w:rsid w:val="65314B5F"/>
    <w:rsid w:val="6575002E"/>
    <w:rsid w:val="657809E0"/>
    <w:rsid w:val="658C53E4"/>
    <w:rsid w:val="65960E66"/>
    <w:rsid w:val="65984BDE"/>
    <w:rsid w:val="659A2704"/>
    <w:rsid w:val="65CB36CC"/>
    <w:rsid w:val="65D33363"/>
    <w:rsid w:val="65DC4ACB"/>
    <w:rsid w:val="65FE7137"/>
    <w:rsid w:val="6605341D"/>
    <w:rsid w:val="66666A8A"/>
    <w:rsid w:val="66703465"/>
    <w:rsid w:val="66742F55"/>
    <w:rsid w:val="66BB5028"/>
    <w:rsid w:val="66F67E0E"/>
    <w:rsid w:val="671B5AC7"/>
    <w:rsid w:val="673D3C8F"/>
    <w:rsid w:val="67463343"/>
    <w:rsid w:val="6753700F"/>
    <w:rsid w:val="6760797E"/>
    <w:rsid w:val="67627252"/>
    <w:rsid w:val="6764121C"/>
    <w:rsid w:val="67AB0BF9"/>
    <w:rsid w:val="67DE683B"/>
    <w:rsid w:val="67F346AE"/>
    <w:rsid w:val="6813679E"/>
    <w:rsid w:val="684B5F38"/>
    <w:rsid w:val="6853303E"/>
    <w:rsid w:val="685A261F"/>
    <w:rsid w:val="686E5E6F"/>
    <w:rsid w:val="6884144A"/>
    <w:rsid w:val="689C4BF4"/>
    <w:rsid w:val="68C1444C"/>
    <w:rsid w:val="68C83577"/>
    <w:rsid w:val="68E819D9"/>
    <w:rsid w:val="68F76E1B"/>
    <w:rsid w:val="6945507D"/>
    <w:rsid w:val="694806C9"/>
    <w:rsid w:val="6978130C"/>
    <w:rsid w:val="69E71C90"/>
    <w:rsid w:val="69E93C5A"/>
    <w:rsid w:val="69FA19C4"/>
    <w:rsid w:val="6A147CB8"/>
    <w:rsid w:val="6A1D56B2"/>
    <w:rsid w:val="6A333127"/>
    <w:rsid w:val="6A6908F7"/>
    <w:rsid w:val="6A7A2B04"/>
    <w:rsid w:val="6A845731"/>
    <w:rsid w:val="6AAA163C"/>
    <w:rsid w:val="6ABF6769"/>
    <w:rsid w:val="6AC67AF8"/>
    <w:rsid w:val="6B0625EA"/>
    <w:rsid w:val="6B0A593F"/>
    <w:rsid w:val="6B1B7E3A"/>
    <w:rsid w:val="6B3C7DBA"/>
    <w:rsid w:val="6B621F16"/>
    <w:rsid w:val="6B827EC3"/>
    <w:rsid w:val="6B910106"/>
    <w:rsid w:val="6B99345E"/>
    <w:rsid w:val="6B99520C"/>
    <w:rsid w:val="6BA513C4"/>
    <w:rsid w:val="6BAC13E3"/>
    <w:rsid w:val="6C927959"/>
    <w:rsid w:val="6CB56076"/>
    <w:rsid w:val="6CF43042"/>
    <w:rsid w:val="6D390A55"/>
    <w:rsid w:val="6D4713C4"/>
    <w:rsid w:val="6D9B34BE"/>
    <w:rsid w:val="6D9E2FAE"/>
    <w:rsid w:val="6DA71E62"/>
    <w:rsid w:val="6DCF3167"/>
    <w:rsid w:val="6DD501C9"/>
    <w:rsid w:val="6E46167B"/>
    <w:rsid w:val="6E492F1A"/>
    <w:rsid w:val="6E626EE8"/>
    <w:rsid w:val="6E66587A"/>
    <w:rsid w:val="6E6E472E"/>
    <w:rsid w:val="6E755ABD"/>
    <w:rsid w:val="6E7D32FC"/>
    <w:rsid w:val="6ECF78C3"/>
    <w:rsid w:val="6ED379A1"/>
    <w:rsid w:val="6EE40E94"/>
    <w:rsid w:val="6EEE3AC1"/>
    <w:rsid w:val="6F0B000E"/>
    <w:rsid w:val="6F0D03EB"/>
    <w:rsid w:val="6F2B261F"/>
    <w:rsid w:val="6F413BF1"/>
    <w:rsid w:val="6F446C65"/>
    <w:rsid w:val="6F59718C"/>
    <w:rsid w:val="6F743FC6"/>
    <w:rsid w:val="6F9C351D"/>
    <w:rsid w:val="6FA21A81"/>
    <w:rsid w:val="6FB20510"/>
    <w:rsid w:val="6FB9670A"/>
    <w:rsid w:val="6FBD3BBF"/>
    <w:rsid w:val="6FE23626"/>
    <w:rsid w:val="6FE32EFA"/>
    <w:rsid w:val="6FE4739E"/>
    <w:rsid w:val="6FEC1DAE"/>
    <w:rsid w:val="6FEF189F"/>
    <w:rsid w:val="70051475"/>
    <w:rsid w:val="700D7F77"/>
    <w:rsid w:val="7019691C"/>
    <w:rsid w:val="701B6B38"/>
    <w:rsid w:val="70381498"/>
    <w:rsid w:val="705201B3"/>
    <w:rsid w:val="708622B3"/>
    <w:rsid w:val="70995FB2"/>
    <w:rsid w:val="709E54A1"/>
    <w:rsid w:val="70B22515"/>
    <w:rsid w:val="70C66AA3"/>
    <w:rsid w:val="70C8539E"/>
    <w:rsid w:val="70CE5958"/>
    <w:rsid w:val="70DD62BB"/>
    <w:rsid w:val="70DF1913"/>
    <w:rsid w:val="711315BD"/>
    <w:rsid w:val="71184E25"/>
    <w:rsid w:val="711C4915"/>
    <w:rsid w:val="711C66C3"/>
    <w:rsid w:val="71867FE1"/>
    <w:rsid w:val="718B0645"/>
    <w:rsid w:val="71B132B0"/>
    <w:rsid w:val="71C107F1"/>
    <w:rsid w:val="71CF3736"/>
    <w:rsid w:val="71F11717"/>
    <w:rsid w:val="72495CF8"/>
    <w:rsid w:val="726F7916"/>
    <w:rsid w:val="72A619EF"/>
    <w:rsid w:val="72AA0772"/>
    <w:rsid w:val="72AB72EF"/>
    <w:rsid w:val="72BF37AA"/>
    <w:rsid w:val="72DF5BFA"/>
    <w:rsid w:val="731E2BC7"/>
    <w:rsid w:val="73295B2E"/>
    <w:rsid w:val="73B52DFF"/>
    <w:rsid w:val="73BE3A62"/>
    <w:rsid w:val="74085625"/>
    <w:rsid w:val="741B0EB4"/>
    <w:rsid w:val="74283E77"/>
    <w:rsid w:val="74341F76"/>
    <w:rsid w:val="7443228B"/>
    <w:rsid w:val="7443665D"/>
    <w:rsid w:val="74767D8F"/>
    <w:rsid w:val="748E78D8"/>
    <w:rsid w:val="74962C31"/>
    <w:rsid w:val="74C57072"/>
    <w:rsid w:val="74C71EF0"/>
    <w:rsid w:val="750C6A4F"/>
    <w:rsid w:val="751A73BE"/>
    <w:rsid w:val="753366D1"/>
    <w:rsid w:val="75371BE9"/>
    <w:rsid w:val="75502DDF"/>
    <w:rsid w:val="7564262A"/>
    <w:rsid w:val="756E14B8"/>
    <w:rsid w:val="75727961"/>
    <w:rsid w:val="7577036C"/>
    <w:rsid w:val="758D193E"/>
    <w:rsid w:val="75B23A9A"/>
    <w:rsid w:val="75C86E1A"/>
    <w:rsid w:val="75D752AF"/>
    <w:rsid w:val="75E76DDB"/>
    <w:rsid w:val="75FD4B91"/>
    <w:rsid w:val="76110FCE"/>
    <w:rsid w:val="76116A13"/>
    <w:rsid w:val="762F6E99"/>
    <w:rsid w:val="76337D4A"/>
    <w:rsid w:val="76382839"/>
    <w:rsid w:val="76384B8D"/>
    <w:rsid w:val="764010A6"/>
    <w:rsid w:val="764222BD"/>
    <w:rsid w:val="76527048"/>
    <w:rsid w:val="767E397C"/>
    <w:rsid w:val="7686417E"/>
    <w:rsid w:val="76880357"/>
    <w:rsid w:val="768D5FA4"/>
    <w:rsid w:val="76AA29C3"/>
    <w:rsid w:val="76AC2297"/>
    <w:rsid w:val="76BC4018"/>
    <w:rsid w:val="76C41BD2"/>
    <w:rsid w:val="76C770D1"/>
    <w:rsid w:val="76FB6D7B"/>
    <w:rsid w:val="7738540B"/>
    <w:rsid w:val="773D55E5"/>
    <w:rsid w:val="77593A0C"/>
    <w:rsid w:val="776C1A27"/>
    <w:rsid w:val="7785286B"/>
    <w:rsid w:val="779A6594"/>
    <w:rsid w:val="779C67B0"/>
    <w:rsid w:val="77A85155"/>
    <w:rsid w:val="77B533CE"/>
    <w:rsid w:val="77D870BC"/>
    <w:rsid w:val="77E54E37"/>
    <w:rsid w:val="77EB3293"/>
    <w:rsid w:val="77F43EF6"/>
    <w:rsid w:val="77FC0FFD"/>
    <w:rsid w:val="781F11BD"/>
    <w:rsid w:val="782D11B6"/>
    <w:rsid w:val="78511348"/>
    <w:rsid w:val="78564BB1"/>
    <w:rsid w:val="78661722"/>
    <w:rsid w:val="7866291A"/>
    <w:rsid w:val="786D3CA8"/>
    <w:rsid w:val="78880AE2"/>
    <w:rsid w:val="78970D25"/>
    <w:rsid w:val="78A05156"/>
    <w:rsid w:val="78B6564F"/>
    <w:rsid w:val="78D855C6"/>
    <w:rsid w:val="79013E72"/>
    <w:rsid w:val="790A599B"/>
    <w:rsid w:val="791D122B"/>
    <w:rsid w:val="79250840"/>
    <w:rsid w:val="79285290"/>
    <w:rsid w:val="793A002E"/>
    <w:rsid w:val="793F5645"/>
    <w:rsid w:val="79604C8B"/>
    <w:rsid w:val="79703A50"/>
    <w:rsid w:val="797648B4"/>
    <w:rsid w:val="79A8143C"/>
    <w:rsid w:val="79C45B4A"/>
    <w:rsid w:val="79C91199"/>
    <w:rsid w:val="79D67709"/>
    <w:rsid w:val="79E5119E"/>
    <w:rsid w:val="79FC1788"/>
    <w:rsid w:val="7A1C773B"/>
    <w:rsid w:val="7A2D7B93"/>
    <w:rsid w:val="7A4078C7"/>
    <w:rsid w:val="7A5B3CBD"/>
    <w:rsid w:val="7A822A1F"/>
    <w:rsid w:val="7AB46B59"/>
    <w:rsid w:val="7AC1208A"/>
    <w:rsid w:val="7AC83E5A"/>
    <w:rsid w:val="7AF144E1"/>
    <w:rsid w:val="7AFB19AF"/>
    <w:rsid w:val="7B036E36"/>
    <w:rsid w:val="7B0F3C25"/>
    <w:rsid w:val="7B2F16E9"/>
    <w:rsid w:val="7B4E1237"/>
    <w:rsid w:val="7B7315D6"/>
    <w:rsid w:val="7B805CAF"/>
    <w:rsid w:val="7BAB6FC2"/>
    <w:rsid w:val="7BEB5610"/>
    <w:rsid w:val="7BED2B12"/>
    <w:rsid w:val="7BF04B91"/>
    <w:rsid w:val="7BFA6ADE"/>
    <w:rsid w:val="7C3945CD"/>
    <w:rsid w:val="7C495401"/>
    <w:rsid w:val="7C815F74"/>
    <w:rsid w:val="7CA659DB"/>
    <w:rsid w:val="7CBF7B02"/>
    <w:rsid w:val="7CDB5685"/>
    <w:rsid w:val="7CDC31AB"/>
    <w:rsid w:val="7D192445"/>
    <w:rsid w:val="7D1F7C67"/>
    <w:rsid w:val="7D3D633F"/>
    <w:rsid w:val="7D40373A"/>
    <w:rsid w:val="7D657644"/>
    <w:rsid w:val="7D917194"/>
    <w:rsid w:val="7DA168CE"/>
    <w:rsid w:val="7DC056D3"/>
    <w:rsid w:val="7DC62A16"/>
    <w:rsid w:val="7DE642E1"/>
    <w:rsid w:val="7DFA4230"/>
    <w:rsid w:val="7E403498"/>
    <w:rsid w:val="7E4C09B2"/>
    <w:rsid w:val="7E521976"/>
    <w:rsid w:val="7E53749D"/>
    <w:rsid w:val="7E6659DE"/>
    <w:rsid w:val="7E696CC0"/>
    <w:rsid w:val="7E6A3164"/>
    <w:rsid w:val="7E7044F2"/>
    <w:rsid w:val="7E775881"/>
    <w:rsid w:val="7EAF501B"/>
    <w:rsid w:val="7EC46650"/>
    <w:rsid w:val="7EF70770"/>
    <w:rsid w:val="7F052E8D"/>
    <w:rsid w:val="7F0B05DE"/>
    <w:rsid w:val="7F0D7F93"/>
    <w:rsid w:val="7F141322"/>
    <w:rsid w:val="7F2A46A1"/>
    <w:rsid w:val="7F3E639F"/>
    <w:rsid w:val="7F527874"/>
    <w:rsid w:val="7F72113B"/>
    <w:rsid w:val="7FD64829"/>
    <w:rsid w:val="7FE94FD6"/>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34"/>
    <w:qFormat/>
    <w:uiPriority w:val="0"/>
    <w:pPr>
      <w:autoSpaceDE w:val="0"/>
      <w:autoSpaceDN w:val="0"/>
      <w:adjustRightInd w:val="0"/>
      <w:jc w:val="left"/>
      <w:outlineLvl w:val="0"/>
    </w:pPr>
    <w:rPr>
      <w:kern w:val="0"/>
      <w:sz w:val="30"/>
    </w:rPr>
  </w:style>
  <w:style w:type="paragraph" w:styleId="3">
    <w:name w:val="heading 2"/>
    <w:basedOn w:val="1"/>
    <w:next w:val="1"/>
    <w:link w:val="47"/>
    <w:autoRedefine/>
    <w:qFormat/>
    <w:uiPriority w:val="0"/>
    <w:pPr>
      <w:autoSpaceDE w:val="0"/>
      <w:autoSpaceDN w:val="0"/>
      <w:adjustRightInd w:val="0"/>
      <w:jc w:val="left"/>
      <w:outlineLvl w:val="1"/>
    </w:pPr>
    <w:rPr>
      <w:kern w:val="0"/>
      <w:sz w:val="20"/>
    </w:rPr>
  </w:style>
  <w:style w:type="paragraph" w:styleId="4">
    <w:name w:val="heading 3"/>
    <w:basedOn w:val="5"/>
    <w:next w:val="5"/>
    <w:link w:val="48"/>
    <w:autoRedefine/>
    <w:qFormat/>
    <w:uiPriority w:val="0"/>
    <w:pPr>
      <w:keepNext/>
      <w:keepLines/>
      <w:spacing w:before="120" w:after="120"/>
      <w:outlineLvl w:val="2"/>
    </w:pPr>
    <w:rPr>
      <w:b/>
      <w:kern w:val="2"/>
      <w:sz w:val="24"/>
    </w:rPr>
  </w:style>
  <w:style w:type="paragraph" w:styleId="6">
    <w:name w:val="heading 4"/>
    <w:basedOn w:val="1"/>
    <w:next w:val="1"/>
    <w:link w:val="49"/>
    <w:autoRedefine/>
    <w:qFormat/>
    <w:uiPriority w:val="0"/>
    <w:pPr>
      <w:keepNext/>
      <w:keepLines/>
      <w:spacing w:before="280" w:after="290" w:line="374" w:lineRule="auto"/>
      <w:outlineLvl w:val="3"/>
    </w:pPr>
    <w:rPr>
      <w:rFonts w:ascii="Arial" w:hAnsi="Arial"/>
      <w:sz w:val="24"/>
    </w:rPr>
  </w:style>
  <w:style w:type="paragraph" w:styleId="7">
    <w:name w:val="heading 8"/>
    <w:basedOn w:val="1"/>
    <w:next w:val="1"/>
    <w:link w:val="50"/>
    <w:autoRedefine/>
    <w:qFormat/>
    <w:uiPriority w:val="0"/>
    <w:pPr>
      <w:keepNext/>
      <w:keepLines/>
      <w:spacing w:before="240" w:after="64" w:line="320" w:lineRule="auto"/>
      <w:outlineLvl w:val="7"/>
    </w:pPr>
    <w:rPr>
      <w:rFonts w:ascii="Arial" w:hAnsi="Arial" w:eastAsia="黑体"/>
      <w:sz w:val="24"/>
      <w:szCs w:val="24"/>
    </w:rPr>
  </w:style>
  <w:style w:type="paragraph" w:styleId="8">
    <w:name w:val="heading 9"/>
    <w:basedOn w:val="1"/>
    <w:next w:val="1"/>
    <w:link w:val="51"/>
    <w:autoRedefine/>
    <w:qFormat/>
    <w:uiPriority w:val="0"/>
    <w:pPr>
      <w:keepNext/>
      <w:keepLines/>
      <w:spacing w:before="240" w:after="64" w:line="320" w:lineRule="auto"/>
      <w:outlineLvl w:val="8"/>
    </w:pPr>
    <w:rPr>
      <w:rFonts w:ascii="Cambria" w:hAnsi="Cambria"/>
      <w:szCs w:val="21"/>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ind w:firstLine="420"/>
      <w:jc w:val="left"/>
    </w:pPr>
    <w:rPr>
      <w:kern w:val="0"/>
      <w:sz w:val="20"/>
    </w:rPr>
  </w:style>
  <w:style w:type="paragraph" w:styleId="9">
    <w:name w:val="Document Map"/>
    <w:basedOn w:val="1"/>
    <w:link w:val="54"/>
    <w:autoRedefine/>
    <w:qFormat/>
    <w:uiPriority w:val="0"/>
    <w:pPr>
      <w:shd w:val="clear" w:color="auto" w:fill="000080"/>
    </w:pPr>
  </w:style>
  <w:style w:type="paragraph" w:styleId="10">
    <w:name w:val="annotation text"/>
    <w:basedOn w:val="1"/>
    <w:next w:val="1"/>
    <w:link w:val="55"/>
    <w:autoRedefine/>
    <w:qFormat/>
    <w:uiPriority w:val="0"/>
    <w:pPr>
      <w:jc w:val="left"/>
    </w:pPr>
  </w:style>
  <w:style w:type="paragraph" w:styleId="11">
    <w:name w:val="Body Text"/>
    <w:basedOn w:val="1"/>
    <w:next w:val="1"/>
    <w:link w:val="56"/>
    <w:autoRedefine/>
    <w:qFormat/>
    <w:uiPriority w:val="0"/>
    <w:pPr>
      <w:spacing w:after="120"/>
    </w:pPr>
  </w:style>
  <w:style w:type="paragraph" w:styleId="12">
    <w:name w:val="Body Text Indent"/>
    <w:basedOn w:val="1"/>
    <w:next w:val="13"/>
    <w:link w:val="52"/>
    <w:autoRedefine/>
    <w:unhideWhenUsed/>
    <w:qFormat/>
    <w:uiPriority w:val="0"/>
    <w:pPr>
      <w:spacing w:after="120"/>
      <w:ind w:left="420" w:leftChars="200"/>
    </w:pPr>
  </w:style>
  <w:style w:type="paragraph" w:styleId="13">
    <w:name w:val="envelope return"/>
    <w:basedOn w:val="1"/>
    <w:autoRedefine/>
    <w:qFormat/>
    <w:uiPriority w:val="0"/>
    <w:pPr>
      <w:snapToGrid w:val="0"/>
    </w:pPr>
    <w:rPr>
      <w:rFonts w:ascii="Arial" w:hAnsi="Arial"/>
    </w:rPr>
  </w:style>
  <w:style w:type="paragraph" w:styleId="14">
    <w:name w:val="toc 3"/>
    <w:basedOn w:val="1"/>
    <w:next w:val="1"/>
    <w:autoRedefine/>
    <w:qFormat/>
    <w:uiPriority w:val="39"/>
    <w:pPr>
      <w:ind w:left="840" w:leftChars="400"/>
    </w:pPr>
  </w:style>
  <w:style w:type="paragraph" w:styleId="15">
    <w:name w:val="Plain Text"/>
    <w:basedOn w:val="1"/>
    <w:next w:val="1"/>
    <w:link w:val="57"/>
    <w:autoRedefine/>
    <w:qFormat/>
    <w:uiPriority w:val="0"/>
    <w:rPr>
      <w:rFonts w:hAnsi="Courier New"/>
    </w:rPr>
  </w:style>
  <w:style w:type="paragraph" w:styleId="16">
    <w:name w:val="Date"/>
    <w:basedOn w:val="1"/>
    <w:next w:val="1"/>
    <w:link w:val="58"/>
    <w:autoRedefine/>
    <w:qFormat/>
    <w:uiPriority w:val="0"/>
    <w:pPr>
      <w:ind w:left="100" w:leftChars="2500"/>
    </w:pPr>
  </w:style>
  <w:style w:type="paragraph" w:styleId="17">
    <w:name w:val="Body Text Indent 2"/>
    <w:basedOn w:val="1"/>
    <w:link w:val="59"/>
    <w:autoRedefine/>
    <w:qFormat/>
    <w:uiPriority w:val="0"/>
    <w:pPr>
      <w:spacing w:line="480" w:lineRule="auto"/>
      <w:ind w:firstLine="561"/>
    </w:pPr>
    <w:rPr>
      <w:rFonts w:ascii="宋体"/>
    </w:rPr>
  </w:style>
  <w:style w:type="paragraph" w:styleId="18">
    <w:name w:val="endnote text"/>
    <w:basedOn w:val="1"/>
    <w:link w:val="60"/>
    <w:autoRedefine/>
    <w:qFormat/>
    <w:uiPriority w:val="0"/>
    <w:pPr>
      <w:snapToGrid w:val="0"/>
      <w:jc w:val="left"/>
    </w:pPr>
  </w:style>
  <w:style w:type="paragraph" w:styleId="19">
    <w:name w:val="Balloon Text"/>
    <w:basedOn w:val="1"/>
    <w:link w:val="61"/>
    <w:autoRedefine/>
    <w:qFormat/>
    <w:uiPriority w:val="0"/>
    <w:rPr>
      <w:sz w:val="18"/>
      <w:szCs w:val="18"/>
    </w:rPr>
  </w:style>
  <w:style w:type="paragraph" w:styleId="20">
    <w:name w:val="footer"/>
    <w:basedOn w:val="1"/>
    <w:link w:val="45"/>
    <w:autoRedefine/>
    <w:unhideWhenUsed/>
    <w:qFormat/>
    <w:uiPriority w:val="0"/>
    <w:pPr>
      <w:tabs>
        <w:tab w:val="center" w:pos="4153"/>
        <w:tab w:val="right" w:pos="8306"/>
      </w:tabs>
      <w:snapToGrid w:val="0"/>
      <w:jc w:val="left"/>
    </w:pPr>
    <w:rPr>
      <w:sz w:val="18"/>
      <w:szCs w:val="18"/>
    </w:rPr>
  </w:style>
  <w:style w:type="paragraph" w:styleId="21">
    <w:name w:val="header"/>
    <w:basedOn w:val="1"/>
    <w:link w:val="4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style>
  <w:style w:type="paragraph" w:styleId="23">
    <w:name w:val="toc 4"/>
    <w:basedOn w:val="1"/>
    <w:next w:val="1"/>
    <w:autoRedefine/>
    <w:qFormat/>
    <w:uiPriority w:val="39"/>
    <w:pPr>
      <w:ind w:left="1260" w:leftChars="600"/>
    </w:pPr>
  </w:style>
  <w:style w:type="paragraph" w:styleId="24">
    <w:name w:val="List"/>
    <w:basedOn w:val="1"/>
    <w:autoRedefine/>
    <w:unhideWhenUsed/>
    <w:qFormat/>
    <w:uiPriority w:val="99"/>
    <w:pPr>
      <w:ind w:left="200" w:hanging="200" w:hangingChars="200"/>
      <w:contextualSpacing/>
    </w:pPr>
  </w:style>
  <w:style w:type="paragraph" w:styleId="25">
    <w:name w:val="toc 2"/>
    <w:basedOn w:val="1"/>
    <w:next w:val="1"/>
    <w:autoRedefine/>
    <w:qFormat/>
    <w:uiPriority w:val="39"/>
    <w:pPr>
      <w:ind w:left="420" w:leftChars="200"/>
    </w:pPr>
  </w:style>
  <w:style w:type="paragraph" w:styleId="26">
    <w:name w:val="Body Text 2"/>
    <w:basedOn w:val="1"/>
    <w:next w:val="11"/>
    <w:link w:val="62"/>
    <w:autoRedefine/>
    <w:qFormat/>
    <w:uiPriority w:val="0"/>
    <w:pPr>
      <w:spacing w:line="500" w:lineRule="exact"/>
    </w:pPr>
    <w:rPr>
      <w:rFonts w:ascii="宋体"/>
      <w:sz w:val="24"/>
    </w:rPr>
  </w:style>
  <w:style w:type="paragraph" w:styleId="27">
    <w:name w:val="HTML Preformatted"/>
    <w:basedOn w:val="1"/>
    <w:link w:val="63"/>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8">
    <w:name w:val="Normal (Web)"/>
    <w:basedOn w:val="1"/>
    <w:autoRedefine/>
    <w:qFormat/>
    <w:uiPriority w:val="0"/>
    <w:pPr>
      <w:widowControl/>
      <w:spacing w:before="100" w:beforeAutospacing="1" w:after="100" w:afterAutospacing="1"/>
      <w:jc w:val="left"/>
    </w:pPr>
    <w:rPr>
      <w:rFonts w:hAnsi="宋体" w:cs="宋体"/>
      <w:color w:val="000000"/>
      <w:kern w:val="0"/>
      <w:szCs w:val="24"/>
    </w:rPr>
  </w:style>
  <w:style w:type="paragraph" w:styleId="29">
    <w:name w:val="Title"/>
    <w:basedOn w:val="1"/>
    <w:next w:val="1"/>
    <w:link w:val="64"/>
    <w:autoRedefine/>
    <w:qFormat/>
    <w:uiPriority w:val="10"/>
    <w:pPr>
      <w:spacing w:before="240" w:after="60"/>
      <w:jc w:val="center"/>
      <w:outlineLvl w:val="0"/>
    </w:pPr>
    <w:rPr>
      <w:rFonts w:ascii="Cambria" w:hAnsi="Cambria"/>
      <w:b/>
      <w:bCs/>
      <w:sz w:val="32"/>
      <w:szCs w:val="32"/>
    </w:rPr>
  </w:style>
  <w:style w:type="paragraph" w:styleId="30">
    <w:name w:val="annotation subject"/>
    <w:basedOn w:val="10"/>
    <w:next w:val="10"/>
    <w:link w:val="65"/>
    <w:autoRedefine/>
    <w:qFormat/>
    <w:uiPriority w:val="0"/>
    <w:rPr>
      <w:b/>
      <w:bCs/>
    </w:rPr>
  </w:style>
  <w:style w:type="paragraph" w:styleId="31">
    <w:name w:val="Body Text First Indent"/>
    <w:basedOn w:val="11"/>
    <w:next w:val="32"/>
    <w:link w:val="66"/>
    <w:autoRedefine/>
    <w:qFormat/>
    <w:uiPriority w:val="0"/>
    <w:pPr>
      <w:ind w:firstLine="420" w:firstLineChars="100"/>
    </w:pPr>
    <w:rPr>
      <w:rFonts w:ascii="Calibri" w:hAnsi="Calibri"/>
    </w:rPr>
  </w:style>
  <w:style w:type="paragraph" w:styleId="32">
    <w:name w:val="Body Text First Indent 2"/>
    <w:basedOn w:val="12"/>
    <w:link w:val="53"/>
    <w:autoRedefine/>
    <w:qFormat/>
    <w:uiPriority w:val="0"/>
    <w:pPr>
      <w:spacing w:after="0"/>
      <w:ind w:left="0" w:leftChars="0" w:firstLine="420" w:firstLineChars="200"/>
    </w:pPr>
    <w:rPr>
      <w:rFonts w:ascii="宋体" w:hAnsi="宋体"/>
      <w:spacing w:val="-20"/>
      <w:kern w:val="21"/>
      <w:sz w:val="28"/>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0"/>
    <w:rPr>
      <w:b/>
    </w:rPr>
  </w:style>
  <w:style w:type="character" w:styleId="37">
    <w:name w:val="endnote reference"/>
    <w:autoRedefine/>
    <w:qFormat/>
    <w:uiPriority w:val="0"/>
    <w:rPr>
      <w:vertAlign w:val="superscript"/>
    </w:rPr>
  </w:style>
  <w:style w:type="character" w:styleId="38">
    <w:name w:val="page number"/>
    <w:autoRedefine/>
    <w:qFormat/>
    <w:uiPriority w:val="0"/>
  </w:style>
  <w:style w:type="character" w:styleId="39">
    <w:name w:val="FollowedHyperlink"/>
    <w:autoRedefine/>
    <w:qFormat/>
    <w:uiPriority w:val="0"/>
    <w:rPr>
      <w:color w:val="000000"/>
      <w:u w:val="none"/>
    </w:rPr>
  </w:style>
  <w:style w:type="character" w:styleId="40">
    <w:name w:val="Hyperlink"/>
    <w:autoRedefine/>
    <w:qFormat/>
    <w:uiPriority w:val="99"/>
    <w:rPr>
      <w:color w:val="000000"/>
      <w:u w:val="none"/>
    </w:rPr>
  </w:style>
  <w:style w:type="character" w:styleId="41">
    <w:name w:val="annotation reference"/>
    <w:autoRedefine/>
    <w:qFormat/>
    <w:uiPriority w:val="0"/>
    <w:rPr>
      <w:sz w:val="21"/>
      <w:szCs w:val="21"/>
    </w:rPr>
  </w:style>
  <w:style w:type="paragraph" w:customStyle="1" w:styleId="42">
    <w:name w:val="样式 宋体 行距: 1.5 倍行距"/>
    <w:basedOn w:val="43"/>
    <w:next w:val="1"/>
    <w:autoRedefine/>
    <w:qFormat/>
    <w:uiPriority w:val="0"/>
    <w:pPr>
      <w:jc w:val="center"/>
    </w:pPr>
    <w:rPr>
      <w:rFonts w:ascii="Times New Roman" w:hAnsi="Times New Roman"/>
      <w:b/>
    </w:r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2"/>
    <w:autoRedefine/>
    <w:qFormat/>
    <w:uiPriority w:val="0"/>
    <w:pPr>
      <w:widowControl w:val="0"/>
      <w:jc w:val="both"/>
    </w:pPr>
    <w:rPr>
      <w:rFonts w:ascii="Calibri" w:hAnsi="Calibri" w:eastAsia="宋体" w:cs="黑体"/>
      <w:kern w:val="2"/>
      <w:sz w:val="21"/>
      <w:szCs w:val="24"/>
      <w:lang w:val="en-US" w:eastAsia="zh-CN" w:bidi="ar-SA"/>
    </w:rPr>
  </w:style>
  <w:style w:type="character" w:customStyle="1" w:styleId="44">
    <w:name w:val="页眉 Char"/>
    <w:basedOn w:val="35"/>
    <w:link w:val="21"/>
    <w:autoRedefine/>
    <w:qFormat/>
    <w:uiPriority w:val="99"/>
    <w:rPr>
      <w:sz w:val="18"/>
      <w:szCs w:val="18"/>
    </w:rPr>
  </w:style>
  <w:style w:type="character" w:customStyle="1" w:styleId="45">
    <w:name w:val="页脚 Char"/>
    <w:basedOn w:val="35"/>
    <w:link w:val="20"/>
    <w:autoRedefine/>
    <w:qFormat/>
    <w:uiPriority w:val="99"/>
    <w:rPr>
      <w:sz w:val="18"/>
      <w:szCs w:val="18"/>
    </w:rPr>
  </w:style>
  <w:style w:type="character" w:customStyle="1" w:styleId="46">
    <w:name w:val="标题 1 Char"/>
    <w:basedOn w:val="35"/>
    <w:link w:val="2"/>
    <w:autoRedefine/>
    <w:qFormat/>
    <w:uiPriority w:val="0"/>
    <w:rPr>
      <w:rFonts w:ascii="Times New Roman" w:hAnsi="Times New Roman" w:eastAsia="宋体" w:cs="Times New Roman"/>
      <w:kern w:val="0"/>
      <w:sz w:val="30"/>
      <w:szCs w:val="20"/>
    </w:rPr>
  </w:style>
  <w:style w:type="character" w:customStyle="1" w:styleId="47">
    <w:name w:val="标题 2 Char"/>
    <w:basedOn w:val="35"/>
    <w:link w:val="3"/>
    <w:autoRedefine/>
    <w:qFormat/>
    <w:uiPriority w:val="0"/>
    <w:rPr>
      <w:rFonts w:ascii="Times New Roman" w:hAnsi="Times New Roman" w:eastAsia="宋体" w:cs="Times New Roman"/>
      <w:kern w:val="0"/>
      <w:sz w:val="20"/>
      <w:szCs w:val="20"/>
    </w:rPr>
  </w:style>
  <w:style w:type="character" w:customStyle="1" w:styleId="48">
    <w:name w:val="标题 3 Char"/>
    <w:basedOn w:val="35"/>
    <w:link w:val="4"/>
    <w:autoRedefine/>
    <w:qFormat/>
    <w:uiPriority w:val="0"/>
    <w:rPr>
      <w:rFonts w:ascii="Times New Roman" w:hAnsi="Times New Roman" w:eastAsia="宋体" w:cs="Times New Roman"/>
      <w:b/>
      <w:sz w:val="24"/>
      <w:szCs w:val="20"/>
    </w:rPr>
  </w:style>
  <w:style w:type="character" w:customStyle="1" w:styleId="49">
    <w:name w:val="标题 4 Char"/>
    <w:basedOn w:val="35"/>
    <w:link w:val="6"/>
    <w:autoRedefine/>
    <w:qFormat/>
    <w:uiPriority w:val="0"/>
    <w:rPr>
      <w:rFonts w:ascii="Arial" w:hAnsi="Arial" w:eastAsia="宋体" w:cs="Times New Roman"/>
      <w:sz w:val="24"/>
      <w:szCs w:val="20"/>
    </w:rPr>
  </w:style>
  <w:style w:type="character" w:customStyle="1" w:styleId="50">
    <w:name w:val="标题 8 Char"/>
    <w:basedOn w:val="35"/>
    <w:link w:val="7"/>
    <w:autoRedefine/>
    <w:qFormat/>
    <w:uiPriority w:val="0"/>
    <w:rPr>
      <w:rFonts w:ascii="Arial" w:hAnsi="Arial" w:eastAsia="黑体" w:cs="Times New Roman"/>
      <w:sz w:val="24"/>
      <w:szCs w:val="24"/>
    </w:rPr>
  </w:style>
  <w:style w:type="character" w:customStyle="1" w:styleId="51">
    <w:name w:val="标题 9 Char"/>
    <w:basedOn w:val="35"/>
    <w:link w:val="8"/>
    <w:autoRedefine/>
    <w:qFormat/>
    <w:uiPriority w:val="0"/>
    <w:rPr>
      <w:rFonts w:ascii="Cambria" w:hAnsi="Cambria" w:eastAsia="宋体" w:cs="Times New Roman"/>
      <w:szCs w:val="21"/>
    </w:rPr>
  </w:style>
  <w:style w:type="character" w:customStyle="1" w:styleId="52">
    <w:name w:val="正文文本缩进 Char"/>
    <w:basedOn w:val="35"/>
    <w:link w:val="12"/>
    <w:autoRedefine/>
    <w:semiHidden/>
    <w:qFormat/>
    <w:uiPriority w:val="99"/>
    <w:rPr>
      <w:rFonts w:ascii="Times New Roman" w:hAnsi="Times New Roman" w:eastAsia="宋体" w:cs="Times New Roman"/>
      <w:szCs w:val="20"/>
    </w:rPr>
  </w:style>
  <w:style w:type="character" w:customStyle="1" w:styleId="53">
    <w:name w:val="正文首行缩进 2 Char"/>
    <w:basedOn w:val="52"/>
    <w:link w:val="32"/>
    <w:autoRedefine/>
    <w:qFormat/>
    <w:uiPriority w:val="0"/>
    <w:rPr>
      <w:rFonts w:ascii="宋体" w:hAnsi="宋体" w:eastAsia="宋体" w:cs="Times New Roman"/>
      <w:spacing w:val="-20"/>
      <w:kern w:val="21"/>
      <w:sz w:val="28"/>
      <w:szCs w:val="20"/>
    </w:rPr>
  </w:style>
  <w:style w:type="character" w:customStyle="1" w:styleId="54">
    <w:name w:val="文档结构图 Char"/>
    <w:basedOn w:val="35"/>
    <w:link w:val="9"/>
    <w:autoRedefine/>
    <w:qFormat/>
    <w:uiPriority w:val="0"/>
    <w:rPr>
      <w:rFonts w:ascii="Times New Roman" w:hAnsi="Times New Roman" w:eastAsia="宋体" w:cs="Times New Roman"/>
      <w:szCs w:val="20"/>
      <w:shd w:val="clear" w:color="auto" w:fill="000080"/>
    </w:rPr>
  </w:style>
  <w:style w:type="character" w:customStyle="1" w:styleId="55">
    <w:name w:val="批注文字 Char"/>
    <w:basedOn w:val="35"/>
    <w:link w:val="10"/>
    <w:autoRedefine/>
    <w:qFormat/>
    <w:uiPriority w:val="0"/>
    <w:rPr>
      <w:rFonts w:ascii="Times New Roman" w:hAnsi="Times New Roman" w:eastAsia="宋体" w:cs="Times New Roman"/>
      <w:szCs w:val="20"/>
    </w:rPr>
  </w:style>
  <w:style w:type="character" w:customStyle="1" w:styleId="56">
    <w:name w:val="正文文本 Char"/>
    <w:basedOn w:val="35"/>
    <w:link w:val="11"/>
    <w:autoRedefine/>
    <w:qFormat/>
    <w:uiPriority w:val="0"/>
    <w:rPr>
      <w:rFonts w:ascii="Times New Roman" w:hAnsi="Times New Roman" w:eastAsia="宋体" w:cs="Times New Roman"/>
      <w:szCs w:val="20"/>
    </w:rPr>
  </w:style>
  <w:style w:type="character" w:customStyle="1" w:styleId="57">
    <w:name w:val="纯文本 Char"/>
    <w:basedOn w:val="35"/>
    <w:link w:val="15"/>
    <w:autoRedefine/>
    <w:qFormat/>
    <w:uiPriority w:val="0"/>
    <w:rPr>
      <w:rFonts w:ascii="Times New Roman" w:hAnsi="Courier New" w:eastAsia="宋体" w:cs="Times New Roman"/>
      <w:szCs w:val="20"/>
    </w:rPr>
  </w:style>
  <w:style w:type="character" w:customStyle="1" w:styleId="58">
    <w:name w:val="日期 Char"/>
    <w:basedOn w:val="35"/>
    <w:link w:val="16"/>
    <w:autoRedefine/>
    <w:qFormat/>
    <w:uiPriority w:val="0"/>
    <w:rPr>
      <w:rFonts w:ascii="Times New Roman" w:hAnsi="Times New Roman" w:eastAsia="宋体" w:cs="Times New Roman"/>
      <w:szCs w:val="20"/>
    </w:rPr>
  </w:style>
  <w:style w:type="character" w:customStyle="1" w:styleId="59">
    <w:name w:val="正文文本缩进 2 Char"/>
    <w:basedOn w:val="35"/>
    <w:link w:val="17"/>
    <w:autoRedefine/>
    <w:qFormat/>
    <w:uiPriority w:val="0"/>
    <w:rPr>
      <w:rFonts w:ascii="宋体" w:hAnsi="Times New Roman" w:eastAsia="宋体" w:cs="Times New Roman"/>
      <w:szCs w:val="20"/>
    </w:rPr>
  </w:style>
  <w:style w:type="character" w:customStyle="1" w:styleId="60">
    <w:name w:val="尾注文本 Char"/>
    <w:basedOn w:val="35"/>
    <w:link w:val="18"/>
    <w:autoRedefine/>
    <w:qFormat/>
    <w:uiPriority w:val="0"/>
    <w:rPr>
      <w:rFonts w:ascii="Times New Roman" w:hAnsi="Times New Roman" w:eastAsia="宋体" w:cs="Times New Roman"/>
      <w:szCs w:val="20"/>
    </w:rPr>
  </w:style>
  <w:style w:type="character" w:customStyle="1" w:styleId="61">
    <w:name w:val="批注框文本 Char"/>
    <w:basedOn w:val="35"/>
    <w:link w:val="19"/>
    <w:autoRedefine/>
    <w:qFormat/>
    <w:uiPriority w:val="0"/>
    <w:rPr>
      <w:rFonts w:ascii="Times New Roman" w:hAnsi="Times New Roman" w:eastAsia="宋体" w:cs="Times New Roman"/>
      <w:sz w:val="18"/>
      <w:szCs w:val="18"/>
    </w:rPr>
  </w:style>
  <w:style w:type="character" w:customStyle="1" w:styleId="62">
    <w:name w:val="正文文本 2 Char"/>
    <w:basedOn w:val="35"/>
    <w:link w:val="26"/>
    <w:autoRedefine/>
    <w:qFormat/>
    <w:uiPriority w:val="0"/>
    <w:rPr>
      <w:rFonts w:ascii="宋体" w:hAnsi="Times New Roman" w:eastAsia="宋体" w:cs="Times New Roman"/>
      <w:sz w:val="24"/>
      <w:szCs w:val="20"/>
    </w:rPr>
  </w:style>
  <w:style w:type="character" w:customStyle="1" w:styleId="63">
    <w:name w:val="HTML 预设格式 Char"/>
    <w:basedOn w:val="35"/>
    <w:link w:val="27"/>
    <w:autoRedefine/>
    <w:qFormat/>
    <w:uiPriority w:val="0"/>
    <w:rPr>
      <w:rFonts w:ascii="宋体" w:hAnsi="宋体" w:eastAsia="宋体" w:cs="Times New Roman"/>
      <w:kern w:val="0"/>
      <w:sz w:val="24"/>
      <w:szCs w:val="24"/>
    </w:rPr>
  </w:style>
  <w:style w:type="character" w:customStyle="1" w:styleId="64">
    <w:name w:val="标题 Char"/>
    <w:basedOn w:val="35"/>
    <w:link w:val="29"/>
    <w:autoRedefine/>
    <w:qFormat/>
    <w:uiPriority w:val="10"/>
    <w:rPr>
      <w:rFonts w:ascii="Cambria" w:hAnsi="Cambria" w:eastAsia="宋体" w:cs="Times New Roman"/>
      <w:b/>
      <w:bCs/>
      <w:sz w:val="32"/>
      <w:szCs w:val="32"/>
    </w:rPr>
  </w:style>
  <w:style w:type="character" w:customStyle="1" w:styleId="65">
    <w:name w:val="批注主题 Char"/>
    <w:basedOn w:val="55"/>
    <w:link w:val="30"/>
    <w:autoRedefine/>
    <w:qFormat/>
    <w:uiPriority w:val="0"/>
    <w:rPr>
      <w:rFonts w:ascii="Times New Roman" w:hAnsi="Times New Roman" w:eastAsia="宋体" w:cs="Times New Roman"/>
      <w:b/>
      <w:bCs/>
      <w:szCs w:val="20"/>
    </w:rPr>
  </w:style>
  <w:style w:type="character" w:customStyle="1" w:styleId="66">
    <w:name w:val="正文首行缩进 Char"/>
    <w:basedOn w:val="56"/>
    <w:link w:val="31"/>
    <w:autoRedefine/>
    <w:qFormat/>
    <w:uiPriority w:val="0"/>
    <w:rPr>
      <w:rFonts w:ascii="Calibri" w:hAnsi="Calibri" w:eastAsia="宋体" w:cs="Times New Roman"/>
      <w:szCs w:val="20"/>
    </w:rPr>
  </w:style>
  <w:style w:type="character" w:customStyle="1" w:styleId="67">
    <w:name w:val="标题 2 字符"/>
    <w:autoRedefine/>
    <w:qFormat/>
    <w:uiPriority w:val="0"/>
    <w:rPr>
      <w:kern w:val="0"/>
    </w:rPr>
  </w:style>
  <w:style w:type="paragraph" w:customStyle="1" w:styleId="68">
    <w:name w:val="章标题"/>
    <w:next w:val="1"/>
    <w:autoRedefine/>
    <w:qFormat/>
    <w:uiPriority w:val="0"/>
    <w:pPr>
      <w:spacing w:before="50" w:after="50"/>
      <w:jc w:val="both"/>
      <w:outlineLvl w:val="1"/>
    </w:pPr>
    <w:rPr>
      <w:rFonts w:ascii="黑体" w:hAnsi="Calibri" w:eastAsia="黑体" w:cs="Times New Roman"/>
      <w:kern w:val="0"/>
      <w:sz w:val="21"/>
      <w:szCs w:val="20"/>
      <w:lang w:val="en-US" w:eastAsia="zh-CN" w:bidi="ar-SA"/>
    </w:rPr>
  </w:style>
  <w:style w:type="character" w:customStyle="1" w:styleId="69">
    <w:name w:val="NormalCharacter"/>
    <w:autoRedefine/>
    <w:semiHidden/>
    <w:qFormat/>
    <w:uiPriority w:val="0"/>
    <w:rPr>
      <w:kern w:val="2"/>
      <w:sz w:val="21"/>
      <w:lang w:val="en-US" w:eastAsia="zh-CN" w:bidi="ar-SA"/>
    </w:rPr>
  </w:style>
  <w:style w:type="paragraph" w:customStyle="1" w:styleId="70">
    <w:name w:val="正文正"/>
    <w:basedOn w:val="71"/>
    <w:autoRedefine/>
    <w:qFormat/>
    <w:uiPriority w:val="99"/>
    <w:pPr>
      <w:spacing w:line="560" w:lineRule="exact"/>
      <w:ind w:firstLine="561"/>
    </w:pPr>
    <w:rPr>
      <w:rFonts w:ascii="Calibri" w:hAnsi="Calibri" w:cs="Calibri"/>
      <w:sz w:val="28"/>
      <w:szCs w:val="28"/>
    </w:rPr>
  </w:style>
  <w:style w:type="paragraph" w:customStyle="1" w:styleId="71">
    <w:name w:val="正文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72">
    <w:name w:val="正文格式"/>
    <w:basedOn w:val="1"/>
    <w:autoRedefine/>
    <w:qFormat/>
    <w:uiPriority w:val="0"/>
    <w:pPr>
      <w:topLinePunct/>
      <w:ind w:firstLine="420" w:firstLineChars="200"/>
    </w:pPr>
    <w:rPr>
      <w:rFonts w:ascii="宋体" w:hAnsi="宋体"/>
      <w:bCs/>
      <w:szCs w:val="21"/>
    </w:rPr>
  </w:style>
  <w:style w:type="character" w:customStyle="1" w:styleId="73">
    <w:name w:val="页码 New New New New New New"/>
    <w:autoRedefine/>
    <w:qFormat/>
    <w:uiPriority w:val="0"/>
  </w:style>
  <w:style w:type="character" w:customStyle="1" w:styleId="74">
    <w:name w:val="fontstyle01"/>
    <w:autoRedefine/>
    <w:qFormat/>
    <w:uiPriority w:val="99"/>
    <w:rPr>
      <w:rFonts w:ascii="宋体" w:hAnsi="宋体" w:eastAsia="宋体" w:cs="Times New Roman"/>
      <w:color w:val="000000"/>
      <w:sz w:val="22"/>
      <w:szCs w:val="22"/>
    </w:rPr>
  </w:style>
  <w:style w:type="character" w:customStyle="1" w:styleId="75">
    <w:name w:val="页码 New"/>
    <w:autoRedefine/>
    <w:qFormat/>
    <w:uiPriority w:val="0"/>
  </w:style>
  <w:style w:type="character" w:customStyle="1" w:styleId="76">
    <w:name w:val="font41"/>
    <w:autoRedefine/>
    <w:qFormat/>
    <w:uiPriority w:val="0"/>
    <w:rPr>
      <w:rFonts w:hint="eastAsia" w:ascii="宋体" w:hAnsi="宋体" w:eastAsia="宋体" w:cs="宋体"/>
      <w:color w:val="000000"/>
      <w:sz w:val="24"/>
      <w:szCs w:val="24"/>
      <w:u w:val="none"/>
    </w:rPr>
  </w:style>
  <w:style w:type="character" w:customStyle="1" w:styleId="77">
    <w:name w:val="超链接 New New"/>
    <w:autoRedefine/>
    <w:qFormat/>
    <w:uiPriority w:val="0"/>
    <w:rPr>
      <w:color w:val="000000"/>
      <w:sz w:val="18"/>
      <w:szCs w:val="18"/>
      <w:u w:val="none"/>
    </w:rPr>
  </w:style>
  <w:style w:type="character" w:customStyle="1" w:styleId="78">
    <w:name w:val="标题 2 New New Char Char"/>
    <w:link w:val="79"/>
    <w:autoRedefine/>
    <w:qFormat/>
    <w:uiPriority w:val="0"/>
    <w:rPr>
      <w:rFonts w:ascii="Times New Roman" w:hAnsi="Times New Roman" w:eastAsia="宋体"/>
      <w:kern w:val="0"/>
      <w:sz w:val="24"/>
    </w:rPr>
  </w:style>
  <w:style w:type="paragraph" w:customStyle="1" w:styleId="79">
    <w:name w:val="1111111"/>
    <w:basedOn w:val="80"/>
    <w:next w:val="80"/>
    <w:link w:val="78"/>
    <w:autoRedefine/>
    <w:qFormat/>
    <w:uiPriority w:val="0"/>
    <w:pPr>
      <w:autoSpaceDE w:val="0"/>
      <w:autoSpaceDN w:val="0"/>
      <w:adjustRightInd w:val="0"/>
      <w:jc w:val="left"/>
      <w:outlineLvl w:val="1"/>
    </w:pPr>
    <w:rPr>
      <w:rFonts w:ascii="Times New Roman" w:cstheme="minorBidi"/>
      <w:kern w:val="0"/>
      <w:szCs w:val="22"/>
    </w:rPr>
  </w:style>
  <w:style w:type="paragraph" w:customStyle="1" w:styleId="80">
    <w:name w:val="正文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character" w:customStyle="1" w:styleId="81">
    <w:name w:val="font11"/>
    <w:autoRedefine/>
    <w:qFormat/>
    <w:uiPriority w:val="0"/>
    <w:rPr>
      <w:rFonts w:ascii="����" w:hAnsi="����" w:eastAsia="����" w:cs="����"/>
      <w:color w:val="000000"/>
      <w:sz w:val="24"/>
      <w:szCs w:val="24"/>
      <w:u w:val="none"/>
    </w:rPr>
  </w:style>
  <w:style w:type="character" w:customStyle="1" w:styleId="82">
    <w:name w:val="页码 New New New New New New New New New"/>
    <w:autoRedefine/>
    <w:qFormat/>
    <w:uiPriority w:val="0"/>
  </w:style>
  <w:style w:type="character" w:customStyle="1" w:styleId="83">
    <w:name w:val="页码 New New"/>
    <w:autoRedefine/>
    <w:qFormat/>
    <w:uiPriority w:val="0"/>
  </w:style>
  <w:style w:type="character" w:customStyle="1" w:styleId="84">
    <w:name w:val="页码 New New New New New New New"/>
    <w:autoRedefine/>
    <w:qFormat/>
    <w:uiPriority w:val="0"/>
  </w:style>
  <w:style w:type="character" w:customStyle="1" w:styleId="85">
    <w:name w:val="页码 New New New New New New New New New New"/>
    <w:autoRedefine/>
    <w:qFormat/>
    <w:uiPriority w:val="0"/>
  </w:style>
  <w:style w:type="character" w:customStyle="1" w:styleId="86">
    <w:name w:val="页码 New New New New New New New New"/>
    <w:autoRedefine/>
    <w:qFormat/>
    <w:uiPriority w:val="0"/>
  </w:style>
  <w:style w:type="character" w:customStyle="1" w:styleId="87">
    <w:name w:val="页码 New New New"/>
    <w:autoRedefine/>
    <w:qFormat/>
    <w:uiPriority w:val="0"/>
  </w:style>
  <w:style w:type="character" w:customStyle="1" w:styleId="88">
    <w:name w:val="页码 New New New New New New New New New New New"/>
    <w:autoRedefine/>
    <w:qFormat/>
    <w:uiPriority w:val="0"/>
  </w:style>
  <w:style w:type="character" w:customStyle="1" w:styleId="89">
    <w:name w:val="页码 New New New New New New New New New New New New"/>
    <w:autoRedefine/>
    <w:qFormat/>
    <w:uiPriority w:val="0"/>
  </w:style>
  <w:style w:type="character" w:customStyle="1" w:styleId="90">
    <w:name w:val="页码 New New New New New"/>
    <w:autoRedefine/>
    <w:qFormat/>
    <w:uiPriority w:val="0"/>
  </w:style>
  <w:style w:type="character" w:customStyle="1" w:styleId="91">
    <w:name w:val="页码 New New New New"/>
    <w:autoRedefine/>
    <w:qFormat/>
    <w:uiPriority w:val="0"/>
  </w:style>
  <w:style w:type="character" w:customStyle="1" w:styleId="92">
    <w:name w:val="font51"/>
    <w:autoRedefine/>
    <w:qFormat/>
    <w:uiPriority w:val="0"/>
    <w:rPr>
      <w:rFonts w:hint="eastAsia" w:ascii="宋体" w:hAnsi="宋体" w:eastAsia="宋体" w:cs="宋体"/>
      <w:color w:val="000000"/>
      <w:sz w:val="24"/>
      <w:szCs w:val="24"/>
      <w:u w:val="none"/>
    </w:rPr>
  </w:style>
  <w:style w:type="character" w:customStyle="1" w:styleId="93">
    <w:name w:val="hover35"/>
    <w:autoRedefine/>
    <w:qFormat/>
    <w:uiPriority w:val="0"/>
  </w:style>
  <w:style w:type="character" w:customStyle="1" w:styleId="94">
    <w:name w:val="font21"/>
    <w:autoRedefine/>
    <w:qFormat/>
    <w:uiPriority w:val="0"/>
    <w:rPr>
      <w:rFonts w:ascii="Calibri" w:hAnsi="Calibri" w:cs="Calibri"/>
      <w:color w:val="000000"/>
      <w:sz w:val="24"/>
      <w:szCs w:val="24"/>
      <w:u w:val="none"/>
    </w:rPr>
  </w:style>
  <w:style w:type="character" w:customStyle="1" w:styleId="95">
    <w:name w:val="超链接 New"/>
    <w:autoRedefine/>
    <w:qFormat/>
    <w:uiPriority w:val="0"/>
    <w:rPr>
      <w:color w:val="0000FF"/>
      <w:u w:val="single"/>
    </w:rPr>
  </w:style>
  <w:style w:type="character" w:customStyle="1" w:styleId="96">
    <w:name w:val="正文文本缩进 2 New Char Char"/>
    <w:link w:val="97"/>
    <w:autoRedefine/>
    <w:qFormat/>
    <w:uiPriority w:val="0"/>
    <w:rPr>
      <w:rFonts w:ascii="宋体"/>
    </w:rPr>
  </w:style>
  <w:style w:type="paragraph" w:customStyle="1" w:styleId="97">
    <w:name w:val="正文文本缩进 2 New"/>
    <w:basedOn w:val="80"/>
    <w:link w:val="96"/>
    <w:autoRedefine/>
    <w:qFormat/>
    <w:uiPriority w:val="0"/>
    <w:pPr>
      <w:spacing w:line="480" w:lineRule="auto"/>
      <w:ind w:firstLine="561"/>
    </w:pPr>
    <w:rPr>
      <w:rFonts w:hAnsiTheme="minorHAnsi" w:eastAsiaTheme="minorEastAsia" w:cstheme="minorBidi"/>
      <w:sz w:val="21"/>
      <w:szCs w:val="22"/>
    </w:rPr>
  </w:style>
  <w:style w:type="paragraph" w:customStyle="1" w:styleId="98">
    <w:name w:val="正文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99">
    <w:name w:val="正文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00">
    <w:name w:val="正文缩进 New New New New"/>
    <w:basedOn w:val="101"/>
    <w:autoRedefine/>
    <w:qFormat/>
    <w:uiPriority w:val="0"/>
    <w:pPr>
      <w:widowControl/>
      <w:ind w:firstLine="420"/>
      <w:jc w:val="left"/>
    </w:pPr>
  </w:style>
  <w:style w:type="paragraph" w:customStyle="1" w:styleId="101">
    <w:name w:val="正文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02">
    <w:name w:val="文档结构图 New New"/>
    <w:basedOn w:val="103"/>
    <w:autoRedefine/>
    <w:qFormat/>
    <w:uiPriority w:val="0"/>
    <w:pPr>
      <w:shd w:val="clear" w:color="auto" w:fill="000080"/>
    </w:pPr>
  </w:style>
  <w:style w:type="paragraph" w:customStyle="1" w:styleId="103">
    <w:name w:val="正文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04">
    <w:name w:val="文档结构图 New"/>
    <w:basedOn w:val="80"/>
    <w:autoRedefine/>
    <w:qFormat/>
    <w:uiPriority w:val="0"/>
    <w:pPr>
      <w:shd w:val="clear" w:color="auto" w:fill="000080"/>
    </w:pPr>
  </w:style>
  <w:style w:type="paragraph" w:customStyle="1" w:styleId="105">
    <w:name w:val="TOC 标题1"/>
    <w:basedOn w:val="2"/>
    <w:next w:val="1"/>
    <w:autoRedefine/>
    <w:qFormat/>
    <w:uiPriority w:val="0"/>
    <w:pPr>
      <w:widowControl/>
      <w:spacing w:before="480" w:line="276" w:lineRule="auto"/>
      <w:outlineLvl w:val="9"/>
    </w:pPr>
    <w:rPr>
      <w:rFonts w:ascii="Cambria" w:hAnsi="Cambria"/>
      <w:color w:val="366091"/>
      <w:sz w:val="28"/>
      <w:szCs w:val="28"/>
    </w:rPr>
  </w:style>
  <w:style w:type="paragraph" w:customStyle="1" w:styleId="106">
    <w:name w:val="页脚 New New New New New New New New New"/>
    <w:basedOn w:val="99"/>
    <w:autoRedefine/>
    <w:qFormat/>
    <w:uiPriority w:val="0"/>
    <w:pPr>
      <w:widowControl/>
      <w:tabs>
        <w:tab w:val="center" w:pos="4153"/>
        <w:tab w:val="right" w:pos="8306"/>
      </w:tabs>
      <w:snapToGrid w:val="0"/>
      <w:jc w:val="left"/>
    </w:pPr>
    <w:rPr>
      <w:sz w:val="18"/>
    </w:rPr>
  </w:style>
  <w:style w:type="paragraph" w:customStyle="1" w:styleId="107">
    <w:name w:val="样式 样式 四号 首行缩进:  0 厘米 + 首行缩进:  2 字符"/>
    <w:basedOn w:val="1"/>
    <w:autoRedefine/>
    <w:qFormat/>
    <w:uiPriority w:val="0"/>
    <w:pPr>
      <w:spacing w:before="120" w:line="360" w:lineRule="auto"/>
      <w:ind w:firstLine="566" w:firstLineChars="236"/>
    </w:pPr>
    <w:rPr>
      <w:kern w:val="24"/>
      <w:szCs w:val="21"/>
    </w:rPr>
  </w:style>
  <w:style w:type="paragraph" w:customStyle="1" w:styleId="108">
    <w:name w:val="目录 1 New"/>
    <w:basedOn w:val="80"/>
    <w:next w:val="80"/>
    <w:autoRedefine/>
    <w:qFormat/>
    <w:uiPriority w:val="0"/>
    <w:pPr>
      <w:spacing w:before="120" w:after="120"/>
      <w:jc w:val="left"/>
    </w:pPr>
    <w:rPr>
      <w:caps/>
    </w:rPr>
  </w:style>
  <w:style w:type="paragraph" w:customStyle="1" w:styleId="109">
    <w:name w:val="正文 New New New New New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110">
    <w:name w:val="页脚 New New"/>
    <w:basedOn w:val="1"/>
    <w:autoRedefine/>
    <w:qFormat/>
    <w:uiPriority w:val="0"/>
    <w:pPr>
      <w:widowControl/>
      <w:tabs>
        <w:tab w:val="center" w:pos="4153"/>
        <w:tab w:val="right" w:pos="8306"/>
      </w:tabs>
      <w:snapToGrid w:val="0"/>
      <w:jc w:val="left"/>
    </w:pPr>
    <w:rPr>
      <w:rFonts w:ascii="宋体"/>
      <w:sz w:val="18"/>
    </w:rPr>
  </w:style>
  <w:style w:type="paragraph" w:customStyle="1" w:styleId="111">
    <w:name w:val="页脚 New New New New New New New New New New New"/>
    <w:basedOn w:val="112"/>
    <w:autoRedefine/>
    <w:qFormat/>
    <w:uiPriority w:val="0"/>
    <w:pPr>
      <w:widowControl/>
      <w:tabs>
        <w:tab w:val="center" w:pos="4153"/>
        <w:tab w:val="right" w:pos="8306"/>
      </w:tabs>
      <w:snapToGrid w:val="0"/>
      <w:jc w:val="left"/>
    </w:pPr>
    <w:rPr>
      <w:sz w:val="18"/>
    </w:rPr>
  </w:style>
  <w:style w:type="paragraph" w:customStyle="1" w:styleId="112">
    <w:name w:val="正文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13">
    <w:name w:val="文档结构图 New New New New"/>
    <w:basedOn w:val="114"/>
    <w:autoRedefine/>
    <w:qFormat/>
    <w:uiPriority w:val="0"/>
    <w:pPr>
      <w:shd w:val="clear" w:color="auto" w:fill="000080"/>
    </w:pPr>
  </w:style>
  <w:style w:type="paragraph" w:customStyle="1" w:styleId="114">
    <w:name w:val="正文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15">
    <w:name w:val="标题 3 New"/>
    <w:basedOn w:val="116"/>
    <w:next w:val="116"/>
    <w:autoRedefine/>
    <w:qFormat/>
    <w:uiPriority w:val="0"/>
    <w:pPr>
      <w:keepNext/>
      <w:keepLines/>
      <w:spacing w:before="120" w:after="120"/>
      <w:jc w:val="center"/>
      <w:outlineLvl w:val="2"/>
    </w:pPr>
    <w:rPr>
      <w:sz w:val="24"/>
    </w:rPr>
  </w:style>
  <w:style w:type="paragraph" w:customStyle="1" w:styleId="116">
    <w:name w:val="正文缩进 New"/>
    <w:basedOn w:val="117"/>
    <w:autoRedefine/>
    <w:qFormat/>
    <w:uiPriority w:val="0"/>
    <w:pPr>
      <w:widowControl/>
      <w:ind w:firstLine="420"/>
      <w:jc w:val="left"/>
    </w:pPr>
    <w:rPr>
      <w:kern w:val="0"/>
      <w:sz w:val="20"/>
    </w:rPr>
  </w:style>
  <w:style w:type="paragraph" w:customStyle="1" w:styleId="117">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118">
    <w:name w:val="正文文本缩进 3 New"/>
    <w:basedOn w:val="80"/>
    <w:autoRedefine/>
    <w:qFormat/>
    <w:uiPriority w:val="0"/>
    <w:pPr>
      <w:ind w:firstLine="560"/>
    </w:pPr>
    <w:rPr>
      <w:color w:val="FF0000"/>
    </w:rPr>
  </w:style>
  <w:style w:type="paragraph" w:customStyle="1" w:styleId="119">
    <w:name w:val="正文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0">
    <w:name w:val="正文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21">
    <w:name w:val="文档结构图 New New New"/>
    <w:basedOn w:val="98"/>
    <w:autoRedefine/>
    <w:qFormat/>
    <w:uiPriority w:val="0"/>
    <w:pPr>
      <w:shd w:val="clear" w:color="auto" w:fill="000080"/>
    </w:pPr>
  </w:style>
  <w:style w:type="paragraph" w:customStyle="1" w:styleId="122">
    <w:name w:val="正文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3">
    <w:name w:val="正文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4">
    <w:name w:val="页脚 New New New New New New New New New New New New New New New New New New New New"/>
    <w:basedOn w:val="114"/>
    <w:autoRedefine/>
    <w:qFormat/>
    <w:uiPriority w:val="0"/>
    <w:pPr>
      <w:widowControl/>
      <w:tabs>
        <w:tab w:val="center" w:pos="4153"/>
        <w:tab w:val="right" w:pos="8306"/>
      </w:tabs>
      <w:snapToGrid w:val="0"/>
      <w:jc w:val="left"/>
    </w:pPr>
    <w:rPr>
      <w:kern w:val="0"/>
      <w:sz w:val="18"/>
    </w:rPr>
  </w:style>
  <w:style w:type="paragraph" w:customStyle="1" w:styleId="125">
    <w:name w:val="正文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6">
    <w:name w:val="正文文本 New"/>
    <w:basedOn w:val="80"/>
    <w:autoRedefine/>
    <w:qFormat/>
    <w:uiPriority w:val="0"/>
    <w:pPr>
      <w:spacing w:after="120"/>
    </w:pPr>
  </w:style>
  <w:style w:type="paragraph" w:customStyle="1" w:styleId="127">
    <w:name w:val="样式 WG标题2 + 行距: 固定值 18 磅"/>
    <w:basedOn w:val="1"/>
    <w:autoRedefine/>
    <w:qFormat/>
    <w:uiPriority w:val="0"/>
    <w:pPr>
      <w:autoSpaceDE w:val="0"/>
      <w:autoSpaceDN w:val="0"/>
      <w:adjustRightInd w:val="0"/>
      <w:spacing w:line="360" w:lineRule="exact"/>
      <w:textAlignment w:val="baseline"/>
      <w:outlineLvl w:val="1"/>
    </w:pPr>
    <w:rPr>
      <w:rFonts w:ascii="仿宋_GB2312" w:hAnsi="宋体" w:cs="宋体"/>
      <w:b/>
      <w:bCs/>
      <w:color w:val="000000"/>
      <w:kern w:val="20"/>
    </w:rPr>
  </w:style>
  <w:style w:type="paragraph" w:customStyle="1" w:styleId="128">
    <w:name w:val="正文缩进 New New"/>
    <w:basedOn w:val="71"/>
    <w:autoRedefine/>
    <w:qFormat/>
    <w:uiPriority w:val="0"/>
    <w:pPr>
      <w:widowControl/>
      <w:ind w:firstLine="420"/>
      <w:jc w:val="left"/>
    </w:pPr>
  </w:style>
  <w:style w:type="paragraph" w:customStyle="1" w:styleId="129">
    <w:name w:val="正文1"/>
    <w:autoRedefine/>
    <w:qFormat/>
    <w:uiPriority w:val="0"/>
    <w:pPr>
      <w:widowControl w:val="0"/>
      <w:spacing w:afterLines="50" w:line="360" w:lineRule="auto"/>
      <w:ind w:firstLine="200" w:firstLineChars="200"/>
      <w:jc w:val="both"/>
    </w:pPr>
    <w:rPr>
      <w:rFonts w:ascii="Times New Roman" w:hAnsi="Times New Roman" w:eastAsia="宋体" w:cs="Times New Roman"/>
      <w:kern w:val="0"/>
      <w:sz w:val="24"/>
      <w:szCs w:val="24"/>
      <w:lang w:val="en-US" w:eastAsia="zh-CN" w:bidi="ar-SA"/>
    </w:rPr>
  </w:style>
  <w:style w:type="paragraph" w:customStyle="1" w:styleId="130">
    <w:name w:val="正文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1">
    <w:name w:val="正文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2">
    <w:name w:val="正文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33">
    <w:name w:val="正文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4">
    <w:name w:val="页脚 New New New New"/>
    <w:basedOn w:val="1"/>
    <w:autoRedefine/>
    <w:qFormat/>
    <w:uiPriority w:val="0"/>
    <w:pPr>
      <w:widowControl/>
      <w:tabs>
        <w:tab w:val="center" w:pos="4153"/>
        <w:tab w:val="right" w:pos="8306"/>
      </w:tabs>
      <w:snapToGrid w:val="0"/>
      <w:jc w:val="left"/>
    </w:pPr>
    <w:rPr>
      <w:rFonts w:ascii="宋体"/>
      <w:sz w:val="18"/>
    </w:rPr>
  </w:style>
  <w:style w:type="paragraph" w:customStyle="1" w:styleId="135">
    <w:name w:val="Char Char2"/>
    <w:basedOn w:val="104"/>
    <w:autoRedefine/>
    <w:qFormat/>
    <w:uiPriority w:val="0"/>
    <w:pPr>
      <w:spacing w:line="240" w:lineRule="auto"/>
    </w:pPr>
  </w:style>
  <w:style w:type="paragraph" w:customStyle="1" w:styleId="136">
    <w:name w:val="页脚 New New New New New New New New New New New New New New New"/>
    <w:basedOn w:val="137"/>
    <w:autoRedefine/>
    <w:qFormat/>
    <w:uiPriority w:val="0"/>
    <w:pPr>
      <w:widowControl/>
      <w:tabs>
        <w:tab w:val="center" w:pos="4153"/>
        <w:tab w:val="right" w:pos="8306"/>
      </w:tabs>
      <w:snapToGrid w:val="0"/>
      <w:jc w:val="left"/>
    </w:pPr>
    <w:rPr>
      <w:sz w:val="18"/>
    </w:rPr>
  </w:style>
  <w:style w:type="paragraph" w:customStyle="1" w:styleId="137">
    <w:name w:val="正文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8">
    <w:name w:val="页脚 New New New New New New New New New New New New New New"/>
    <w:basedOn w:val="139"/>
    <w:autoRedefine/>
    <w:qFormat/>
    <w:uiPriority w:val="0"/>
    <w:pPr>
      <w:widowControl/>
      <w:tabs>
        <w:tab w:val="center" w:pos="4153"/>
        <w:tab w:val="right" w:pos="8306"/>
      </w:tabs>
      <w:snapToGrid w:val="0"/>
      <w:jc w:val="left"/>
    </w:pPr>
    <w:rPr>
      <w:sz w:val="18"/>
    </w:rPr>
  </w:style>
  <w:style w:type="paragraph" w:customStyle="1" w:styleId="139">
    <w:name w:val="正文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0">
    <w:name w:val="正文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41">
    <w:name w:val="页脚 New New New New New New New New New New New New New New New New New New New New New"/>
    <w:basedOn w:val="131"/>
    <w:autoRedefine/>
    <w:qFormat/>
    <w:uiPriority w:val="0"/>
    <w:pPr>
      <w:widowControl/>
      <w:tabs>
        <w:tab w:val="center" w:pos="4153"/>
        <w:tab w:val="right" w:pos="8306"/>
      </w:tabs>
      <w:snapToGrid w:val="0"/>
      <w:jc w:val="left"/>
    </w:pPr>
    <w:rPr>
      <w:kern w:val="0"/>
      <w:sz w:val="18"/>
    </w:rPr>
  </w:style>
  <w:style w:type="paragraph" w:customStyle="1" w:styleId="142">
    <w:name w:val="正文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3">
    <w:name w:val="正文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4">
    <w:name w:val="正文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5">
    <w:name w:val="正文缩进1"/>
    <w:basedOn w:val="1"/>
    <w:autoRedefine/>
    <w:qFormat/>
    <w:uiPriority w:val="0"/>
    <w:pPr>
      <w:widowControl/>
      <w:ind w:firstLine="420"/>
      <w:jc w:val="left"/>
    </w:pPr>
    <w:rPr>
      <w:kern w:val="0"/>
    </w:rPr>
  </w:style>
  <w:style w:type="paragraph" w:customStyle="1" w:styleId="146">
    <w:name w:val="Body text|221"/>
    <w:basedOn w:val="1"/>
    <w:autoRedefine/>
    <w:qFormat/>
    <w:uiPriority w:val="0"/>
    <w:pPr>
      <w:shd w:val="clear" w:color="auto" w:fill="FFFFFF"/>
      <w:spacing w:before="700" w:line="396" w:lineRule="exact"/>
      <w:ind w:hanging="860"/>
      <w:jc w:val="distribute"/>
    </w:pPr>
    <w:rPr>
      <w:rFonts w:ascii="PMingLiU" w:hAnsi="PMingLiU" w:eastAsia="PMingLiU" w:cs="PMingLiU"/>
      <w:sz w:val="20"/>
    </w:rPr>
  </w:style>
  <w:style w:type="paragraph" w:customStyle="1" w:styleId="147">
    <w:name w:val="正文文本 New New"/>
    <w:basedOn w:val="103"/>
    <w:autoRedefine/>
    <w:qFormat/>
    <w:uiPriority w:val="0"/>
    <w:pPr>
      <w:spacing w:after="120"/>
    </w:pPr>
  </w:style>
  <w:style w:type="paragraph" w:customStyle="1" w:styleId="148">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49">
    <w:name w:val="标题 2 New"/>
    <w:basedOn w:val="150"/>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customStyle="1" w:styleId="150">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列出段落3"/>
    <w:basedOn w:val="1"/>
    <w:autoRedefine/>
    <w:qFormat/>
    <w:uiPriority w:val="0"/>
    <w:pPr>
      <w:ind w:firstLine="420" w:firstLineChars="200"/>
    </w:pPr>
  </w:style>
  <w:style w:type="paragraph" w:customStyle="1" w:styleId="152">
    <w:name w:val="正文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53">
    <w:name w:val="正文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54">
    <w:name w:val="索引标题 New"/>
    <w:basedOn w:val="1"/>
    <w:next w:val="155"/>
    <w:autoRedefine/>
    <w:qFormat/>
    <w:uiPriority w:val="0"/>
  </w:style>
  <w:style w:type="paragraph" w:customStyle="1" w:styleId="155">
    <w:name w:val="索引 1 New"/>
    <w:basedOn w:val="1"/>
    <w:next w:val="1"/>
    <w:autoRedefine/>
    <w:qFormat/>
    <w:uiPriority w:val="0"/>
  </w:style>
  <w:style w:type="paragraph" w:customStyle="1" w:styleId="156">
    <w:name w:val="正文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57">
    <w:name w:val="正文文本缩进 New New New New New New New New New"/>
    <w:basedOn w:val="122"/>
    <w:autoRedefine/>
    <w:qFormat/>
    <w:uiPriority w:val="0"/>
    <w:pPr>
      <w:spacing w:after="120"/>
      <w:ind w:left="420" w:leftChars="200"/>
    </w:pPr>
    <w:rPr>
      <w:szCs w:val="24"/>
    </w:rPr>
  </w:style>
  <w:style w:type="paragraph" w:customStyle="1" w:styleId="158">
    <w:name w:val="页脚 New New New New New New"/>
    <w:basedOn w:val="153"/>
    <w:autoRedefine/>
    <w:qFormat/>
    <w:uiPriority w:val="0"/>
    <w:pPr>
      <w:widowControl/>
      <w:tabs>
        <w:tab w:val="center" w:pos="4153"/>
        <w:tab w:val="right" w:pos="8306"/>
      </w:tabs>
      <w:snapToGrid w:val="0"/>
      <w:jc w:val="left"/>
    </w:pPr>
    <w:rPr>
      <w:sz w:val="18"/>
    </w:rPr>
  </w:style>
  <w:style w:type="paragraph" w:customStyle="1" w:styleId="159">
    <w:name w:val="正文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0">
    <w:name w:val="正文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1">
    <w:name w:val="页脚 New New New New New New New New New New New New New New New New New New New"/>
    <w:basedOn w:val="162"/>
    <w:autoRedefine/>
    <w:qFormat/>
    <w:uiPriority w:val="0"/>
    <w:pPr>
      <w:tabs>
        <w:tab w:val="center" w:pos="4153"/>
        <w:tab w:val="right" w:pos="8306"/>
      </w:tabs>
      <w:snapToGrid w:val="0"/>
      <w:jc w:val="left"/>
    </w:pPr>
    <w:rPr>
      <w:sz w:val="18"/>
      <w:szCs w:val="18"/>
    </w:rPr>
  </w:style>
  <w:style w:type="paragraph" w:customStyle="1" w:styleId="162">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Bodoni MT" w:hAnsi="Bodoni MT" w:eastAsia="宋体" w:cs="Bodoni MT"/>
      <w:kern w:val="2"/>
      <w:sz w:val="21"/>
      <w:szCs w:val="24"/>
      <w:lang w:val="en-US" w:eastAsia="zh-CN" w:bidi="ar-SA"/>
    </w:rPr>
  </w:style>
  <w:style w:type="paragraph" w:customStyle="1" w:styleId="163">
    <w:name w:val="正文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4">
    <w:name w:val="页脚 New"/>
    <w:basedOn w:val="80"/>
    <w:autoRedefine/>
    <w:qFormat/>
    <w:uiPriority w:val="0"/>
    <w:pPr>
      <w:widowControl/>
      <w:tabs>
        <w:tab w:val="center" w:pos="4153"/>
        <w:tab w:val="right" w:pos="8306"/>
      </w:tabs>
      <w:snapToGrid w:val="0"/>
      <w:jc w:val="left"/>
    </w:pPr>
    <w:rPr>
      <w:kern w:val="0"/>
      <w:sz w:val="18"/>
    </w:rPr>
  </w:style>
  <w:style w:type="paragraph" w:customStyle="1" w:styleId="165">
    <w:name w:val="页脚 New New New New New New New New New New"/>
    <w:basedOn w:val="144"/>
    <w:autoRedefine/>
    <w:qFormat/>
    <w:uiPriority w:val="0"/>
    <w:pPr>
      <w:widowControl/>
      <w:tabs>
        <w:tab w:val="center" w:pos="4153"/>
        <w:tab w:val="right" w:pos="8306"/>
      </w:tabs>
      <w:snapToGrid w:val="0"/>
      <w:jc w:val="left"/>
    </w:pPr>
    <w:rPr>
      <w:sz w:val="18"/>
    </w:rPr>
  </w:style>
  <w:style w:type="paragraph" w:customStyle="1" w:styleId="166">
    <w:name w:val="正文缩进11"/>
    <w:basedOn w:val="1"/>
    <w:autoRedefine/>
    <w:qFormat/>
    <w:uiPriority w:val="0"/>
    <w:pPr>
      <w:widowControl/>
      <w:ind w:firstLine="420"/>
      <w:jc w:val="left"/>
    </w:pPr>
    <w:rPr>
      <w:kern w:val="0"/>
    </w:rPr>
  </w:style>
  <w:style w:type="paragraph" w:customStyle="1" w:styleId="167">
    <w:name w:val="正文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8">
    <w:name w:val="正文文本缩进 New"/>
    <w:basedOn w:val="117"/>
    <w:autoRedefine/>
    <w:qFormat/>
    <w:uiPriority w:val="0"/>
    <w:pPr>
      <w:ind w:firstLine="560" w:firstLineChars="200"/>
    </w:pPr>
    <w:rPr>
      <w:rFonts w:ascii="宋体"/>
      <w:sz w:val="24"/>
    </w:rPr>
  </w:style>
  <w:style w:type="paragraph" w:customStyle="1" w:styleId="169">
    <w:name w:val="页脚 New New New New New New New New New New New New New New New New New"/>
    <w:basedOn w:val="130"/>
    <w:autoRedefine/>
    <w:qFormat/>
    <w:uiPriority w:val="0"/>
    <w:pPr>
      <w:widowControl/>
      <w:tabs>
        <w:tab w:val="center" w:pos="4153"/>
        <w:tab w:val="right" w:pos="8306"/>
      </w:tabs>
      <w:snapToGrid w:val="0"/>
      <w:jc w:val="left"/>
    </w:pPr>
    <w:rPr>
      <w:kern w:val="0"/>
      <w:sz w:val="18"/>
    </w:rPr>
  </w:style>
  <w:style w:type="paragraph" w:customStyle="1" w:styleId="170">
    <w:name w:val="标题三"/>
    <w:basedOn w:val="3"/>
    <w:autoRedefine/>
    <w:qFormat/>
    <w:uiPriority w:val="0"/>
    <w:pPr>
      <w:spacing w:before="240" w:after="240" w:line="480" w:lineRule="exact"/>
    </w:pPr>
    <w:rPr>
      <w:rFonts w:cs="宋体"/>
      <w:sz w:val="28"/>
    </w:rPr>
  </w:style>
  <w:style w:type="paragraph" w:customStyle="1" w:styleId="171">
    <w:name w:val="正文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72">
    <w:name w:val="页脚 New New New New New New New New New New New New"/>
    <w:basedOn w:val="152"/>
    <w:autoRedefine/>
    <w:qFormat/>
    <w:uiPriority w:val="0"/>
    <w:pPr>
      <w:widowControl/>
      <w:tabs>
        <w:tab w:val="center" w:pos="4153"/>
        <w:tab w:val="right" w:pos="8306"/>
      </w:tabs>
      <w:snapToGrid w:val="0"/>
      <w:jc w:val="left"/>
    </w:pPr>
    <w:rPr>
      <w:sz w:val="18"/>
    </w:rPr>
  </w:style>
  <w:style w:type="paragraph" w:customStyle="1" w:styleId="173">
    <w:name w:val="页脚 New New New New New New New"/>
    <w:basedOn w:val="123"/>
    <w:autoRedefine/>
    <w:qFormat/>
    <w:uiPriority w:val="0"/>
    <w:pPr>
      <w:widowControl/>
      <w:tabs>
        <w:tab w:val="center" w:pos="4153"/>
        <w:tab w:val="right" w:pos="8306"/>
      </w:tabs>
      <w:snapToGrid w:val="0"/>
      <w:jc w:val="left"/>
    </w:pPr>
    <w:rPr>
      <w:sz w:val="18"/>
    </w:rPr>
  </w:style>
  <w:style w:type="paragraph" w:customStyle="1" w:styleId="174">
    <w:name w:val="正文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75">
    <w:name w:val="页脚 New New New"/>
    <w:basedOn w:val="1"/>
    <w:autoRedefine/>
    <w:qFormat/>
    <w:uiPriority w:val="0"/>
    <w:pPr>
      <w:widowControl/>
      <w:tabs>
        <w:tab w:val="center" w:pos="4153"/>
        <w:tab w:val="right" w:pos="8306"/>
      </w:tabs>
      <w:snapToGrid w:val="0"/>
      <w:jc w:val="left"/>
    </w:pPr>
    <w:rPr>
      <w:rFonts w:ascii="宋体"/>
      <w:sz w:val="18"/>
    </w:rPr>
  </w:style>
  <w:style w:type="paragraph" w:customStyle="1" w:styleId="176">
    <w:name w:val="正文文本缩进 New New New New New New New New"/>
    <w:basedOn w:val="159"/>
    <w:autoRedefine/>
    <w:qFormat/>
    <w:uiPriority w:val="0"/>
    <w:pPr>
      <w:spacing w:after="120"/>
      <w:ind w:left="420" w:leftChars="200"/>
    </w:pPr>
    <w:rPr>
      <w:szCs w:val="24"/>
    </w:rPr>
  </w:style>
  <w:style w:type="paragraph" w:customStyle="1" w:styleId="177">
    <w:name w:val="正文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78">
    <w:name w:val="标题 3 New New New"/>
    <w:basedOn w:val="116"/>
    <w:next w:val="116"/>
    <w:autoRedefine/>
    <w:qFormat/>
    <w:uiPriority w:val="0"/>
    <w:pPr>
      <w:keepNext/>
      <w:keepLines/>
      <w:spacing w:before="120" w:after="120"/>
      <w:jc w:val="center"/>
      <w:outlineLvl w:val="2"/>
    </w:pPr>
    <w:rPr>
      <w:sz w:val="24"/>
    </w:rPr>
  </w:style>
  <w:style w:type="paragraph" w:customStyle="1" w:styleId="179">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180">
    <w:name w:val="正文文本缩进 New New"/>
    <w:basedOn w:val="80"/>
    <w:autoRedefine/>
    <w:qFormat/>
    <w:uiPriority w:val="0"/>
    <w:pPr>
      <w:ind w:firstLine="560" w:firstLineChars="200"/>
    </w:pPr>
  </w:style>
  <w:style w:type="paragraph" w:customStyle="1" w:styleId="181">
    <w:name w:val="页眉 New"/>
    <w:basedOn w:val="150"/>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82">
    <w:name w:val="页脚 New New New New New New New New"/>
    <w:basedOn w:val="119"/>
    <w:autoRedefine/>
    <w:qFormat/>
    <w:uiPriority w:val="0"/>
    <w:pPr>
      <w:widowControl/>
      <w:tabs>
        <w:tab w:val="center" w:pos="4153"/>
        <w:tab w:val="right" w:pos="8306"/>
      </w:tabs>
      <w:snapToGrid w:val="0"/>
      <w:jc w:val="left"/>
    </w:pPr>
    <w:rPr>
      <w:sz w:val="18"/>
    </w:rPr>
  </w:style>
  <w:style w:type="paragraph" w:customStyle="1" w:styleId="183">
    <w:name w:val="正文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84">
    <w:name w:val="正文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85">
    <w:name w:val="标题 1 New"/>
    <w:basedOn w:val="80"/>
    <w:next w:val="80"/>
    <w:autoRedefine/>
    <w:qFormat/>
    <w:uiPriority w:val="0"/>
    <w:pPr>
      <w:autoSpaceDE w:val="0"/>
      <w:autoSpaceDN w:val="0"/>
      <w:adjustRightInd w:val="0"/>
      <w:jc w:val="left"/>
      <w:outlineLvl w:val="0"/>
    </w:pPr>
    <w:rPr>
      <w:kern w:val="0"/>
      <w:sz w:val="30"/>
    </w:rPr>
  </w:style>
  <w:style w:type="paragraph" w:customStyle="1" w:styleId="186">
    <w:name w:val="页眉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87">
    <w:name w:val="正文缩进 New New New"/>
    <w:basedOn w:val="142"/>
    <w:autoRedefine/>
    <w:qFormat/>
    <w:uiPriority w:val="0"/>
    <w:pPr>
      <w:widowControl/>
      <w:ind w:firstLine="420"/>
      <w:jc w:val="left"/>
    </w:pPr>
  </w:style>
  <w:style w:type="paragraph" w:customStyle="1" w:styleId="188">
    <w:name w:val="页眉 New New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89">
    <w:name w:val="页脚 New New New New New New New New New New New New New"/>
    <w:basedOn w:val="177"/>
    <w:autoRedefine/>
    <w:qFormat/>
    <w:uiPriority w:val="0"/>
    <w:pPr>
      <w:widowControl/>
      <w:tabs>
        <w:tab w:val="center" w:pos="4153"/>
        <w:tab w:val="right" w:pos="8306"/>
      </w:tabs>
      <w:snapToGrid w:val="0"/>
      <w:jc w:val="left"/>
    </w:pPr>
    <w:rPr>
      <w:sz w:val="18"/>
    </w:rPr>
  </w:style>
  <w:style w:type="paragraph" w:customStyle="1" w:styleId="190">
    <w:name w:val="正文文本缩进 New New New New"/>
    <w:basedOn w:val="174"/>
    <w:autoRedefine/>
    <w:qFormat/>
    <w:uiPriority w:val="0"/>
    <w:pPr>
      <w:ind w:firstLine="560" w:firstLineChars="200"/>
    </w:pPr>
    <w:rPr>
      <w:szCs w:val="28"/>
    </w:rPr>
  </w:style>
  <w:style w:type="paragraph" w:customStyle="1" w:styleId="191">
    <w:name w:val="标题 3 New New New New New"/>
    <w:basedOn w:val="187"/>
    <w:next w:val="187"/>
    <w:autoRedefine/>
    <w:qFormat/>
    <w:uiPriority w:val="0"/>
    <w:pPr>
      <w:keepNext/>
      <w:keepLines/>
      <w:spacing w:before="120" w:after="120"/>
      <w:jc w:val="center"/>
      <w:outlineLvl w:val="2"/>
    </w:pPr>
  </w:style>
  <w:style w:type="paragraph" w:customStyle="1" w:styleId="192">
    <w:name w:val="页脚 New New New New New New New New New New New New New New New New"/>
    <w:basedOn w:val="103"/>
    <w:autoRedefine/>
    <w:qFormat/>
    <w:uiPriority w:val="0"/>
    <w:pPr>
      <w:widowControl/>
      <w:tabs>
        <w:tab w:val="center" w:pos="4153"/>
        <w:tab w:val="right" w:pos="8306"/>
      </w:tabs>
      <w:snapToGrid w:val="0"/>
      <w:jc w:val="left"/>
    </w:pPr>
    <w:rPr>
      <w:kern w:val="0"/>
      <w:sz w:val="18"/>
    </w:rPr>
  </w:style>
  <w:style w:type="paragraph" w:customStyle="1" w:styleId="193">
    <w:name w:val="正文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94">
    <w:name w:val="文档结构图 New New New New New"/>
    <w:basedOn w:val="131"/>
    <w:autoRedefine/>
    <w:qFormat/>
    <w:uiPriority w:val="0"/>
    <w:pPr>
      <w:shd w:val="clear" w:color="auto" w:fill="000080"/>
    </w:pPr>
  </w:style>
  <w:style w:type="paragraph" w:customStyle="1" w:styleId="195">
    <w:name w:val="页眉 New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96">
    <w:name w:val="正文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97">
    <w:name w:val="图"/>
    <w:basedOn w:val="1"/>
    <w:autoRedefine/>
    <w:qFormat/>
    <w:uiPriority w:val="0"/>
    <w:pPr>
      <w:keepNext/>
      <w:adjustRightInd w:val="0"/>
      <w:spacing w:before="60" w:after="60" w:line="300" w:lineRule="auto"/>
      <w:jc w:val="center"/>
      <w:textAlignment w:val="center"/>
    </w:pPr>
    <w:rPr>
      <w:snapToGrid w:val="0"/>
      <w:spacing w:val="20"/>
      <w:kern w:val="0"/>
    </w:rPr>
  </w:style>
  <w:style w:type="paragraph" w:customStyle="1" w:styleId="198">
    <w:name w:val="标题 2 New New New"/>
    <w:basedOn w:val="143"/>
    <w:next w:val="143"/>
    <w:autoRedefine/>
    <w:qFormat/>
    <w:uiPriority w:val="0"/>
    <w:pPr>
      <w:autoSpaceDE w:val="0"/>
      <w:autoSpaceDN w:val="0"/>
      <w:adjustRightInd w:val="0"/>
      <w:jc w:val="left"/>
      <w:outlineLvl w:val="1"/>
    </w:pPr>
  </w:style>
  <w:style w:type="paragraph" w:customStyle="1" w:styleId="199">
    <w:name w:val="批注文字 New"/>
    <w:basedOn w:val="200"/>
    <w:autoRedefine/>
    <w:qFormat/>
    <w:uiPriority w:val="0"/>
    <w:pPr>
      <w:adjustRightInd w:val="0"/>
      <w:spacing w:line="360" w:lineRule="atLeast"/>
      <w:jc w:val="left"/>
      <w:textAlignment w:val="baseline"/>
    </w:pPr>
  </w:style>
  <w:style w:type="paragraph" w:customStyle="1" w:styleId="200">
    <w:name w:val="正文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201">
    <w:name w:val="页脚 New New New New New"/>
    <w:basedOn w:val="1"/>
    <w:autoRedefine/>
    <w:qFormat/>
    <w:uiPriority w:val="0"/>
    <w:pPr>
      <w:widowControl/>
      <w:tabs>
        <w:tab w:val="center" w:pos="4153"/>
        <w:tab w:val="right" w:pos="8306"/>
      </w:tabs>
      <w:snapToGrid w:val="0"/>
      <w:jc w:val="left"/>
    </w:pPr>
    <w:rPr>
      <w:rFonts w:ascii="宋体"/>
      <w:sz w:val="18"/>
    </w:rPr>
  </w:style>
  <w:style w:type="paragraph" w:customStyle="1" w:styleId="202">
    <w:name w:val="正文文本缩进 New New New New New New New"/>
    <w:basedOn w:val="163"/>
    <w:autoRedefine/>
    <w:qFormat/>
    <w:uiPriority w:val="0"/>
    <w:pPr>
      <w:spacing w:after="120"/>
      <w:ind w:left="420" w:leftChars="200"/>
    </w:pPr>
    <w:rPr>
      <w:szCs w:val="24"/>
    </w:rPr>
  </w:style>
  <w:style w:type="paragraph" w:customStyle="1" w:styleId="203">
    <w:name w:val="普通(网站) New"/>
    <w:basedOn w:val="148"/>
    <w:autoRedefine/>
    <w:qFormat/>
    <w:uiPriority w:val="0"/>
    <w:rPr>
      <w:sz w:val="24"/>
    </w:rPr>
  </w:style>
  <w:style w:type="paragraph" w:customStyle="1" w:styleId="204">
    <w:name w:val="Char"/>
    <w:basedOn w:val="1"/>
    <w:autoRedefine/>
    <w:qFormat/>
    <w:uiPriority w:val="0"/>
    <w:rPr>
      <w:rFonts w:ascii="Tahoma" w:hAnsi="Tahoma"/>
      <w:szCs w:val="24"/>
    </w:rPr>
  </w:style>
  <w:style w:type="paragraph" w:customStyle="1" w:styleId="205">
    <w:name w:val="正文 New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06">
    <w:name w:val="正文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07">
    <w:name w:val="正文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208">
    <w:name w:val="列出段落1"/>
    <w:basedOn w:val="1"/>
    <w:autoRedefine/>
    <w:qFormat/>
    <w:uiPriority w:val="0"/>
    <w:pPr>
      <w:adjustRightInd w:val="0"/>
      <w:snapToGrid w:val="0"/>
      <w:spacing w:line="312" w:lineRule="auto"/>
      <w:ind w:firstLine="420" w:firstLineChars="200"/>
    </w:pPr>
    <w:rPr>
      <w:sz w:val="20"/>
    </w:rPr>
  </w:style>
  <w:style w:type="paragraph" w:customStyle="1" w:styleId="209">
    <w:name w:val="目录 3 New"/>
    <w:basedOn w:val="80"/>
    <w:next w:val="80"/>
    <w:autoRedefine/>
    <w:qFormat/>
    <w:uiPriority w:val="0"/>
    <w:pPr>
      <w:ind w:left="561"/>
      <w:jc w:val="left"/>
    </w:pPr>
  </w:style>
  <w:style w:type="paragraph" w:customStyle="1" w:styleId="210">
    <w:name w:val="Normal Indent1"/>
    <w:basedOn w:val="1"/>
    <w:autoRedefine/>
    <w:qFormat/>
    <w:uiPriority w:val="0"/>
    <w:pPr>
      <w:widowControl/>
      <w:ind w:firstLine="420"/>
      <w:jc w:val="left"/>
    </w:pPr>
    <w:rPr>
      <w:kern w:val="0"/>
    </w:rPr>
  </w:style>
  <w:style w:type="paragraph" w:customStyle="1" w:styleId="211">
    <w:name w:val="标题 3 New New New New"/>
    <w:basedOn w:val="128"/>
    <w:next w:val="128"/>
    <w:autoRedefine/>
    <w:qFormat/>
    <w:uiPriority w:val="0"/>
    <w:pPr>
      <w:keepNext/>
      <w:keepLines/>
      <w:spacing w:before="120" w:after="120"/>
      <w:jc w:val="center"/>
      <w:outlineLvl w:val="2"/>
    </w:pPr>
  </w:style>
  <w:style w:type="paragraph" w:customStyle="1" w:styleId="212">
    <w:name w:val="目录 2 New"/>
    <w:basedOn w:val="80"/>
    <w:next w:val="80"/>
    <w:autoRedefine/>
    <w:qFormat/>
    <w:uiPriority w:val="0"/>
    <w:pPr>
      <w:ind w:left="278"/>
      <w:jc w:val="left"/>
    </w:pPr>
    <w:rPr>
      <w:smallCaps/>
    </w:rPr>
  </w:style>
  <w:style w:type="paragraph" w:customStyle="1" w:styleId="213">
    <w:name w:val="正文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214">
    <w:name w:val="标题 3 New New New New New New"/>
    <w:basedOn w:val="100"/>
    <w:next w:val="100"/>
    <w:autoRedefine/>
    <w:qFormat/>
    <w:uiPriority w:val="0"/>
    <w:pPr>
      <w:keepNext/>
      <w:keepLines/>
      <w:spacing w:before="120" w:after="120"/>
      <w:jc w:val="center"/>
      <w:outlineLvl w:val="2"/>
    </w:pPr>
  </w:style>
  <w:style w:type="paragraph" w:customStyle="1" w:styleId="215">
    <w:name w:val="标题 3 New New"/>
    <w:basedOn w:val="116"/>
    <w:next w:val="116"/>
    <w:autoRedefine/>
    <w:qFormat/>
    <w:uiPriority w:val="0"/>
    <w:pPr>
      <w:keepNext/>
      <w:keepLines/>
      <w:spacing w:before="120" w:after="120"/>
      <w:jc w:val="center"/>
      <w:outlineLvl w:val="2"/>
    </w:pPr>
    <w:rPr>
      <w:sz w:val="24"/>
    </w:rPr>
  </w:style>
  <w:style w:type="paragraph" w:customStyle="1" w:styleId="216">
    <w:name w:val="正文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17">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18">
    <w:name w:val="样式 WG标题3 + 行距: 固定值 18 磅"/>
    <w:basedOn w:val="1"/>
    <w:autoRedefine/>
    <w:qFormat/>
    <w:uiPriority w:val="0"/>
    <w:pPr>
      <w:autoSpaceDE w:val="0"/>
      <w:autoSpaceDN w:val="0"/>
      <w:adjustRightInd w:val="0"/>
      <w:spacing w:line="360" w:lineRule="exact"/>
      <w:textAlignment w:val="baseline"/>
      <w:outlineLvl w:val="2"/>
    </w:pPr>
    <w:rPr>
      <w:rFonts w:hAnsi="宋体" w:cs="宋体"/>
      <w:b/>
      <w:bCs/>
      <w:color w:val="000000"/>
      <w:kern w:val="20"/>
    </w:rPr>
  </w:style>
  <w:style w:type="paragraph" w:customStyle="1" w:styleId="219">
    <w:name w:val="页脚 New New New New New New New New New New New New New New New New New New"/>
    <w:basedOn w:val="98"/>
    <w:autoRedefine/>
    <w:qFormat/>
    <w:uiPriority w:val="0"/>
    <w:pPr>
      <w:widowControl/>
      <w:tabs>
        <w:tab w:val="center" w:pos="4153"/>
        <w:tab w:val="right" w:pos="8306"/>
      </w:tabs>
      <w:snapToGrid w:val="0"/>
      <w:jc w:val="left"/>
    </w:pPr>
    <w:rPr>
      <w:kern w:val="0"/>
      <w:sz w:val="18"/>
    </w:rPr>
  </w:style>
  <w:style w:type="paragraph" w:customStyle="1" w:styleId="220">
    <w:name w:val="正文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221">
    <w:name w:val="UserStyle_36"/>
    <w:autoRedefine/>
    <w:qFormat/>
    <w:uiPriority w:val="0"/>
    <w:pPr>
      <w:spacing w:line="360" w:lineRule="auto"/>
      <w:jc w:val="both"/>
      <w:textAlignment w:val="baseline"/>
    </w:pPr>
    <w:rPr>
      <w:rFonts w:ascii="宋体" w:hAnsi="Calibri" w:eastAsia="宋体" w:cs="Times New Roman"/>
      <w:kern w:val="2"/>
      <w:sz w:val="24"/>
      <w:szCs w:val="22"/>
      <w:lang w:val="en-US" w:eastAsia="zh-CN" w:bidi="ar-SA"/>
    </w:rPr>
  </w:style>
  <w:style w:type="paragraph" w:styleId="222">
    <w:name w:val="List Paragraph"/>
    <w:basedOn w:val="1"/>
    <w:autoRedefine/>
    <w:qFormat/>
    <w:uiPriority w:val="34"/>
    <w:pPr>
      <w:ind w:firstLine="420" w:firstLineChars="200"/>
    </w:pPr>
  </w:style>
  <w:style w:type="paragraph" w:customStyle="1" w:styleId="223">
    <w:name w:val="AnnotationText"/>
    <w:basedOn w:val="1"/>
    <w:autoRedefine/>
    <w:qFormat/>
    <w:uiPriority w:val="99"/>
    <w:pPr>
      <w:spacing w:line="360" w:lineRule="atLeast"/>
      <w:jc w:val="left"/>
    </w:pPr>
    <w:rPr>
      <w:kern w:val="0"/>
    </w:rPr>
  </w:style>
  <w:style w:type="character" w:customStyle="1" w:styleId="224">
    <w:name w:val="15"/>
    <w:autoRedefine/>
    <w:qFormat/>
    <w:uiPriority w:val="0"/>
    <w:rPr>
      <w:rFonts w:hint="default" w:ascii="Times New Roman" w:hAnsi="Times New Roman" w:cs="Times New Roman"/>
      <w:b/>
      <w:bCs/>
    </w:rPr>
  </w:style>
  <w:style w:type="paragraph" w:customStyle="1" w:styleId="225">
    <w:name w:val="Heading2"/>
    <w:basedOn w:val="1"/>
    <w:next w:val="1"/>
    <w:autoRedefine/>
    <w:qFormat/>
    <w:uiPriority w:val="99"/>
    <w:pPr>
      <w:jc w:val="left"/>
    </w:pPr>
    <w:rPr>
      <w:kern w:val="0"/>
    </w:rPr>
  </w:style>
  <w:style w:type="paragraph" w:customStyle="1" w:styleId="226">
    <w:name w:val="p0"/>
    <w:basedOn w:val="1"/>
    <w:autoRedefine/>
    <w:qFormat/>
    <w:uiPriority w:val="0"/>
    <w:pPr>
      <w:spacing w:line="360" w:lineRule="auto"/>
    </w:pPr>
    <w:rPr>
      <w:rFonts w:hAnsi="宋体" w:cs="宋体"/>
      <w:kern w:val="0"/>
      <w:szCs w:val="24"/>
    </w:rPr>
  </w:style>
  <w:style w:type="paragraph" w:customStyle="1" w:styleId="227">
    <w:name w:val="05-四级节标题"/>
    <w:basedOn w:val="1"/>
    <w:autoRedefine/>
    <w:qFormat/>
    <w:uiPriority w:val="0"/>
    <w:pPr>
      <w:numPr>
        <w:ilvl w:val="3"/>
        <w:numId w:val="1"/>
      </w:numPr>
      <w:adjustRightInd w:val="0"/>
      <w:snapToGrid w:val="0"/>
      <w:spacing w:line="360" w:lineRule="auto"/>
      <w:outlineLvl w:val="3"/>
    </w:pPr>
    <w:rPr>
      <w:rFonts w:ascii="华文细黑" w:hAnsi="宋体" w:cs="Arial"/>
      <w:b/>
      <w:color w:val="000000"/>
      <w:kern w:val="0"/>
      <w:szCs w:val="18"/>
    </w:rPr>
  </w:style>
  <w:style w:type="paragraph" w:customStyle="1" w:styleId="228">
    <w:name w:val="10-中文正文"/>
    <w:basedOn w:val="1"/>
    <w:autoRedefine/>
    <w:qFormat/>
    <w:uiPriority w:val="0"/>
    <w:pPr>
      <w:adjustRightInd w:val="0"/>
      <w:snapToGrid w:val="0"/>
      <w:spacing w:line="360" w:lineRule="auto"/>
      <w:ind w:firstLine="200" w:firstLineChars="200"/>
    </w:pPr>
    <w:rPr>
      <w:rFonts w:ascii="Calibri" w:hAnsi="Calibri"/>
      <w:szCs w:val="22"/>
    </w:rPr>
  </w:style>
  <w:style w:type="paragraph" w:customStyle="1" w:styleId="229">
    <w:name w:val="Revision"/>
    <w:autoRedefine/>
    <w:unhideWhenUsed/>
    <w:qFormat/>
    <w:uiPriority w:val="99"/>
    <w:rPr>
      <w:rFonts w:ascii="Times New Roman" w:hAnsi="Times New Roman" w:eastAsia="宋体" w:cs="Times New Roman"/>
      <w:kern w:val="2"/>
      <w:sz w:val="21"/>
      <w:szCs w:val="20"/>
      <w:lang w:val="en-US" w:eastAsia="zh-CN" w:bidi="ar-SA"/>
    </w:rPr>
  </w:style>
  <w:style w:type="paragraph" w:customStyle="1" w:styleId="230">
    <w:name w:val="WPSOffice手动目录 1"/>
    <w:autoRedefine/>
    <w:qFormat/>
    <w:uiPriority w:val="0"/>
    <w:rPr>
      <w:rFonts w:ascii="Times New Roman" w:hAnsi="Times New Roman" w:eastAsia="宋体" w:cs="Times New Roman"/>
      <w:kern w:val="0"/>
      <w:sz w:val="20"/>
      <w:szCs w:val="20"/>
      <w:lang w:val="en-US" w:eastAsia="zh-CN" w:bidi="ar-SA"/>
    </w:rPr>
  </w:style>
  <w:style w:type="paragraph" w:customStyle="1" w:styleId="231">
    <w:name w:val="WPSOffice手动目录 2"/>
    <w:autoRedefine/>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232">
    <w:name w:val="WPSOffice手动目录 3"/>
    <w:autoRedefine/>
    <w:qFormat/>
    <w:uiPriority w:val="0"/>
    <w:pPr>
      <w:ind w:left="400" w:leftChars="400"/>
    </w:pPr>
    <w:rPr>
      <w:rFonts w:ascii="Times New Roman" w:hAnsi="Times New Roman" w:eastAsia="宋体" w:cs="Times New Roman"/>
      <w:kern w:val="0"/>
      <w:sz w:val="20"/>
      <w:szCs w:val="20"/>
      <w:lang w:val="en-US" w:eastAsia="zh-CN" w:bidi="ar-SA"/>
    </w:rPr>
  </w:style>
  <w:style w:type="paragraph" w:customStyle="1" w:styleId="233">
    <w:name w:val="UserStyle_0"/>
    <w:basedOn w:val="1"/>
    <w:next w:val="1"/>
    <w:autoRedefine/>
    <w:qFormat/>
    <w:uiPriority w:val="0"/>
    <w:pPr>
      <w:spacing w:line="360" w:lineRule="auto"/>
      <w:jc w:val="center"/>
      <w:textAlignment w:val="baseline"/>
    </w:pPr>
    <w:rPr>
      <w:b/>
      <w:sz w:val="24"/>
    </w:rPr>
  </w:style>
  <w:style w:type="character" w:customStyle="1" w:styleId="234">
    <w:name w:val="标题 1 字符"/>
    <w:link w:val="2"/>
    <w:qFormat/>
    <w:uiPriority w:val="0"/>
    <w:rPr>
      <w:kern w:val="0"/>
      <w:sz w:val="30"/>
    </w:rPr>
  </w:style>
  <w:style w:type="paragraph" w:customStyle="1" w:styleId="235">
    <w:name w:val="UserStyle_90"/>
    <w:basedOn w:val="1"/>
    <w:qFormat/>
    <w:uiPriority w:val="99"/>
    <w:pPr>
      <w:topLinePunct/>
      <w:ind w:firstLine="420" w:firstLineChars="200"/>
    </w:pPr>
    <w:rPr>
      <w:rFonts w:hAnsi="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11868</Words>
  <Characters>13135</Characters>
  <Lines>345</Lines>
  <Paragraphs>97</Paragraphs>
  <TotalTime>0</TotalTime>
  <ScaleCrop>false</ScaleCrop>
  <LinksUpToDate>false</LinksUpToDate>
  <CharactersWithSpaces>13266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2023-09-11T10:28:00Z</dcterms:created>
  <dc:creator>Windows 用户</dc:creator>
  <cp:lastModifiedBy>明正</cp:lastModifiedBy>
  <cp:lastPrinted>2025-03-04T03:34:00Z</cp:lastPrinted>
  <dcterms:modified xsi:type="dcterms:W3CDTF">2025-03-05T03:38:37Z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2C6AC5BD96D249539E790FA382528C9A_13</vt:lpwstr>
  </property>
  <property fmtid="{D5CDD505-2E9C-101B-9397-08002B2CF9AE}" pid="4" name="KSOTemplateDocerSaveRecord">
    <vt:lpwstr>eyJoZGlkIjoiY2ZiMzI0MGUwZmU4OTk2OGQwYTNlYmNmYzRlNTVkMmIiLCJ1c2VySWQiOiIzMjI4NDYzOTkifQ==</vt:lpwstr>
  </property>
</Properties>
</file>