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360" w:lineRule="auto"/>
        <w:jc w:val="center"/>
        <w:outlineLvl w:val="0"/>
        <w:rPr>
          <w:rFonts w:ascii="宋体" w:hAnsi="宋体" w:eastAsia="宋体" w:cs="宋体"/>
          <w:b/>
          <w:color w:val="auto"/>
          <w:sz w:val="52"/>
          <w:szCs w:val="52"/>
          <w:highlight w:val="none"/>
        </w:rPr>
      </w:pPr>
      <w:bookmarkStart w:id="0" w:name="_Toc29537"/>
    </w:p>
    <w:bookmarkEnd w:id="0"/>
    <w:p>
      <w:pPr>
        <w:pStyle w:val="25"/>
        <w:spacing w:line="360" w:lineRule="auto"/>
        <w:jc w:val="center"/>
        <w:outlineLvl w:val="0"/>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52"/>
          <w:szCs w:val="52"/>
          <w:highlight w:val="none"/>
          <w:lang w:eastAsia="zh-CN"/>
        </w:rPr>
        <w:t>武江区2024年老旧小区改造配套基础设施建设项目—惠民街道片区（监理）</w:t>
      </w:r>
    </w:p>
    <w:p>
      <w:pPr>
        <w:pStyle w:val="25"/>
        <w:spacing w:line="360" w:lineRule="auto"/>
        <w:jc w:val="center"/>
        <w:rPr>
          <w:rFonts w:ascii="宋体" w:hAnsi="宋体" w:eastAsia="宋体" w:cs="宋体"/>
          <w:b/>
          <w:bCs/>
          <w:color w:val="auto"/>
          <w:spacing w:val="26"/>
          <w:sz w:val="84"/>
          <w:szCs w:val="84"/>
          <w:highlight w:val="none"/>
        </w:rPr>
      </w:pPr>
    </w:p>
    <w:p>
      <w:pPr>
        <w:pStyle w:val="25"/>
        <w:spacing w:line="360" w:lineRule="auto"/>
        <w:jc w:val="center"/>
        <w:rPr>
          <w:rFonts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招标文件</w:t>
      </w:r>
    </w:p>
    <w:p>
      <w:pPr>
        <w:pStyle w:val="25"/>
        <w:spacing w:line="360" w:lineRule="auto"/>
        <w:jc w:val="center"/>
        <w:rPr>
          <w:rFonts w:ascii="宋体" w:hAnsi="宋体" w:eastAsia="宋体" w:cs="宋体"/>
          <w:b/>
          <w:bCs/>
          <w:color w:val="auto"/>
          <w:spacing w:val="26"/>
          <w:sz w:val="84"/>
          <w:szCs w:val="84"/>
          <w:highlight w:val="none"/>
        </w:rPr>
      </w:pPr>
    </w:p>
    <w:tbl>
      <w:tblPr>
        <w:tblStyle w:val="19"/>
        <w:tblpPr w:leftFromText="180" w:rightFromText="180" w:vertAnchor="text" w:horzAnchor="page" w:tblpX="1118" w:tblpY="414"/>
        <w:tblOverlap w:val="never"/>
        <w:tblW w:w="10190" w:type="dxa"/>
        <w:tblInd w:w="0" w:type="dxa"/>
        <w:tblLayout w:type="fixed"/>
        <w:tblCellMar>
          <w:top w:w="0" w:type="dxa"/>
          <w:left w:w="0" w:type="dxa"/>
          <w:bottom w:w="0" w:type="dxa"/>
          <w:right w:w="0" w:type="dxa"/>
        </w:tblCellMar>
      </w:tblPr>
      <w:tblGrid>
        <w:gridCol w:w="4736"/>
        <w:gridCol w:w="5454"/>
      </w:tblGrid>
      <w:tr>
        <w:tblPrEx>
          <w:tblCellMar>
            <w:top w:w="0" w:type="dxa"/>
            <w:left w:w="0" w:type="dxa"/>
            <w:bottom w:w="0" w:type="dxa"/>
            <w:right w:w="0" w:type="dxa"/>
          </w:tblCellMar>
        </w:tblPrEx>
        <w:trPr>
          <w:trHeight w:val="1039" w:hRule="atLeast"/>
        </w:trPr>
        <w:tc>
          <w:tcPr>
            <w:tcW w:w="4736" w:type="dxa"/>
            <w:vAlign w:val="center"/>
          </w:tcPr>
          <w:p>
            <w:pPr>
              <w:pStyle w:val="26"/>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     标     人（盖章）：</w:t>
            </w:r>
          </w:p>
        </w:tc>
        <w:tc>
          <w:tcPr>
            <w:tcW w:w="5454" w:type="dxa"/>
            <w:vAlign w:val="center"/>
          </w:tcPr>
          <w:p>
            <w:pPr>
              <w:pStyle w:val="26"/>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韶关市武江区人民政府惠民街道办事处</w:t>
            </w:r>
          </w:p>
        </w:tc>
      </w:tr>
      <w:tr>
        <w:tblPrEx>
          <w:tblCellMar>
            <w:top w:w="0" w:type="dxa"/>
            <w:left w:w="0" w:type="dxa"/>
            <w:bottom w:w="0" w:type="dxa"/>
            <w:right w:w="0" w:type="dxa"/>
          </w:tblCellMar>
        </w:tblPrEx>
        <w:trPr>
          <w:trHeight w:val="1025" w:hRule="atLeast"/>
        </w:trPr>
        <w:tc>
          <w:tcPr>
            <w:tcW w:w="4736" w:type="dxa"/>
            <w:vAlign w:val="center"/>
          </w:tcPr>
          <w:p>
            <w:pPr>
              <w:pStyle w:val="26"/>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招标人工作领导小组负责人（签字）：</w:t>
            </w:r>
          </w:p>
        </w:tc>
        <w:tc>
          <w:tcPr>
            <w:tcW w:w="5454" w:type="dxa"/>
            <w:vAlign w:val="center"/>
          </w:tcPr>
          <w:p>
            <w:pPr>
              <w:pStyle w:val="26"/>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1020" w:hRule="atLeast"/>
        </w:trPr>
        <w:tc>
          <w:tcPr>
            <w:tcW w:w="4736" w:type="dxa"/>
            <w:vAlign w:val="center"/>
          </w:tcPr>
          <w:p>
            <w:pPr>
              <w:pStyle w:val="26"/>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 标 代 理 机 构 （盖章）：</w:t>
            </w:r>
          </w:p>
        </w:tc>
        <w:tc>
          <w:tcPr>
            <w:tcW w:w="5454" w:type="dxa"/>
            <w:vAlign w:val="center"/>
          </w:tcPr>
          <w:p>
            <w:pPr>
              <w:pStyle w:val="26"/>
              <w:spacing w:line="240" w:lineRule="auto"/>
              <w:rPr>
                <w:rFonts w:hAnsi="宋体" w:cs="宋体"/>
                <w:color w:val="auto"/>
                <w:sz w:val="28"/>
                <w:szCs w:val="28"/>
                <w:highlight w:val="none"/>
              </w:rPr>
            </w:pPr>
            <w:r>
              <w:rPr>
                <w:rFonts w:hint="eastAsia" w:hAnsi="宋体" w:cs="宋体"/>
                <w:snapToGrid w:val="0"/>
                <w:color w:val="auto"/>
                <w:kern w:val="0"/>
                <w:sz w:val="28"/>
                <w:szCs w:val="28"/>
                <w:highlight w:val="none"/>
              </w:rPr>
              <w:t>广州穗科建设管理有限公司</w:t>
            </w:r>
          </w:p>
        </w:tc>
      </w:tr>
      <w:tr>
        <w:tblPrEx>
          <w:tblCellMar>
            <w:top w:w="0" w:type="dxa"/>
            <w:left w:w="0" w:type="dxa"/>
            <w:bottom w:w="0" w:type="dxa"/>
            <w:right w:w="0" w:type="dxa"/>
          </w:tblCellMar>
        </w:tblPrEx>
        <w:trPr>
          <w:trHeight w:val="1020" w:hRule="atLeast"/>
        </w:trPr>
        <w:tc>
          <w:tcPr>
            <w:tcW w:w="4736" w:type="dxa"/>
            <w:vAlign w:val="center"/>
          </w:tcPr>
          <w:p>
            <w:pPr>
              <w:pStyle w:val="26"/>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招标文件编制人（签字）：</w:t>
            </w:r>
          </w:p>
        </w:tc>
        <w:tc>
          <w:tcPr>
            <w:tcW w:w="5454" w:type="dxa"/>
            <w:vAlign w:val="center"/>
          </w:tcPr>
          <w:p>
            <w:pPr>
              <w:pStyle w:val="26"/>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954" w:hRule="atLeast"/>
        </w:trPr>
        <w:tc>
          <w:tcPr>
            <w:tcW w:w="4736" w:type="dxa"/>
            <w:vAlign w:val="center"/>
          </w:tcPr>
          <w:p>
            <w:pPr>
              <w:pStyle w:val="26"/>
              <w:wordWrap w:val="0"/>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招标代理机构项目负责人（签字）：</w:t>
            </w:r>
          </w:p>
        </w:tc>
        <w:tc>
          <w:tcPr>
            <w:tcW w:w="5454" w:type="dxa"/>
            <w:vAlign w:val="center"/>
          </w:tcPr>
          <w:p>
            <w:pPr>
              <w:pStyle w:val="26"/>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954" w:hRule="atLeast"/>
        </w:trPr>
        <w:tc>
          <w:tcPr>
            <w:tcW w:w="4736" w:type="dxa"/>
            <w:vAlign w:val="center"/>
          </w:tcPr>
          <w:p>
            <w:pPr>
              <w:pStyle w:val="26"/>
              <w:wordWrap w:val="0"/>
              <w:spacing w:line="240" w:lineRule="auto"/>
              <w:jc w:val="distribute"/>
              <w:rPr>
                <w:rFonts w:hAnsi="宋体" w:cs="宋体"/>
                <w:color w:val="auto"/>
                <w:sz w:val="28"/>
                <w:szCs w:val="22"/>
                <w:highlight w:val="none"/>
              </w:rPr>
            </w:pPr>
            <w:r>
              <w:rPr>
                <w:rFonts w:hint="eastAsia" w:hAnsi="宋体" w:cs="宋体"/>
                <w:color w:val="auto"/>
                <w:sz w:val="28"/>
                <w:szCs w:val="22"/>
                <w:highlight w:val="none"/>
              </w:rPr>
              <w:t xml:space="preserve"> 招标文件编制日期：</w:t>
            </w:r>
          </w:p>
        </w:tc>
        <w:tc>
          <w:tcPr>
            <w:tcW w:w="5454" w:type="dxa"/>
            <w:vAlign w:val="center"/>
          </w:tcPr>
          <w:p>
            <w:pPr>
              <w:pStyle w:val="26"/>
              <w:spacing w:line="240" w:lineRule="auto"/>
              <w:rPr>
                <w:rFonts w:hAnsi="宋体" w:cs="宋体"/>
                <w:color w:val="auto"/>
                <w:sz w:val="28"/>
                <w:szCs w:val="22"/>
                <w:highlight w:val="none"/>
              </w:rPr>
            </w:pPr>
            <w:r>
              <w:rPr>
                <w:rFonts w:hint="eastAsia" w:hAnsi="宋体" w:cs="宋体"/>
                <w:color w:val="auto"/>
                <w:sz w:val="28"/>
                <w:szCs w:val="22"/>
                <w:highlight w:val="none"/>
              </w:rPr>
              <w:t>202</w:t>
            </w:r>
            <w:r>
              <w:rPr>
                <w:rFonts w:hint="eastAsia" w:hAnsi="宋体" w:cs="宋体"/>
                <w:color w:val="auto"/>
                <w:sz w:val="28"/>
                <w:szCs w:val="22"/>
                <w:highlight w:val="none"/>
                <w:lang w:val="en-US" w:eastAsia="zh-CN"/>
              </w:rPr>
              <w:t>4</w:t>
            </w:r>
            <w:r>
              <w:rPr>
                <w:rFonts w:hint="eastAsia" w:hAnsi="宋体" w:cs="宋体"/>
                <w:color w:val="auto"/>
                <w:sz w:val="28"/>
                <w:szCs w:val="22"/>
                <w:highlight w:val="none"/>
              </w:rPr>
              <w:t>年</w:t>
            </w:r>
            <w:r>
              <w:rPr>
                <w:rFonts w:hint="eastAsia" w:hAnsi="宋体" w:cs="宋体"/>
                <w:color w:val="auto"/>
                <w:sz w:val="28"/>
                <w:szCs w:val="22"/>
                <w:highlight w:val="none"/>
                <w:lang w:val="en-US" w:eastAsia="zh-CN"/>
              </w:rPr>
              <w:t>3</w:t>
            </w:r>
            <w:r>
              <w:rPr>
                <w:rFonts w:hint="eastAsia" w:hAnsi="宋体" w:cs="宋体"/>
                <w:color w:val="auto"/>
                <w:sz w:val="28"/>
                <w:szCs w:val="22"/>
                <w:highlight w:val="none"/>
              </w:rPr>
              <w:t>月</w:t>
            </w:r>
          </w:p>
        </w:tc>
      </w:tr>
    </w:tbl>
    <w:p>
      <w:pPr>
        <w:rPr>
          <w:rFonts w:hAnsi="宋体" w:cs="宋体"/>
          <w:color w:val="auto"/>
          <w:highlight w:val="none"/>
        </w:rPr>
      </w:pPr>
    </w:p>
    <w:p>
      <w:pPr>
        <w:rPr>
          <w:rFonts w:hint="eastAsia" w:hAnsi="宋体" w:cs="宋体"/>
          <w:b/>
          <w:snapToGrid w:val="0"/>
          <w:color w:val="auto"/>
          <w:kern w:val="0"/>
          <w:sz w:val="36"/>
          <w:szCs w:val="36"/>
          <w:highlight w:val="none"/>
        </w:rPr>
      </w:pPr>
      <w:r>
        <w:rPr>
          <w:rFonts w:hint="eastAsia" w:hAnsi="宋体" w:cs="宋体"/>
          <w:b/>
          <w:snapToGrid w:val="0"/>
          <w:color w:val="auto"/>
          <w:kern w:val="0"/>
          <w:sz w:val="36"/>
          <w:szCs w:val="36"/>
          <w:highlight w:val="none"/>
        </w:rPr>
        <w:br w:type="page"/>
      </w:r>
    </w:p>
    <w:p>
      <w:pPr>
        <w:jc w:val="center"/>
        <w:rPr>
          <w:rFonts w:hAnsi="宋体" w:cs="宋体"/>
          <w:b/>
          <w:snapToGrid w:val="0"/>
          <w:color w:val="auto"/>
          <w:kern w:val="0"/>
          <w:sz w:val="36"/>
          <w:szCs w:val="36"/>
          <w:highlight w:val="none"/>
        </w:rPr>
      </w:pPr>
      <w:r>
        <w:rPr>
          <w:rFonts w:hint="eastAsia" w:hAnsi="宋体" w:cs="宋体"/>
          <w:b/>
          <w:snapToGrid w:val="0"/>
          <w:color w:val="auto"/>
          <w:kern w:val="0"/>
          <w:sz w:val="36"/>
          <w:szCs w:val="36"/>
          <w:highlight w:val="none"/>
        </w:rPr>
        <w:t>目    录</w:t>
      </w:r>
      <w:bookmarkStart w:id="1" w:name="_Hlt68775471"/>
      <w:bookmarkStart w:id="2" w:name="_Hlt69333523"/>
    </w:p>
    <w:sdt>
      <w:sdtPr>
        <w:rPr>
          <w:rFonts w:hAnsi="宋体"/>
          <w:color w:val="auto"/>
          <w:sz w:val="21"/>
          <w:highlight w:val="none"/>
        </w:rPr>
        <w:id w:val="147450914"/>
        <w15:color w:val="DBDBDB"/>
        <w:docPartObj>
          <w:docPartGallery w:val="Table of Contents"/>
          <w:docPartUnique/>
        </w:docPartObj>
      </w:sdtPr>
      <w:sdtEndPr>
        <w:rPr>
          <w:rFonts w:hAnsi="宋体"/>
          <w:color w:val="auto"/>
          <w:sz w:val="21"/>
          <w:highlight w:val="none"/>
        </w:rPr>
      </w:sdtEndPr>
      <w:sdtContent>
        <w:p>
          <w:pPr>
            <w:spacing w:line="240" w:lineRule="auto"/>
            <w:jc w:val="center"/>
            <w:rPr>
              <w:color w:val="auto"/>
              <w:highlight w:val="none"/>
            </w:rPr>
          </w:pP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"_Toc28858" </w:instrText>
          </w:r>
          <w:r>
            <w:rPr>
              <w:color w:val="auto"/>
              <w:highlight w:val="none"/>
            </w:rPr>
            <w:fldChar w:fldCharType="separate"/>
          </w:r>
          <w:r>
            <w:rPr>
              <w:rFonts w:hint="eastAsia" w:ascii="宋体" w:hAnsi="宋体" w:cs="宋体"/>
              <w:snapToGrid w:val="0"/>
              <w:color w:val="auto"/>
              <w:sz w:val="24"/>
              <w:szCs w:val="24"/>
              <w:highlight w:val="none"/>
            </w:rPr>
            <w:t>第一章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_Toc28858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"_Toc20854" </w:instrText>
          </w:r>
          <w:r>
            <w:rPr>
              <w:color w:val="auto"/>
              <w:highlight w:val="none"/>
            </w:rPr>
            <w:fldChar w:fldCharType="separate"/>
          </w:r>
          <w:r>
            <w:rPr>
              <w:rFonts w:hint="eastAsia" w:ascii="宋体" w:hAnsi="宋体" w:cs="宋体"/>
              <w:snapToGrid w:val="0"/>
              <w:color w:val="auto"/>
              <w:sz w:val="24"/>
              <w:szCs w:val="24"/>
              <w:highlight w:val="none"/>
            </w:rPr>
            <w:t>第一节   投标人须知前附表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_Toc20854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"_Toc14942" </w:instrText>
          </w:r>
          <w:r>
            <w:rPr>
              <w:color w:val="auto"/>
              <w:highlight w:val="none"/>
            </w:rPr>
            <w:fldChar w:fldCharType="separate"/>
          </w:r>
          <w:r>
            <w:rPr>
              <w:rFonts w:hint="eastAsia" w:ascii="宋体" w:hAnsi="宋体" w:cs="宋体"/>
              <w:snapToGrid w:val="0"/>
              <w:color w:val="auto"/>
              <w:sz w:val="24"/>
              <w:szCs w:val="24"/>
              <w:highlight w:val="none"/>
            </w:rPr>
            <w:t>第二节   重要事项时间地点一览表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_Toc14942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"_Toc24064" </w:instrText>
          </w:r>
          <w:r>
            <w:rPr>
              <w:color w:val="auto"/>
              <w:highlight w:val="none"/>
            </w:rPr>
            <w:fldChar w:fldCharType="separate"/>
          </w:r>
          <w:r>
            <w:rPr>
              <w:rFonts w:hint="eastAsia" w:ascii="宋体" w:hAnsi="宋体" w:cs="宋体"/>
              <w:snapToGrid w:val="0"/>
              <w:color w:val="auto"/>
              <w:sz w:val="24"/>
              <w:szCs w:val="24"/>
              <w:highlight w:val="none"/>
            </w:rPr>
            <w:t>第三节   投标人须知正文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_Toc24064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"_Toc6392" </w:instrText>
          </w:r>
          <w:r>
            <w:rPr>
              <w:color w:val="auto"/>
              <w:highlight w:val="none"/>
            </w:rPr>
            <w:fldChar w:fldCharType="separate"/>
          </w:r>
          <w:r>
            <w:rPr>
              <w:rFonts w:hint="eastAsia" w:ascii="宋体" w:hAnsi="宋体" w:cs="宋体"/>
              <w:bCs/>
              <w:snapToGrid w:val="0"/>
              <w:color w:val="auto"/>
              <w:sz w:val="24"/>
              <w:szCs w:val="24"/>
              <w:highlight w:val="none"/>
            </w:rPr>
            <w:t>1．项目概况、招标范围和标段划分、投标费用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_Toc6392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"_Toc29608" </w:instrText>
          </w:r>
          <w:r>
            <w:rPr>
              <w:color w:val="auto"/>
              <w:highlight w:val="none"/>
            </w:rPr>
            <w:fldChar w:fldCharType="separate"/>
          </w:r>
          <w:r>
            <w:rPr>
              <w:rFonts w:hint="eastAsia" w:ascii="宋体" w:hAnsi="宋体" w:cs="宋体"/>
              <w:snapToGrid w:val="0"/>
              <w:color w:val="auto"/>
              <w:sz w:val="24"/>
              <w:szCs w:val="24"/>
              <w:highlight w:val="none"/>
            </w:rPr>
            <w:t>2．投标人资格要求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_Toc29608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"_Toc2371" </w:instrText>
          </w:r>
          <w:r>
            <w:rPr>
              <w:color w:val="auto"/>
              <w:highlight w:val="none"/>
            </w:rPr>
            <w:fldChar w:fldCharType="separate"/>
          </w:r>
          <w:r>
            <w:rPr>
              <w:rFonts w:hint="eastAsia" w:ascii="宋体" w:hAnsi="宋体" w:cs="宋体"/>
              <w:bCs/>
              <w:snapToGrid w:val="0"/>
              <w:color w:val="auto"/>
              <w:sz w:val="24"/>
              <w:szCs w:val="24"/>
              <w:highlight w:val="none"/>
            </w:rPr>
            <w:t>3．</w:t>
          </w:r>
          <w:r>
            <w:rPr>
              <w:rFonts w:hint="eastAsia" w:ascii="宋体" w:hAnsi="宋体" w:cs="宋体"/>
              <w:bCs/>
              <w:color w:val="auto"/>
              <w:sz w:val="24"/>
              <w:szCs w:val="24"/>
              <w:highlight w:val="none"/>
            </w:rPr>
            <w:t>招标文件获取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"_Toc15908" </w:instrText>
          </w:r>
          <w:r>
            <w:rPr>
              <w:color w:val="auto"/>
              <w:highlight w:val="none"/>
            </w:rPr>
            <w:fldChar w:fldCharType="separate"/>
          </w:r>
          <w:r>
            <w:rPr>
              <w:rFonts w:hint="eastAsia" w:ascii="宋体" w:hAnsi="宋体" w:cs="宋体"/>
              <w:bCs/>
              <w:snapToGrid w:val="0"/>
              <w:color w:val="auto"/>
              <w:sz w:val="24"/>
              <w:szCs w:val="24"/>
              <w:highlight w:val="none"/>
            </w:rPr>
            <w:t>4．服务期限</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_Toc15908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"_Toc19033" </w:instrText>
          </w:r>
          <w:r>
            <w:rPr>
              <w:color w:val="auto"/>
              <w:highlight w:val="none"/>
            </w:rPr>
            <w:fldChar w:fldCharType="separate"/>
          </w:r>
          <w:r>
            <w:rPr>
              <w:rFonts w:hint="eastAsia" w:ascii="宋体" w:hAnsi="宋体" w:cs="宋体"/>
              <w:snapToGrid w:val="0"/>
              <w:color w:val="auto"/>
              <w:sz w:val="24"/>
              <w:szCs w:val="24"/>
              <w:highlight w:val="none"/>
            </w:rPr>
            <w:t>5．服务标准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_Toc19033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snapToGrid w:val="0"/>
              <w:color w:val="auto"/>
              <w:sz w:val="24"/>
              <w:szCs w:val="24"/>
              <w:highlight w:val="none"/>
            </w:rPr>
            <w:t>6．现场踏勘</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_Toc16734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"_Toc29906" </w:instrText>
          </w:r>
          <w:r>
            <w:rPr>
              <w:color w:val="auto"/>
              <w:highlight w:val="none"/>
            </w:rPr>
            <w:fldChar w:fldCharType="separate"/>
          </w:r>
          <w:r>
            <w:rPr>
              <w:rFonts w:hint="eastAsia" w:ascii="宋体" w:hAnsi="宋体" w:cs="宋体"/>
              <w:snapToGrid w:val="0"/>
              <w:color w:val="auto"/>
              <w:sz w:val="24"/>
              <w:szCs w:val="24"/>
              <w:highlight w:val="none"/>
            </w:rPr>
            <w:t>7．招标文件的提问和答疑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_Toc29906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"_Toc3738" </w:instrText>
          </w:r>
          <w:r>
            <w:rPr>
              <w:color w:val="auto"/>
              <w:highlight w:val="none"/>
            </w:rPr>
            <w:fldChar w:fldCharType="separate"/>
          </w:r>
          <w:r>
            <w:rPr>
              <w:rFonts w:hint="eastAsia" w:ascii="宋体" w:hAnsi="宋体" w:cs="宋体"/>
              <w:snapToGrid w:val="0"/>
              <w:color w:val="auto"/>
              <w:sz w:val="24"/>
              <w:szCs w:val="24"/>
              <w:highlight w:val="none"/>
            </w:rPr>
            <w:t>8．最高投标限价</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_Toc3738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"_Toc27588" </w:instrText>
          </w:r>
          <w:r>
            <w:rPr>
              <w:color w:val="auto"/>
              <w:highlight w:val="none"/>
            </w:rPr>
            <w:fldChar w:fldCharType="separate"/>
          </w:r>
          <w:r>
            <w:rPr>
              <w:rFonts w:hint="eastAsia" w:ascii="宋体" w:hAnsi="宋体" w:cs="宋体"/>
              <w:snapToGrid w:val="0"/>
              <w:color w:val="auto"/>
              <w:sz w:val="24"/>
              <w:szCs w:val="24"/>
              <w:highlight w:val="none"/>
            </w:rPr>
            <w:t>9．投标报价</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_Toc27588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"_Toc16371" </w:instrText>
          </w:r>
          <w:r>
            <w:rPr>
              <w:color w:val="auto"/>
              <w:highlight w:val="none"/>
            </w:rPr>
            <w:fldChar w:fldCharType="separate"/>
          </w:r>
          <w:r>
            <w:rPr>
              <w:rFonts w:hint="eastAsia" w:ascii="宋体" w:hAnsi="宋体" w:cs="宋体"/>
              <w:snapToGrid w:val="0"/>
              <w:color w:val="auto"/>
              <w:sz w:val="24"/>
              <w:szCs w:val="24"/>
              <w:highlight w:val="none"/>
            </w:rPr>
            <w:t>10．投标文件的编制要求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_Toc16371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"_Toc32463" </w:instrText>
          </w:r>
          <w:r>
            <w:rPr>
              <w:color w:val="auto"/>
              <w:highlight w:val="none"/>
            </w:rPr>
            <w:fldChar w:fldCharType="separate"/>
          </w:r>
          <w:r>
            <w:rPr>
              <w:rFonts w:hint="eastAsia" w:ascii="宋体" w:hAnsi="宋体" w:cs="宋体"/>
              <w:snapToGrid w:val="0"/>
              <w:color w:val="auto"/>
              <w:sz w:val="24"/>
              <w:szCs w:val="24"/>
              <w:highlight w:val="none"/>
            </w:rPr>
            <w:t>11．投标文件的包装、密封、标记</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_Toc32463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"_Toc21679" </w:instrText>
          </w:r>
          <w:r>
            <w:rPr>
              <w:color w:val="auto"/>
              <w:highlight w:val="none"/>
            </w:rPr>
            <w:fldChar w:fldCharType="separate"/>
          </w:r>
          <w:r>
            <w:rPr>
              <w:rFonts w:hint="eastAsia" w:ascii="宋体" w:hAnsi="宋体" w:cs="宋体"/>
              <w:snapToGrid w:val="0"/>
              <w:color w:val="auto"/>
              <w:sz w:val="24"/>
              <w:szCs w:val="24"/>
              <w:highlight w:val="none"/>
            </w:rPr>
            <w:t>12．投标文件的递交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_Toc21679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ascii="宋体" w:hAnsi="宋体" w:cs="宋体"/>
              <w:snapToGrid w:val="0"/>
              <w:color w:val="auto"/>
              <w:sz w:val="24"/>
              <w:szCs w:val="24"/>
              <w:highlight w:val="none"/>
            </w:rPr>
            <w:t>13．投标有效期</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_Toc3494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"_Toc7473" </w:instrText>
          </w:r>
          <w:r>
            <w:rPr>
              <w:color w:val="auto"/>
              <w:highlight w:val="none"/>
            </w:rPr>
            <w:fldChar w:fldCharType="separate"/>
          </w:r>
          <w:r>
            <w:rPr>
              <w:rFonts w:hint="eastAsia" w:ascii="宋体" w:hAnsi="宋体" w:cs="宋体"/>
              <w:snapToGrid w:val="0"/>
              <w:color w:val="auto"/>
              <w:sz w:val="24"/>
              <w:szCs w:val="24"/>
              <w:highlight w:val="none"/>
            </w:rPr>
            <w:t>14．开标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"_Toc16554" </w:instrText>
          </w:r>
          <w:r>
            <w:rPr>
              <w:color w:val="auto"/>
              <w:highlight w:val="none"/>
            </w:rPr>
            <w:fldChar w:fldCharType="separate"/>
          </w:r>
          <w:r>
            <w:rPr>
              <w:rFonts w:hint="eastAsia" w:ascii="宋体" w:hAnsi="宋体" w:cs="宋体"/>
              <w:snapToGrid w:val="0"/>
              <w:color w:val="auto"/>
              <w:sz w:val="24"/>
              <w:szCs w:val="24"/>
              <w:highlight w:val="none"/>
            </w:rPr>
            <w:t>15．评标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_Toc16554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"_Toc7071" </w:instrText>
          </w:r>
          <w:r>
            <w:rPr>
              <w:color w:val="auto"/>
              <w:highlight w:val="none"/>
            </w:rPr>
            <w:fldChar w:fldCharType="separate"/>
          </w:r>
          <w:r>
            <w:rPr>
              <w:rFonts w:hint="eastAsia" w:ascii="宋体" w:hAnsi="宋体" w:cs="宋体"/>
              <w:bCs/>
              <w:snapToGrid w:val="0"/>
              <w:color w:val="auto"/>
              <w:sz w:val="24"/>
              <w:szCs w:val="24"/>
              <w:highlight w:val="none"/>
            </w:rPr>
            <w:t>表1   综合评分表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_Toc7071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"_Toc18324" </w:instrText>
          </w:r>
          <w:r>
            <w:rPr>
              <w:color w:val="auto"/>
              <w:highlight w:val="none"/>
            </w:rPr>
            <w:fldChar w:fldCharType="separate"/>
          </w:r>
          <w:r>
            <w:rPr>
              <w:rFonts w:hint="eastAsia" w:ascii="宋体" w:hAnsi="宋体" w:cs="宋体"/>
              <w:bCs/>
              <w:snapToGrid w:val="0"/>
              <w:color w:val="auto"/>
              <w:sz w:val="24"/>
              <w:szCs w:val="24"/>
              <w:highlight w:val="none"/>
            </w:rPr>
            <w:t>表2   项目监理机构其他人员需求表</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29"/>
            <w:tabs>
              <w:tab w:val="right" w:leader="dot" w:pos="9638"/>
            </w:tabs>
            <w:spacing w:line="360" w:lineRule="auto"/>
            <w:ind w:left="96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"_Toc9832" </w:instrText>
          </w:r>
          <w:r>
            <w:rPr>
              <w:color w:val="auto"/>
              <w:highlight w:val="none"/>
            </w:rPr>
            <w:fldChar w:fldCharType="separate"/>
          </w:r>
          <w:r>
            <w:rPr>
              <w:rFonts w:hint="eastAsia" w:ascii="宋体" w:hAnsi="宋体" w:cs="宋体"/>
              <w:snapToGrid w:val="0"/>
              <w:color w:val="auto"/>
              <w:sz w:val="24"/>
              <w:szCs w:val="24"/>
              <w:highlight w:val="none"/>
            </w:rPr>
            <w:t>16．推荐中标候选人</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_Toc9832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"_Toc22086" </w:instrText>
          </w:r>
          <w:r>
            <w:rPr>
              <w:color w:val="auto"/>
              <w:highlight w:val="none"/>
            </w:rPr>
            <w:fldChar w:fldCharType="separate"/>
          </w:r>
          <w:r>
            <w:rPr>
              <w:rFonts w:hint="eastAsia" w:ascii="宋体" w:hAnsi="宋体" w:cs="宋体"/>
              <w:snapToGrid w:val="0"/>
              <w:color w:val="auto"/>
              <w:sz w:val="24"/>
              <w:szCs w:val="24"/>
              <w:highlight w:val="none"/>
            </w:rPr>
            <w:t>17．中标候选人公示</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_Toc22086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"_Toc17488" </w:instrText>
          </w:r>
          <w:r>
            <w:rPr>
              <w:color w:val="auto"/>
              <w:highlight w:val="none"/>
            </w:rPr>
            <w:fldChar w:fldCharType="separate"/>
          </w:r>
          <w:r>
            <w:rPr>
              <w:rFonts w:hint="eastAsia" w:ascii="宋体" w:hAnsi="宋体" w:cs="宋体"/>
              <w:bCs/>
              <w:snapToGrid w:val="0"/>
              <w:color w:val="auto"/>
              <w:sz w:val="24"/>
              <w:szCs w:val="24"/>
              <w:highlight w:val="none"/>
            </w:rPr>
            <w:t>第四节   否决投标条件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_Toc17488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"_Toc6450" </w:instrText>
          </w:r>
          <w:r>
            <w:rPr>
              <w:color w:val="auto"/>
              <w:highlight w:val="none"/>
            </w:rPr>
            <w:fldChar w:fldCharType="separate"/>
          </w:r>
          <w:r>
            <w:rPr>
              <w:rFonts w:hint="eastAsia" w:ascii="宋体" w:hAnsi="宋体" w:cs="宋体"/>
              <w:bCs/>
              <w:snapToGrid w:val="0"/>
              <w:color w:val="auto"/>
              <w:sz w:val="24"/>
              <w:szCs w:val="24"/>
              <w:highlight w:val="none"/>
            </w:rPr>
            <w:t>1．资格评审环节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_Toc6450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"_Toc13756" </w:instrText>
          </w:r>
          <w:r>
            <w:rPr>
              <w:color w:val="auto"/>
              <w:highlight w:val="none"/>
            </w:rPr>
            <w:fldChar w:fldCharType="separate"/>
          </w:r>
          <w:r>
            <w:rPr>
              <w:rFonts w:hint="eastAsia" w:ascii="宋体" w:hAnsi="宋体" w:cs="宋体"/>
              <w:bCs/>
              <w:snapToGrid w:val="0"/>
              <w:color w:val="auto"/>
              <w:sz w:val="24"/>
              <w:szCs w:val="24"/>
              <w:highlight w:val="none"/>
            </w:rPr>
            <w:t>2．形式评审环节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_Toc13756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"_Toc26110" </w:instrText>
          </w:r>
          <w:r>
            <w:rPr>
              <w:color w:val="auto"/>
              <w:highlight w:val="none"/>
            </w:rPr>
            <w:fldChar w:fldCharType="separate"/>
          </w:r>
          <w:r>
            <w:rPr>
              <w:rFonts w:hint="eastAsia" w:ascii="宋体" w:hAnsi="宋体" w:cs="宋体"/>
              <w:bCs/>
              <w:snapToGrid w:val="0"/>
              <w:color w:val="auto"/>
              <w:sz w:val="24"/>
              <w:szCs w:val="24"/>
              <w:highlight w:val="none"/>
            </w:rPr>
            <w:t>3．响应性评审环节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_Toc26110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96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"_Toc32064" </w:instrText>
          </w:r>
          <w:r>
            <w:rPr>
              <w:color w:val="auto"/>
              <w:highlight w:val="none"/>
            </w:rPr>
            <w:fldChar w:fldCharType="separate"/>
          </w:r>
          <w:r>
            <w:rPr>
              <w:rFonts w:hint="eastAsia" w:ascii="宋体" w:hAnsi="宋体" w:cs="宋体"/>
              <w:bCs/>
              <w:snapToGrid w:val="0"/>
              <w:color w:val="auto"/>
              <w:sz w:val="24"/>
              <w:szCs w:val="24"/>
              <w:highlight w:val="none"/>
            </w:rPr>
            <w:t>4．其他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_Toc32064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"_Toc21075" </w:instrText>
          </w:r>
          <w:r>
            <w:rPr>
              <w:color w:val="auto"/>
              <w:highlight w:val="none"/>
            </w:rPr>
            <w:fldChar w:fldCharType="separate"/>
          </w:r>
          <w:r>
            <w:rPr>
              <w:rFonts w:hint="eastAsia" w:ascii="宋体" w:hAnsi="宋体" w:cs="宋体"/>
              <w:snapToGrid w:val="0"/>
              <w:color w:val="auto"/>
              <w:sz w:val="24"/>
              <w:szCs w:val="24"/>
              <w:highlight w:val="none"/>
            </w:rPr>
            <w:t>第二章   中标人须知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_Toc21075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"_Toc15917" </w:instrText>
          </w:r>
          <w:r>
            <w:rPr>
              <w:color w:val="auto"/>
              <w:highlight w:val="none"/>
            </w:rPr>
            <w:fldChar w:fldCharType="separate"/>
          </w:r>
          <w:r>
            <w:rPr>
              <w:rFonts w:hint="eastAsia" w:ascii="宋体" w:hAnsi="宋体" w:cs="宋体"/>
              <w:snapToGrid w:val="0"/>
              <w:color w:val="auto"/>
              <w:sz w:val="24"/>
              <w:szCs w:val="24"/>
              <w:highlight w:val="none"/>
            </w:rPr>
            <w:t>第三章   拟签订合同的主要条款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_Toc15917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"_Toc7859" </w:instrText>
          </w:r>
          <w:r>
            <w:rPr>
              <w:color w:val="auto"/>
              <w:highlight w:val="none"/>
            </w:rPr>
            <w:fldChar w:fldCharType="separate"/>
          </w:r>
          <w:r>
            <w:rPr>
              <w:rFonts w:hint="eastAsia" w:ascii="宋体" w:hAnsi="宋体" w:cs="宋体"/>
              <w:snapToGrid w:val="0"/>
              <w:color w:val="auto"/>
              <w:sz w:val="24"/>
              <w:szCs w:val="24"/>
              <w:highlight w:val="none"/>
            </w:rPr>
            <w:t>第四章   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_Toc7859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"_Toc2783" </w:instrText>
          </w:r>
          <w:r>
            <w:rPr>
              <w:color w:val="auto"/>
              <w:highlight w:val="none"/>
            </w:rPr>
            <w:fldChar w:fldCharType="separate"/>
          </w:r>
          <w:r>
            <w:rPr>
              <w:rFonts w:hint="eastAsia" w:ascii="宋体" w:hAnsi="宋体" w:cs="宋体"/>
              <w:snapToGrid w:val="0"/>
              <w:color w:val="auto"/>
              <w:sz w:val="24"/>
              <w:szCs w:val="24"/>
              <w:highlight w:val="none"/>
            </w:rPr>
            <w:t>第五章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"_Toc5679" </w:instrText>
          </w:r>
          <w:r>
            <w:rPr>
              <w:color w:val="auto"/>
              <w:highlight w:val="none"/>
            </w:rPr>
            <w:fldChar w:fldCharType="separate"/>
          </w:r>
          <w:r>
            <w:rPr>
              <w:rFonts w:hint="eastAsia" w:ascii="宋体" w:hAnsi="宋体" w:cs="宋体"/>
              <w:snapToGrid w:val="0"/>
              <w:color w:val="auto"/>
              <w:sz w:val="24"/>
              <w:szCs w:val="24"/>
              <w:highlight w:val="none"/>
            </w:rPr>
            <w:t>格式一   封面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_Toc5679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"_Toc9843" </w:instrText>
          </w:r>
          <w:r>
            <w:rPr>
              <w:color w:val="auto"/>
              <w:highlight w:val="none"/>
            </w:rPr>
            <w:fldChar w:fldCharType="separate"/>
          </w:r>
          <w:r>
            <w:rPr>
              <w:rFonts w:hint="eastAsia" w:ascii="宋体" w:hAnsi="宋体" w:cs="宋体"/>
              <w:snapToGrid w:val="0"/>
              <w:color w:val="auto"/>
              <w:sz w:val="24"/>
              <w:szCs w:val="24"/>
              <w:highlight w:val="none"/>
            </w:rPr>
            <w:t>格式二（1）   投标函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_Toc9843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"_Toc4027" </w:instrText>
          </w:r>
          <w:r>
            <w:rPr>
              <w:color w:val="auto"/>
              <w:highlight w:val="none"/>
            </w:rPr>
            <w:fldChar w:fldCharType="separate"/>
          </w:r>
          <w:r>
            <w:rPr>
              <w:rFonts w:hint="eastAsia" w:ascii="宋体" w:hAnsi="宋体" w:cs="宋体"/>
              <w:snapToGrid w:val="0"/>
              <w:color w:val="auto"/>
              <w:sz w:val="24"/>
              <w:szCs w:val="24"/>
              <w:highlight w:val="none"/>
            </w:rPr>
            <w:t>格式二（2）   投标书附表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_Toc4027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"_Toc13211" </w:instrText>
          </w:r>
          <w:r>
            <w:rPr>
              <w:color w:val="auto"/>
              <w:highlight w:val="none"/>
            </w:rPr>
            <w:fldChar w:fldCharType="separate"/>
          </w:r>
          <w:r>
            <w:rPr>
              <w:rFonts w:hint="eastAsia" w:ascii="宋体" w:hAnsi="宋体" w:cs="宋体"/>
              <w:snapToGrid w:val="0"/>
              <w:color w:val="auto"/>
              <w:sz w:val="24"/>
              <w:szCs w:val="24"/>
              <w:highlight w:val="none"/>
            </w:rPr>
            <w:t>格式二（3）监理及相关服务报酬清单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_Toc13211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"_Toc4481" </w:instrText>
          </w:r>
          <w:r>
            <w:rPr>
              <w:color w:val="auto"/>
              <w:highlight w:val="none"/>
            </w:rPr>
            <w:fldChar w:fldCharType="separate"/>
          </w:r>
          <w:r>
            <w:rPr>
              <w:rFonts w:hint="eastAsia" w:ascii="宋体" w:hAnsi="宋体" w:cs="宋体"/>
              <w:snapToGrid w:val="0"/>
              <w:color w:val="auto"/>
              <w:sz w:val="24"/>
              <w:szCs w:val="24"/>
              <w:highlight w:val="none"/>
            </w:rPr>
            <w:t>格式三   各项承诺一览表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_Toc4481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"_Toc26940" </w:instrText>
          </w:r>
          <w:r>
            <w:rPr>
              <w:color w:val="auto"/>
              <w:highlight w:val="none"/>
            </w:rPr>
            <w:fldChar w:fldCharType="separate"/>
          </w:r>
          <w:r>
            <w:rPr>
              <w:rFonts w:hint="eastAsia" w:ascii="宋体" w:hAnsi="宋体" w:cs="宋体"/>
              <w:bCs/>
              <w:snapToGrid w:val="0"/>
              <w:color w:val="auto"/>
              <w:sz w:val="24"/>
              <w:szCs w:val="24"/>
              <w:highlight w:val="none"/>
            </w:rPr>
            <w:t>格式四   授权委托书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_Toc26940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"_Toc16516" </w:instrText>
          </w:r>
          <w:r>
            <w:rPr>
              <w:color w:val="auto"/>
              <w:highlight w:val="none"/>
            </w:rPr>
            <w:fldChar w:fldCharType="separate"/>
          </w:r>
          <w:r>
            <w:rPr>
              <w:rFonts w:hint="eastAsia" w:ascii="宋体" w:hAnsi="宋体" w:cs="宋体"/>
              <w:snapToGrid w:val="0"/>
              <w:color w:val="auto"/>
              <w:sz w:val="24"/>
              <w:szCs w:val="24"/>
              <w:highlight w:val="none"/>
            </w:rPr>
            <w:t>格式五   法定代表人身份证明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_Toc16516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"_Toc28593" </w:instrText>
          </w:r>
          <w:r>
            <w:rPr>
              <w:color w:val="auto"/>
              <w:highlight w:val="none"/>
            </w:rPr>
            <w:fldChar w:fldCharType="separate"/>
          </w:r>
          <w:r>
            <w:rPr>
              <w:rFonts w:hint="eastAsia" w:ascii="宋体" w:hAnsi="宋体" w:cs="宋体"/>
              <w:bCs/>
              <w:snapToGrid w:val="0"/>
              <w:color w:val="auto"/>
              <w:sz w:val="24"/>
              <w:szCs w:val="24"/>
              <w:highlight w:val="none"/>
            </w:rPr>
            <w:t>格式六   联合体协议书（本次招标不适用）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_Toc28593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"_Toc4559" </w:instrText>
          </w:r>
          <w:r>
            <w:rPr>
              <w:color w:val="auto"/>
              <w:highlight w:val="none"/>
            </w:rPr>
            <w:fldChar w:fldCharType="separate"/>
          </w:r>
          <w:r>
            <w:rPr>
              <w:rFonts w:hint="eastAsia" w:ascii="宋体" w:hAnsi="宋体" w:cs="宋体"/>
              <w:bCs/>
              <w:snapToGrid w:val="0"/>
              <w:color w:val="auto"/>
              <w:sz w:val="24"/>
              <w:szCs w:val="24"/>
              <w:highlight w:val="none"/>
            </w:rPr>
            <w:t>格式七   投标人基本情况表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_Toc4559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"_Toc28792" </w:instrText>
          </w:r>
          <w:r>
            <w:rPr>
              <w:color w:val="auto"/>
              <w:highlight w:val="none"/>
            </w:rPr>
            <w:fldChar w:fldCharType="separate"/>
          </w:r>
          <w:r>
            <w:rPr>
              <w:rFonts w:hint="eastAsia" w:ascii="宋体" w:hAnsi="宋体" w:cs="宋体"/>
              <w:snapToGrid w:val="0"/>
              <w:color w:val="auto"/>
              <w:sz w:val="24"/>
              <w:szCs w:val="24"/>
              <w:highlight w:val="none"/>
            </w:rPr>
            <w:t>格式八 总监理工程师任职声明（适用于无任职项目）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_Toc28792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"_Toc18850" </w:instrText>
          </w:r>
          <w:r>
            <w:rPr>
              <w:color w:val="auto"/>
              <w:highlight w:val="none"/>
            </w:rPr>
            <w:fldChar w:fldCharType="separate"/>
          </w:r>
          <w:r>
            <w:rPr>
              <w:rFonts w:hint="eastAsia" w:ascii="宋体" w:hAnsi="宋体" w:cs="宋体"/>
              <w:snapToGrid w:val="0"/>
              <w:color w:val="auto"/>
              <w:sz w:val="24"/>
              <w:szCs w:val="24"/>
              <w:highlight w:val="none"/>
            </w:rPr>
            <w:t>格式九 总监理工程师任职声明（适用于有任职项目）</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_Toc18850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8"/>
            <w:tabs>
              <w:tab w:val="right" w:leader="dot" w:pos="9638"/>
            </w:tabs>
            <w:spacing w:line="360" w:lineRule="auto"/>
            <w:ind w:left="48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"_Toc21027" </w:instrText>
          </w:r>
          <w:r>
            <w:rPr>
              <w:color w:val="auto"/>
              <w:highlight w:val="none"/>
            </w:rPr>
            <w:fldChar w:fldCharType="separate"/>
          </w:r>
          <w:r>
            <w:rPr>
              <w:rFonts w:hint="eastAsia" w:ascii="宋体" w:hAnsi="宋体" w:cs="宋体"/>
              <w:bCs/>
              <w:snapToGrid w:val="0"/>
              <w:color w:val="auto"/>
              <w:sz w:val="24"/>
              <w:szCs w:val="24"/>
              <w:highlight w:val="none"/>
            </w:rPr>
            <w:t>格式十 总监理工程师任职项目情况表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_Toc21027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"_Toc17284" </w:instrText>
          </w:r>
          <w:r>
            <w:rPr>
              <w:color w:val="auto"/>
              <w:highlight w:val="none"/>
            </w:rPr>
            <w:fldChar w:fldCharType="separate"/>
          </w:r>
          <w:r>
            <w:rPr>
              <w:rFonts w:hint="eastAsia" w:ascii="宋体" w:hAnsi="宋体" w:cs="宋体"/>
              <w:snapToGrid w:val="0"/>
              <w:color w:val="auto"/>
              <w:sz w:val="24"/>
              <w:szCs w:val="24"/>
              <w:highlight w:val="none"/>
            </w:rPr>
            <w:t>格式</w:t>
          </w:r>
          <w:r>
            <w:rPr>
              <w:rFonts w:hint="eastAsia" w:ascii="宋体" w:hAnsi="宋体" w:cs="宋体"/>
              <w:bCs/>
              <w:snapToGrid w:val="0"/>
              <w:color w:val="auto"/>
              <w:sz w:val="24"/>
              <w:szCs w:val="24"/>
              <w:highlight w:val="none"/>
            </w:rPr>
            <w:t>十一 项目监理机构组成人员汇总表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_Toc17284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"_Toc15346" </w:instrText>
          </w:r>
          <w:r>
            <w:rPr>
              <w:color w:val="auto"/>
              <w:highlight w:val="none"/>
            </w:rPr>
            <w:fldChar w:fldCharType="separate"/>
          </w:r>
          <w:r>
            <w:rPr>
              <w:rFonts w:hint="eastAsia" w:ascii="宋体" w:hAnsi="宋体" w:cs="宋体"/>
              <w:snapToGrid w:val="0"/>
              <w:color w:val="auto"/>
              <w:sz w:val="24"/>
              <w:szCs w:val="24"/>
              <w:highlight w:val="none"/>
            </w:rPr>
            <w:t>格式十二 总监理工程师简历表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spacing w:line="360" w:lineRule="auto"/>
            <w:ind w:left="48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"_Toc20426" </w:instrText>
          </w:r>
          <w:r>
            <w:rPr>
              <w:color w:val="auto"/>
              <w:highlight w:val="none"/>
            </w:rPr>
            <w:fldChar w:fldCharType="separate"/>
          </w:r>
          <w:r>
            <w:rPr>
              <w:rFonts w:hint="eastAsia" w:ascii="宋体" w:hAnsi="宋体" w:cs="宋体"/>
              <w:snapToGrid w:val="0"/>
              <w:color w:val="auto"/>
              <w:sz w:val="24"/>
              <w:szCs w:val="24"/>
              <w:highlight w:val="none"/>
            </w:rPr>
            <w:t>格式十三 其他拟派人员简历表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_Toc20426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7"/>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"_Toc2812" </w:instrText>
          </w:r>
          <w:r>
            <w:rPr>
              <w:color w:val="auto"/>
              <w:highlight w:val="none"/>
            </w:rPr>
            <w:fldChar w:fldCharType="separate"/>
          </w:r>
          <w:r>
            <w:rPr>
              <w:rFonts w:hint="eastAsia" w:ascii="宋体" w:hAnsi="宋体" w:cs="宋体"/>
              <w:snapToGrid w:val="0"/>
              <w:color w:val="auto"/>
              <w:sz w:val="24"/>
              <w:szCs w:val="24"/>
              <w:highlight w:val="none"/>
            </w:rPr>
            <w:t>第六章   建设工程监理合同和廉政合同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9"/>
            <w:tabs>
              <w:tab w:val="right" w:leader="dot" w:pos="9638"/>
            </w:tabs>
            <w:ind w:left="960"/>
            <w:rPr>
              <w:color w:val="auto"/>
              <w:highlight w:val="none"/>
            </w:rPr>
          </w:pPr>
        </w:p>
        <w:p>
          <w:pPr>
            <w:rPr>
              <w:color w:val="auto"/>
              <w:highlight w:val="none"/>
            </w:rPr>
          </w:pPr>
          <w:r>
            <w:rPr>
              <w:color w:val="auto"/>
              <w:highlight w:val="none"/>
            </w:rPr>
            <w:fldChar w:fldCharType="end"/>
          </w:r>
        </w:p>
      </w:sdtContent>
    </w:sdt>
    <w:bookmarkEnd w:id="1"/>
    <w:bookmarkEnd w:id="2"/>
    <w:p>
      <w:pPr>
        <w:pStyle w:val="3"/>
        <w:tabs>
          <w:tab w:val="left" w:pos="885"/>
        </w:tabs>
        <w:wordWrap w:val="0"/>
        <w:autoSpaceDE/>
        <w:autoSpaceDN/>
        <w:snapToGrid w:val="0"/>
        <w:ind w:left="885" w:hanging="885"/>
        <w:jc w:val="center"/>
        <w:rPr>
          <w:rFonts w:hAnsi="宋体" w:cs="宋体"/>
          <w:b/>
          <w:snapToGrid w:val="0"/>
          <w:color w:val="auto"/>
          <w:sz w:val="24"/>
          <w:szCs w:val="22"/>
          <w:highlight w:val="none"/>
        </w:rPr>
      </w:pPr>
    </w:p>
    <w:p>
      <w:pPr>
        <w:pStyle w:val="3"/>
        <w:tabs>
          <w:tab w:val="left" w:pos="885"/>
        </w:tabs>
        <w:wordWrap w:val="0"/>
        <w:autoSpaceDE/>
        <w:autoSpaceDN/>
        <w:snapToGrid w:val="0"/>
        <w:ind w:left="885" w:hanging="885"/>
        <w:jc w:val="center"/>
        <w:rPr>
          <w:rFonts w:hAnsi="宋体" w:cs="宋体"/>
          <w:b/>
          <w:snapToGrid w:val="0"/>
          <w:color w:val="auto"/>
          <w:sz w:val="24"/>
          <w:szCs w:val="22"/>
          <w:highlight w:val="none"/>
        </w:rPr>
      </w:pPr>
    </w:p>
    <w:p>
      <w:pPr>
        <w:pStyle w:val="3"/>
        <w:tabs>
          <w:tab w:val="left" w:pos="885"/>
        </w:tabs>
        <w:wordWrap w:val="0"/>
        <w:autoSpaceDE/>
        <w:autoSpaceDN/>
        <w:snapToGrid w:val="0"/>
        <w:spacing w:line="240" w:lineRule="auto"/>
        <w:ind w:left="885" w:hanging="885"/>
        <w:jc w:val="center"/>
        <w:rPr>
          <w:rFonts w:hAnsi="宋体" w:cs="宋体"/>
          <w:b/>
          <w:snapToGrid w:val="0"/>
          <w:color w:val="auto"/>
          <w:sz w:val="24"/>
          <w:szCs w:val="22"/>
          <w:highlight w:val="none"/>
        </w:rPr>
        <w:sectPr>
          <w:endnotePr>
            <w:numFmt w:val="decimal"/>
          </w:endnotePr>
          <w:pgSz w:w="11906" w:h="16838"/>
          <w:pgMar w:top="1134" w:right="1134" w:bottom="1134" w:left="1134" w:header="850" w:footer="850" w:gutter="0"/>
          <w:cols w:space="0" w:num="1"/>
          <w:docGrid w:linePitch="327" w:charSpace="0"/>
        </w:sectPr>
      </w:pPr>
    </w:p>
    <w:p>
      <w:pPr>
        <w:pStyle w:val="3"/>
        <w:tabs>
          <w:tab w:val="left" w:pos="885"/>
        </w:tabs>
        <w:wordWrap w:val="0"/>
        <w:autoSpaceDE/>
        <w:autoSpaceDN/>
        <w:snapToGrid w:val="0"/>
        <w:spacing w:line="240" w:lineRule="auto"/>
        <w:ind w:left="885" w:hanging="885"/>
        <w:jc w:val="center"/>
        <w:rPr>
          <w:rFonts w:hAnsi="宋体" w:cs="宋体"/>
          <w:b/>
          <w:snapToGrid w:val="0"/>
          <w:color w:val="auto"/>
          <w:sz w:val="24"/>
          <w:szCs w:val="22"/>
          <w:highlight w:val="none"/>
        </w:rPr>
      </w:pPr>
      <w:bookmarkStart w:id="3" w:name="_Toc28858"/>
      <w:bookmarkStart w:id="4" w:name="_Toc10830"/>
      <w:r>
        <w:rPr>
          <w:rFonts w:hint="eastAsia" w:hAnsi="宋体" w:cs="宋体"/>
          <w:b/>
          <w:snapToGrid w:val="0"/>
          <w:color w:val="auto"/>
          <w:sz w:val="24"/>
          <w:szCs w:val="22"/>
          <w:highlight w:val="none"/>
        </w:rPr>
        <w:t>第一章   投标人须知</w:t>
      </w:r>
      <w:bookmarkEnd w:id="3"/>
      <w:bookmarkEnd w:id="4"/>
    </w:p>
    <w:p>
      <w:pPr>
        <w:pStyle w:val="4"/>
        <w:wordWrap w:val="0"/>
        <w:autoSpaceDE/>
        <w:autoSpaceDN/>
        <w:snapToGrid w:val="0"/>
        <w:spacing w:before="260" w:after="260" w:line="240" w:lineRule="auto"/>
        <w:jc w:val="both"/>
        <w:rPr>
          <w:rFonts w:hAnsi="宋体" w:cs="宋体"/>
          <w:b/>
          <w:snapToGrid w:val="0"/>
          <w:color w:val="auto"/>
          <w:highlight w:val="none"/>
        </w:rPr>
      </w:pPr>
      <w:bookmarkStart w:id="5" w:name="_Hlt66153951"/>
      <w:bookmarkEnd w:id="5"/>
      <w:bookmarkStart w:id="6" w:name="_Hlt66104981"/>
      <w:bookmarkEnd w:id="6"/>
      <w:bookmarkStart w:id="7" w:name="_Hlt122423813"/>
      <w:bookmarkEnd w:id="7"/>
      <w:bookmarkStart w:id="8" w:name="_Toc26502"/>
      <w:bookmarkStart w:id="9" w:name="_Toc20854"/>
      <w:bookmarkStart w:id="10" w:name="_Toc476739600"/>
      <w:bookmarkStart w:id="11" w:name="_Hlt120077520"/>
      <w:bookmarkStart w:id="12" w:name="_Hlt111690251"/>
      <w:r>
        <w:rPr>
          <w:rFonts w:hint="eastAsia" w:hAnsi="宋体" w:cs="宋体"/>
          <w:b/>
          <w:snapToGrid w:val="0"/>
          <w:color w:val="auto"/>
          <w:highlight w:val="none"/>
        </w:rPr>
        <w:t>第一节   投标人须知前附表</w:t>
      </w:r>
      <w:bookmarkEnd w:id="8"/>
      <w:bookmarkEnd w:id="9"/>
    </w:p>
    <w:tbl>
      <w:tblPr>
        <w:tblStyle w:val="19"/>
        <w:tblW w:w="9764"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83"/>
        <w:gridCol w:w="1579"/>
        <w:gridCol w:w="76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b/>
                <w:bCs/>
                <w:color w:val="auto"/>
                <w:sz w:val="21"/>
                <w:szCs w:val="21"/>
                <w:highlight w:val="none"/>
              </w:rPr>
            </w:pPr>
            <w:r>
              <w:rPr>
                <w:rFonts w:hint="eastAsia" w:hAnsi="宋体" w:cs="宋体"/>
                <w:b/>
                <w:bCs/>
                <w:color w:val="auto"/>
                <w:sz w:val="21"/>
                <w:szCs w:val="21"/>
                <w:highlight w:val="none"/>
              </w:rPr>
              <w:t>内容</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b/>
                <w:bCs/>
                <w:color w:val="auto"/>
                <w:sz w:val="21"/>
                <w:szCs w:val="21"/>
                <w:highlight w:val="none"/>
              </w:rPr>
            </w:pPr>
            <w:r>
              <w:rPr>
                <w:rFonts w:hint="eastAsia" w:hAnsi="宋体" w:cs="宋体"/>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项目名称</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武江区2024年老旧小区改造配套基础设施建设项目—惠民街道片区（监理）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建设单位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韶关市武江区人民政府惠民街道办事处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项目批准部门</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韶关市武江区发展和改革局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项目批准文号</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韶武发改投审〔2023〕51号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项目代码</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2306-440203-17-01-759464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6</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资金来源</w:t>
            </w:r>
          </w:p>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及出资比例</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区财政统筹（100%）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7</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招标人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韶关市武江区人民政府惠民街道办事处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8</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招标代理机构</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广州穗科建设管理有限公司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9</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施工单位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10</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建设地点</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韶关市武江区惠民街道。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7" w:hRule="atLeast"/>
        </w:trPr>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11</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建设内容和规模</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ind w:firstLine="420" w:firstLineChars="200"/>
              <w:rPr>
                <w:rFonts w:hAnsi="宋体" w:cs="宋体"/>
                <w:color w:val="auto"/>
                <w:sz w:val="21"/>
                <w:szCs w:val="21"/>
                <w:highlight w:val="none"/>
              </w:rPr>
            </w:pPr>
            <w:r>
              <w:rPr>
                <w:rFonts w:hint="eastAsia" w:hAnsi="宋体" w:cs="宋体"/>
                <w:color w:val="auto"/>
                <w:sz w:val="21"/>
                <w:szCs w:val="21"/>
                <w:highlight w:val="none"/>
              </w:rPr>
              <w:t>惠民街道片区的消防设施改造、道路改造、雨水管网改造、垃圾分类收集点、环境提升、围墙改造、停车场改造，增设小区文体设施、污水系统等配套基础设施建设项目。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12</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项目总投资</w:t>
            </w:r>
          </w:p>
        </w:tc>
        <w:tc>
          <w:tcPr>
            <w:tcW w:w="7602"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line="240" w:lineRule="auto"/>
              <w:ind w:firstLine="210" w:firstLineChars="100"/>
              <w:jc w:val="left"/>
              <w:rPr>
                <w:rFonts w:hAnsi="宋体" w:cs="宋体"/>
                <w:color w:val="auto"/>
                <w:sz w:val="21"/>
                <w:szCs w:val="21"/>
                <w:highlight w:val="none"/>
              </w:rPr>
            </w:pPr>
            <w:r>
              <w:rPr>
                <w:rFonts w:hint="eastAsia" w:hAnsi="宋体" w:cs="宋体"/>
                <w:color w:val="auto"/>
                <w:sz w:val="21"/>
                <w:szCs w:val="21"/>
                <w:highlight w:val="none"/>
              </w:rPr>
              <w:t>项目概算总投资1159.94万元，工程费用1005.55万元，其中</w:t>
            </w:r>
            <w:r>
              <w:rPr>
                <w:rFonts w:hint="eastAsia" w:hAnsi="宋体" w:cs="宋体"/>
                <w:color w:val="auto"/>
                <w:sz w:val="21"/>
                <w:szCs w:val="21"/>
                <w:highlight w:val="none"/>
                <w:lang w:val="en-US" w:eastAsia="zh-CN"/>
              </w:rPr>
              <w:t>本次招标</w:t>
            </w:r>
            <w:r>
              <w:rPr>
                <w:rFonts w:hint="eastAsia" w:hAnsi="宋体" w:cs="宋体"/>
                <w:color w:val="auto"/>
                <w:sz w:val="21"/>
                <w:szCs w:val="21"/>
                <w:highlight w:val="none"/>
              </w:rPr>
              <w:t>监理费用</w:t>
            </w:r>
            <w:r>
              <w:rPr>
                <w:rFonts w:hint="eastAsia" w:hAnsi="宋体" w:cs="宋体"/>
                <w:color w:val="auto"/>
                <w:sz w:val="21"/>
                <w:szCs w:val="21"/>
                <w:highlight w:val="none"/>
                <w:lang w:val="en-US" w:eastAsia="zh-CN"/>
              </w:rPr>
              <w:t>约18.1万元</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13</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招标范围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项目建设全过程监理（含施工准备阶段、施工阶段、工程竣工结算阶段和缺陷责任期阶段监理）。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14</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标段划分</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本招标项目不划分标段。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15</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投标人资格要求</w:t>
            </w:r>
          </w:p>
        </w:tc>
        <w:tc>
          <w:tcPr>
            <w:tcW w:w="7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1．本次招标不接受联合体投标。</w:t>
            </w:r>
          </w:p>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2．资质要求</w:t>
            </w:r>
          </w:p>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2.1 投标人须具备独立法人资格，按国家法律经营。</w:t>
            </w:r>
          </w:p>
          <w:p>
            <w:pPr>
              <w:keepNext w:val="0"/>
              <w:keepLines w:val="0"/>
              <w:pageBreakBefore w:val="0"/>
              <w:widowControl w:val="0"/>
              <w:kinsoku/>
              <w:wordWrap/>
              <w:overflowPunct/>
              <w:topLinePunct w:val="0"/>
              <w:autoSpaceDE/>
              <w:autoSpaceDN/>
              <w:bidi w:val="0"/>
              <w:adjustRightInd/>
              <w:snapToGrid/>
              <w:spacing w:before="165" w:beforeLines="50" w:line="240" w:lineRule="auto"/>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2.2 投标人须具备以下资质之一：①具有工程监理综合资质；②具有</w:t>
            </w:r>
            <w:r>
              <w:rPr>
                <w:rFonts w:hint="eastAsia" w:hAnsi="宋体" w:cs="宋体"/>
                <w:color w:val="auto"/>
                <w:sz w:val="21"/>
                <w:szCs w:val="21"/>
                <w:highlight w:val="none"/>
                <w:lang w:val="en-US" w:eastAsia="zh-CN"/>
              </w:rPr>
              <w:t>市政公用工程</w:t>
            </w:r>
            <w:r>
              <w:rPr>
                <w:rFonts w:hint="eastAsia" w:hAnsi="宋体" w:cs="宋体"/>
                <w:color w:val="auto"/>
                <w:sz w:val="21"/>
                <w:szCs w:val="21"/>
                <w:highlight w:val="none"/>
              </w:rPr>
              <w:t>专业监理</w:t>
            </w:r>
            <w:r>
              <w:rPr>
                <w:rFonts w:hint="eastAsia" w:hAnsi="宋体" w:cs="宋体"/>
                <w:color w:val="auto"/>
                <w:sz w:val="21"/>
                <w:szCs w:val="21"/>
                <w:highlight w:val="none"/>
                <w:lang w:val="en-US" w:eastAsia="zh-CN"/>
              </w:rPr>
              <w:t>丙</w:t>
            </w:r>
            <w:r>
              <w:rPr>
                <w:rFonts w:hint="eastAsia" w:hAnsi="宋体" w:cs="宋体"/>
                <w:color w:val="auto"/>
                <w:sz w:val="21"/>
                <w:szCs w:val="21"/>
                <w:highlight w:val="none"/>
              </w:rPr>
              <w:t>级以上（含</w:t>
            </w:r>
            <w:r>
              <w:rPr>
                <w:rFonts w:hint="eastAsia" w:hAnsi="宋体" w:cs="宋体"/>
                <w:color w:val="auto"/>
                <w:sz w:val="21"/>
                <w:szCs w:val="21"/>
                <w:highlight w:val="none"/>
                <w:lang w:val="en-US" w:eastAsia="zh-CN"/>
              </w:rPr>
              <w:t>丙</w:t>
            </w:r>
            <w:r>
              <w:rPr>
                <w:rFonts w:hint="eastAsia" w:hAnsi="宋体" w:cs="宋体"/>
                <w:color w:val="auto"/>
                <w:sz w:val="21"/>
                <w:szCs w:val="21"/>
                <w:highlight w:val="none"/>
              </w:rPr>
              <w:t>级）资质。</w:t>
            </w:r>
          </w:p>
          <w:p>
            <w:pPr>
              <w:pStyle w:val="23"/>
              <w:keepNext w:val="0"/>
              <w:keepLines w:val="0"/>
              <w:pageBreakBefore w:val="0"/>
              <w:widowControl w:val="0"/>
              <w:kinsoku/>
              <w:wordWrap/>
              <w:overflowPunct/>
              <w:topLinePunct w:val="0"/>
              <w:autoSpaceDE/>
              <w:autoSpaceDN/>
              <w:bidi w:val="0"/>
              <w:adjustRightInd/>
              <w:snapToGrid/>
              <w:spacing w:before="165" w:beforeLines="50" w:line="240" w:lineRule="auto"/>
              <w:ind w:firstLine="420" w:firstLineChars="200"/>
              <w:jc w:val="both"/>
              <w:textAlignment w:val="auto"/>
              <w:rPr>
                <w:rFonts w:hint="default" w:ascii="宋体" w:hAnsi="宋体" w:eastAsia="宋体" w:cs="宋体"/>
                <w:b w:val="0"/>
                <w:color w:val="auto"/>
                <w:kern w:val="2"/>
                <w:sz w:val="21"/>
                <w:szCs w:val="21"/>
                <w:highlight w:val="none"/>
                <w:lang w:val="en-US" w:eastAsia="zh-CN" w:bidi="ar-SA"/>
              </w:rPr>
            </w:pPr>
            <w:r>
              <w:rPr>
                <w:rFonts w:hint="eastAsia" w:hAnsi="宋体" w:cs="宋体"/>
                <w:b w:val="0"/>
                <w:bCs/>
                <w:color w:val="auto"/>
                <w:sz w:val="21"/>
                <w:szCs w:val="21"/>
                <w:highlight w:val="none"/>
                <w:lang w:val="en-US" w:eastAsia="zh-CN"/>
              </w:rPr>
              <w:t>2.3</w:t>
            </w:r>
            <w:r>
              <w:rPr>
                <w:rFonts w:hint="eastAsia" w:hAnsi="宋体" w:cs="宋体"/>
                <w:color w:val="auto"/>
                <w:sz w:val="21"/>
                <w:szCs w:val="21"/>
                <w:highlight w:val="none"/>
                <w:lang w:val="en-US" w:eastAsia="zh-CN"/>
              </w:rPr>
              <w:t xml:space="preserve"> </w:t>
            </w:r>
            <w:r>
              <w:rPr>
                <w:rFonts w:hint="eastAsia" w:ascii="宋体" w:hAnsi="宋体" w:eastAsia="宋体" w:cs="宋体"/>
                <w:b w:val="0"/>
                <w:color w:val="auto"/>
                <w:kern w:val="2"/>
                <w:sz w:val="21"/>
                <w:szCs w:val="21"/>
                <w:highlight w:val="none"/>
                <w:lang w:val="en-US" w:eastAsia="zh-CN" w:bidi="ar-SA"/>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3．相关人员要求</w:t>
            </w:r>
          </w:p>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3.1 拟派总监理工程师需具备</w:t>
            </w:r>
            <w:r>
              <w:rPr>
                <w:rFonts w:hint="eastAsia" w:hAnsi="宋体" w:cs="宋体"/>
                <w:color w:val="auto"/>
                <w:sz w:val="21"/>
                <w:szCs w:val="21"/>
                <w:highlight w:val="none"/>
                <w:u w:val="single"/>
                <w:lang w:val="en-US" w:eastAsia="zh-CN"/>
              </w:rPr>
              <w:t>市政公用</w:t>
            </w:r>
            <w:r>
              <w:rPr>
                <w:rFonts w:hint="eastAsia" w:hAnsi="宋体" w:cs="宋体"/>
                <w:color w:val="auto"/>
                <w:sz w:val="21"/>
                <w:szCs w:val="21"/>
                <w:highlight w:val="none"/>
                <w:u w:val="single"/>
              </w:rPr>
              <w:t>工程</w:t>
            </w:r>
            <w:r>
              <w:rPr>
                <w:rFonts w:hint="eastAsia" w:hAnsi="宋体" w:cs="宋体"/>
                <w:color w:val="auto"/>
                <w:sz w:val="21"/>
                <w:szCs w:val="21"/>
                <w:highlight w:val="none"/>
              </w:rPr>
              <w:t>专业注册监理工程师，应持有国家住建部印发的有效注册证书，其担任总监理工程师职务的其他在施（包括已中标未开工、已开工未竣工）建设工程项目不得超过2个。</w:t>
            </w:r>
          </w:p>
          <w:p>
            <w:pPr>
              <w:pStyle w:val="22"/>
              <w:keepNext w:val="0"/>
              <w:keepLines w:val="0"/>
              <w:pageBreakBefore w:val="0"/>
              <w:kinsoku/>
              <w:wordWrap/>
              <w:overflowPunct/>
              <w:topLinePunct w:val="0"/>
              <w:autoSpaceDE/>
              <w:autoSpaceDN/>
              <w:bidi w:val="0"/>
              <w:adjustRightInd/>
              <w:snapToGrid/>
              <w:spacing w:before="165" w:beforeLines="50" w:line="240" w:lineRule="auto"/>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拟派总监理工程师现阶段有担任其他在建工程项目总监理工程师职务的，须得到任职项目建设单位书面同意后方可担任本招标项目总监理工程师。</w:t>
            </w:r>
          </w:p>
          <w:p>
            <w:pPr>
              <w:keepNext w:val="0"/>
              <w:keepLines w:val="0"/>
              <w:pageBreakBefore w:val="0"/>
              <w:kinsoku/>
              <w:wordWrap/>
              <w:overflowPunct/>
              <w:topLinePunct w:val="0"/>
              <w:autoSpaceDE/>
              <w:autoSpaceDN/>
              <w:bidi w:val="0"/>
              <w:adjustRightInd/>
              <w:snapToGrid/>
              <w:spacing w:before="165" w:beforeLines="50" w:line="24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3.2 投标人与其拟派往本项目监理机构的所有人员之间必须具备合法、唯一的劳动聘用关系。拟派人员中具备注册执业资格的，其注册单位须与投标人保持一致。</w:t>
            </w:r>
          </w:p>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4．禁止投标条款</w:t>
            </w:r>
          </w:p>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4.1 投标人不得存在下列情形之一：</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（1）为招标人不具有独立法人资格的附属机构（单位）；</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（2）与招标人存在利害关系且可能影响招标公正性；</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（3）与本招标项目的其他投标人为同一个单位负责人；</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（4）与本招标项目的其他投标人存在控股、管理关系；</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（5）为本招标项目的代建人；</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（6）为本招标项目的招标代理机构；</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（7）与本招标项目的代建人或招标代理机构同为一个法定代表人；</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（8）与本招标项目的代建人或招标代理机构存在控股或参股关系；</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（9）与本招标项目的施工承包人以及建筑材料、建筑构配件和设备供应商有隶属关系或者其他利害关系；</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（10）被依法暂停或者取消投标资格；</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（11）被责令停产停业、暂扣或者吊销许可证、暂扣或者吊销执照；</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（12）进入清算程序，或被宣告破产，或其他丧失履约能力的情形；</w:t>
            </w:r>
          </w:p>
          <w:p>
            <w:pPr>
              <w:wordWrap w:val="0"/>
              <w:adjustRightInd w:val="0"/>
              <w:snapToGrid w:val="0"/>
              <w:spacing w:before="120" w:beforeLines="50" w:line="312"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（13）在最近三年内发生重大监理质量问题（以相关行业主管部门的行政处罚决定或司法机关出具的有关法律文书为准）；</w:t>
            </w:r>
          </w:p>
          <w:p>
            <w:pPr>
              <w:wordWrap w:val="0"/>
              <w:adjustRightInd w:val="0"/>
              <w:snapToGrid w:val="0"/>
              <w:spacing w:before="120" w:beforeLines="50" w:line="312" w:lineRule="auto"/>
              <w:ind w:firstLine="478" w:firstLineChars="228"/>
              <w:jc w:val="left"/>
              <w:rPr>
                <w:rFonts w:hAnsi="宋体" w:cs="宋体"/>
                <w:color w:val="auto"/>
                <w:sz w:val="21"/>
                <w:szCs w:val="21"/>
                <w:highlight w:val="none"/>
              </w:rPr>
            </w:pPr>
            <w:r>
              <w:rPr>
                <w:rFonts w:hint="eastAsia" w:hAnsi="宋体" w:cs="宋体"/>
                <w:color w:val="auto"/>
                <w:sz w:val="21"/>
                <w:szCs w:val="21"/>
                <w:highlight w:val="none"/>
              </w:rPr>
              <w:t>（14）被“信用中国”网站（https://www.creditchina.gov.cn）发布的《法人和非法人组织公共信用信息报告》列入严重失信主体名单的。</w:t>
            </w:r>
          </w:p>
          <w:p>
            <w:pPr>
              <w:pStyle w:val="30"/>
              <w:widowControl/>
              <w:adjustRightInd w:val="0"/>
              <w:snapToGrid w:val="0"/>
              <w:spacing w:before="120" w:beforeLines="50"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4.2招标人拒绝以下名单中的单位参加本次投标：</w:t>
            </w:r>
          </w:p>
          <w:tbl>
            <w:tblPr>
              <w:tblStyle w:val="1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79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9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295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379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韶关市武江区人民政府惠民街道办事处</w:t>
                  </w:r>
                </w:p>
              </w:tc>
              <w:tc>
                <w:tcPr>
                  <w:tcW w:w="295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为本项目招标人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379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广东中颢工程设计有限公司</w:t>
                  </w:r>
                </w:p>
              </w:tc>
              <w:tc>
                <w:tcPr>
                  <w:tcW w:w="295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379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广东明正项目管理有限公司</w:t>
                  </w:r>
                </w:p>
              </w:tc>
              <w:tc>
                <w:tcPr>
                  <w:tcW w:w="295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为本招标项目的预算编制单位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379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广州穗科建设管理有限公司</w:t>
                  </w:r>
                </w:p>
              </w:tc>
              <w:tc>
                <w:tcPr>
                  <w:tcW w:w="295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为本招标项目的招标代理机构</w:t>
                  </w:r>
                </w:p>
              </w:tc>
            </w:tr>
          </w:tbl>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5．其他要求</w:t>
            </w:r>
          </w:p>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16</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服务期限</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420" w:firstLineChars="200"/>
              <w:rPr>
                <w:rFonts w:hAnsi="宋体" w:cs="宋体"/>
                <w:color w:val="auto"/>
                <w:sz w:val="21"/>
                <w:szCs w:val="21"/>
                <w:highlight w:val="none"/>
              </w:rPr>
            </w:pPr>
            <w:r>
              <w:rPr>
                <w:rFonts w:hint="eastAsia" w:hAnsi="宋体" w:cs="宋体"/>
                <w:bCs/>
                <w:snapToGrid w:val="0"/>
                <w:color w:val="auto"/>
                <w:kern w:val="0"/>
                <w:sz w:val="21"/>
                <w:szCs w:val="21"/>
                <w:highlight w:val="none"/>
              </w:rPr>
              <w:t>监理服务期从</w:t>
            </w:r>
            <w:r>
              <w:rPr>
                <w:rFonts w:hint="eastAsia" w:hAnsi="宋体" w:cs="宋体"/>
                <w:color w:val="auto"/>
                <w:sz w:val="21"/>
                <w:szCs w:val="21"/>
                <w:highlight w:val="none"/>
              </w:rPr>
              <w:t>中标通知书发出之日</w:t>
            </w:r>
            <w:r>
              <w:rPr>
                <w:rFonts w:hint="eastAsia" w:hAnsi="宋体" w:cs="宋体"/>
                <w:bCs/>
                <w:snapToGrid w:val="0"/>
                <w:color w:val="auto"/>
                <w:kern w:val="0"/>
                <w:sz w:val="21"/>
                <w:szCs w:val="21"/>
                <w:highlight w:val="none"/>
              </w:rPr>
              <w:t>起计，至本工程缺陷责任期结束且本工程结算金额经政府主管部门审定且双方的责任义务履行完毕时止。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17</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服务标准</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工程质量达到合格标准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18</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房屋建筑工程</w:t>
            </w:r>
          </w:p>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绿色建筑标准</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本招标项目不纳入绿色建设实施范围。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18.1</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装配式建筑标准</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本招标项目不纳入装配式建造建设实施范围。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19</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最高投标限价</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人民币（大写）</w:t>
            </w:r>
            <w:r>
              <w:rPr>
                <w:rFonts w:hint="eastAsia" w:hAnsi="宋体" w:cs="宋体"/>
                <w:color w:val="auto"/>
                <w:sz w:val="21"/>
                <w:szCs w:val="21"/>
                <w:highlight w:val="none"/>
                <w:u w:val="single"/>
                <w:lang w:val="en-US" w:eastAsia="zh-CN"/>
              </w:rPr>
              <w:t>壹拾捌万零玖佰陆拾元整</w:t>
            </w:r>
            <w:r>
              <w:rPr>
                <w:rFonts w:hint="eastAsia" w:hAnsi="宋体" w:cs="宋体"/>
                <w:color w:val="auto"/>
                <w:sz w:val="21"/>
                <w:szCs w:val="21"/>
                <w:highlight w:val="none"/>
              </w:rPr>
              <w:t>（¥</w:t>
            </w:r>
            <w:r>
              <w:rPr>
                <w:rFonts w:hint="eastAsia" w:hAnsi="宋体" w:cs="宋体"/>
                <w:color w:val="auto"/>
                <w:sz w:val="21"/>
                <w:szCs w:val="21"/>
                <w:highlight w:val="none"/>
                <w:u w:val="single"/>
                <w:lang w:val="en-US" w:eastAsia="zh-CN"/>
              </w:rPr>
              <w:t>180960.00</w:t>
            </w:r>
            <w:r>
              <w:rPr>
                <w:rFonts w:hint="eastAsia" w:hAnsi="宋体" w:cs="宋体"/>
                <w:color w:val="auto"/>
                <w:sz w:val="21"/>
                <w:szCs w:val="21"/>
                <w:highlight w:val="none"/>
                <w:u w:val="single"/>
              </w:rPr>
              <w:t>元</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20</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投标保证</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rPr>
                <w:rFonts w:hAnsi="宋体" w:cs="宋体"/>
                <w:color w:val="auto"/>
                <w:sz w:val="21"/>
                <w:szCs w:val="21"/>
                <w:highlight w:val="none"/>
              </w:rPr>
            </w:pPr>
            <w:r>
              <w:rPr>
                <w:rFonts w:hint="eastAsia" w:hAnsi="宋体" w:cs="宋体"/>
                <w:color w:val="auto"/>
                <w:sz w:val="21"/>
                <w:szCs w:val="21"/>
                <w:highlight w:val="none"/>
              </w:rPr>
              <w:t xml:space="preserve">  1．投标人须缴纳金额为人民币</w:t>
            </w:r>
            <w:r>
              <w:rPr>
                <w:rFonts w:hint="eastAsia" w:hAnsi="宋体" w:cs="宋体"/>
                <w:color w:val="auto"/>
                <w:sz w:val="21"/>
                <w:szCs w:val="21"/>
                <w:highlight w:val="none"/>
                <w:u w:val="single"/>
              </w:rPr>
              <w:t>3000.00元</w:t>
            </w:r>
            <w:r>
              <w:rPr>
                <w:rFonts w:hint="eastAsia" w:hAnsi="宋体" w:cs="宋体"/>
                <w:color w:val="auto"/>
                <w:sz w:val="21"/>
                <w:szCs w:val="21"/>
                <w:highlight w:val="none"/>
              </w:rPr>
              <w:t xml:space="preserve">的投标保证。 </w:t>
            </w:r>
          </w:p>
          <w:p>
            <w:pPr>
              <w:wordWrap w:val="0"/>
              <w:adjustRightInd w:val="0"/>
              <w:snapToGrid w:val="0"/>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2．投标保证的形式包括投标保证金、投标保证担保、</w:t>
            </w:r>
            <w:r>
              <w:rPr>
                <w:rFonts w:hint="eastAsia" w:hAnsi="宋体" w:cs="宋体"/>
                <w:snapToGrid w:val="0"/>
                <w:color w:val="auto"/>
                <w:kern w:val="0"/>
                <w:sz w:val="21"/>
                <w:szCs w:val="21"/>
                <w:highlight w:val="none"/>
              </w:rPr>
              <w:t>投标保证保险</w:t>
            </w:r>
            <w:r>
              <w:rPr>
                <w:rFonts w:hint="eastAsia" w:hAnsi="宋体" w:cs="宋体"/>
                <w:color w:val="auto"/>
                <w:sz w:val="21"/>
                <w:szCs w:val="21"/>
                <w:highlight w:val="none"/>
              </w:rPr>
              <w:t>三种，由投标人自主选择。</w:t>
            </w:r>
          </w:p>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1）采用投标保证金的，投标人在建设工程交易系统报名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pPr>
              <w:kinsoku w:val="0"/>
              <w:wordWrap w:val="0"/>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pPr>
              <w:kinsoku w:val="0"/>
              <w:wordWrap w:val="0"/>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21</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投标有效期</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本次招标的投标有效期为</w:t>
            </w:r>
            <w:r>
              <w:rPr>
                <w:rFonts w:hint="eastAsia" w:hAnsi="宋体" w:cs="宋体"/>
                <w:color w:val="auto"/>
                <w:sz w:val="21"/>
                <w:szCs w:val="21"/>
                <w:highlight w:val="none"/>
                <w:u w:val="single"/>
              </w:rPr>
              <w:t xml:space="preserve"> 90 </w:t>
            </w:r>
            <w:r>
              <w:rPr>
                <w:rFonts w:hint="eastAsia" w:hAnsi="宋体" w:cs="宋体"/>
                <w:color w:val="auto"/>
                <w:sz w:val="21"/>
                <w:szCs w:val="21"/>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22</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投标文件</w:t>
            </w:r>
          </w:p>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组成及份数</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投标文件包括商务标书、监理大纲两个分册。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23</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评标方法</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24</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监理大纲</w:t>
            </w:r>
          </w:p>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评审方式</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本次招标监理大纲</w:t>
            </w:r>
            <w:r>
              <w:rPr>
                <w:rFonts w:hint="eastAsia" w:hAnsi="宋体" w:cs="宋体"/>
                <w:color w:val="auto"/>
                <w:sz w:val="21"/>
                <w:szCs w:val="21"/>
                <w:highlight w:val="none"/>
                <w:u w:val="single"/>
              </w:rPr>
              <w:t xml:space="preserve"> 不采用 </w:t>
            </w:r>
            <w:r>
              <w:rPr>
                <w:rFonts w:hint="eastAsia" w:hAnsi="宋体" w:cs="宋体"/>
                <w:color w:val="auto"/>
                <w:sz w:val="21"/>
                <w:szCs w:val="21"/>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25</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评标委员会</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评标委员会由</w:t>
            </w:r>
            <w:r>
              <w:rPr>
                <w:rFonts w:hint="eastAsia" w:hAnsi="宋体" w:cs="宋体"/>
                <w:color w:val="auto"/>
                <w:sz w:val="21"/>
                <w:szCs w:val="21"/>
                <w:highlight w:val="none"/>
                <w:u w:val="single"/>
              </w:rPr>
              <w:t>5</w:t>
            </w:r>
            <w:r>
              <w:rPr>
                <w:rFonts w:hint="eastAsia" w:hAnsi="宋体" w:cs="宋体"/>
                <w:color w:val="auto"/>
                <w:sz w:val="21"/>
                <w:szCs w:val="21"/>
                <w:highlight w:val="none"/>
              </w:rPr>
              <w:t>人组成，其中招标人代表 0人，专家5人。专家从广东省综合评标评审专家库中随机抽取，其中技术类专家3人，经济类专家2人。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26</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招标人</w:t>
            </w:r>
          </w:p>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6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单位名称：韶关市武江区人民政府惠民街道办事处</w:t>
            </w:r>
          </w:p>
          <w:p>
            <w:pPr>
              <w:spacing w:line="40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办公地址：韶关市武江区工业西路18号</w:t>
            </w:r>
          </w:p>
          <w:p>
            <w:pPr>
              <w:spacing w:line="40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联系人（部门）：徐工</w:t>
            </w:r>
          </w:p>
          <w:p>
            <w:pPr>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联系电话： 0751-8634658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27</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招标代理机构</w:t>
            </w:r>
          </w:p>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6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单位名称：广州穗科建设管理有限公司</w:t>
            </w:r>
          </w:p>
          <w:p>
            <w:pPr>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办公地址：广东省韶关市武江区百旺大道42号莞韶双创中心研发办公楼五楼</w:t>
            </w:r>
          </w:p>
          <w:p>
            <w:pPr>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联系人(部门)：林工</w:t>
            </w:r>
          </w:p>
          <w:p>
            <w:pPr>
              <w:spacing w:line="40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联系电话：0751-8219991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28</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交易场所</w:t>
            </w:r>
          </w:p>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6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单位名称：韶关市公共资源交易中心</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办公地址：广东省韶关市武江区西联镇</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联系人（部门）：工程交易部</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联系电话：0751—8633211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bookmarkStart w:id="13" w:name="_Toc122859103"/>
            <w:bookmarkStart w:id="14" w:name="_Toc122769943"/>
            <w:bookmarkStart w:id="15" w:name="_Toc122671103"/>
            <w:r>
              <w:rPr>
                <w:rFonts w:hint="eastAsia" w:hAnsi="宋体" w:cs="宋体"/>
                <w:color w:val="auto"/>
                <w:sz w:val="21"/>
                <w:szCs w:val="21"/>
                <w:highlight w:val="none"/>
              </w:rPr>
              <w:t>29</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行政监督部门</w:t>
            </w:r>
          </w:p>
          <w:p>
            <w:pPr>
              <w:spacing w:line="312" w:lineRule="auto"/>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6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单位名称：韶关市住房和城乡建设管理局 </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办公地址：</w:t>
            </w:r>
            <w:r>
              <w:rPr>
                <w:rFonts w:hint="eastAsia" w:ascii="宋体" w:hAnsi="宋体" w:eastAsia="宋体" w:cs="宋体"/>
                <w:color w:val="auto"/>
                <w:sz w:val="21"/>
                <w:szCs w:val="21"/>
                <w:highlight w:val="none"/>
                <w:lang w:eastAsia="zh-CN"/>
              </w:rPr>
              <w:t>广东省韶关市武江区芙蓉东路5号</w:t>
            </w:r>
            <w:r>
              <w:rPr>
                <w:rFonts w:hint="eastAsia" w:ascii="宋体" w:hAnsi="宋体" w:eastAsia="宋体" w:cs="宋体"/>
                <w:color w:val="auto"/>
                <w:sz w:val="21"/>
                <w:szCs w:val="21"/>
                <w:highlight w:val="none"/>
              </w:rPr>
              <w:t xml:space="preserve"> </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联系人(部门)：建筑业市场管理科  </w:t>
            </w:r>
          </w:p>
          <w:p>
            <w:pPr>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联系电话：0751—8892601  </w:t>
            </w:r>
          </w:p>
        </w:tc>
      </w:tr>
      <w:bookmarkEnd w:id="13"/>
      <w:bookmarkEnd w:id="14"/>
      <w:bookmarkEnd w:id="1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30</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术语</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2．“相关服务”是指监理人受委托人的委托，按照合同约定，在勘察、设计、保修等阶段提供的服务活动。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31</w:t>
            </w:r>
          </w:p>
        </w:tc>
        <w:tc>
          <w:tcPr>
            <w:tcW w:w="1579"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jc w:val="center"/>
              <w:rPr>
                <w:rFonts w:hAnsi="宋体" w:cs="宋体"/>
                <w:color w:val="auto"/>
                <w:sz w:val="21"/>
                <w:szCs w:val="21"/>
                <w:highlight w:val="none"/>
              </w:rPr>
            </w:pPr>
            <w:r>
              <w:rPr>
                <w:rFonts w:hint="eastAsia" w:hAnsi="宋体" w:cs="宋体"/>
                <w:color w:val="auto"/>
                <w:sz w:val="21"/>
                <w:szCs w:val="21"/>
                <w:highlight w:val="none"/>
              </w:rPr>
              <w:t>招标代理服务费及评标专家酬劳的支付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20" w:beforeLines="50" w:line="312" w:lineRule="auto"/>
              <w:ind w:firstLine="210" w:firstLineChars="100"/>
              <w:rPr>
                <w:rFonts w:hAnsi="宋体" w:cs="宋体"/>
                <w:color w:val="auto"/>
                <w:sz w:val="21"/>
                <w:szCs w:val="21"/>
                <w:highlight w:val="none"/>
              </w:rPr>
            </w:pPr>
            <w:r>
              <w:rPr>
                <w:rFonts w:hint="eastAsia" w:hAnsi="宋体" w:cs="宋体"/>
                <w:color w:val="auto"/>
                <w:sz w:val="21"/>
                <w:szCs w:val="21"/>
                <w:highlight w:val="none"/>
              </w:rPr>
              <w:t>根据本工程的建设工程招标代理合同约定，本工程的代理服务费、评标专家酬劳由中标人支付。由投标人在投标报价时综合考虑在内。评标专家酬劳包括食宿费用、交通费、专家评审劳务费等。中标人在领取中标通知书前须向招标代理机构一次性支付，方可领取中标通知书。</w:t>
            </w:r>
          </w:p>
        </w:tc>
      </w:tr>
    </w:tbl>
    <w:p>
      <w:pPr>
        <w:rPr>
          <w:rFonts w:hAnsi="宋体" w:cs="宋体"/>
          <w:color w:val="auto"/>
          <w:highlight w:val="none"/>
        </w:rPr>
      </w:pPr>
    </w:p>
    <w:bookmarkEnd w:id="10"/>
    <w:bookmarkEnd w:id="11"/>
    <w:p>
      <w:pPr>
        <w:pStyle w:val="4"/>
        <w:wordWrap w:val="0"/>
        <w:autoSpaceDE/>
        <w:autoSpaceDN/>
        <w:snapToGrid w:val="0"/>
        <w:spacing w:after="260"/>
        <w:jc w:val="both"/>
        <w:rPr>
          <w:rFonts w:hAnsi="宋体" w:cs="宋体"/>
          <w:b/>
          <w:snapToGrid w:val="0"/>
          <w:color w:val="auto"/>
          <w:highlight w:val="none"/>
        </w:rPr>
        <w:sectPr>
          <w:footerReference r:id="rId5" w:type="default"/>
          <w:endnotePr>
            <w:numFmt w:val="decimal"/>
          </w:endnotePr>
          <w:pgSz w:w="11906" w:h="16838"/>
          <w:pgMar w:top="1134" w:right="1134" w:bottom="1134" w:left="1134" w:header="850" w:footer="850" w:gutter="0"/>
          <w:pgNumType w:start="1"/>
          <w:cols w:space="0" w:num="1"/>
          <w:docGrid w:linePitch="327" w:charSpace="0"/>
        </w:sectPr>
      </w:pPr>
    </w:p>
    <w:p>
      <w:pPr>
        <w:pStyle w:val="4"/>
        <w:wordWrap w:val="0"/>
        <w:autoSpaceDE/>
        <w:autoSpaceDN/>
        <w:snapToGrid w:val="0"/>
        <w:spacing w:after="260"/>
        <w:jc w:val="both"/>
        <w:rPr>
          <w:rFonts w:hAnsi="宋体" w:cs="宋体"/>
          <w:b/>
          <w:snapToGrid w:val="0"/>
          <w:color w:val="auto"/>
          <w:highlight w:val="none"/>
        </w:rPr>
      </w:pPr>
      <w:bookmarkStart w:id="16" w:name="_Toc14942"/>
      <w:bookmarkStart w:id="17" w:name="_Toc8474"/>
      <w:r>
        <w:rPr>
          <w:rFonts w:hint="eastAsia" w:hAnsi="宋体" w:cs="宋体"/>
          <w:b/>
          <w:snapToGrid w:val="0"/>
          <w:color w:val="auto"/>
          <w:highlight w:val="none"/>
        </w:rPr>
        <w:t>第二节   重要事项时间地点一览表</w:t>
      </w:r>
      <w:bookmarkEnd w:id="16"/>
      <w:bookmarkEnd w:id="17"/>
    </w:p>
    <w:tbl>
      <w:tblPr>
        <w:tblStyle w:val="1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06"/>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1</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snapToGrid w:val="0"/>
                <w:color w:val="auto"/>
                <w:kern w:val="0"/>
                <w:szCs w:val="21"/>
                <w:highlight w:val="none"/>
              </w:rPr>
            </w:pPr>
            <w:r>
              <w:rPr>
                <w:rFonts w:hint="eastAsia"/>
                <w:snapToGrid w:val="0"/>
                <w:color w:val="auto"/>
                <w:kern w:val="0"/>
                <w:szCs w:val="21"/>
                <w:highlight w:val="none"/>
              </w:rPr>
              <w:t>招标公告</w:t>
            </w:r>
          </w:p>
          <w:p>
            <w:pPr>
              <w:pStyle w:val="30"/>
              <w:wordWrap w:val="0"/>
              <w:adjustRightInd w:val="0"/>
              <w:snapToGrid w:val="0"/>
              <w:spacing w:line="360" w:lineRule="exact"/>
              <w:jc w:val="center"/>
              <w:rPr>
                <w:snapToGrid w:val="0"/>
                <w:color w:val="auto"/>
                <w:kern w:val="0"/>
                <w:szCs w:val="21"/>
                <w:highlight w:val="none"/>
              </w:rPr>
            </w:pPr>
            <w:r>
              <w:rPr>
                <w:rFonts w:hint="eastAsia"/>
                <w:snapToGrid w:val="0"/>
                <w:color w:val="auto"/>
                <w:kern w:val="0"/>
                <w:szCs w:val="21"/>
                <w:highlight w:val="none"/>
              </w:rPr>
              <w:t xml:space="preserve">发布时间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jc w:val="left"/>
              <w:rPr>
                <w:snapToGrid w:val="0"/>
                <w:color w:val="auto"/>
                <w:kern w:val="0"/>
                <w:szCs w:val="21"/>
                <w:highlight w:val="none"/>
              </w:rPr>
            </w:pPr>
            <w:r>
              <w:rPr>
                <w:rFonts w:hint="eastAsia"/>
                <w:snapToGrid w:val="0"/>
                <w:color w:val="auto"/>
                <w:kern w:val="0"/>
                <w:szCs w:val="21"/>
                <w:highlight w:val="none"/>
              </w:rPr>
              <w:t xml:space="preserve"> </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18</w:t>
            </w:r>
            <w:r>
              <w:rPr>
                <w:rFonts w:hint="eastAsia"/>
                <w:snapToGrid w:val="0"/>
                <w:color w:val="auto"/>
                <w:kern w:val="0"/>
                <w:szCs w:val="21"/>
                <w:highlight w:val="none"/>
              </w:rPr>
              <w:t>时</w:t>
            </w:r>
            <w:r>
              <w:rPr>
                <w:rFonts w:hint="eastAsia"/>
                <w:snapToGrid w:val="0"/>
                <w:color w:val="auto"/>
                <w:kern w:val="0"/>
                <w:szCs w:val="21"/>
                <w:highlight w:val="none"/>
                <w:u w:val="single"/>
              </w:rPr>
              <w:t xml:space="preserve"> </w:t>
            </w:r>
            <w:r>
              <w:rPr>
                <w:rFonts w:hint="eastAsia"/>
                <w:snapToGrid w:val="0"/>
                <w:color w:val="auto"/>
                <w:kern w:val="0"/>
                <w:szCs w:val="21"/>
                <w:highlight w:val="none"/>
                <w:u w:val="single"/>
                <w:lang w:val="en-US" w:eastAsia="zh-CN"/>
              </w:rPr>
              <w:t>00</w:t>
            </w:r>
            <w:r>
              <w:rPr>
                <w:rFonts w:hint="eastAsia"/>
                <w:snapToGrid w:val="0"/>
                <w:color w:val="auto"/>
                <w:kern w:val="0"/>
                <w:szCs w:val="21"/>
                <w:highlight w:val="none"/>
                <w:u w:val="single"/>
              </w:rPr>
              <w:t xml:space="preserve"> </w:t>
            </w:r>
            <w:r>
              <w:rPr>
                <w:rFonts w:hint="eastAsia"/>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2</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snapToGrid w:val="0"/>
                <w:color w:val="auto"/>
                <w:kern w:val="0"/>
                <w:szCs w:val="21"/>
                <w:highlight w:val="none"/>
              </w:rPr>
            </w:pPr>
            <w:r>
              <w:rPr>
                <w:rFonts w:hint="eastAsia" w:ascii="宋体" w:hAnsi="宋体" w:cs="宋体"/>
                <w:color w:val="auto"/>
                <w:szCs w:val="21"/>
                <w:highlight w:val="none"/>
              </w:rPr>
              <w:t>获取招标文件</w:t>
            </w:r>
          </w:p>
          <w:p>
            <w:pPr>
              <w:pStyle w:val="30"/>
              <w:wordWrap w:val="0"/>
              <w:adjustRightInd w:val="0"/>
              <w:snapToGrid w:val="0"/>
              <w:spacing w:line="360" w:lineRule="exact"/>
              <w:jc w:val="center"/>
              <w:rPr>
                <w:snapToGrid w:val="0"/>
                <w:color w:val="auto"/>
                <w:kern w:val="0"/>
                <w:szCs w:val="21"/>
                <w:highlight w:val="none"/>
              </w:rPr>
            </w:pPr>
            <w:r>
              <w:rPr>
                <w:rFonts w:hint="eastAsia"/>
                <w:snapToGrid w:val="0"/>
                <w:color w:val="auto"/>
                <w:kern w:val="0"/>
                <w:szCs w:val="21"/>
                <w:highlight w:val="none"/>
              </w:rPr>
              <w:t xml:space="preserve">截止时间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jc w:val="left"/>
              <w:rPr>
                <w:snapToGrid w:val="0"/>
                <w:color w:val="auto"/>
                <w:kern w:val="0"/>
                <w:szCs w:val="21"/>
                <w:highlight w:val="none"/>
              </w:rPr>
            </w:pPr>
            <w:r>
              <w:rPr>
                <w:rFonts w:hint="eastAsia"/>
                <w:snapToGrid w:val="0"/>
                <w:color w:val="auto"/>
                <w:kern w:val="0"/>
                <w:szCs w:val="21"/>
                <w:highlight w:val="none"/>
              </w:rPr>
              <w:t xml:space="preserve"> </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3</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网上提问</w:t>
            </w:r>
          </w:p>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 xml:space="preserve">截止时间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16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4</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网上答疑</w:t>
            </w:r>
          </w:p>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时间</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idowControl/>
              <w:snapToGrid w:val="0"/>
              <w:jc w:val="left"/>
              <w:rPr>
                <w:rFonts w:ascii="宋体" w:hAnsi="宋体" w:cs="宋体"/>
                <w:color w:val="auto"/>
                <w:szCs w:val="21"/>
                <w:highlight w:val="none"/>
              </w:rPr>
            </w:pP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16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分至</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16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00</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5</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投标保证缴</w:t>
            </w:r>
          </w:p>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纳截止时间</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投标保证金到账截止时间：</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r>
              <w:rPr>
                <w:rFonts w:hint="eastAsia" w:ascii="宋体" w:hAnsi="宋体" w:cs="宋体"/>
                <w:color w:val="auto"/>
                <w:kern w:val="0"/>
                <w:szCs w:val="21"/>
                <w:highlight w:val="none"/>
              </w:rPr>
              <w:t>；</w:t>
            </w:r>
          </w:p>
          <w:p>
            <w:pPr>
              <w:pStyle w:val="30"/>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投标保证担保上传截止时间：</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r>
              <w:rPr>
                <w:rFonts w:hint="eastAsia" w:ascii="宋体" w:hAnsi="宋体" w:cs="宋体"/>
                <w:color w:val="auto"/>
                <w:kern w:val="0"/>
                <w:szCs w:val="21"/>
                <w:highlight w:val="none"/>
              </w:rPr>
              <w:t>；</w:t>
            </w:r>
          </w:p>
          <w:p>
            <w:pPr>
              <w:pStyle w:val="30"/>
              <w:widowControl/>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投标保证保险投保截止时间：</w:t>
            </w: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6</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电子投标</w:t>
            </w:r>
          </w:p>
          <w:p>
            <w:pPr>
              <w:pStyle w:val="30"/>
              <w:wordWrap w:val="0"/>
              <w:adjustRightInd w:val="0"/>
              <w:snapToGrid w:val="0"/>
              <w:spacing w:line="360" w:lineRule="exact"/>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截止时间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idowControl/>
              <w:snapToGrid w:val="0"/>
              <w:jc w:val="left"/>
              <w:rPr>
                <w:rFonts w:ascii="宋体" w:hAnsi="宋体" w:cs="宋体"/>
                <w:color w:val="auto"/>
                <w:szCs w:val="21"/>
                <w:highlight w:val="none"/>
              </w:rPr>
            </w:pP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7</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snapToGrid w:val="0"/>
                <w:color w:val="auto"/>
                <w:kern w:val="0"/>
                <w:szCs w:val="21"/>
                <w:highlight w:val="none"/>
              </w:rPr>
            </w:pPr>
            <w:r>
              <w:rPr>
                <w:rFonts w:hint="eastAsia" w:ascii="宋体" w:hAnsi="宋体" w:cs="宋体"/>
                <w:snapToGrid w:val="0"/>
                <w:color w:val="auto"/>
                <w:kern w:val="0"/>
                <w:szCs w:val="21"/>
                <w:highlight w:val="none"/>
              </w:rPr>
              <w:t>相关评审资料原件（如有）</w:t>
            </w:r>
            <w:r>
              <w:rPr>
                <w:rFonts w:hint="eastAsia"/>
                <w:snapToGrid w:val="0"/>
                <w:color w:val="auto"/>
                <w:kern w:val="0"/>
                <w:szCs w:val="21"/>
                <w:highlight w:val="none"/>
              </w:rPr>
              <w:t>递交时间</w:t>
            </w:r>
          </w:p>
        </w:tc>
        <w:tc>
          <w:tcPr>
            <w:tcW w:w="7699" w:type="dxa"/>
            <w:tcBorders>
              <w:top w:val="single" w:color="auto" w:sz="4" w:space="0"/>
              <w:left w:val="single" w:color="auto" w:sz="4" w:space="0"/>
              <w:bottom w:val="single" w:color="auto" w:sz="4" w:space="0"/>
              <w:right w:val="single" w:color="auto" w:sz="4" w:space="0"/>
            </w:tcBorders>
            <w:vAlign w:val="center"/>
          </w:tcPr>
          <w:p>
            <w:pPr>
              <w:pStyle w:val="9"/>
              <w:wordWrap w:val="0"/>
              <w:adjustRightInd w:val="0"/>
              <w:snapToGrid w:val="0"/>
              <w:spacing w:line="400" w:lineRule="exact"/>
              <w:jc w:val="left"/>
              <w:rPr>
                <w:rFonts w:hAnsiTheme="minorHAnsi" w:eastAsiaTheme="minorEastAsia" w:cstheme="minorBidi"/>
                <w:snapToGrid w:val="0"/>
                <w:color w:val="auto"/>
                <w:kern w:val="0"/>
                <w:sz w:val="21"/>
                <w:szCs w:val="21"/>
                <w:highlight w:val="none"/>
              </w:rPr>
            </w:pPr>
            <w:r>
              <w:rPr>
                <w:rFonts w:hint="eastAsia"/>
                <w:snapToGrid w:val="0"/>
                <w:color w:val="auto"/>
                <w:kern w:val="0"/>
                <w:sz w:val="21"/>
                <w:szCs w:val="21"/>
                <w:highlight w:val="none"/>
              </w:rPr>
              <w:t xml:space="preserve"> </w:t>
            </w:r>
            <w:r>
              <w:rPr>
                <w:rFonts w:hint="eastAsia" w:ascii="宋体" w:hAnsi="宋体" w:cs="宋体"/>
                <w:color w:val="auto"/>
                <w:kern w:val="0"/>
                <w:sz w:val="22"/>
                <w:szCs w:val="20"/>
                <w:highlight w:val="none"/>
                <w:u w:val="single"/>
              </w:rPr>
              <w:t>2024</w:t>
            </w:r>
            <w:r>
              <w:rPr>
                <w:rFonts w:hint="eastAsia" w:ascii="宋体" w:hAnsi="宋体" w:cs="宋体"/>
                <w:color w:val="auto"/>
                <w:kern w:val="0"/>
                <w:sz w:val="22"/>
                <w:szCs w:val="20"/>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00</w:t>
            </w:r>
            <w:r>
              <w:rPr>
                <w:rFonts w:hint="eastAsia"/>
                <w:snapToGrid w:val="0"/>
                <w:color w:val="auto"/>
                <w:kern w:val="0"/>
                <w:szCs w:val="21"/>
                <w:highlight w:val="none"/>
              </w:rPr>
              <w:t>分</w:t>
            </w:r>
            <w:r>
              <w:rPr>
                <w:rFonts w:hint="eastAsia"/>
                <w:snapToGrid w:val="0"/>
                <w:color w:val="auto"/>
                <w:kern w:val="0"/>
                <w:sz w:val="21"/>
                <w:szCs w:val="21"/>
                <w:highlight w:val="none"/>
              </w:rPr>
              <w:t>至</w:t>
            </w:r>
            <w:r>
              <w:rPr>
                <w:rFonts w:hint="eastAsia" w:hAnsi="宋体" w:cs="宋体"/>
                <w:color w:val="auto"/>
                <w:kern w:val="0"/>
                <w:sz w:val="21"/>
                <w:szCs w:val="21"/>
                <w:highlight w:val="none"/>
                <w:u w:val="single"/>
              </w:rPr>
              <w:t>2024</w:t>
            </w:r>
            <w:r>
              <w:rPr>
                <w:rFonts w:hint="eastAsia" w:hAnsi="宋体" w:cs="宋体"/>
                <w:color w:val="auto"/>
                <w:kern w:val="0"/>
                <w:sz w:val="21"/>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8</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snapToGrid w:val="0"/>
                <w:color w:val="auto"/>
                <w:kern w:val="0"/>
                <w:szCs w:val="21"/>
                <w:highlight w:val="none"/>
              </w:rPr>
            </w:pPr>
            <w:r>
              <w:rPr>
                <w:rFonts w:hint="eastAsia" w:ascii="宋体" w:hAnsi="宋体" w:cs="宋体"/>
                <w:snapToGrid w:val="0"/>
                <w:color w:val="auto"/>
                <w:kern w:val="0"/>
                <w:szCs w:val="21"/>
                <w:highlight w:val="none"/>
              </w:rPr>
              <w:t>相关评审资料原件（如有）</w:t>
            </w:r>
            <w:r>
              <w:rPr>
                <w:rFonts w:hint="eastAsia"/>
                <w:snapToGrid w:val="0"/>
                <w:color w:val="auto"/>
                <w:kern w:val="0"/>
                <w:szCs w:val="21"/>
                <w:highlight w:val="none"/>
              </w:rPr>
              <w:t>递交地点</w:t>
            </w:r>
          </w:p>
        </w:tc>
        <w:tc>
          <w:tcPr>
            <w:tcW w:w="7699" w:type="dxa"/>
            <w:tcBorders>
              <w:top w:val="single" w:color="auto" w:sz="4" w:space="0"/>
              <w:left w:val="single" w:color="auto" w:sz="4" w:space="0"/>
              <w:bottom w:val="single" w:color="auto" w:sz="4" w:space="0"/>
              <w:right w:val="single" w:color="auto" w:sz="4" w:space="0"/>
            </w:tcBorders>
            <w:vAlign w:val="center"/>
          </w:tcPr>
          <w:p>
            <w:pPr>
              <w:pStyle w:val="15"/>
              <w:widowControl/>
              <w:spacing w:line="405" w:lineRule="atLeast"/>
              <w:rPr>
                <w:rFonts w:hAnsiTheme="minorHAnsi" w:eastAsiaTheme="minorEastAsia" w:cstheme="minorBidi"/>
                <w:snapToGrid w:val="0"/>
                <w:color w:val="auto"/>
                <w:kern w:val="0"/>
                <w:sz w:val="21"/>
                <w:szCs w:val="21"/>
                <w:highlight w:val="none"/>
              </w:rPr>
            </w:pPr>
            <w:r>
              <w:rPr>
                <w:rFonts w:hint="eastAsia" w:hAnsiTheme="minorHAnsi" w:eastAsiaTheme="minorEastAsia" w:cstheme="minorBidi"/>
                <w:snapToGrid w:val="0"/>
                <w:color w:val="auto"/>
                <w:kern w:val="0"/>
                <w:sz w:val="21"/>
                <w:szCs w:val="21"/>
                <w:highlight w:val="none"/>
              </w:rPr>
              <w:t>递交场所： 韶关市公共资源交易中心 ，地址： 广东省韶关市武江区西联镇 ，具体房间号以当日现场通知为准。具体房间号以当日现场通知为准。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9</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 xml:space="preserve">开标时间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jc w:val="left"/>
              <w:rPr>
                <w:color w:val="auto"/>
                <w:szCs w:val="21"/>
                <w:highlight w:val="none"/>
              </w:rPr>
            </w:pPr>
            <w:r>
              <w:rPr>
                <w:rFonts w:hint="eastAsia" w:ascii="宋体" w:hAnsi="宋体" w:cs="宋体"/>
                <w:color w:val="auto"/>
                <w:kern w:val="0"/>
                <w:szCs w:val="21"/>
                <w:highlight w:val="none"/>
                <w:u w:val="single"/>
              </w:rPr>
              <w:t>2024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snapToGrid w:val="0"/>
                <w:color w:val="auto"/>
                <w:kern w:val="0"/>
                <w:szCs w:val="21"/>
                <w:highlight w:val="none"/>
                <w:u w:val="single"/>
                <w:lang w:val="en-US" w:eastAsia="zh-CN"/>
              </w:rPr>
              <w:t>9</w:t>
            </w:r>
            <w:r>
              <w:rPr>
                <w:rFonts w:hint="eastAsia"/>
                <w:snapToGrid w:val="0"/>
                <w:color w:val="auto"/>
                <w:kern w:val="0"/>
                <w:szCs w:val="21"/>
                <w:highlight w:val="none"/>
              </w:rPr>
              <w:t>时</w:t>
            </w:r>
            <w:r>
              <w:rPr>
                <w:rFonts w:hint="eastAsia"/>
                <w:snapToGrid w:val="0"/>
                <w:color w:val="auto"/>
                <w:kern w:val="0"/>
                <w:szCs w:val="21"/>
                <w:highlight w:val="none"/>
                <w:u w:val="single"/>
                <w:lang w:val="en-US" w:eastAsia="zh-CN"/>
              </w:rPr>
              <w:t>30</w:t>
            </w:r>
            <w:r>
              <w:rPr>
                <w:rFonts w:hint="eastAsia"/>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 w:val="22"/>
                <w:szCs w:val="22"/>
                <w:highlight w:val="none"/>
              </w:rPr>
              <w:t>10</w:t>
            </w:r>
          </w:p>
        </w:tc>
        <w:tc>
          <w:tcPr>
            <w:tcW w:w="1606"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 xml:space="preserve">开标地点 </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jc w:val="left"/>
              <w:rPr>
                <w:color w:val="auto"/>
                <w:szCs w:val="21"/>
                <w:highlight w:val="none"/>
              </w:rPr>
            </w:pPr>
            <w:r>
              <w:rPr>
                <w:rFonts w:hint="eastAsia" w:ascii="宋体" w:hAnsi="宋体" w:cs="宋体"/>
                <w:snapToGrid w:val="0"/>
                <w:color w:val="auto"/>
                <w:kern w:val="0"/>
                <w:szCs w:val="21"/>
                <w:highlight w:val="none"/>
              </w:rPr>
              <w:t>开标场所：递交场所： 韶关市公共资源交易中心 ，地址： 广东省韶关市武江区西联镇 ，具体房间号以当日现场通知为准。具体房间号以当日现场通知为准。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220" w:type="dxa"/>
            <w:gridSpan w:val="2"/>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360" w:lineRule="exact"/>
              <w:jc w:val="center"/>
              <w:rPr>
                <w:rFonts w:ascii="宋体" w:hAnsi="宋体" w:cs="宋体"/>
                <w:color w:val="auto"/>
                <w:szCs w:val="21"/>
                <w:highlight w:val="none"/>
              </w:rPr>
            </w:pPr>
            <w:r>
              <w:rPr>
                <w:rFonts w:hint="eastAsia" w:ascii="宋体" w:hAnsi="宋体" w:cs="宋体"/>
                <w:snapToGrid w:val="0"/>
                <w:color w:val="auto"/>
                <w:kern w:val="0"/>
                <w:szCs w:val="21"/>
                <w:highlight w:val="none"/>
              </w:rPr>
              <w:t>备注</w:t>
            </w:r>
          </w:p>
        </w:tc>
        <w:tc>
          <w:tcPr>
            <w:tcW w:w="7699" w:type="dxa"/>
            <w:tcBorders>
              <w:top w:val="single" w:color="auto" w:sz="4" w:space="0"/>
              <w:left w:val="single" w:color="auto" w:sz="4" w:space="0"/>
              <w:bottom w:val="single" w:color="auto" w:sz="4" w:space="0"/>
              <w:right w:val="single" w:color="auto" w:sz="4" w:space="0"/>
            </w:tcBorders>
            <w:vAlign w:val="center"/>
          </w:tcPr>
          <w:p>
            <w:pPr>
              <w:pStyle w:val="30"/>
              <w:wordWrap w:val="0"/>
              <w:adjustRightInd w:val="0"/>
              <w:snapToGrid w:val="0"/>
              <w:spacing w:line="400" w:lineRule="exact"/>
              <w:ind w:firstLine="210" w:firstLineChars="100"/>
              <w:jc w:val="left"/>
              <w:rPr>
                <w:rFonts w:ascii="宋体" w:hAnsi="宋体" w:cs="宋体"/>
                <w:color w:val="auto"/>
                <w:szCs w:val="21"/>
                <w:highlight w:val="none"/>
              </w:rPr>
            </w:pPr>
            <w:r>
              <w:rPr>
                <w:rFonts w:hint="eastAsia" w:ascii="宋体" w:hAnsi="宋体" w:cs="宋体"/>
                <w:snapToGrid w:val="0"/>
                <w:color w:val="auto"/>
                <w:kern w:val="0"/>
                <w:szCs w:val="21"/>
                <w:highlight w:val="none"/>
              </w:rPr>
              <w:t>自行下载招标文件、资料文件及招标答疑书等。若由于投标人自身原因未能及时取得上述资料的，由此发生的任何责任由投标人自负。</w:t>
            </w:r>
          </w:p>
        </w:tc>
      </w:tr>
    </w:tbl>
    <w:p>
      <w:pPr>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4"/>
        <w:wordWrap w:val="0"/>
        <w:autoSpaceDE/>
        <w:autoSpaceDN/>
        <w:snapToGrid w:val="0"/>
        <w:spacing w:after="260"/>
        <w:jc w:val="both"/>
        <w:rPr>
          <w:rFonts w:hAnsi="宋体" w:cs="宋体"/>
          <w:b/>
          <w:snapToGrid w:val="0"/>
          <w:color w:val="auto"/>
          <w:highlight w:val="none"/>
        </w:rPr>
        <w:sectPr>
          <w:endnotePr>
            <w:numFmt w:val="decimal"/>
          </w:endnotePr>
          <w:pgSz w:w="11906" w:h="16838"/>
          <w:pgMar w:top="1134" w:right="1134" w:bottom="1134" w:left="1134" w:header="850" w:footer="850" w:gutter="0"/>
          <w:cols w:space="0" w:num="1"/>
          <w:docGrid w:linePitch="327" w:charSpace="0"/>
        </w:sectPr>
      </w:pPr>
      <w:bookmarkStart w:id="18" w:name="_Hlt87793819"/>
      <w:bookmarkEnd w:id="18"/>
      <w:bookmarkStart w:id="19" w:name="_Hlt69698705"/>
      <w:bookmarkStart w:id="20" w:name="_Hlt69698754"/>
    </w:p>
    <w:p>
      <w:pPr>
        <w:pStyle w:val="4"/>
        <w:wordWrap w:val="0"/>
        <w:autoSpaceDE/>
        <w:autoSpaceDN/>
        <w:snapToGrid w:val="0"/>
        <w:spacing w:after="260"/>
        <w:jc w:val="both"/>
        <w:rPr>
          <w:rFonts w:hAnsi="宋体" w:cs="宋体"/>
          <w:b/>
          <w:snapToGrid w:val="0"/>
          <w:color w:val="auto"/>
          <w:highlight w:val="none"/>
        </w:rPr>
      </w:pPr>
      <w:bookmarkStart w:id="21" w:name="_Toc6939"/>
      <w:bookmarkStart w:id="22" w:name="_Toc24064"/>
      <w:r>
        <w:rPr>
          <w:rFonts w:hint="eastAsia" w:hAnsi="宋体" w:cs="宋体"/>
          <w:b/>
          <w:snapToGrid w:val="0"/>
          <w:color w:val="auto"/>
          <w:highlight w:val="none"/>
        </w:rPr>
        <w:t>第三节   投标人须知</w:t>
      </w:r>
      <w:bookmarkStart w:id="23" w:name="_Hlt69669159"/>
      <w:bookmarkEnd w:id="23"/>
      <w:r>
        <w:rPr>
          <w:rFonts w:hint="eastAsia" w:hAnsi="宋体" w:cs="宋体"/>
          <w:b/>
          <w:snapToGrid w:val="0"/>
          <w:color w:val="auto"/>
          <w:highlight w:val="none"/>
        </w:rPr>
        <w:t>正文</w:t>
      </w:r>
      <w:bookmarkEnd w:id="19"/>
      <w:bookmarkEnd w:id="20"/>
      <w:bookmarkEnd w:id="21"/>
      <w:bookmarkEnd w:id="22"/>
    </w:p>
    <w:p>
      <w:pPr>
        <w:pStyle w:val="7"/>
        <w:wordWrap w:val="0"/>
        <w:adjustRightInd/>
        <w:spacing w:line="240" w:lineRule="auto"/>
        <w:ind w:firstLine="480" w:firstLineChars="200"/>
        <w:rPr>
          <w:rFonts w:hAnsi="宋体" w:cs="宋体"/>
          <w:color w:val="auto"/>
          <w:szCs w:val="21"/>
          <w:highlight w:val="none"/>
        </w:rPr>
      </w:pPr>
      <w:bookmarkStart w:id="24" w:name="_Hlt78795222"/>
      <w:bookmarkEnd w:id="24"/>
      <w:bookmarkStart w:id="25" w:name="_Hlt119991399"/>
      <w:bookmarkEnd w:id="25"/>
      <w:bookmarkStart w:id="26" w:name="_Hlt74474735"/>
      <w:bookmarkEnd w:id="26"/>
      <w:bookmarkStart w:id="27" w:name="_Hlt87948285"/>
      <w:bookmarkEnd w:id="27"/>
      <w:bookmarkStart w:id="28" w:name="_Hlt109358474"/>
      <w:bookmarkEnd w:id="28"/>
      <w:r>
        <w:rPr>
          <w:rFonts w:hint="default" w:ascii="Times New Roman"/>
          <w:snapToGrid w:val="0"/>
          <w:color w:val="auto"/>
          <w:kern w:val="0"/>
          <w:highlight w:val="none"/>
          <w:u w:val="single"/>
          <w:lang w:eastAsia="zh-CN"/>
        </w:rPr>
        <w:t>武江区2024年老旧小区改造配套基础设施建设项目</w:t>
      </w:r>
      <w:r>
        <w:rPr>
          <w:rFonts w:hint="eastAsia" w:ascii="Times New Roman"/>
          <w:snapToGrid w:val="0"/>
          <w:color w:val="auto"/>
          <w:kern w:val="0"/>
          <w:highlight w:val="none"/>
          <w:u w:val="none"/>
        </w:rPr>
        <w:t>业经</w:t>
      </w:r>
      <w:r>
        <w:rPr>
          <w:rFonts w:ascii="Times New Roman"/>
          <w:snapToGrid w:val="0"/>
          <w:color w:val="auto"/>
          <w:kern w:val="0"/>
          <w:highlight w:val="none"/>
          <w:u w:val="single"/>
        </w:rPr>
        <w:t>韶关市武江区发展和改革局</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以</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韶武发改投审〔2023〕51号</w:t>
      </w:r>
      <w:r>
        <w:rPr>
          <w:rFonts w:hint="eastAsia" w:ascii="Times New Roman"/>
          <w:snapToGrid w:val="0"/>
          <w:color w:val="auto"/>
          <w:kern w:val="0"/>
          <w:highlight w:val="none"/>
        </w:rPr>
        <w:t>批准建设，项目代码为</w:t>
      </w:r>
      <w:r>
        <w:rPr>
          <w:rFonts w:hint="eastAsia" w:ascii="Times New Roman"/>
          <w:snapToGrid w:val="0"/>
          <w:color w:val="auto"/>
          <w:kern w:val="0"/>
          <w:highlight w:val="none"/>
          <w:u w:val="single"/>
          <w:lang w:eastAsia="zh-CN"/>
        </w:rPr>
        <w:t>2306-440203-17-01-759464</w:t>
      </w:r>
      <w:r>
        <w:rPr>
          <w:rFonts w:hint="eastAsia" w:ascii="Times New Roman"/>
          <w:snapToGrid w:val="0"/>
          <w:color w:val="auto"/>
          <w:kern w:val="0"/>
          <w:highlight w:val="none"/>
        </w:rPr>
        <w:t>。本项目业主为</w:t>
      </w:r>
      <w:r>
        <w:rPr>
          <w:rFonts w:hint="eastAsia" w:hAnsi="宋体" w:cs="宋体"/>
          <w:snapToGrid w:val="0"/>
          <w:color w:val="auto"/>
          <w:kern w:val="0"/>
          <w:sz w:val="24"/>
          <w:szCs w:val="20"/>
          <w:highlight w:val="none"/>
          <w:u w:val="single"/>
          <w:lang w:val="en-US" w:eastAsia="zh-CN"/>
        </w:rPr>
        <w:t>韶关市武江区人民政府惠民街道办事处</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，建设资金来自</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区财政统筹</w:t>
      </w:r>
      <w:r>
        <w:rPr>
          <w:rFonts w:hint="eastAsia" w:ascii="Times New Roman"/>
          <w:snapToGrid w:val="0"/>
          <w:color w:val="auto"/>
          <w:kern w:val="0"/>
          <w:highlight w:val="none"/>
        </w:rPr>
        <w:t>，出资比例为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val="en-US" w:eastAsia="zh-CN"/>
        </w:rPr>
        <w:t>100%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，招标人为</w:t>
      </w:r>
      <w:r>
        <w:rPr>
          <w:rFonts w:hint="eastAsia" w:ascii="Times New Roman"/>
          <w:snapToGrid w:val="0"/>
          <w:color w:val="auto"/>
          <w:kern w:val="0"/>
          <w:highlight w:val="none"/>
          <w:u w:val="single"/>
          <w:lang w:eastAsia="zh-CN"/>
        </w:rPr>
        <w:t>韶关市武江区人民政府惠民街道办事处</w:t>
      </w:r>
      <w:r>
        <w:rPr>
          <w:rFonts w:hint="eastAsia" w:ascii="Times New Roman"/>
          <w:snapToGrid w:val="0"/>
          <w:color w:val="auto"/>
          <w:kern w:val="0"/>
          <w:highlight w:val="none"/>
        </w:rPr>
        <w:t>，招标代理机构为</w:t>
      </w:r>
      <w:r>
        <w:rPr>
          <w:rFonts w:hint="default" w:ascii="Times New Roman" w:hAnsi="宋体" w:cs="宋体"/>
          <w:snapToGrid w:val="0"/>
          <w:color w:val="auto"/>
          <w:kern w:val="0"/>
          <w:sz w:val="24"/>
          <w:highlight w:val="none"/>
          <w:u w:val="single"/>
          <w:lang w:eastAsia="zh-CN"/>
        </w:rPr>
        <w:t>广州穗科建设管理有限公司</w:t>
      </w:r>
      <w:r>
        <w:rPr>
          <w:rFonts w:hint="eastAsia" w:ascii="Times New Roman"/>
          <w:snapToGrid w:val="0"/>
          <w:color w:val="auto"/>
          <w:kern w:val="0"/>
          <w:highlight w:val="none"/>
        </w:rPr>
        <w:t>。</w:t>
      </w:r>
      <w:r>
        <w:rPr>
          <w:rFonts w:hint="eastAsia" w:hAnsi="宋体" w:cs="宋体"/>
          <w:color w:val="auto"/>
          <w:szCs w:val="21"/>
          <w:highlight w:val="none"/>
        </w:rPr>
        <w:t>项目已具备招标条件，现对该项目的</w:t>
      </w:r>
      <w:r>
        <w:rPr>
          <w:rFonts w:hint="eastAsia" w:hAnsi="宋体" w:cs="宋体"/>
          <w:snapToGrid w:val="0"/>
          <w:color w:val="auto"/>
          <w:szCs w:val="21"/>
          <w:highlight w:val="none"/>
          <w:u w:val="single"/>
          <w:lang w:eastAsia="zh-CN"/>
        </w:rPr>
        <w:t>惠民街道片区（监理）</w:t>
      </w:r>
      <w:r>
        <w:rPr>
          <w:rFonts w:hint="eastAsia" w:hAnsi="宋体" w:cs="宋体"/>
          <w:color w:val="auto"/>
          <w:szCs w:val="21"/>
          <w:highlight w:val="none"/>
        </w:rPr>
        <w:t>采取公开招标方式择优选择中标人。由有关行政监督部门对整个招标工作依法实施监督。</w:t>
      </w:r>
    </w:p>
    <w:p>
      <w:pPr>
        <w:pStyle w:val="5"/>
        <w:wordWrap w:val="0"/>
        <w:snapToGrid w:val="0"/>
        <w:spacing w:line="240" w:lineRule="auto"/>
        <w:ind w:firstLine="480"/>
        <w:jc w:val="both"/>
        <w:rPr>
          <w:rFonts w:hAnsi="宋体" w:cs="宋体"/>
          <w:b/>
          <w:bCs/>
          <w:snapToGrid w:val="0"/>
          <w:color w:val="auto"/>
          <w:highlight w:val="none"/>
        </w:rPr>
      </w:pPr>
      <w:bookmarkStart w:id="29" w:name="_Toc6392"/>
      <w:bookmarkStart w:id="30" w:name="_Toc2450"/>
      <w:r>
        <w:rPr>
          <w:rFonts w:hint="eastAsia" w:hAnsi="宋体" w:cs="宋体"/>
          <w:b/>
          <w:bCs/>
          <w:snapToGrid w:val="0"/>
          <w:color w:val="auto"/>
          <w:highlight w:val="none"/>
        </w:rPr>
        <w:t>1．项目概况、招标范围和标段划分、投标费用</w:t>
      </w:r>
      <w:bookmarkEnd w:id="29"/>
      <w:bookmarkEnd w:id="30"/>
    </w:p>
    <w:p>
      <w:pPr>
        <w:pStyle w:val="30"/>
        <w:wordWrap w:val="0"/>
        <w:adjustRightInd w:val="0"/>
        <w:snapToGrid w:val="0"/>
        <w:ind w:firstLine="480"/>
        <w:jc w:val="left"/>
        <w:rPr>
          <w:rFonts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1.1</w:t>
      </w:r>
      <w:r>
        <w:rPr>
          <w:rFonts w:hint="eastAsia" w:ascii="宋体" w:hAnsi="宋体" w:cs="宋体"/>
          <w:snapToGrid w:val="0"/>
          <w:color w:val="auto"/>
          <w:kern w:val="0"/>
          <w:sz w:val="24"/>
          <w:highlight w:val="none"/>
        </w:rPr>
        <w:t xml:space="preserve"> 项目概况</w:t>
      </w:r>
    </w:p>
    <w:p>
      <w:pPr>
        <w:pStyle w:val="30"/>
        <w:wordWrap w:val="0"/>
        <w:adjustRightInd w:val="0"/>
        <w:snapToGrid w:val="0"/>
        <w:ind w:firstLine="480"/>
        <w:jc w:val="left"/>
        <w:rPr>
          <w:rFonts w:ascii="宋体" w:hAnsi="宋体" w:cs="宋体"/>
          <w:snapToGrid w:val="0"/>
          <w:color w:val="auto"/>
          <w:kern w:val="0"/>
          <w:sz w:val="24"/>
          <w:highlight w:val="none"/>
          <w:u w:val="single"/>
        </w:rPr>
      </w:pPr>
      <w:r>
        <w:rPr>
          <w:rFonts w:hint="eastAsia" w:ascii="宋体" w:hAnsi="宋体" w:cs="宋体"/>
          <w:b/>
          <w:bCs/>
          <w:snapToGrid w:val="0"/>
          <w:color w:val="auto"/>
          <w:kern w:val="0"/>
          <w:sz w:val="24"/>
          <w:highlight w:val="none"/>
        </w:rPr>
        <w:t>1.1.1</w:t>
      </w:r>
      <w:r>
        <w:rPr>
          <w:rFonts w:hint="eastAsia" w:ascii="宋体" w:hAnsi="宋体" w:cs="宋体"/>
          <w:snapToGrid w:val="0"/>
          <w:color w:val="auto"/>
          <w:kern w:val="0"/>
          <w:sz w:val="24"/>
          <w:highlight w:val="none"/>
        </w:rPr>
        <w:t xml:space="preserve"> 建设地点：</w:t>
      </w:r>
      <w:r>
        <w:rPr>
          <w:rFonts w:hint="eastAsia" w:ascii="宋体" w:hAnsi="宋体" w:cs="宋体"/>
          <w:color w:val="auto"/>
          <w:sz w:val="24"/>
          <w:highlight w:val="none"/>
        </w:rPr>
        <w:t>韶关市武江区惠民街道</w:t>
      </w:r>
    </w:p>
    <w:p>
      <w:pPr>
        <w:spacing w:line="240" w:lineRule="auto"/>
        <w:ind w:firstLine="482" w:firstLineChars="200"/>
        <w:rPr>
          <w:rFonts w:ascii="仿宋_GB2312" w:hAnsi="仿宋_GB2312" w:eastAsia="仿宋_GB2312" w:cs="仿宋_GB2312"/>
          <w:color w:val="auto"/>
          <w:sz w:val="28"/>
          <w:szCs w:val="28"/>
          <w:highlight w:val="none"/>
        </w:rPr>
      </w:pPr>
      <w:r>
        <w:rPr>
          <w:rFonts w:hint="eastAsia" w:hAnsi="宋体" w:cs="宋体"/>
          <w:b/>
          <w:bCs/>
          <w:snapToGrid w:val="0"/>
          <w:color w:val="auto"/>
          <w:kern w:val="0"/>
          <w:highlight w:val="none"/>
        </w:rPr>
        <w:t>1.1.2</w:t>
      </w:r>
      <w:r>
        <w:rPr>
          <w:rFonts w:hint="eastAsia" w:hAnsi="宋体" w:cs="宋体"/>
          <w:snapToGrid w:val="0"/>
          <w:color w:val="auto"/>
          <w:kern w:val="0"/>
          <w:highlight w:val="none"/>
        </w:rPr>
        <w:t xml:space="preserve"> 建设内容和规模：</w:t>
      </w:r>
      <w:r>
        <w:rPr>
          <w:rFonts w:hint="eastAsia" w:hAnsi="宋体" w:cs="宋体"/>
          <w:color w:val="auto"/>
          <w:szCs w:val="24"/>
          <w:highlight w:val="none"/>
        </w:rPr>
        <w:t>惠民街道片区的消防设施改造、道路改造、雨水管网改造、垃圾分类收集点、环境提升、围墙改造、停车场改造，增设小区文体设施、污水系统等配套基础设施建设项目。</w:t>
      </w:r>
    </w:p>
    <w:p>
      <w:pPr>
        <w:pStyle w:val="30"/>
        <w:wordWrap w:val="0"/>
        <w:adjustRightInd w:val="0"/>
        <w:snapToGrid w:val="0"/>
        <w:ind w:firstLine="480"/>
        <w:jc w:val="left"/>
        <w:rPr>
          <w:rFonts w:hAnsi="宋体" w:cs="宋体"/>
          <w:color w:val="auto"/>
          <w:sz w:val="24"/>
          <w:highlight w:val="none"/>
        </w:rPr>
      </w:pPr>
      <w:r>
        <w:rPr>
          <w:rFonts w:hint="eastAsia" w:ascii="宋体" w:hAnsi="宋体" w:cs="宋体"/>
          <w:b/>
          <w:bCs/>
          <w:snapToGrid w:val="0"/>
          <w:color w:val="auto"/>
          <w:kern w:val="0"/>
          <w:sz w:val="24"/>
          <w:highlight w:val="none"/>
        </w:rPr>
        <w:t>1.1.3</w:t>
      </w:r>
      <w:r>
        <w:rPr>
          <w:rFonts w:hint="eastAsia" w:ascii="宋体" w:hAnsi="宋体" w:cs="宋体"/>
          <w:snapToGrid w:val="0"/>
          <w:color w:val="auto"/>
          <w:kern w:val="0"/>
          <w:sz w:val="24"/>
          <w:highlight w:val="none"/>
        </w:rPr>
        <w:t xml:space="preserve"> </w:t>
      </w:r>
      <w:r>
        <w:rPr>
          <w:rFonts w:hint="eastAsia" w:ascii="宋体" w:hAnsi="宋体" w:cs="宋体"/>
          <w:color w:val="auto"/>
          <w:sz w:val="24"/>
          <w:highlight w:val="none"/>
        </w:rPr>
        <w:t>项目总投资：</w:t>
      </w:r>
      <w:r>
        <w:rPr>
          <w:rFonts w:hint="eastAsia" w:hAnsi="宋体" w:cs="宋体"/>
          <w:color w:val="auto"/>
          <w:sz w:val="24"/>
          <w:szCs w:val="24"/>
          <w:highlight w:val="none"/>
        </w:rPr>
        <w:t>项目概算总投资1159.94万元，工程费用1005.55万元，其中本次招标监理费用约18.1万元。</w:t>
      </w:r>
    </w:p>
    <w:p>
      <w:pPr>
        <w:pStyle w:val="30"/>
        <w:wordWrap w:val="0"/>
        <w:adjustRightInd w:val="0"/>
        <w:snapToGrid w:val="0"/>
        <w:ind w:firstLine="480"/>
        <w:jc w:val="left"/>
        <w:rPr>
          <w:rFonts w:ascii="宋体" w:hAnsi="宋体" w:cs="宋体"/>
          <w:b/>
          <w:bCs/>
          <w:color w:val="auto"/>
          <w:sz w:val="24"/>
          <w:highlight w:val="none"/>
        </w:rPr>
      </w:pPr>
      <w:r>
        <w:rPr>
          <w:rFonts w:hint="eastAsia" w:ascii="宋体" w:hAnsi="宋体" w:cs="宋体"/>
          <w:b/>
          <w:bCs/>
          <w:color w:val="auto"/>
          <w:sz w:val="24"/>
          <w:highlight w:val="none"/>
        </w:rPr>
        <w:t>1.2 招标范围和标段划分</w:t>
      </w:r>
    </w:p>
    <w:p>
      <w:pPr>
        <w:pStyle w:val="30"/>
        <w:wordWrap w:val="0"/>
        <w:adjustRightInd w:val="0"/>
        <w:snapToGrid w:val="0"/>
        <w:ind w:firstLine="480"/>
        <w:jc w:val="left"/>
        <w:rPr>
          <w:rFonts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1.2.1</w:t>
      </w:r>
      <w:r>
        <w:rPr>
          <w:rFonts w:hint="eastAsia" w:ascii="宋体" w:hAnsi="宋体" w:cs="宋体"/>
          <w:snapToGrid w:val="0"/>
          <w:color w:val="auto"/>
          <w:kern w:val="0"/>
          <w:sz w:val="24"/>
          <w:highlight w:val="none"/>
        </w:rPr>
        <w:t xml:space="preserve"> 招标范围：</w:t>
      </w:r>
      <w:r>
        <w:rPr>
          <w:rFonts w:hint="eastAsia" w:ascii="宋体" w:hAnsi="宋体" w:cs="宋体"/>
          <w:color w:val="auto"/>
          <w:sz w:val="24"/>
          <w:highlight w:val="none"/>
        </w:rPr>
        <w:t>项目建设全过程监理（含施工准备阶段、施工阶段、工程竣工结算阶段和缺陷责任期阶段监理）</w:t>
      </w:r>
      <w:r>
        <w:rPr>
          <w:rFonts w:hint="eastAsia" w:ascii="宋体" w:hAnsi="宋体" w:cs="宋体"/>
          <w:snapToGrid w:val="0"/>
          <w:color w:val="auto"/>
          <w:kern w:val="0"/>
          <w:sz w:val="24"/>
          <w:highlight w:val="none"/>
        </w:rPr>
        <w:t>。</w:t>
      </w:r>
    </w:p>
    <w:p>
      <w:pPr>
        <w:wordWrap w:val="0"/>
        <w:adjustRightInd w:val="0"/>
        <w:snapToGrid w:val="0"/>
        <w:spacing w:line="240" w:lineRule="auto"/>
        <w:ind w:firstLine="532" w:firstLineChars="221"/>
        <w:rPr>
          <w:rFonts w:hAnsi="宋体" w:cs="宋体"/>
          <w:b/>
          <w:bCs/>
          <w:snapToGrid w:val="0"/>
          <w:color w:val="auto"/>
          <w:kern w:val="0"/>
          <w:szCs w:val="24"/>
          <w:highlight w:val="none"/>
        </w:rPr>
      </w:pPr>
      <w:r>
        <w:rPr>
          <w:rFonts w:hint="eastAsia" w:hAnsi="宋体" w:cs="宋体"/>
          <w:b/>
          <w:bCs/>
          <w:snapToGrid w:val="0"/>
          <w:color w:val="auto"/>
          <w:kern w:val="0"/>
          <w:szCs w:val="24"/>
          <w:highlight w:val="none"/>
        </w:rPr>
        <w:t xml:space="preserve">1.2.2 </w:t>
      </w:r>
      <w:r>
        <w:rPr>
          <w:rFonts w:hint="eastAsia" w:hAnsi="宋体" w:cs="宋体"/>
          <w:snapToGrid w:val="0"/>
          <w:color w:val="auto"/>
          <w:kern w:val="0"/>
          <w:szCs w:val="24"/>
          <w:highlight w:val="none"/>
        </w:rPr>
        <w:t>标段划分：本招标项目不划分标段。</w:t>
      </w:r>
    </w:p>
    <w:p>
      <w:pPr>
        <w:wordWrap w:val="0"/>
        <w:adjustRightInd w:val="0"/>
        <w:snapToGrid w:val="0"/>
        <w:spacing w:line="240" w:lineRule="auto"/>
        <w:ind w:firstLine="532" w:firstLineChars="221"/>
        <w:rPr>
          <w:rFonts w:hAnsi="宋体" w:cs="宋体"/>
          <w:snapToGrid w:val="0"/>
          <w:color w:val="auto"/>
          <w:kern w:val="0"/>
          <w:szCs w:val="24"/>
          <w:highlight w:val="none"/>
        </w:rPr>
      </w:pPr>
      <w:r>
        <w:rPr>
          <w:rFonts w:hint="eastAsia" w:hAnsi="宋体" w:cs="宋体"/>
          <w:b/>
          <w:bCs/>
          <w:snapToGrid w:val="0"/>
          <w:color w:val="auto"/>
          <w:kern w:val="0"/>
          <w:szCs w:val="24"/>
          <w:highlight w:val="none"/>
        </w:rPr>
        <w:t>1.3</w:t>
      </w:r>
      <w:r>
        <w:rPr>
          <w:rFonts w:hint="eastAsia" w:hAnsi="宋体" w:cs="宋体"/>
          <w:snapToGrid w:val="0"/>
          <w:color w:val="auto"/>
          <w:kern w:val="0"/>
          <w:szCs w:val="24"/>
          <w:highlight w:val="none"/>
        </w:rPr>
        <w:t xml:space="preserve"> 投标费用：投标人应承担所有准备和参加投标的相关费用，不论投标结果如何，招标人均无义务和责任承担这些费用。</w:t>
      </w:r>
    </w:p>
    <w:p>
      <w:pPr>
        <w:wordWrap w:val="0"/>
        <w:adjustRightInd w:val="0"/>
        <w:snapToGrid w:val="0"/>
        <w:spacing w:line="240" w:lineRule="auto"/>
        <w:ind w:firstLine="530" w:firstLineChars="221"/>
        <w:rPr>
          <w:rFonts w:hAnsi="宋体" w:cs="宋体"/>
          <w:snapToGrid w:val="0"/>
          <w:color w:val="auto"/>
          <w:kern w:val="0"/>
          <w:szCs w:val="24"/>
          <w:highlight w:val="none"/>
        </w:rPr>
      </w:pPr>
    </w:p>
    <w:p>
      <w:pPr>
        <w:wordWrap w:val="0"/>
        <w:adjustRightInd w:val="0"/>
        <w:snapToGrid w:val="0"/>
        <w:spacing w:line="240" w:lineRule="auto"/>
        <w:ind w:firstLine="532" w:firstLineChars="221"/>
        <w:outlineLvl w:val="2"/>
        <w:rPr>
          <w:rFonts w:hAnsi="宋体" w:cs="宋体"/>
          <w:snapToGrid w:val="0"/>
          <w:color w:val="auto"/>
          <w:highlight w:val="none"/>
        </w:rPr>
      </w:pPr>
      <w:bookmarkStart w:id="31" w:name="_Toc29608"/>
      <w:r>
        <w:rPr>
          <w:rFonts w:hint="eastAsia" w:hAnsi="宋体" w:cs="宋体"/>
          <w:b/>
          <w:snapToGrid w:val="0"/>
          <w:color w:val="auto"/>
          <w:highlight w:val="none"/>
        </w:rPr>
        <w:t>2．投标人资格要求</w:t>
      </w:r>
      <w:bookmarkEnd w:id="31"/>
      <w:bookmarkStart w:id="32" w:name="_Hlt74496495"/>
      <w:bookmarkEnd w:id="32"/>
    </w:p>
    <w:p>
      <w:pPr>
        <w:spacing w:line="240" w:lineRule="auto"/>
        <w:ind w:firstLine="480" w:firstLineChars="200"/>
        <w:rPr>
          <w:rFonts w:hAnsi="宋体" w:cs="宋体"/>
          <w:color w:val="auto"/>
          <w:szCs w:val="24"/>
          <w:highlight w:val="none"/>
        </w:rPr>
      </w:pPr>
      <w:r>
        <w:rPr>
          <w:rFonts w:hint="eastAsia" w:hAnsi="宋体" w:cs="宋体"/>
          <w:snapToGrid w:val="0"/>
          <w:color w:val="auto"/>
          <w:kern w:val="0"/>
          <w:highlight w:val="none"/>
        </w:rPr>
        <w:t xml:space="preserve">2.1 </w:t>
      </w:r>
      <w:r>
        <w:rPr>
          <w:rFonts w:hint="eastAsia" w:hAnsi="宋体" w:cs="宋体"/>
          <w:color w:val="auto"/>
          <w:szCs w:val="24"/>
          <w:highlight w:val="none"/>
        </w:rPr>
        <w:t>本次招标不接受联合体投标。</w:t>
      </w:r>
    </w:p>
    <w:p>
      <w:pPr>
        <w:spacing w:line="240" w:lineRule="auto"/>
        <w:ind w:firstLine="480" w:firstLineChars="200"/>
        <w:rPr>
          <w:rFonts w:hAnsi="宋体" w:cs="宋体"/>
          <w:color w:val="auto"/>
          <w:szCs w:val="24"/>
          <w:highlight w:val="none"/>
        </w:rPr>
      </w:pPr>
      <w:r>
        <w:rPr>
          <w:rFonts w:hint="eastAsia" w:hAnsi="宋体" w:cs="宋体"/>
          <w:snapToGrid w:val="0"/>
          <w:color w:val="auto"/>
          <w:kern w:val="0"/>
          <w:highlight w:val="none"/>
        </w:rPr>
        <w:t>2.</w:t>
      </w:r>
      <w:r>
        <w:rPr>
          <w:rFonts w:hint="eastAsia" w:hAnsi="宋体" w:cs="宋体"/>
          <w:color w:val="auto"/>
          <w:szCs w:val="24"/>
          <w:highlight w:val="none"/>
        </w:rPr>
        <w:t>2．资质要求</w:t>
      </w:r>
    </w:p>
    <w:p>
      <w:pPr>
        <w:spacing w:line="240" w:lineRule="auto"/>
        <w:ind w:firstLine="480" w:firstLineChars="200"/>
        <w:rPr>
          <w:rFonts w:hAnsi="宋体" w:cs="宋体"/>
          <w:color w:val="auto"/>
          <w:szCs w:val="24"/>
          <w:highlight w:val="none"/>
        </w:rPr>
      </w:pPr>
      <w:r>
        <w:rPr>
          <w:rFonts w:hint="eastAsia" w:hAnsi="宋体" w:cs="宋体"/>
          <w:color w:val="auto"/>
          <w:szCs w:val="24"/>
          <w:highlight w:val="none"/>
        </w:rPr>
        <w:t>2.2.1 投标人须具备独立法人资格，按国家法律经营。</w:t>
      </w:r>
    </w:p>
    <w:p>
      <w:pPr>
        <w:spacing w:line="240" w:lineRule="auto"/>
        <w:ind w:firstLine="480" w:firstLineChars="200"/>
        <w:rPr>
          <w:rFonts w:hAnsi="宋体" w:cs="宋体"/>
          <w:color w:val="auto"/>
          <w:highlight w:val="none"/>
        </w:rPr>
      </w:pPr>
      <w:r>
        <w:rPr>
          <w:rFonts w:hint="eastAsia" w:hAnsi="宋体" w:cs="宋体"/>
          <w:color w:val="auto"/>
          <w:szCs w:val="24"/>
          <w:highlight w:val="none"/>
        </w:rPr>
        <w:t>2.2.2</w:t>
      </w:r>
      <w:r>
        <w:rPr>
          <w:rFonts w:hint="eastAsia" w:hAnsi="宋体" w:cs="宋体"/>
          <w:color w:val="auto"/>
          <w:highlight w:val="none"/>
        </w:rPr>
        <w:t>投标人须具备以下资质之一</w:t>
      </w:r>
      <w:r>
        <w:rPr>
          <w:rFonts w:hint="eastAsia" w:hAnsi="宋体" w:cs="宋体"/>
          <w:color w:val="auto"/>
          <w:szCs w:val="24"/>
          <w:highlight w:val="none"/>
        </w:rPr>
        <w:t>：①具有工程监理综合资质；②具有</w:t>
      </w:r>
      <w:r>
        <w:rPr>
          <w:rFonts w:hint="eastAsia" w:hAnsi="宋体" w:cs="宋体"/>
          <w:color w:val="auto"/>
          <w:szCs w:val="24"/>
          <w:highlight w:val="none"/>
          <w:lang w:val="en-US" w:eastAsia="zh-CN"/>
        </w:rPr>
        <w:t>市政公用</w:t>
      </w:r>
      <w:r>
        <w:rPr>
          <w:rFonts w:hint="eastAsia" w:hAnsi="宋体" w:cs="宋体"/>
          <w:color w:val="auto"/>
          <w:szCs w:val="24"/>
          <w:highlight w:val="none"/>
        </w:rPr>
        <w:t>工程专业监理</w:t>
      </w:r>
      <w:r>
        <w:rPr>
          <w:rFonts w:hint="eastAsia" w:hAnsi="宋体" w:cs="宋体"/>
          <w:color w:val="auto"/>
          <w:szCs w:val="24"/>
          <w:highlight w:val="none"/>
          <w:lang w:val="en-US" w:eastAsia="zh-CN"/>
        </w:rPr>
        <w:t>丙</w:t>
      </w:r>
      <w:r>
        <w:rPr>
          <w:rFonts w:hint="eastAsia" w:hAnsi="宋体" w:cs="宋体"/>
          <w:color w:val="auto"/>
          <w:szCs w:val="24"/>
          <w:highlight w:val="none"/>
        </w:rPr>
        <w:t>级以上（含</w:t>
      </w:r>
      <w:r>
        <w:rPr>
          <w:rFonts w:hint="eastAsia" w:hAnsi="宋体" w:cs="宋体"/>
          <w:color w:val="auto"/>
          <w:szCs w:val="24"/>
          <w:highlight w:val="none"/>
          <w:lang w:val="en-US" w:eastAsia="zh-CN"/>
        </w:rPr>
        <w:t>丙</w:t>
      </w:r>
      <w:r>
        <w:rPr>
          <w:rFonts w:hint="eastAsia" w:hAnsi="宋体" w:cs="宋体"/>
          <w:color w:val="auto"/>
          <w:szCs w:val="24"/>
          <w:highlight w:val="none"/>
        </w:rPr>
        <w:t>级）资质。</w:t>
      </w:r>
    </w:p>
    <w:p>
      <w:pPr>
        <w:spacing w:line="240" w:lineRule="auto"/>
        <w:ind w:firstLine="480" w:firstLineChars="200"/>
        <w:rPr>
          <w:rFonts w:hAnsi="宋体" w:cs="宋体"/>
          <w:color w:val="auto"/>
          <w:szCs w:val="24"/>
          <w:highlight w:val="none"/>
        </w:rPr>
      </w:pPr>
      <w:r>
        <w:rPr>
          <w:rFonts w:hint="eastAsia" w:hAnsi="宋体" w:cs="宋体"/>
          <w:color w:val="auto"/>
          <w:szCs w:val="24"/>
          <w:highlight w:val="none"/>
        </w:rPr>
        <w:t>2.2.3 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pPr>
        <w:spacing w:line="240" w:lineRule="auto"/>
        <w:ind w:firstLine="480" w:firstLineChars="200"/>
        <w:rPr>
          <w:rFonts w:hAnsi="宋体" w:cs="宋体"/>
          <w:color w:val="auto"/>
          <w:szCs w:val="24"/>
          <w:highlight w:val="none"/>
        </w:rPr>
      </w:pPr>
    </w:p>
    <w:p>
      <w:pPr>
        <w:spacing w:line="240" w:lineRule="auto"/>
        <w:ind w:firstLine="480" w:firstLineChars="200"/>
        <w:rPr>
          <w:rFonts w:hAnsi="宋体" w:cs="宋体"/>
          <w:color w:val="auto"/>
          <w:szCs w:val="24"/>
          <w:highlight w:val="none"/>
        </w:rPr>
      </w:pPr>
      <w:r>
        <w:rPr>
          <w:rFonts w:hint="eastAsia" w:hAnsi="宋体" w:cs="宋体"/>
          <w:snapToGrid w:val="0"/>
          <w:color w:val="auto"/>
          <w:kern w:val="0"/>
          <w:highlight w:val="none"/>
        </w:rPr>
        <w:t>2.</w:t>
      </w:r>
      <w:r>
        <w:rPr>
          <w:rFonts w:hint="eastAsia" w:hAnsi="宋体" w:cs="宋体"/>
          <w:color w:val="auto"/>
          <w:szCs w:val="24"/>
          <w:highlight w:val="none"/>
        </w:rPr>
        <w:t>3．相关人员要求</w:t>
      </w:r>
    </w:p>
    <w:p>
      <w:pPr>
        <w:spacing w:line="240" w:lineRule="auto"/>
        <w:ind w:firstLine="480" w:firstLineChars="200"/>
        <w:rPr>
          <w:rFonts w:hAnsi="宋体" w:cs="宋体"/>
          <w:color w:val="auto"/>
          <w:highlight w:val="none"/>
        </w:rPr>
      </w:pPr>
      <w:r>
        <w:rPr>
          <w:rFonts w:hint="eastAsia" w:hAnsi="宋体" w:cs="宋体"/>
          <w:color w:val="auto"/>
          <w:szCs w:val="24"/>
          <w:highlight w:val="none"/>
        </w:rPr>
        <w:t>2.3.1 拟派总监理工程师需具备</w:t>
      </w:r>
      <w:r>
        <w:rPr>
          <w:rFonts w:hint="eastAsia" w:hAnsi="宋体" w:cs="宋体"/>
          <w:color w:val="auto"/>
          <w:szCs w:val="24"/>
          <w:highlight w:val="none"/>
          <w:u w:val="single"/>
          <w:lang w:val="en-US" w:eastAsia="zh-CN"/>
        </w:rPr>
        <w:t>市政公用</w:t>
      </w:r>
      <w:r>
        <w:rPr>
          <w:rFonts w:hint="eastAsia" w:hAnsi="宋体" w:cs="宋体"/>
          <w:color w:val="auto"/>
          <w:szCs w:val="24"/>
          <w:highlight w:val="none"/>
          <w:u w:val="single"/>
        </w:rPr>
        <w:t>工程</w:t>
      </w:r>
      <w:r>
        <w:rPr>
          <w:rFonts w:hint="eastAsia" w:hAnsi="宋体" w:cs="宋体"/>
          <w:color w:val="auto"/>
          <w:szCs w:val="24"/>
          <w:highlight w:val="none"/>
        </w:rPr>
        <w:t>专业注册监理工程师，</w:t>
      </w:r>
      <w:r>
        <w:rPr>
          <w:rFonts w:hint="eastAsia" w:hAnsi="宋体" w:cs="宋体"/>
          <w:color w:val="auto"/>
          <w:highlight w:val="none"/>
        </w:rPr>
        <w:t>应持有国家住建部印发的有效注册证书，其担任总监理工程师职务的其他在施（包括已中标未开工、已开工未竣工）建设工程项目不得超过2个。</w:t>
      </w:r>
    </w:p>
    <w:p>
      <w:pPr>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拟派总监理工程师现阶段有担任其他在建工程项目总监理工程师职务的，须得到任职项目建设单位书面同意后方可担任本招标项目总监理工程师。</w:t>
      </w:r>
    </w:p>
    <w:p>
      <w:pPr>
        <w:spacing w:line="240" w:lineRule="auto"/>
        <w:ind w:firstLine="480" w:firstLineChars="200"/>
        <w:rPr>
          <w:rFonts w:hAnsi="宋体" w:cs="宋体"/>
          <w:color w:val="auto"/>
          <w:szCs w:val="24"/>
          <w:highlight w:val="none"/>
        </w:rPr>
      </w:pPr>
      <w:r>
        <w:rPr>
          <w:rFonts w:hint="eastAsia" w:hAnsi="宋体" w:cs="宋体"/>
          <w:color w:val="auto"/>
          <w:szCs w:val="24"/>
          <w:highlight w:val="none"/>
        </w:rPr>
        <w:t>2.3.2 投标人与其拟派往本项目监理机构的所有人员之间必须具备合法、唯一的劳动聘用关系。拟派人员中具备注册执业资格的，其注册单位须与投标人保持一致。</w:t>
      </w:r>
    </w:p>
    <w:p>
      <w:pPr>
        <w:spacing w:line="240" w:lineRule="auto"/>
        <w:ind w:firstLine="480" w:firstLineChars="200"/>
        <w:rPr>
          <w:rFonts w:hAnsi="宋体" w:cs="宋体"/>
          <w:color w:val="auto"/>
          <w:szCs w:val="24"/>
          <w:highlight w:val="none"/>
        </w:rPr>
      </w:pPr>
      <w:r>
        <w:rPr>
          <w:rFonts w:hint="eastAsia" w:hAnsi="宋体" w:cs="宋体"/>
          <w:snapToGrid w:val="0"/>
          <w:color w:val="auto"/>
          <w:kern w:val="0"/>
          <w:highlight w:val="none"/>
        </w:rPr>
        <w:t>2.</w:t>
      </w:r>
      <w:r>
        <w:rPr>
          <w:rFonts w:hint="eastAsia" w:hAnsi="宋体" w:cs="宋体"/>
          <w:color w:val="auto"/>
          <w:szCs w:val="24"/>
          <w:highlight w:val="none"/>
        </w:rPr>
        <w:t>4．禁止投标条款</w:t>
      </w:r>
    </w:p>
    <w:p>
      <w:pPr>
        <w:spacing w:line="240" w:lineRule="auto"/>
        <w:ind w:firstLine="480" w:firstLineChars="200"/>
        <w:rPr>
          <w:rFonts w:hAnsi="宋体" w:cs="宋体"/>
          <w:color w:val="auto"/>
          <w:szCs w:val="24"/>
          <w:highlight w:val="none"/>
        </w:rPr>
      </w:pPr>
      <w:r>
        <w:rPr>
          <w:rFonts w:hint="eastAsia" w:hAnsi="宋体" w:cs="宋体"/>
          <w:snapToGrid w:val="0"/>
          <w:color w:val="auto"/>
          <w:kern w:val="0"/>
          <w:highlight w:val="none"/>
        </w:rPr>
        <w:t>2.</w:t>
      </w:r>
      <w:r>
        <w:rPr>
          <w:rFonts w:hint="eastAsia" w:hAnsi="宋体" w:cs="宋体"/>
          <w:color w:val="auto"/>
          <w:szCs w:val="24"/>
          <w:highlight w:val="none"/>
        </w:rPr>
        <w:t>4.1 投标人不得存在下列情形之一：</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（1）为招标人不具有独立法人资格的附属机构（单位）；</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（2）与招标人存在利害关系且可能影响招标公正性；</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（3）与本招标项目的其他投标人为同一个单位负责人；</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（4）与本招标项目的其他投标人存在控股、管理关系；</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（5）为本招标项目的代建人；</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（6）为本招标项目的招标代理机构；</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（7）与本招标项目的代建人或招标代理机构同为一个法定代表人；</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（8）与本招标项目的代建人或招标代理机构存在控股或参股关系；</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（9）与本招标项目的施工承包人以及建筑材料、建筑构配件和设备供应商有隶属关系或者其他利害关系；</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（10）被依法暂停或者取消投标资格；</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（11）被责令停产停业、暂扣或者吊销许可证、暂扣或者吊销执照；</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（12）进入清算程序，或被宣告破产，或其他丧失履约能力的情形；</w:t>
      </w:r>
    </w:p>
    <w:p>
      <w:pPr>
        <w:wordWrap w:val="0"/>
        <w:adjustRightInd w:val="0"/>
        <w:snapToGrid w:val="0"/>
        <w:spacing w:line="240" w:lineRule="auto"/>
        <w:ind w:firstLine="480" w:firstLineChars="200"/>
        <w:jc w:val="left"/>
        <w:rPr>
          <w:rFonts w:hAnsi="宋体" w:cs="宋体"/>
          <w:snapToGrid w:val="0"/>
          <w:color w:val="auto"/>
          <w:kern w:val="0"/>
          <w:szCs w:val="24"/>
          <w:highlight w:val="none"/>
        </w:rPr>
      </w:pPr>
      <w:r>
        <w:rPr>
          <w:rFonts w:hint="eastAsia" w:hAnsi="宋体" w:cs="宋体"/>
          <w:snapToGrid w:val="0"/>
          <w:color w:val="auto"/>
          <w:kern w:val="0"/>
          <w:szCs w:val="24"/>
          <w:highlight w:val="none"/>
        </w:rPr>
        <w:t>（13）在最近三年内发生重大监理质量问题（以相关行业主管部门的行政处罚决定或司法机关出具的有关法律文书为准）；</w:t>
      </w:r>
    </w:p>
    <w:p>
      <w:pPr>
        <w:pStyle w:val="30"/>
        <w:widowControl/>
        <w:adjustRightInd w:val="0"/>
        <w:snapToGrid w:val="0"/>
        <w:spacing w:before="75" w:after="75"/>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（14）被“信用中国”网站（https://www.creditchina.gov.cn）发布的《法人和非法人组织公共信用信息报告》列为严重失信主体名单的。</w:t>
      </w:r>
    </w:p>
    <w:p>
      <w:pPr>
        <w:pStyle w:val="30"/>
        <w:widowControl/>
        <w:adjustRightInd w:val="0"/>
        <w:snapToGrid w:val="0"/>
        <w:spacing w:before="75" w:after="75"/>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2.4.2招标人拒绝以下名单中的单位参加本次投标：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651"/>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51"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26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120" w:beforeLines="50" w:line="312"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4651"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韶关市武江区人民政府惠民街道办事处</w:t>
            </w:r>
          </w:p>
        </w:tc>
        <w:tc>
          <w:tcPr>
            <w:tcW w:w="3263"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为本项目招标人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4651"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广东中颢工程设计有限公司</w:t>
            </w:r>
          </w:p>
        </w:tc>
        <w:tc>
          <w:tcPr>
            <w:tcW w:w="3263"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4651"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广东明正项目管理有限公司</w:t>
            </w:r>
          </w:p>
        </w:tc>
        <w:tc>
          <w:tcPr>
            <w:tcW w:w="3263"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为本招标项目的预算编制单位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5"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4651"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广州穗科建设管理有限公司</w:t>
            </w:r>
          </w:p>
        </w:tc>
        <w:tc>
          <w:tcPr>
            <w:tcW w:w="3263" w:type="dxa"/>
            <w:noWrap w:val="0"/>
            <w:vAlign w:val="center"/>
          </w:tcPr>
          <w:p>
            <w:pPr>
              <w:pStyle w:val="30"/>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为本招标项目的招标代理机构</w:t>
            </w:r>
          </w:p>
        </w:tc>
      </w:tr>
    </w:tbl>
    <w:p>
      <w:pPr>
        <w:pStyle w:val="30"/>
        <w:wordWrap w:val="0"/>
        <w:adjustRightInd w:val="0"/>
        <w:snapToGrid w:val="0"/>
        <w:ind w:firstLine="482" w:firstLineChars="200"/>
        <w:jc w:val="left"/>
        <w:rPr>
          <w:rFonts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2.5</w:t>
      </w:r>
      <w:r>
        <w:rPr>
          <w:rFonts w:hint="eastAsia" w:ascii="宋体" w:hAnsi="宋体" w:cs="宋体"/>
          <w:snapToGrid w:val="0"/>
          <w:color w:val="auto"/>
          <w:kern w:val="0"/>
          <w:sz w:val="24"/>
          <w:highlight w:val="none"/>
        </w:rPr>
        <w:t xml:space="preserve"> 其他要求</w:t>
      </w:r>
    </w:p>
    <w:p>
      <w:pPr>
        <w:pStyle w:val="30"/>
        <w:wordWrap w:val="0"/>
        <w:adjustRightInd w:val="0"/>
        <w:snapToGrid w:val="0"/>
        <w:ind w:firstLine="480" w:firstLineChars="200"/>
        <w:jc w:val="left"/>
        <w:rPr>
          <w:rFonts w:ascii="宋体" w:hAnsi="宋体" w:cs="宋体"/>
          <w:snapToGrid w:val="0"/>
          <w:color w:val="auto"/>
          <w:kern w:val="0"/>
          <w:sz w:val="24"/>
          <w:highlight w:val="none"/>
        </w:rPr>
      </w:pPr>
      <w:bookmarkStart w:id="33" w:name="_Toc2371"/>
      <w:bookmarkStart w:id="34" w:name="_Toc30379"/>
      <w:r>
        <w:rPr>
          <w:rFonts w:hint="eastAsia" w:ascii="宋体" w:hAnsi="宋体" w:cs="宋体"/>
          <w:snapToGrid w:val="0"/>
          <w:color w:val="auto"/>
          <w:kern w:val="0"/>
          <w:sz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pPr>
        <w:pStyle w:val="30"/>
        <w:wordWrap w:val="0"/>
        <w:adjustRightInd w:val="0"/>
        <w:snapToGrid w:val="0"/>
        <w:ind w:firstLine="480" w:firstLineChars="200"/>
        <w:jc w:val="left"/>
        <w:rPr>
          <w:rFonts w:ascii="宋体" w:hAnsi="宋体" w:cs="宋体"/>
          <w:snapToGrid w:val="0"/>
          <w:color w:val="auto"/>
          <w:kern w:val="0"/>
          <w:sz w:val="24"/>
          <w:highlight w:val="none"/>
        </w:rPr>
      </w:pPr>
    </w:p>
    <w:bookmarkEnd w:id="33"/>
    <w:bookmarkEnd w:id="34"/>
    <w:p>
      <w:pPr>
        <w:pStyle w:val="30"/>
        <w:numPr>
          <w:ilvl w:val="0"/>
          <w:numId w:val="1"/>
        </w:numPr>
        <w:wordWrap w:val="0"/>
        <w:adjustRightInd w:val="0"/>
        <w:snapToGrid w:val="0"/>
        <w:ind w:firstLine="482" w:firstLineChars="200"/>
        <w:jc w:val="left"/>
        <w:rPr>
          <w:rFonts w:ascii="宋体" w:hAnsi="宋体" w:cs="宋体"/>
          <w:snapToGrid w:val="0"/>
          <w:color w:val="auto"/>
          <w:kern w:val="0"/>
          <w:highlight w:val="none"/>
        </w:rPr>
      </w:pPr>
      <w:r>
        <w:rPr>
          <w:rFonts w:ascii="宋体" w:hAnsi="宋体" w:cs="宋体"/>
          <w:b/>
          <w:bCs/>
          <w:color w:val="auto"/>
          <w:sz w:val="24"/>
          <w:highlight w:val="none"/>
        </w:rPr>
        <w:t>招标文件的获取、提问和答疑</w:t>
      </w:r>
    </w:p>
    <w:p>
      <w:pPr>
        <w:pStyle w:val="30"/>
        <w:wordWrap w:val="0"/>
        <w:adjustRightInd w:val="0"/>
        <w:snapToGrid w:val="0"/>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本章第二节“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18819797080/0751-8379671伍先生，业务咨询电话：0751-8633211、8633071。</w:t>
      </w:r>
    </w:p>
    <w:p>
      <w:pPr>
        <w:pStyle w:val="30"/>
        <w:wordWrap w:val="0"/>
        <w:adjustRightInd w:val="0"/>
        <w:snapToGrid w:val="0"/>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 只有申领了数字证书（CA）、“粤企签”或GDCA/SZCA/NETCA等符合法律法规规定的电子印章，并在交易系统中完成企业信息数据入库的投标人，方可使用建设工程交易系统进行招标文件及附件获取和电子投标。</w:t>
      </w:r>
    </w:p>
    <w:p>
      <w:pPr>
        <w:pStyle w:val="2"/>
        <w:spacing w:line="240" w:lineRule="auto"/>
        <w:ind w:firstLine="48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pPr>
        <w:pStyle w:val="2"/>
        <w:spacing w:line="240" w:lineRule="auto"/>
        <w:ind w:firstLine="48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已入库企业有关信息（如单位名称、基本账号、资质、人员等）发生变化的，须及时在交易系统进行相应变更。投标人未及时变更信息而造成的损失和后果，由投标人自行承担。</w:t>
      </w:r>
    </w:p>
    <w:p>
      <w:pPr>
        <w:pStyle w:val="2"/>
        <w:spacing w:line="240" w:lineRule="auto"/>
        <w:ind w:firstLine="480" w:firstLineChars="200"/>
        <w:rPr>
          <w:rFonts w:ascii="Times New Roman" w:hAnsi="Times New Roman"/>
          <w:bCs/>
          <w:color w:val="auto"/>
          <w:szCs w:val="24"/>
          <w:highlight w:val="none"/>
        </w:rPr>
      </w:pPr>
      <w:r>
        <w:rPr>
          <w:rFonts w:hint="eastAsia" w:ascii="宋体" w:hAnsi="宋体" w:cs="宋体"/>
          <w:snapToGrid w:val="0"/>
          <w:color w:val="auto"/>
          <w:kern w:val="0"/>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tabs>
          <w:tab w:val="left" w:pos="7020"/>
        </w:tabs>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3.3</w:t>
      </w:r>
      <w:r>
        <w:rPr>
          <w:rFonts w:hint="eastAsia" w:hAnsi="宋体" w:cs="宋体"/>
          <w:snapToGrid w:val="0"/>
          <w:color w:val="auto"/>
          <w:kern w:val="0"/>
          <w:highlight w:val="none"/>
        </w:rPr>
        <w:t xml:space="preserve"> 投标保证</w:t>
      </w:r>
    </w:p>
    <w:p>
      <w:pPr>
        <w:tabs>
          <w:tab w:val="left" w:pos="7020"/>
        </w:tabs>
        <w:wordWrap w:val="0"/>
        <w:adjustRightInd w:val="0"/>
        <w:snapToGrid w:val="0"/>
        <w:spacing w:line="240" w:lineRule="auto"/>
        <w:ind w:firstLine="482" w:firstLineChars="200"/>
        <w:rPr>
          <w:rFonts w:hAnsi="宋体" w:cs="宋体"/>
          <w:strike/>
          <w:snapToGrid w:val="0"/>
          <w:color w:val="auto"/>
          <w:kern w:val="0"/>
          <w:highlight w:val="none"/>
        </w:rPr>
      </w:pPr>
      <w:r>
        <w:rPr>
          <w:rFonts w:hint="eastAsia" w:hAnsi="宋体" w:cs="宋体"/>
          <w:b/>
          <w:bCs/>
          <w:snapToGrid w:val="0"/>
          <w:color w:val="auto"/>
          <w:kern w:val="0"/>
          <w:highlight w:val="none"/>
        </w:rPr>
        <w:t>3.3.1</w:t>
      </w:r>
      <w:r>
        <w:rPr>
          <w:rFonts w:hint="eastAsia" w:hAnsi="宋体" w:cs="宋体"/>
          <w:snapToGrid w:val="0"/>
          <w:color w:val="auto"/>
          <w:kern w:val="0"/>
          <w:highlight w:val="none"/>
        </w:rPr>
        <w:t xml:space="preserve"> 投标人须缴纳金额为人民币</w:t>
      </w:r>
      <w:r>
        <w:rPr>
          <w:rFonts w:hint="eastAsia" w:hAnsi="宋体" w:cs="宋体"/>
          <w:snapToGrid w:val="0"/>
          <w:color w:val="auto"/>
          <w:kern w:val="0"/>
          <w:highlight w:val="none"/>
          <w:u w:val="single"/>
        </w:rPr>
        <w:t>3000.00</w:t>
      </w:r>
      <w:r>
        <w:rPr>
          <w:rFonts w:hint="eastAsia" w:hAnsi="宋体" w:cs="宋体"/>
          <w:snapToGrid w:val="0"/>
          <w:color w:val="auto"/>
          <w:kern w:val="0"/>
          <w:highlight w:val="none"/>
        </w:rPr>
        <w:t>元</w:t>
      </w:r>
      <w:r>
        <w:rPr>
          <w:rFonts w:hint="eastAsia" w:hAnsi="宋体" w:cs="宋体"/>
          <w:snapToGrid w:val="0"/>
          <w:color w:val="auto"/>
          <w:kern w:val="0"/>
          <w:highlight w:val="none"/>
        </w:rPr>
        <w:t>的投标保证。</w:t>
      </w:r>
    </w:p>
    <w:p>
      <w:pPr>
        <w:pStyle w:val="30"/>
        <w:adjustRightInd w:val="0"/>
        <w:snapToGrid w:val="0"/>
        <w:ind w:firstLine="482" w:firstLineChars="200"/>
        <w:jc w:val="left"/>
        <w:rPr>
          <w:rFonts w:ascii="宋体" w:hAnsi="宋体" w:cs="宋体"/>
          <w:snapToGrid w:val="0"/>
          <w:color w:val="auto"/>
          <w:kern w:val="0"/>
          <w:sz w:val="24"/>
          <w:szCs w:val="20"/>
          <w:highlight w:val="none"/>
        </w:rPr>
      </w:pPr>
      <w:r>
        <w:rPr>
          <w:rFonts w:hint="eastAsia" w:ascii="宋体" w:hAnsi="宋体" w:cs="宋体"/>
          <w:b/>
          <w:bCs/>
          <w:snapToGrid w:val="0"/>
          <w:color w:val="auto"/>
          <w:kern w:val="0"/>
          <w:sz w:val="24"/>
          <w:szCs w:val="20"/>
          <w:highlight w:val="none"/>
        </w:rPr>
        <w:t xml:space="preserve">3.3.2 </w:t>
      </w:r>
      <w:r>
        <w:rPr>
          <w:rFonts w:hint="eastAsia" w:ascii="宋体" w:hAnsi="宋体" w:cs="宋体"/>
          <w:snapToGrid w:val="0"/>
          <w:color w:val="auto"/>
          <w:kern w:val="0"/>
          <w:sz w:val="24"/>
          <w:szCs w:val="20"/>
          <w:highlight w:val="none"/>
        </w:rPr>
        <w:t>投标保证的形式包括投标保证金、投标保证担保、投标保证保险三种，由投标人自主选择。</w:t>
      </w:r>
    </w:p>
    <w:p>
      <w:pPr>
        <w:tabs>
          <w:tab w:val="left" w:pos="7020"/>
        </w:tabs>
        <w:wordWrap w:val="0"/>
        <w:adjustRightInd w:val="0"/>
        <w:snapToGrid w:val="0"/>
        <w:spacing w:line="240" w:lineRule="auto"/>
        <w:ind w:firstLine="480" w:firstLineChars="200"/>
        <w:rPr>
          <w:rFonts w:hAnsi="宋体" w:cs="宋体"/>
          <w:snapToGrid w:val="0"/>
          <w:color w:val="auto"/>
          <w:kern w:val="0"/>
          <w:szCs w:val="22"/>
          <w:highlight w:val="none"/>
        </w:rPr>
      </w:pPr>
      <w:r>
        <w:rPr>
          <w:rFonts w:hint="eastAsia" w:hAnsi="宋体" w:cs="宋体"/>
          <w:snapToGrid w:val="0"/>
          <w:color w:val="auto"/>
          <w:kern w:val="0"/>
          <w:szCs w:val="22"/>
          <w:highlight w:val="none"/>
        </w:rPr>
        <w:t>（1）采用投标保证金的，投标人在建设工程交易系统获取招标文件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240" w:lineRule="auto"/>
        <w:ind w:firstLine="480" w:firstLineChars="200"/>
        <w:rPr>
          <w:rFonts w:hAnsi="宋体" w:cs="宋体"/>
          <w:snapToGrid w:val="0"/>
          <w:color w:val="auto"/>
          <w:kern w:val="0"/>
          <w:szCs w:val="22"/>
          <w:highlight w:val="none"/>
        </w:rPr>
      </w:pPr>
      <w:r>
        <w:rPr>
          <w:rFonts w:hint="eastAsia" w:hAnsi="宋体" w:cs="宋体"/>
          <w:snapToGrid w:val="0"/>
          <w:color w:val="auto"/>
          <w:kern w:val="0"/>
          <w:szCs w:val="22"/>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pPr>
        <w:tabs>
          <w:tab w:val="left" w:pos="7020"/>
        </w:tabs>
        <w:wordWrap w:val="0"/>
        <w:adjustRightInd w:val="0"/>
        <w:snapToGrid w:val="0"/>
        <w:spacing w:line="240" w:lineRule="auto"/>
        <w:ind w:firstLine="480" w:firstLineChars="200"/>
        <w:rPr>
          <w:rFonts w:hAnsi="宋体" w:cs="宋体"/>
          <w:snapToGrid w:val="0"/>
          <w:color w:val="auto"/>
          <w:kern w:val="0"/>
          <w:szCs w:val="22"/>
          <w:highlight w:val="none"/>
        </w:rPr>
      </w:pPr>
      <w:r>
        <w:rPr>
          <w:rFonts w:hint="eastAsia" w:hAnsi="宋体" w:cs="宋体"/>
          <w:snapToGrid w:val="0"/>
          <w:color w:val="auto"/>
          <w:kern w:val="0"/>
          <w:szCs w:val="22"/>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pPr>
        <w:tabs>
          <w:tab w:val="left" w:pos="7020"/>
        </w:tabs>
        <w:wordWrap w:val="0"/>
        <w:adjustRightInd w:val="0"/>
        <w:snapToGrid w:val="0"/>
        <w:spacing w:line="240" w:lineRule="auto"/>
        <w:ind w:firstLine="480" w:firstLineChars="200"/>
        <w:rPr>
          <w:rFonts w:hAnsi="宋体" w:cs="宋体"/>
          <w:snapToGrid w:val="0"/>
          <w:color w:val="auto"/>
          <w:kern w:val="0"/>
          <w:szCs w:val="22"/>
          <w:highlight w:val="none"/>
        </w:rPr>
      </w:pPr>
      <w:r>
        <w:rPr>
          <w:rFonts w:hint="eastAsia" w:hAnsi="宋体" w:cs="宋体"/>
          <w:snapToGrid w:val="0"/>
          <w:color w:val="auto"/>
          <w:kern w:val="0"/>
          <w:szCs w:val="22"/>
          <w:highlight w:val="none"/>
        </w:rPr>
        <w:t>温馨提醒：1.投标人采用投标保证担保或投标保证保险的，为避免在评标过程中因有效期发生争议，建议投标人将银行保函或电子保单有效期设置为较招标文件规定的投标有效期延长不少于20个日历天。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adjustRightInd w:val="0"/>
        <w:snapToGrid w:val="0"/>
        <w:spacing w:line="240" w:lineRule="auto"/>
        <w:ind w:firstLine="480" w:firstLineChars="200"/>
        <w:rPr>
          <w:rFonts w:hAnsi="宋体" w:cs="宋体"/>
          <w:snapToGrid w:val="0"/>
          <w:color w:val="auto"/>
          <w:kern w:val="0"/>
          <w:szCs w:val="22"/>
          <w:highlight w:val="none"/>
        </w:rPr>
      </w:pPr>
      <w:r>
        <w:rPr>
          <w:rFonts w:hint="eastAsia" w:hAnsi="宋体" w:cs="宋体"/>
          <w:snapToGrid w:val="0"/>
          <w:color w:val="auto"/>
          <w:kern w:val="0"/>
          <w:szCs w:val="22"/>
          <w:highlight w:val="none"/>
        </w:rPr>
        <w:t>3.4 若投标人因自身原因未能正确完成缴纳投标保证的，其投标无效。</w:t>
      </w:r>
    </w:p>
    <w:p>
      <w:pPr>
        <w:pStyle w:val="5"/>
        <w:wordWrap w:val="0"/>
        <w:snapToGrid w:val="0"/>
        <w:spacing w:line="240" w:lineRule="auto"/>
        <w:ind w:firstLine="480"/>
        <w:jc w:val="both"/>
        <w:rPr>
          <w:rFonts w:hAnsi="宋体" w:cs="宋体"/>
          <w:snapToGrid w:val="0"/>
          <w:color w:val="auto"/>
          <w:highlight w:val="none"/>
        </w:rPr>
      </w:pPr>
      <w:bookmarkStart w:id="35" w:name="_Toc23569"/>
      <w:bookmarkStart w:id="36" w:name="_Toc15908"/>
      <w:r>
        <w:rPr>
          <w:rFonts w:hint="eastAsia" w:hAnsi="宋体" w:cs="宋体"/>
          <w:b/>
          <w:bCs/>
          <w:snapToGrid w:val="0"/>
          <w:color w:val="auto"/>
          <w:highlight w:val="none"/>
        </w:rPr>
        <w:t>4．服务期限</w:t>
      </w:r>
      <w:bookmarkEnd w:id="35"/>
      <w:bookmarkEnd w:id="36"/>
    </w:p>
    <w:p>
      <w:pPr>
        <w:tabs>
          <w:tab w:val="left" w:pos="7020"/>
        </w:tabs>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4.1</w:t>
      </w:r>
      <w:r>
        <w:rPr>
          <w:rFonts w:hint="eastAsia" w:hAnsi="宋体" w:cs="宋体"/>
          <w:snapToGrid w:val="0"/>
          <w:color w:val="auto"/>
          <w:kern w:val="0"/>
          <w:highlight w:val="none"/>
        </w:rPr>
        <w:t xml:space="preserve"> 监理：</w:t>
      </w:r>
      <w:r>
        <w:rPr>
          <w:rFonts w:hint="eastAsia" w:hAnsi="宋体" w:cs="宋体"/>
          <w:snapToGrid w:val="0"/>
          <w:color w:val="auto"/>
          <w:kern w:val="0"/>
          <w:highlight w:val="none"/>
          <w:u w:val="single"/>
        </w:rPr>
        <w:t>监理服务期从中标通知书发出之日起计，至本工程缺陷责任期结束且本工程结算金额经政府主管部门审定且双方的责任义务履行完毕时止。</w:t>
      </w:r>
    </w:p>
    <w:p>
      <w:pPr>
        <w:pStyle w:val="4"/>
        <w:wordWrap w:val="0"/>
        <w:autoSpaceDE/>
        <w:autoSpaceDN/>
        <w:snapToGrid w:val="0"/>
        <w:spacing w:line="240" w:lineRule="auto"/>
        <w:ind w:firstLine="480"/>
        <w:jc w:val="both"/>
        <w:rPr>
          <w:rFonts w:hAnsi="宋体" w:cs="宋体"/>
          <w:b/>
          <w:snapToGrid w:val="0"/>
          <w:color w:val="auto"/>
          <w:highlight w:val="none"/>
        </w:rPr>
      </w:pPr>
    </w:p>
    <w:p>
      <w:pPr>
        <w:pStyle w:val="5"/>
        <w:wordWrap w:val="0"/>
        <w:snapToGrid w:val="0"/>
        <w:spacing w:line="240" w:lineRule="auto"/>
        <w:ind w:firstLine="480"/>
        <w:jc w:val="both"/>
        <w:rPr>
          <w:rFonts w:hAnsi="宋体" w:cs="宋体"/>
          <w:b/>
          <w:snapToGrid w:val="0"/>
          <w:color w:val="auto"/>
          <w:highlight w:val="none"/>
        </w:rPr>
      </w:pPr>
      <w:bookmarkStart w:id="37" w:name="_Toc25405"/>
      <w:bookmarkStart w:id="38" w:name="_Toc19033"/>
      <w:r>
        <w:rPr>
          <w:rFonts w:hint="eastAsia" w:hAnsi="宋体" w:cs="宋体"/>
          <w:b/>
          <w:snapToGrid w:val="0"/>
          <w:color w:val="auto"/>
          <w:highlight w:val="none"/>
        </w:rPr>
        <w:t>5．服务标准</w:t>
      </w:r>
      <w:bookmarkEnd w:id="37"/>
      <w:bookmarkEnd w:id="38"/>
    </w:p>
    <w:p>
      <w:pPr>
        <w:pStyle w:val="30"/>
        <w:wordWrap w:val="0"/>
        <w:adjustRightInd w:val="0"/>
        <w:snapToGrid w:val="0"/>
        <w:ind w:firstLine="480"/>
        <w:jc w:val="left"/>
        <w:rPr>
          <w:rFonts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5.1</w:t>
      </w:r>
      <w:r>
        <w:rPr>
          <w:rFonts w:hint="eastAsia" w:ascii="宋体" w:hAnsi="宋体" w:cs="宋体"/>
          <w:snapToGrid w:val="0"/>
          <w:color w:val="auto"/>
          <w:kern w:val="0"/>
          <w:sz w:val="24"/>
          <w:highlight w:val="none"/>
        </w:rPr>
        <w:t xml:space="preserve"> 监理：必须达到合格标准。本工程质量验收标准按照现行的国家和广东省的有关施工技术规范及现行标准为依据，必须达到验收合格标准。若因中标人原因，工程在竣工验收或分部工程验收时没有达到此标准，中标人按监理合同价款的5％向招标人返纳质量违约金，并无条件免费监理服务至工程达到合格止。</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szCs w:val="24"/>
          <w:highlight w:val="none"/>
        </w:rPr>
        <w:t>5.2</w:t>
      </w:r>
      <w:r>
        <w:rPr>
          <w:rFonts w:hint="eastAsia" w:hAnsi="宋体" w:cs="宋体"/>
          <w:snapToGrid w:val="0"/>
          <w:color w:val="auto"/>
          <w:kern w:val="0"/>
          <w:szCs w:val="24"/>
          <w:highlight w:val="none"/>
        </w:rPr>
        <w:t xml:space="preserve"> 根据韶关市人民政府《关</w:t>
      </w:r>
      <w:r>
        <w:rPr>
          <w:rFonts w:hint="eastAsia" w:hAnsi="宋体" w:cs="宋体"/>
          <w:snapToGrid w:val="0"/>
          <w:color w:val="auto"/>
          <w:kern w:val="0"/>
          <w:highlight w:val="none"/>
        </w:rPr>
        <w:t>于加快推进全市绿色建筑发展工作的通知》（韶府办明电〔2013〕277号）有关规定，本招标项目纳入绿色建筑实施范围。</w:t>
      </w:r>
    </w:p>
    <w:p>
      <w:pPr>
        <w:pStyle w:val="5"/>
        <w:wordWrap w:val="0"/>
        <w:snapToGrid w:val="0"/>
        <w:spacing w:line="240" w:lineRule="auto"/>
        <w:ind w:firstLine="482" w:firstLineChars="200"/>
        <w:jc w:val="both"/>
        <w:rPr>
          <w:rFonts w:hAnsi="宋体" w:cs="宋体"/>
          <w:b/>
          <w:snapToGrid w:val="0"/>
          <w:color w:val="auto"/>
          <w:highlight w:val="none"/>
        </w:rPr>
      </w:pPr>
      <w:bookmarkStart w:id="39" w:name="_Toc12110"/>
      <w:bookmarkStart w:id="40" w:name="_Toc16734"/>
    </w:p>
    <w:p>
      <w:pPr>
        <w:pStyle w:val="5"/>
        <w:wordWrap w:val="0"/>
        <w:snapToGrid w:val="0"/>
        <w:spacing w:line="240" w:lineRule="auto"/>
        <w:ind w:firstLine="482" w:firstLineChars="200"/>
        <w:jc w:val="both"/>
        <w:rPr>
          <w:rFonts w:hAnsi="宋体" w:cs="宋体"/>
          <w:b/>
          <w:snapToGrid w:val="0"/>
          <w:color w:val="auto"/>
          <w:highlight w:val="none"/>
        </w:rPr>
      </w:pPr>
      <w:r>
        <w:rPr>
          <w:rFonts w:hint="eastAsia" w:hAnsi="宋体" w:cs="宋体"/>
          <w:b/>
          <w:snapToGrid w:val="0"/>
          <w:color w:val="auto"/>
          <w:highlight w:val="none"/>
        </w:rPr>
        <w:t>6．现场踏勘</w:t>
      </w:r>
      <w:bookmarkEnd w:id="39"/>
      <w:bookmarkEnd w:id="40"/>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6.1</w:t>
      </w:r>
      <w:r>
        <w:rPr>
          <w:rFonts w:hint="eastAsia" w:hAnsi="宋体" w:cs="宋体"/>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6.2</w:t>
      </w:r>
      <w:r>
        <w:rPr>
          <w:rFonts w:hint="eastAsia" w:hAnsi="宋体" w:cs="宋体"/>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240" w:lineRule="auto"/>
        <w:ind w:firstLine="482" w:firstLineChars="200"/>
        <w:rPr>
          <w:rFonts w:hAnsi="宋体" w:cs="宋体"/>
          <w:color w:val="auto"/>
          <w:highlight w:val="none"/>
        </w:rPr>
      </w:pPr>
      <w:r>
        <w:rPr>
          <w:rFonts w:hint="eastAsia" w:hAnsi="宋体" w:cs="宋体"/>
          <w:b/>
          <w:bCs/>
          <w:snapToGrid w:val="0"/>
          <w:color w:val="auto"/>
          <w:kern w:val="0"/>
          <w:highlight w:val="none"/>
        </w:rPr>
        <w:t>6.3</w:t>
      </w:r>
      <w:r>
        <w:rPr>
          <w:rFonts w:hint="eastAsia" w:hAnsi="宋体" w:cs="宋体"/>
          <w:snapToGrid w:val="0"/>
          <w:color w:val="auto"/>
          <w:kern w:val="0"/>
          <w:highlight w:val="none"/>
        </w:rPr>
        <w:t xml:space="preserve"> 现场踏勘期间的交通、食宿由投标人自行安排，费用自理。</w:t>
      </w:r>
    </w:p>
    <w:p>
      <w:pPr>
        <w:pStyle w:val="5"/>
        <w:wordWrap w:val="0"/>
        <w:snapToGrid w:val="0"/>
        <w:spacing w:line="240" w:lineRule="auto"/>
        <w:ind w:firstLine="482" w:firstLineChars="200"/>
        <w:jc w:val="both"/>
        <w:rPr>
          <w:rFonts w:hAnsi="宋体" w:cs="宋体"/>
          <w:b/>
          <w:snapToGrid w:val="0"/>
          <w:color w:val="auto"/>
          <w:highlight w:val="none"/>
        </w:rPr>
      </w:pPr>
      <w:bookmarkStart w:id="41" w:name="_Toc29906"/>
      <w:bookmarkStart w:id="42" w:name="_Toc20298"/>
    </w:p>
    <w:p>
      <w:pPr>
        <w:pStyle w:val="5"/>
        <w:wordWrap w:val="0"/>
        <w:snapToGrid w:val="0"/>
        <w:spacing w:line="240" w:lineRule="auto"/>
        <w:ind w:firstLine="482" w:firstLineChars="200"/>
        <w:jc w:val="both"/>
        <w:rPr>
          <w:rFonts w:hAnsi="宋体" w:cs="宋体"/>
          <w:b/>
          <w:snapToGrid w:val="0"/>
          <w:color w:val="auto"/>
          <w:highlight w:val="none"/>
        </w:rPr>
      </w:pPr>
      <w:r>
        <w:rPr>
          <w:rFonts w:hint="eastAsia" w:hAnsi="宋体" w:cs="宋体"/>
          <w:b/>
          <w:snapToGrid w:val="0"/>
          <w:color w:val="auto"/>
          <w:highlight w:val="none"/>
        </w:rPr>
        <w:t>7．招标文件的提问和答疑</w:t>
      </w:r>
      <w:bookmarkEnd w:id="41"/>
      <w:bookmarkEnd w:id="42"/>
      <w:bookmarkStart w:id="43" w:name="_Hlt74496410"/>
      <w:bookmarkEnd w:id="43"/>
    </w:p>
    <w:p>
      <w:pPr>
        <w:wordWrap w:val="0"/>
        <w:adjustRightInd w:val="0"/>
        <w:snapToGrid w:val="0"/>
        <w:spacing w:line="240" w:lineRule="auto"/>
        <w:ind w:firstLine="482" w:firstLineChars="200"/>
        <w:rPr>
          <w:rFonts w:hAnsi="宋体" w:cs="宋体"/>
          <w:snapToGrid w:val="0"/>
          <w:color w:val="auto"/>
          <w:kern w:val="0"/>
          <w:szCs w:val="24"/>
          <w:highlight w:val="none"/>
        </w:rPr>
      </w:pPr>
      <w:r>
        <w:rPr>
          <w:rFonts w:hint="eastAsia" w:hAnsi="宋体" w:cs="宋体"/>
          <w:b/>
          <w:bCs/>
          <w:snapToGrid w:val="0"/>
          <w:color w:val="auto"/>
          <w:kern w:val="0"/>
          <w:highlight w:val="none"/>
        </w:rPr>
        <w:t>7.1</w:t>
      </w:r>
      <w:r>
        <w:rPr>
          <w:rFonts w:hint="eastAsia" w:hAnsi="宋体" w:cs="宋体"/>
          <w:snapToGrid w:val="0"/>
          <w:color w:val="auto"/>
          <w:kern w:val="0"/>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hAnsi="宋体" w:cs="宋体"/>
          <w:snapToGrid w:val="0"/>
          <w:color w:val="auto"/>
          <w:kern w:val="0"/>
          <w:szCs w:val="24"/>
          <w:highlight w:val="none"/>
        </w:rPr>
        <w:t>。</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 xml:space="preserve">7.2 </w:t>
      </w:r>
      <w:r>
        <w:rPr>
          <w:rFonts w:hint="eastAsia" w:hAnsi="宋体" w:cs="宋体"/>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7.3</w:t>
      </w:r>
      <w:r>
        <w:rPr>
          <w:rFonts w:hint="eastAsia" w:hAnsi="宋体" w:cs="宋体"/>
          <w:snapToGrid w:val="0"/>
          <w:color w:val="auto"/>
          <w:kern w:val="0"/>
          <w:highlight w:val="none"/>
        </w:rPr>
        <w:t xml:space="preserve"> 招标人对招标文件所作的答疑（或修改）公告，构成招标文件的组成部分。</w:t>
      </w:r>
    </w:p>
    <w:p>
      <w:pPr>
        <w:pStyle w:val="5"/>
        <w:wordWrap w:val="0"/>
        <w:snapToGrid w:val="0"/>
        <w:spacing w:line="240" w:lineRule="auto"/>
        <w:ind w:firstLine="480"/>
        <w:jc w:val="both"/>
        <w:rPr>
          <w:rFonts w:hAnsi="宋体" w:cs="宋体"/>
          <w:b/>
          <w:snapToGrid w:val="0"/>
          <w:color w:val="auto"/>
          <w:highlight w:val="none"/>
        </w:rPr>
      </w:pPr>
      <w:bookmarkStart w:id="44" w:name="_Hlt69699188"/>
      <w:bookmarkEnd w:id="44"/>
      <w:bookmarkStart w:id="45" w:name="_Hlt92513711"/>
      <w:bookmarkEnd w:id="45"/>
      <w:bookmarkStart w:id="46" w:name="_Hlt92513715"/>
      <w:bookmarkEnd w:id="46"/>
      <w:bookmarkStart w:id="47" w:name="_Toc10233"/>
      <w:bookmarkStart w:id="48" w:name="_Toc3738"/>
    </w:p>
    <w:p>
      <w:pPr>
        <w:pStyle w:val="5"/>
        <w:wordWrap w:val="0"/>
        <w:snapToGrid w:val="0"/>
        <w:spacing w:line="240" w:lineRule="auto"/>
        <w:ind w:firstLine="480"/>
        <w:jc w:val="both"/>
        <w:rPr>
          <w:rFonts w:hAnsi="宋体" w:cs="宋体"/>
          <w:b/>
          <w:snapToGrid w:val="0"/>
          <w:color w:val="auto"/>
          <w:highlight w:val="none"/>
        </w:rPr>
      </w:pPr>
      <w:r>
        <w:rPr>
          <w:rFonts w:hint="eastAsia" w:hAnsi="宋体" w:cs="宋体"/>
          <w:b/>
          <w:snapToGrid w:val="0"/>
          <w:color w:val="auto"/>
          <w:highlight w:val="none"/>
        </w:rPr>
        <w:t>8．最高投标限价</w:t>
      </w:r>
      <w:bookmarkEnd w:id="47"/>
      <w:bookmarkEnd w:id="48"/>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8.1</w:t>
      </w:r>
      <w:r>
        <w:rPr>
          <w:rFonts w:hint="eastAsia" w:hAnsi="宋体" w:cs="宋体"/>
          <w:snapToGrid w:val="0"/>
          <w:color w:val="auto"/>
          <w:kern w:val="0"/>
          <w:highlight w:val="none"/>
        </w:rPr>
        <w:t xml:space="preserve"> 本招标项目参考以下依据编制最高投标限价：</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（1）项目</w:t>
      </w:r>
      <w:r>
        <w:rPr>
          <w:rFonts w:hint="eastAsia" w:hAnsi="宋体" w:cs="宋体"/>
          <w:snapToGrid w:val="0"/>
          <w:color w:val="auto"/>
          <w:kern w:val="0"/>
          <w:highlight w:val="none"/>
          <w:u w:val="single"/>
        </w:rPr>
        <w:t xml:space="preserve">  概算/预算 </w:t>
      </w:r>
      <w:r>
        <w:rPr>
          <w:rFonts w:hint="eastAsia" w:hAnsi="宋体" w:cs="宋体"/>
          <w:snapToGrid w:val="0"/>
          <w:color w:val="auto"/>
          <w:kern w:val="0"/>
          <w:highlight w:val="none"/>
        </w:rPr>
        <w:t>投资额；</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（2）《建设工程监理与相关服务收费标准》；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（3）监理及相关服务内容；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（4）施工现场情况、工程特点；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（5）项目所在地市场价格。</w:t>
      </w:r>
    </w:p>
    <w:p>
      <w:pPr>
        <w:wordWrap w:val="0"/>
        <w:adjustRightInd w:val="0"/>
        <w:snapToGrid w:val="0"/>
        <w:spacing w:line="240" w:lineRule="auto"/>
        <w:ind w:firstLine="482" w:firstLineChars="200"/>
        <w:rPr>
          <w:rFonts w:hAnsi="宋体" w:cs="宋体"/>
          <w:snapToGrid w:val="0"/>
          <w:color w:val="auto"/>
          <w:kern w:val="0"/>
          <w:szCs w:val="24"/>
          <w:highlight w:val="none"/>
        </w:rPr>
      </w:pPr>
      <w:r>
        <w:rPr>
          <w:rFonts w:hint="eastAsia" w:hAnsi="宋体" w:cs="宋体"/>
          <w:b/>
          <w:bCs/>
          <w:snapToGrid w:val="0"/>
          <w:color w:val="auto"/>
          <w:kern w:val="0"/>
          <w:highlight w:val="none"/>
        </w:rPr>
        <w:t>8.2</w:t>
      </w:r>
      <w:r>
        <w:rPr>
          <w:rFonts w:hint="eastAsia" w:hAnsi="宋体" w:cs="宋体"/>
          <w:snapToGrid w:val="0"/>
          <w:color w:val="auto"/>
          <w:kern w:val="0"/>
          <w:highlight w:val="none"/>
        </w:rPr>
        <w:t xml:space="preserve"> </w:t>
      </w:r>
      <w:r>
        <w:rPr>
          <w:rFonts w:hint="eastAsia" w:hAnsi="宋体" w:cs="宋体"/>
          <w:color w:val="auto"/>
          <w:szCs w:val="24"/>
          <w:highlight w:val="none"/>
        </w:rPr>
        <w:t>本次招标最高投标限价为人民币（大写）</w:t>
      </w:r>
      <w:r>
        <w:rPr>
          <w:rFonts w:hint="eastAsia" w:hAnsi="宋体" w:cs="宋体"/>
          <w:color w:val="auto"/>
          <w:szCs w:val="24"/>
          <w:highlight w:val="none"/>
          <w:lang w:val="en-US" w:eastAsia="zh-CN"/>
        </w:rPr>
        <w:t>壹拾捌万零玖佰陆拾元整</w:t>
      </w:r>
      <w:r>
        <w:rPr>
          <w:rFonts w:hint="eastAsia" w:hAnsi="宋体" w:cs="宋体"/>
          <w:color w:val="auto"/>
          <w:szCs w:val="24"/>
          <w:highlight w:val="none"/>
        </w:rPr>
        <w:t>（¥</w:t>
      </w:r>
      <w:r>
        <w:rPr>
          <w:rFonts w:hint="eastAsia" w:hAnsi="宋体" w:cs="宋体"/>
          <w:color w:val="auto"/>
          <w:szCs w:val="24"/>
          <w:highlight w:val="none"/>
          <w:lang w:val="en-US" w:eastAsia="zh-CN"/>
        </w:rPr>
        <w:t>180960</w:t>
      </w:r>
      <w:r>
        <w:rPr>
          <w:rFonts w:hint="eastAsia" w:hAnsi="宋体" w:cs="宋体"/>
          <w:color w:val="auto"/>
          <w:szCs w:val="24"/>
          <w:highlight w:val="none"/>
        </w:rPr>
        <w:t>.00元）。</w:t>
      </w:r>
    </w:p>
    <w:p>
      <w:pPr>
        <w:pStyle w:val="5"/>
        <w:wordWrap w:val="0"/>
        <w:snapToGrid w:val="0"/>
        <w:spacing w:line="240" w:lineRule="auto"/>
        <w:ind w:firstLine="482" w:firstLineChars="200"/>
        <w:jc w:val="both"/>
        <w:rPr>
          <w:rFonts w:hAnsi="宋体" w:cs="宋体"/>
          <w:b/>
          <w:snapToGrid w:val="0"/>
          <w:color w:val="auto"/>
          <w:highlight w:val="none"/>
        </w:rPr>
      </w:pPr>
      <w:bookmarkStart w:id="49" w:name="_Toc27588"/>
      <w:bookmarkStart w:id="50" w:name="_Toc25721"/>
    </w:p>
    <w:p>
      <w:pPr>
        <w:pStyle w:val="5"/>
        <w:wordWrap w:val="0"/>
        <w:snapToGrid w:val="0"/>
        <w:spacing w:line="240" w:lineRule="auto"/>
        <w:ind w:firstLine="482" w:firstLineChars="200"/>
        <w:jc w:val="both"/>
        <w:rPr>
          <w:rFonts w:hAnsi="宋体" w:cs="宋体"/>
          <w:b/>
          <w:snapToGrid w:val="0"/>
          <w:color w:val="auto"/>
          <w:highlight w:val="none"/>
        </w:rPr>
      </w:pPr>
      <w:r>
        <w:rPr>
          <w:rFonts w:hint="eastAsia" w:hAnsi="宋体" w:cs="宋体"/>
          <w:b/>
          <w:snapToGrid w:val="0"/>
          <w:color w:val="auto"/>
          <w:highlight w:val="none"/>
        </w:rPr>
        <w:t>9．投标报价</w:t>
      </w:r>
      <w:bookmarkEnd w:id="49"/>
      <w:bookmarkEnd w:id="50"/>
      <w:bookmarkStart w:id="51" w:name="_Hlt74498519"/>
      <w:bookmarkEnd w:id="51"/>
    </w:p>
    <w:p>
      <w:pPr>
        <w:wordWrap w:val="0"/>
        <w:adjustRightInd w:val="0"/>
        <w:snapToGrid w:val="0"/>
        <w:spacing w:line="240" w:lineRule="auto"/>
        <w:ind w:firstLine="482" w:firstLineChars="200"/>
        <w:rPr>
          <w:rFonts w:hint="eastAsia" w:ascii="宋体" w:hAnsi="宋体" w:eastAsia="宋体" w:cs="宋体"/>
          <w:snapToGrid w:val="0"/>
          <w:color w:val="auto"/>
          <w:kern w:val="0"/>
          <w:highlight w:val="none"/>
        </w:rPr>
      </w:pPr>
      <w:bookmarkStart w:id="52" w:name="_（十）投标文件的编制、包装、密封"/>
      <w:bookmarkEnd w:id="52"/>
      <w:r>
        <w:rPr>
          <w:rFonts w:hint="eastAsia" w:ascii="宋体" w:hAnsi="宋体" w:eastAsia="宋体" w:cs="宋体"/>
          <w:b/>
          <w:bCs/>
          <w:snapToGrid w:val="0"/>
          <w:color w:val="auto"/>
          <w:kern w:val="0"/>
          <w:highlight w:val="none"/>
        </w:rPr>
        <w:t>9.1</w:t>
      </w:r>
      <w:r>
        <w:rPr>
          <w:rFonts w:hint="eastAsia" w:ascii="宋体" w:hAnsi="宋体" w:eastAsia="宋体" w:cs="宋体"/>
          <w:snapToGrid w:val="0"/>
          <w:color w:val="auto"/>
          <w:kern w:val="0"/>
          <w:highlight w:val="none"/>
        </w:rPr>
        <w:t xml:space="preserve"> 本次招标采用填报</w:t>
      </w:r>
      <w:r>
        <w:rPr>
          <w:rFonts w:hint="eastAsia" w:ascii="宋体" w:hAnsi="宋体" w:eastAsia="宋体" w:cs="宋体"/>
          <w:snapToGrid w:val="0"/>
          <w:color w:val="auto"/>
          <w:kern w:val="0"/>
          <w:highlight w:val="none"/>
          <w:u w:val="single"/>
        </w:rPr>
        <w:t xml:space="preserve"> </w:t>
      </w:r>
      <w:r>
        <w:rPr>
          <w:rFonts w:hint="eastAsia" w:ascii="Times New Roman" w:hAnsi="Times New Roman" w:cs="Times New Roman"/>
          <w:b w:val="0"/>
          <w:bCs w:val="0"/>
          <w:caps w:val="0"/>
          <w:smallCaps w:val="0"/>
          <w:snapToGrid w:val="0"/>
          <w:color w:val="auto"/>
          <w:spacing w:val="0"/>
          <w:kern w:val="0"/>
          <w:sz w:val="24"/>
          <w:highlight w:val="none"/>
          <w:u w:val="single" w:color="auto"/>
          <w:lang w:val="en-US" w:eastAsia="zh-CN" w:bidi="ar-SA"/>
        </w:rPr>
        <w:t xml:space="preserve"> 价格和取费费率</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的方式进行报价。投标人应在《投标函》（格式二）中进行报价</w:t>
      </w:r>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并填写《监理及相关服务报酬清单》</w:t>
      </w:r>
      <w:r>
        <w:rPr>
          <w:rFonts w:hint="eastAsia" w:ascii="宋体" w:hAnsi="宋体" w:eastAsia="宋体" w:cs="宋体"/>
          <w:snapToGrid w:val="0"/>
          <w:color w:val="auto"/>
          <w:kern w:val="0"/>
          <w:highlight w:val="none"/>
        </w:rPr>
        <w:t>。</w:t>
      </w:r>
    </w:p>
    <w:p>
      <w:pPr>
        <w:wordWrap w:val="0"/>
        <w:adjustRightInd w:val="0"/>
        <w:snapToGrid w:val="0"/>
        <w:spacing w:line="240" w:lineRule="auto"/>
        <w:ind w:firstLine="482" w:firstLineChars="200"/>
        <w:rPr>
          <w:rFonts w:hint="default" w:ascii="宋体" w:hAnsi="宋体" w:eastAsia="宋体" w:cs="宋体"/>
          <w:b w:val="0"/>
          <w:bCs w:val="0"/>
          <w:snapToGrid w:val="0"/>
          <w:color w:val="auto"/>
          <w:kern w:val="0"/>
          <w:highlight w:val="none"/>
          <w:lang w:val="en-US" w:eastAsia="zh-CN"/>
        </w:rPr>
      </w:pPr>
      <w:r>
        <w:rPr>
          <w:rFonts w:hint="eastAsia" w:ascii="宋体" w:hAnsi="宋体" w:eastAsia="宋体" w:cs="宋体"/>
          <w:b/>
          <w:bCs/>
          <w:snapToGrid w:val="0"/>
          <w:color w:val="auto"/>
          <w:kern w:val="0"/>
          <w:highlight w:val="none"/>
        </w:rPr>
        <w:t>9.2</w:t>
      </w:r>
      <w:r>
        <w:rPr>
          <w:rFonts w:hint="eastAsia" w:ascii="宋体" w:hAnsi="宋体" w:eastAsia="宋体" w:cs="宋体"/>
          <w:snapToGrid w:val="0"/>
          <w:color w:val="auto"/>
          <w:kern w:val="0"/>
          <w:highlight w:val="none"/>
        </w:rPr>
        <w:t xml:space="preserve"> </w:t>
      </w:r>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所有报价均以人民币“元”为单位，并保留两位小数；投标取费费率＝投标总价÷建安工程费×100%，并保留</w:t>
      </w:r>
      <w:r>
        <w:rPr>
          <w:rFonts w:hint="eastAsia" w:ascii="Times New Roman" w:hAnsi="Times New Roman" w:cs="Times New Roman"/>
          <w:b w:val="0"/>
          <w:bCs w:val="0"/>
          <w:caps w:val="0"/>
          <w:smallCaps w:val="0"/>
          <w:snapToGrid w:val="0"/>
          <w:color w:val="auto"/>
          <w:spacing w:val="0"/>
          <w:kern w:val="0"/>
          <w:sz w:val="24"/>
          <w:highlight w:val="none"/>
          <w:u w:val="single" w:color="auto"/>
          <w:lang w:val="en-US" w:eastAsia="zh-CN" w:bidi="ar-SA"/>
        </w:rPr>
        <w:t xml:space="preserve"> 3 </w:t>
      </w:r>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位小数。</w:t>
      </w:r>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本项目的建安工程费暂定价为人民币725</w:t>
      </w:r>
      <w:bookmarkStart w:id="295" w:name="_GoBack"/>
      <w:bookmarkEnd w:id="295"/>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0000.00元。</w:t>
      </w:r>
    </w:p>
    <w:p>
      <w:pPr>
        <w:wordWrap w:val="0"/>
        <w:adjustRightInd w:val="0"/>
        <w:snapToGrid w:val="0"/>
        <w:spacing w:line="24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9.3</w:t>
      </w:r>
      <w:r>
        <w:rPr>
          <w:rFonts w:hint="eastAsia" w:ascii="宋体" w:hAnsi="宋体" w:eastAsia="宋体" w:cs="宋体"/>
          <w:snapToGrid w:val="0"/>
          <w:color w:val="auto"/>
          <w:kern w:val="0"/>
          <w:highlight w:val="none"/>
        </w:rPr>
        <w:t xml:space="preserve"> 投标人只允许有一个投标总价。投标总价必须同时用大、小写表示，大、小写报价应保持一致，若不一致，以大写报价为准。</w:t>
      </w:r>
    </w:p>
    <w:p>
      <w:pPr>
        <w:wordWrap w:val="0"/>
        <w:adjustRightInd w:val="0"/>
        <w:snapToGrid w:val="0"/>
        <w:spacing w:line="24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9.4</w:t>
      </w:r>
      <w:r>
        <w:rPr>
          <w:rFonts w:hint="eastAsia" w:ascii="宋体" w:hAnsi="宋体" w:eastAsia="宋体" w:cs="宋体"/>
          <w:snapToGrid w:val="0"/>
          <w:color w:val="auto"/>
          <w:kern w:val="0"/>
          <w:highlight w:val="none"/>
        </w:rPr>
        <w:t xml:space="preserve"> 投标总价应包括国家规定的增值税税金。本次招标增值税税金按</w:t>
      </w:r>
      <w:r>
        <w:rPr>
          <w:rFonts w:hint="eastAsia" w:ascii="宋体" w:hAnsi="宋体" w:eastAsia="宋体" w:cs="宋体"/>
          <w:snapToGrid w:val="0"/>
          <w:color w:val="auto"/>
          <w:kern w:val="0"/>
          <w:highlight w:val="none"/>
          <w:u w:val="single"/>
        </w:rPr>
        <w:t xml:space="preserve"> 一般 </w:t>
      </w:r>
      <w:r>
        <w:rPr>
          <w:rFonts w:hint="eastAsia" w:ascii="宋体" w:hAnsi="宋体" w:eastAsia="宋体" w:cs="宋体"/>
          <w:snapToGrid w:val="0"/>
          <w:color w:val="auto"/>
          <w:kern w:val="0"/>
          <w:highlight w:val="none"/>
        </w:rPr>
        <w:t>计税方法计算。</w:t>
      </w:r>
    </w:p>
    <w:p>
      <w:pPr>
        <w:wordWrap w:val="0"/>
        <w:adjustRightInd w:val="0"/>
        <w:snapToGrid w:val="0"/>
        <w:spacing w:line="24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9.5</w:t>
      </w:r>
      <w:r>
        <w:rPr>
          <w:rFonts w:hint="eastAsia" w:ascii="宋体" w:hAnsi="宋体" w:eastAsia="宋体" w:cs="宋体"/>
          <w:snapToGrid w:val="0"/>
          <w:color w:val="auto"/>
          <w:kern w:val="0"/>
          <w:highlight w:val="none"/>
        </w:rPr>
        <w:t xml:space="preserve"> 投标总价不得高于最高投标限价，也不得低于成本。</w:t>
      </w:r>
      <w:r>
        <w:rPr>
          <w:rFonts w:hint="eastAsia" w:ascii="Times New Roman" w:hAnsi="Times New Roman" w:cs="Times New Roman"/>
          <w:b w:val="0"/>
          <w:bCs w:val="0"/>
          <w:caps w:val="0"/>
          <w:smallCaps w:val="0"/>
          <w:snapToGrid w:val="0"/>
          <w:color w:val="auto"/>
          <w:spacing w:val="0"/>
          <w:kern w:val="0"/>
          <w:sz w:val="24"/>
          <w:highlight w:val="none"/>
          <w:u w:val="none" w:color="auto"/>
          <w:lang w:val="en-US" w:eastAsia="zh-CN" w:bidi="ar-SA"/>
        </w:rPr>
        <w:t>投标总价的所有优惠（降价、让利等），均应在《监理及相关服务报酬清单》（格式十四）中反映。</w:t>
      </w:r>
    </w:p>
    <w:p>
      <w:pPr>
        <w:wordWrap w:val="0"/>
        <w:adjustRightInd w:val="0"/>
        <w:snapToGrid w:val="0"/>
        <w:spacing w:line="240" w:lineRule="auto"/>
        <w:ind w:firstLine="482" w:firstLineChars="200"/>
        <w:rPr>
          <w:rFonts w:hAnsi="宋体" w:cs="宋体"/>
          <w:color w:val="auto"/>
          <w:highlight w:val="none"/>
        </w:rPr>
      </w:pPr>
      <w:r>
        <w:rPr>
          <w:rFonts w:hint="eastAsia" w:ascii="宋体" w:hAnsi="宋体" w:eastAsia="宋体" w:cs="宋体"/>
          <w:b/>
          <w:bCs/>
          <w:snapToGrid w:val="0"/>
          <w:color w:val="auto"/>
          <w:kern w:val="0"/>
          <w:highlight w:val="none"/>
        </w:rPr>
        <w:t>9.6</w:t>
      </w:r>
      <w:r>
        <w:rPr>
          <w:rFonts w:hint="eastAsia" w:ascii="宋体" w:hAnsi="宋体" w:eastAsia="宋体" w:cs="宋体"/>
          <w:snapToGrid w:val="0"/>
          <w:color w:val="auto"/>
          <w:kern w:val="0"/>
          <w:highlight w:val="none"/>
        </w:rPr>
        <w:t xml:space="preserve"> 投标人应充分了解招标项目的总体情况以及影响投标报价的其他要素。</w:t>
      </w:r>
    </w:p>
    <w:p>
      <w:pPr>
        <w:pStyle w:val="5"/>
        <w:wordWrap w:val="0"/>
        <w:snapToGrid w:val="0"/>
        <w:spacing w:line="240" w:lineRule="auto"/>
        <w:ind w:firstLine="480"/>
        <w:jc w:val="both"/>
        <w:rPr>
          <w:rFonts w:hAnsi="宋体" w:cs="宋体"/>
          <w:b/>
          <w:snapToGrid w:val="0"/>
          <w:color w:val="auto"/>
          <w:highlight w:val="none"/>
        </w:rPr>
      </w:pPr>
      <w:bookmarkStart w:id="53" w:name="_Toc18948"/>
      <w:bookmarkStart w:id="54" w:name="_Toc16371"/>
    </w:p>
    <w:p>
      <w:pPr>
        <w:pStyle w:val="5"/>
        <w:wordWrap w:val="0"/>
        <w:snapToGrid w:val="0"/>
        <w:spacing w:line="240" w:lineRule="auto"/>
        <w:ind w:firstLine="480"/>
        <w:jc w:val="both"/>
        <w:rPr>
          <w:rFonts w:hAnsi="宋体" w:cs="宋体"/>
          <w:b/>
          <w:strike/>
          <w:snapToGrid w:val="0"/>
          <w:color w:val="auto"/>
          <w:highlight w:val="none"/>
        </w:rPr>
      </w:pPr>
      <w:r>
        <w:rPr>
          <w:rFonts w:hint="eastAsia" w:hAnsi="宋体" w:cs="宋体"/>
          <w:b/>
          <w:snapToGrid w:val="0"/>
          <w:color w:val="auto"/>
          <w:highlight w:val="none"/>
        </w:rPr>
        <w:t>10．投标文件的编制</w:t>
      </w:r>
      <w:bookmarkStart w:id="55" w:name="_Hlt69208262"/>
      <w:bookmarkEnd w:id="55"/>
      <w:bookmarkStart w:id="56" w:name="_Hlt69332370"/>
      <w:bookmarkEnd w:id="56"/>
      <w:r>
        <w:rPr>
          <w:rFonts w:hint="eastAsia" w:hAnsi="宋体" w:cs="宋体"/>
          <w:b/>
          <w:snapToGrid w:val="0"/>
          <w:color w:val="auto"/>
          <w:highlight w:val="none"/>
        </w:rPr>
        <w:t>要求</w:t>
      </w:r>
      <w:bookmarkEnd w:id="53"/>
      <w:bookmarkEnd w:id="54"/>
      <w:bookmarkStart w:id="57" w:name="_Hlt74497202"/>
      <w:bookmarkEnd w:id="57"/>
      <w:bookmarkStart w:id="58" w:name="_Hlt74495594"/>
      <w:bookmarkEnd w:id="58"/>
      <w:bookmarkStart w:id="59" w:name="_Hlt78768224"/>
      <w:bookmarkEnd w:id="59"/>
    </w:p>
    <w:p>
      <w:pPr>
        <w:pStyle w:val="10"/>
        <w:wordWrap w:val="0"/>
        <w:adjustRightInd w:val="0"/>
        <w:snapToGrid w:val="0"/>
        <w:spacing w:line="240" w:lineRule="auto"/>
        <w:ind w:firstLineChars="0"/>
        <w:rPr>
          <w:rFonts w:hAnsi="宋体" w:cs="宋体"/>
          <w:snapToGrid w:val="0"/>
          <w:color w:val="auto"/>
          <w:kern w:val="0"/>
          <w:szCs w:val="22"/>
          <w:highlight w:val="none"/>
        </w:rPr>
      </w:pPr>
      <w:bookmarkStart w:id="60" w:name="_Hlt74496890"/>
      <w:bookmarkEnd w:id="60"/>
      <w:r>
        <w:rPr>
          <w:rFonts w:hint="eastAsia" w:hAnsi="宋体" w:cs="宋体"/>
          <w:b/>
          <w:bCs/>
          <w:snapToGrid w:val="0"/>
          <w:color w:val="auto"/>
          <w:kern w:val="0"/>
          <w:szCs w:val="22"/>
          <w:highlight w:val="none"/>
        </w:rPr>
        <w:t>10.1</w:t>
      </w:r>
      <w:r>
        <w:rPr>
          <w:rFonts w:hint="eastAsia" w:hAnsi="宋体" w:cs="宋体"/>
          <w:snapToGrid w:val="0"/>
          <w:color w:val="auto"/>
          <w:kern w:val="0"/>
          <w:szCs w:val="22"/>
          <w:highlight w:val="none"/>
        </w:rPr>
        <w:t xml:space="preserve"> 一般要求</w:t>
      </w:r>
    </w:p>
    <w:p>
      <w:pPr>
        <w:pStyle w:val="10"/>
        <w:wordWrap w:val="0"/>
        <w:adjustRightInd w:val="0"/>
        <w:snapToGrid w:val="0"/>
        <w:spacing w:line="240" w:lineRule="auto"/>
        <w:ind w:firstLineChars="0"/>
        <w:rPr>
          <w:rFonts w:hAnsi="宋体" w:cs="宋体"/>
          <w:snapToGrid w:val="0"/>
          <w:color w:val="auto"/>
          <w:kern w:val="0"/>
          <w:szCs w:val="22"/>
          <w:highlight w:val="none"/>
        </w:rPr>
      </w:pPr>
      <w:r>
        <w:rPr>
          <w:rFonts w:hint="eastAsia" w:hAnsi="宋体" w:cs="宋体"/>
          <w:snapToGrid w:val="0"/>
          <w:color w:val="auto"/>
          <w:kern w:val="0"/>
          <w:szCs w:val="22"/>
          <w:highlight w:val="none"/>
        </w:rPr>
        <w:t>投标文件应按第五章 投标文件格式规定的内容，投标人提交的投标文件应当使用招标文件所提供的投标文件全部格式。</w:t>
      </w:r>
    </w:p>
    <w:p>
      <w:pPr>
        <w:pStyle w:val="10"/>
        <w:wordWrap w:val="0"/>
        <w:adjustRightInd w:val="0"/>
        <w:snapToGrid w:val="0"/>
        <w:spacing w:line="240" w:lineRule="auto"/>
        <w:ind w:firstLineChars="0"/>
        <w:rPr>
          <w:rFonts w:hAnsi="宋体" w:cs="宋体"/>
          <w:snapToGrid w:val="0"/>
          <w:color w:val="auto"/>
          <w:kern w:val="0"/>
          <w:highlight w:val="none"/>
        </w:rPr>
      </w:pPr>
      <w:r>
        <w:rPr>
          <w:rFonts w:hint="eastAsia" w:hAnsi="宋体" w:cs="宋体"/>
          <w:b/>
          <w:bCs/>
          <w:snapToGrid w:val="0"/>
          <w:color w:val="auto"/>
          <w:kern w:val="0"/>
          <w:szCs w:val="22"/>
          <w:highlight w:val="none"/>
        </w:rPr>
        <w:t>10.1.1</w:t>
      </w:r>
      <w:r>
        <w:rPr>
          <w:rFonts w:hint="eastAsia" w:hAnsi="宋体" w:cs="宋体"/>
          <w:snapToGrid w:val="0"/>
          <w:color w:val="auto"/>
          <w:kern w:val="0"/>
          <w:szCs w:val="22"/>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pPr>
        <w:pStyle w:val="10"/>
        <w:wordWrap w:val="0"/>
        <w:adjustRightInd w:val="0"/>
        <w:snapToGrid w:val="0"/>
        <w:spacing w:line="240" w:lineRule="auto"/>
        <w:ind w:firstLineChars="0"/>
        <w:rPr>
          <w:rFonts w:hAnsi="宋体" w:cs="宋体"/>
          <w:snapToGrid w:val="0"/>
          <w:color w:val="auto"/>
          <w:kern w:val="0"/>
          <w:highlight w:val="none"/>
        </w:rPr>
      </w:pPr>
      <w:r>
        <w:rPr>
          <w:rFonts w:hint="eastAsia" w:hAnsi="宋体" w:cs="宋体"/>
          <w:b/>
          <w:bCs/>
          <w:snapToGrid w:val="0"/>
          <w:color w:val="auto"/>
          <w:kern w:val="0"/>
          <w:highlight w:val="none"/>
        </w:rPr>
        <w:t>10.1.2</w:t>
      </w:r>
      <w:r>
        <w:rPr>
          <w:rFonts w:hint="eastAsia" w:hAnsi="宋体" w:cs="宋体"/>
          <w:snapToGrid w:val="0"/>
          <w:color w:val="auto"/>
          <w:kern w:val="0"/>
          <w:highlight w:val="none"/>
        </w:rPr>
        <w:t xml:space="preserve"> 投标文件包括商务标书、监理大纲两个分册。</w:t>
      </w:r>
      <w:r>
        <w:rPr>
          <w:rFonts w:hint="eastAsia" w:ascii="Times New Roman"/>
          <w:snapToGrid w:val="0"/>
          <w:color w:val="auto"/>
          <w:kern w:val="0"/>
          <w:highlight w:val="none"/>
        </w:rPr>
        <w:t>投标文件在电子投标时全部采用电子文档（中标人自中标通知书发出之日起五个工作日内再提供正本1份、副本三份的纸质版投标文件给招标人存档），</w:t>
      </w:r>
      <w:r>
        <w:rPr>
          <w:rFonts w:hint="eastAsia" w:ascii="Times New Roman"/>
          <w:b/>
          <w:bCs/>
          <w:snapToGrid w:val="0"/>
          <w:color w:val="auto"/>
          <w:kern w:val="0"/>
          <w:highlight w:val="none"/>
          <w:u w:val="single"/>
        </w:rPr>
        <w:t>投标文件所附证书证件均为彩色扫描件</w:t>
      </w:r>
      <w:r>
        <w:rPr>
          <w:rFonts w:hint="eastAsia" w:ascii="Times New Roman"/>
          <w:snapToGrid w:val="0"/>
          <w:color w:val="auto"/>
          <w:kern w:val="0"/>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电子评标）V1.3》。</w:t>
      </w:r>
    </w:p>
    <w:p>
      <w:pPr>
        <w:pStyle w:val="10"/>
        <w:wordWrap w:val="0"/>
        <w:adjustRightInd w:val="0"/>
        <w:snapToGrid w:val="0"/>
        <w:spacing w:line="240" w:lineRule="auto"/>
        <w:ind w:firstLineChars="0"/>
        <w:rPr>
          <w:rFonts w:hAnsi="宋体" w:cs="宋体"/>
          <w:snapToGrid w:val="0"/>
          <w:color w:val="auto"/>
          <w:kern w:val="0"/>
          <w:highlight w:val="none"/>
        </w:rPr>
      </w:pPr>
      <w:r>
        <w:rPr>
          <w:rFonts w:hint="eastAsia" w:hAnsi="宋体" w:cs="宋体"/>
          <w:b/>
          <w:bCs/>
          <w:snapToGrid w:val="0"/>
          <w:color w:val="auto"/>
          <w:kern w:val="0"/>
          <w:highlight w:val="none"/>
        </w:rPr>
        <w:t>10.1.3</w:t>
      </w:r>
      <w:r>
        <w:rPr>
          <w:rFonts w:hint="eastAsia" w:hAnsi="宋体" w:cs="宋体"/>
          <w:snapToGrid w:val="0"/>
          <w:color w:val="auto"/>
          <w:kern w:val="0"/>
          <w:highlight w:val="none"/>
        </w:rPr>
        <w:t xml:space="preserve"> 投标文件需按以下要求签字、盖章：</w:t>
      </w:r>
    </w:p>
    <w:p>
      <w:pPr>
        <w:pStyle w:val="10"/>
        <w:wordWrap w:val="0"/>
        <w:adjustRightInd w:val="0"/>
        <w:snapToGrid w:val="0"/>
        <w:spacing w:line="240" w:lineRule="auto"/>
        <w:ind w:firstLine="480" w:firstLineChars="0"/>
        <w:rPr>
          <w:rFonts w:ascii="Times New Roman"/>
          <w:snapToGrid w:val="0"/>
          <w:color w:val="auto"/>
          <w:kern w:val="0"/>
          <w:highlight w:val="none"/>
        </w:rPr>
      </w:pPr>
      <w:r>
        <w:rPr>
          <w:rFonts w:hint="eastAsia" w:ascii="Times New Roman"/>
          <w:snapToGrid w:val="0"/>
          <w:color w:val="auto"/>
          <w:kern w:val="0"/>
          <w:highlight w:val="none"/>
        </w:rPr>
        <w:t>电子投标文件：</w:t>
      </w:r>
    </w:p>
    <w:p>
      <w:pPr>
        <w:pStyle w:val="10"/>
        <w:wordWrap w:val="0"/>
        <w:adjustRightInd w:val="0"/>
        <w:snapToGrid w:val="0"/>
        <w:spacing w:line="240" w:lineRule="auto"/>
        <w:ind w:firstLine="480" w:firstLineChars="0"/>
        <w:rPr>
          <w:rFonts w:ascii="Times New Roman"/>
          <w:snapToGrid w:val="0"/>
          <w:color w:val="auto"/>
          <w:kern w:val="0"/>
          <w:highlight w:val="none"/>
        </w:rPr>
      </w:pPr>
      <w:r>
        <w:rPr>
          <w:rFonts w:hint="eastAsia" w:hAnsi="宋体" w:cs="宋体"/>
          <w:b/>
          <w:bCs/>
          <w:snapToGrid w:val="0"/>
          <w:color w:val="auto"/>
          <w:kern w:val="0"/>
          <w:highlight w:val="none"/>
        </w:rPr>
        <w:t>10.1.3.1</w:t>
      </w:r>
      <w:r>
        <w:rPr>
          <w:rFonts w:hint="eastAsia" w:ascii="Times New Roman"/>
          <w:snapToGrid w:val="0"/>
          <w:color w:val="auto"/>
          <w:kern w:val="0"/>
          <w:highlight w:val="none"/>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pPr>
        <w:pStyle w:val="10"/>
        <w:wordWrap w:val="0"/>
        <w:adjustRightInd w:val="0"/>
        <w:snapToGrid w:val="0"/>
        <w:spacing w:line="240" w:lineRule="auto"/>
        <w:ind w:firstLine="480" w:firstLineChars="0"/>
        <w:rPr>
          <w:rFonts w:ascii="Times New Roman"/>
          <w:snapToGrid w:val="0"/>
          <w:color w:val="auto"/>
          <w:kern w:val="0"/>
          <w:highlight w:val="none"/>
        </w:rPr>
      </w:pPr>
      <w:r>
        <w:rPr>
          <w:rFonts w:hint="eastAsia" w:hAnsi="宋体" w:cs="宋体"/>
          <w:b/>
          <w:bCs/>
          <w:snapToGrid w:val="0"/>
          <w:color w:val="auto"/>
          <w:kern w:val="0"/>
          <w:highlight w:val="none"/>
        </w:rPr>
        <w:t>10.1.3.2</w:t>
      </w:r>
      <w:r>
        <w:rPr>
          <w:rFonts w:hint="eastAsia" w:ascii="Times New Roman"/>
          <w:snapToGrid w:val="0"/>
          <w:color w:val="auto"/>
          <w:kern w:val="0"/>
          <w:highlight w:val="none"/>
        </w:rPr>
        <w:t xml:space="preserve"> 投标文件封套、封面、组成内容中凡要求录入投标人名称且注明“盖单位章”处盖单位法人公章（电子印章）</w:t>
      </w:r>
    </w:p>
    <w:p>
      <w:pPr>
        <w:pStyle w:val="10"/>
        <w:spacing w:line="240" w:lineRule="auto"/>
        <w:ind w:firstLine="482"/>
        <w:rPr>
          <w:rFonts w:ascii="Times New Roman"/>
          <w:snapToGrid w:val="0"/>
          <w:color w:val="auto"/>
          <w:kern w:val="0"/>
          <w:highlight w:val="none"/>
        </w:rPr>
      </w:pPr>
      <w:r>
        <w:rPr>
          <w:rFonts w:hint="eastAsia" w:hAnsi="宋体" w:cs="宋体"/>
          <w:b/>
          <w:bCs/>
          <w:snapToGrid w:val="0"/>
          <w:color w:val="auto"/>
          <w:kern w:val="0"/>
          <w:highlight w:val="none"/>
        </w:rPr>
        <w:t>10.1.3.3</w:t>
      </w:r>
      <w:r>
        <w:rPr>
          <w:rFonts w:hint="eastAsia" w:ascii="Times New Roman"/>
          <w:snapToGrid w:val="0"/>
          <w:color w:val="auto"/>
          <w:kern w:val="0"/>
          <w:highlight w:val="none"/>
        </w:rPr>
        <w:t xml:space="preserve"> 投标文件的签字均为签字人本人亲笔署名或签章（电子印章），其余部分的彩色扫描件无须另行签字、盖章。</w:t>
      </w:r>
    </w:p>
    <w:p>
      <w:pPr>
        <w:wordWrap w:val="0"/>
        <w:adjustRightInd w:val="0"/>
        <w:snapToGrid w:val="0"/>
        <w:spacing w:line="240" w:lineRule="auto"/>
        <w:ind w:firstLine="560"/>
        <w:rPr>
          <w:rFonts w:hAnsi="宋体" w:cs="宋体"/>
          <w:b/>
          <w:snapToGrid w:val="0"/>
          <w:color w:val="auto"/>
          <w:kern w:val="0"/>
          <w:highlight w:val="none"/>
        </w:rPr>
      </w:pPr>
      <w:bookmarkStart w:id="61" w:name="_Toc274313880"/>
      <w:bookmarkStart w:id="62" w:name="_Toc257031159"/>
      <w:r>
        <w:rPr>
          <w:rFonts w:hint="eastAsia" w:hAnsi="宋体" w:cs="宋体"/>
          <w:b/>
          <w:bCs/>
          <w:snapToGrid w:val="0"/>
          <w:color w:val="auto"/>
          <w:kern w:val="0"/>
          <w:highlight w:val="none"/>
        </w:rPr>
        <w:t>10.2</w:t>
      </w:r>
      <w:r>
        <w:rPr>
          <w:rFonts w:hint="eastAsia" w:hAnsi="宋体" w:cs="宋体"/>
          <w:bCs/>
          <w:snapToGrid w:val="0"/>
          <w:color w:val="auto"/>
          <w:kern w:val="0"/>
          <w:highlight w:val="none"/>
        </w:rPr>
        <w:t xml:space="preserve"> 商务标书的编制要求</w:t>
      </w:r>
      <w:bookmarkEnd w:id="61"/>
      <w:bookmarkEnd w:id="62"/>
    </w:p>
    <w:p>
      <w:pPr>
        <w:wordWrap w:val="0"/>
        <w:adjustRightInd w:val="0"/>
        <w:snapToGrid w:val="0"/>
        <w:spacing w:line="240" w:lineRule="auto"/>
        <w:ind w:firstLine="561"/>
        <w:rPr>
          <w:rFonts w:hAnsi="宋体" w:cs="宋体"/>
          <w:snapToGrid w:val="0"/>
          <w:color w:val="auto"/>
          <w:kern w:val="0"/>
          <w:highlight w:val="none"/>
          <w:u w:val="single"/>
        </w:rPr>
      </w:pPr>
      <w:r>
        <w:rPr>
          <w:rFonts w:hint="eastAsia" w:hAnsi="宋体" w:cs="宋体"/>
          <w:b/>
          <w:bCs/>
          <w:snapToGrid w:val="0"/>
          <w:color w:val="auto"/>
          <w:kern w:val="0"/>
          <w:highlight w:val="none"/>
        </w:rPr>
        <w:t>10.2.1</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商务标书</w:t>
      </w:r>
      <w:r>
        <w:rPr>
          <w:rFonts w:hint="eastAsia" w:hAnsi="宋体" w:cs="宋体"/>
          <w:snapToGrid w:val="0"/>
          <w:color w:val="auto"/>
          <w:kern w:val="0"/>
          <w:highlight w:val="none"/>
        </w:rPr>
        <w:t>包括但不限于以下内容：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（1）封面（格式一）；</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（2）目录；</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（3）《投标函》（格式二）；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（4）《各项承诺一览表》（格式三）；</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（5）《授权委托书》（格式四）；</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（6）《法定代表人身份证明》（格式五）；</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（7）《联合体协议书》（格式六）及所附资料（本项目不适用）；</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（8）投标保证缴纳证明（投标人采用投标保证金的，附建设工程交易系统《缴纳投标保证金通知书》页面截图和银行转账单</w:t>
      </w:r>
      <w:r>
        <w:rPr>
          <w:rFonts w:hint="eastAsia" w:ascii="Times New Roman"/>
          <w:snapToGrid w:val="0"/>
          <w:color w:val="auto"/>
          <w:kern w:val="0"/>
          <w:highlight w:val="none"/>
        </w:rPr>
        <w:t>彩色扫描件</w:t>
      </w:r>
      <w:r>
        <w:rPr>
          <w:rFonts w:hint="eastAsia" w:hAnsi="宋体" w:cs="宋体"/>
          <w:snapToGrid w:val="0"/>
          <w:color w:val="auto"/>
          <w:kern w:val="0"/>
          <w:highlight w:val="none"/>
        </w:rPr>
        <w:t>；采用投标保证担保的，附银行保函</w:t>
      </w:r>
      <w:r>
        <w:rPr>
          <w:rFonts w:hint="eastAsia" w:ascii="Times New Roman"/>
          <w:snapToGrid w:val="0"/>
          <w:color w:val="auto"/>
          <w:kern w:val="0"/>
          <w:highlight w:val="none"/>
        </w:rPr>
        <w:t>彩色扫描件</w:t>
      </w:r>
      <w:r>
        <w:rPr>
          <w:rFonts w:hint="eastAsia" w:hAnsi="宋体" w:cs="宋体"/>
          <w:snapToGrid w:val="0"/>
          <w:color w:val="auto"/>
          <w:kern w:val="0"/>
          <w:highlight w:val="none"/>
        </w:rPr>
        <w:t>；采用投标保证保险的，附电子保单</w:t>
      </w:r>
      <w:r>
        <w:rPr>
          <w:rFonts w:hint="eastAsia" w:ascii="Times New Roman"/>
          <w:snapToGrid w:val="0"/>
          <w:color w:val="auto"/>
          <w:kern w:val="0"/>
          <w:highlight w:val="none"/>
        </w:rPr>
        <w:t>彩色扫描件</w:t>
      </w:r>
      <w:r>
        <w:rPr>
          <w:rFonts w:hint="eastAsia" w:hAnsi="宋体" w:cs="宋体"/>
          <w:snapToGrid w:val="0"/>
          <w:color w:val="auto"/>
          <w:kern w:val="0"/>
          <w:highlight w:val="none"/>
        </w:rPr>
        <w:t>）；</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（9）《投标人基本情况表》（格式七）及所附资料；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（10）《总监理工程师任职声明》（格式八或格式九，由投标人根据拟派总监理工程师任职情况选用）；</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（11）《总监理工程师任职项目情况表》（格式十）及所附资料；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（12）《项目监理机构组成人员汇总表》（格式十一）及所附资料；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（13）《总监理工程师简历表》（格式十二）及所附资料；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（14）《其他拟派人员简历表》（格式十三）及所附资料；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（15）详细评审阶段要求提供的评审资料（详见本节第15.5.1目）；</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16）投标人认为有必要补充的其他资料。（例如投标人已经工商变更，但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w:t>
      </w:r>
    </w:p>
    <w:p>
      <w:pPr>
        <w:wordWrap w:val="0"/>
        <w:adjustRightInd w:val="0"/>
        <w:snapToGrid w:val="0"/>
        <w:spacing w:line="240" w:lineRule="auto"/>
        <w:ind w:firstLine="482" w:firstLineChars="200"/>
        <w:rPr>
          <w:rFonts w:hAnsi="宋体" w:cs="宋体"/>
          <w:snapToGrid w:val="0"/>
          <w:color w:val="auto"/>
          <w:kern w:val="0"/>
          <w:szCs w:val="18"/>
          <w:highlight w:val="none"/>
        </w:rPr>
      </w:pP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 xml:space="preserve"> 本节第</w:t>
      </w:r>
      <w:r>
        <w:rPr>
          <w:rFonts w:hint="eastAsia" w:hAnsi="宋体" w:cs="宋体"/>
          <w:b/>
          <w:bCs/>
          <w:snapToGrid w:val="0"/>
          <w:color w:val="auto"/>
          <w:kern w:val="0"/>
          <w:szCs w:val="18"/>
          <w:highlight w:val="none"/>
        </w:rPr>
        <w:t>10.2.1</w:t>
      </w:r>
      <w:r>
        <w:rPr>
          <w:rFonts w:hint="eastAsia" w:hAnsi="宋体" w:cs="宋体"/>
          <w:snapToGrid w:val="0"/>
          <w:color w:val="auto"/>
          <w:kern w:val="0"/>
          <w:szCs w:val="18"/>
          <w:highlight w:val="none"/>
        </w:rPr>
        <w:t>目中所列出的商务标书组成内容中，第（1）至第（14）项所有投标人均应提供。</w:t>
      </w:r>
      <w:r>
        <w:rPr>
          <w:rFonts w:hint="eastAsia" w:hAnsi="宋体" w:cs="宋体"/>
          <w:b/>
          <w:bCs/>
          <w:snapToGrid w:val="0"/>
          <w:color w:val="auto"/>
          <w:kern w:val="0"/>
          <w:szCs w:val="18"/>
          <w:highlight w:val="none"/>
        </w:rPr>
        <w:t>但非联合体投标的，无需提供第（7）项内容；总监理工程师无任职项目的，无需提供第（11）项内容。</w:t>
      </w:r>
    </w:p>
    <w:p>
      <w:pPr>
        <w:wordWrap w:val="0"/>
        <w:adjustRightInd w:val="0"/>
        <w:snapToGrid w:val="0"/>
        <w:spacing w:line="240" w:lineRule="auto"/>
        <w:ind w:firstLine="482" w:firstLineChars="200"/>
        <w:rPr>
          <w:rFonts w:hAnsi="宋体" w:cs="宋体"/>
          <w:b/>
          <w:bCs/>
          <w:snapToGrid w:val="0"/>
          <w:color w:val="auto"/>
          <w:kern w:val="0"/>
          <w:szCs w:val="18"/>
          <w:highlight w:val="none"/>
        </w:rPr>
      </w:pPr>
      <w:r>
        <w:rPr>
          <w:rFonts w:hint="eastAsia" w:hAnsi="宋体" w:cs="宋体"/>
          <w:b/>
          <w:bCs/>
          <w:snapToGrid w:val="0"/>
          <w:color w:val="auto"/>
          <w:kern w:val="0"/>
          <w:highlight w:val="none"/>
        </w:rPr>
        <w:t>10.2.3</w:t>
      </w:r>
      <w:r>
        <w:rPr>
          <w:rFonts w:hint="eastAsia" w:hAnsi="宋体" w:cs="宋体"/>
          <w:snapToGrid w:val="0"/>
          <w:color w:val="auto"/>
          <w:kern w:val="0"/>
          <w:highlight w:val="none"/>
        </w:rPr>
        <w:t xml:space="preserve"> 商务标书的组成内容按本节第</w:t>
      </w:r>
      <w:r>
        <w:rPr>
          <w:rFonts w:hint="eastAsia" w:hAnsi="宋体" w:cs="宋体"/>
          <w:b/>
          <w:bCs/>
          <w:snapToGrid w:val="0"/>
          <w:color w:val="auto"/>
          <w:kern w:val="0"/>
          <w:highlight w:val="none"/>
        </w:rPr>
        <w:t>10.2.1</w:t>
      </w:r>
      <w:r>
        <w:rPr>
          <w:rFonts w:hint="eastAsia" w:hAnsi="宋体" w:cs="宋体"/>
          <w:snapToGrid w:val="0"/>
          <w:color w:val="auto"/>
          <w:kern w:val="0"/>
          <w:highlight w:val="none"/>
        </w:rPr>
        <w:t>目规定的顺序整理、编排后，逐页（页码起始从封面开始）连续标记页码，作成一个PDF格式电子文件。</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
          <w:bCs/>
          <w:snapToGrid w:val="0"/>
          <w:color w:val="auto"/>
          <w:kern w:val="0"/>
          <w:highlight w:val="none"/>
        </w:rPr>
        <w:t>10.3</w:t>
      </w:r>
      <w:r>
        <w:rPr>
          <w:rFonts w:hint="eastAsia" w:hAnsi="宋体" w:cs="宋体"/>
          <w:bCs/>
          <w:snapToGrid w:val="0"/>
          <w:color w:val="auto"/>
          <w:kern w:val="0"/>
          <w:highlight w:val="none"/>
        </w:rPr>
        <w:t xml:space="preserve"> 监理大纲的编制要求</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
          <w:snapToGrid w:val="0"/>
          <w:color w:val="auto"/>
          <w:kern w:val="0"/>
          <w:highlight w:val="none"/>
        </w:rPr>
        <w:t>10.3.1</w:t>
      </w:r>
      <w:r>
        <w:rPr>
          <w:rFonts w:hint="eastAsia" w:hAnsi="宋体" w:cs="宋体"/>
          <w:bCs/>
          <w:snapToGrid w:val="0"/>
          <w:color w:val="auto"/>
          <w:kern w:val="0"/>
          <w:highlight w:val="none"/>
        </w:rPr>
        <w:t xml:space="preserve"> 监理大纲</w:t>
      </w:r>
      <w:r>
        <w:rPr>
          <w:rFonts w:hint="eastAsia" w:hAnsi="宋体" w:cs="宋体"/>
          <w:snapToGrid w:val="0"/>
          <w:color w:val="auto"/>
          <w:kern w:val="0"/>
          <w:highlight w:val="none"/>
        </w:rPr>
        <w:t>的编制依据包括且不限于</w:t>
      </w:r>
      <w:r>
        <w:rPr>
          <w:rFonts w:hint="eastAsia" w:hAnsi="宋体" w:cs="宋体"/>
          <w:bCs/>
          <w:snapToGrid w:val="0"/>
          <w:color w:val="auto"/>
          <w:kern w:val="0"/>
          <w:highlight w:val="none"/>
        </w:rPr>
        <w:t>：</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Cs/>
          <w:snapToGrid w:val="0"/>
          <w:color w:val="auto"/>
          <w:kern w:val="0"/>
          <w:highlight w:val="none"/>
        </w:rPr>
        <w:t>（1）招标文件及</w:t>
      </w:r>
      <w:r>
        <w:rPr>
          <w:rFonts w:hint="eastAsia" w:hAnsi="宋体" w:cs="宋体"/>
          <w:snapToGrid w:val="0"/>
          <w:color w:val="auto"/>
          <w:kern w:val="0"/>
          <w:highlight w:val="none"/>
        </w:rPr>
        <w:t>其答疑（或修改）公告；</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Cs/>
          <w:snapToGrid w:val="0"/>
          <w:color w:val="auto"/>
          <w:kern w:val="0"/>
          <w:highlight w:val="none"/>
        </w:rPr>
        <w:t>（2）施工现场情况、工程特点；</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Cs/>
          <w:snapToGrid w:val="0"/>
          <w:color w:val="auto"/>
          <w:kern w:val="0"/>
          <w:highlight w:val="none"/>
        </w:rPr>
        <w:t>（3）相关法律、法规、规定；</w:t>
      </w:r>
    </w:p>
    <w:p>
      <w:pPr>
        <w:wordWrap w:val="0"/>
        <w:adjustRightInd w:val="0"/>
        <w:snapToGrid w:val="0"/>
        <w:spacing w:line="240" w:lineRule="auto"/>
        <w:ind w:firstLine="480"/>
        <w:rPr>
          <w:rFonts w:hAnsi="宋体" w:cs="宋体"/>
          <w:bCs/>
          <w:snapToGrid w:val="0"/>
          <w:color w:val="auto"/>
          <w:kern w:val="0"/>
          <w:highlight w:val="none"/>
        </w:rPr>
      </w:pPr>
      <w:r>
        <w:rPr>
          <w:rFonts w:hint="eastAsia" w:hAnsi="宋体" w:cs="宋体"/>
          <w:bCs/>
          <w:snapToGrid w:val="0"/>
          <w:color w:val="auto"/>
          <w:kern w:val="0"/>
          <w:highlight w:val="none"/>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snapToGrid w:val="0"/>
          <w:color w:val="auto"/>
          <w:kern w:val="0"/>
          <w:highlight w:val="none"/>
        </w:rPr>
        <w:t>10.3.2</w:t>
      </w:r>
      <w:r>
        <w:rPr>
          <w:rFonts w:hint="eastAsia" w:hAnsi="宋体" w:cs="宋体"/>
          <w:bCs/>
          <w:snapToGrid w:val="0"/>
          <w:color w:val="auto"/>
          <w:kern w:val="0"/>
          <w:highlight w:val="none"/>
        </w:rPr>
        <w:t xml:space="preserve"> 监理大纲</w:t>
      </w:r>
      <w:r>
        <w:rPr>
          <w:rFonts w:hint="eastAsia" w:hAnsi="宋体" w:cs="宋体"/>
          <w:snapToGrid w:val="0"/>
          <w:color w:val="auto"/>
          <w:kern w:val="0"/>
          <w:highlight w:val="none"/>
        </w:rPr>
        <w:t>包括但不限于以下内容：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（1）封面</w:t>
      </w:r>
      <w:r>
        <w:rPr>
          <w:rFonts w:hint="eastAsia" w:hAnsi="宋体" w:cs="宋体"/>
          <w:snapToGrid w:val="0"/>
          <w:color w:val="auto"/>
          <w:kern w:val="0"/>
          <w:szCs w:val="18"/>
          <w:highlight w:val="none"/>
        </w:rPr>
        <w:t>（格式一）</w:t>
      </w:r>
      <w:r>
        <w:rPr>
          <w:rFonts w:hint="eastAsia" w:hAnsi="宋体" w:cs="宋体"/>
          <w:snapToGrid w:val="0"/>
          <w:color w:val="auto"/>
          <w:kern w:val="0"/>
          <w:highlight w:val="none"/>
        </w:rPr>
        <w:t>；</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（2）目录；</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（3）监理工程概况；</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（4）监理及相关服务的范围、内容；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（5）监理及相关服务的依据、目标；</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（6）项目监理机构设置（框图）、岗位职责；</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（7）监理及相关服务的工作程序、方法和制度；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（8）拟投入的监理及相关服务人员；</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（9）质量、进度、造价、安全、绿色施工监理措施；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（10）合同、信息管理方案；</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（11）组织协调内容及措施；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（12）监理及相关服务的工作重点、难点分析；</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（13）对本工程监理及相关服务的合理化建议。</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10.3.3</w:t>
      </w:r>
      <w:r>
        <w:rPr>
          <w:rFonts w:hint="eastAsia" w:hAnsi="宋体" w:cs="宋体"/>
          <w:snapToGrid w:val="0"/>
          <w:color w:val="auto"/>
          <w:kern w:val="0"/>
          <w:highlight w:val="none"/>
        </w:rPr>
        <w:t xml:space="preserve"> 本节第</w:t>
      </w:r>
      <w:r>
        <w:rPr>
          <w:rFonts w:hint="eastAsia" w:hAnsi="宋体" w:cs="宋体"/>
          <w:b/>
          <w:bCs/>
          <w:snapToGrid w:val="0"/>
          <w:color w:val="auto"/>
          <w:kern w:val="0"/>
          <w:highlight w:val="none"/>
        </w:rPr>
        <w:t>10.3.2</w:t>
      </w:r>
      <w:r>
        <w:rPr>
          <w:rFonts w:hint="eastAsia" w:hAnsi="宋体" w:cs="宋体"/>
          <w:snapToGrid w:val="0"/>
          <w:color w:val="auto"/>
          <w:kern w:val="0"/>
          <w:highlight w:val="none"/>
        </w:rPr>
        <w:t>目中所列出的</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组成内容，</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10.3.4</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的组成内容按本节第</w:t>
      </w:r>
      <w:r>
        <w:rPr>
          <w:rFonts w:hint="eastAsia" w:hAnsi="宋体" w:cs="宋体"/>
          <w:b/>
          <w:bCs/>
          <w:snapToGrid w:val="0"/>
          <w:color w:val="auto"/>
          <w:kern w:val="0"/>
          <w:highlight w:val="none"/>
        </w:rPr>
        <w:t>10.3.2</w:t>
      </w:r>
      <w:r>
        <w:rPr>
          <w:rFonts w:hint="eastAsia" w:hAnsi="宋体" w:cs="宋体"/>
          <w:snapToGrid w:val="0"/>
          <w:color w:val="auto"/>
          <w:kern w:val="0"/>
          <w:highlight w:val="none"/>
        </w:rPr>
        <w:t>目规定的顺序整理、编排后，逐页（页码起始从封面开始）连续标记页码，作成一个PDF格式电子文件。</w:t>
      </w:r>
    </w:p>
    <w:p>
      <w:pPr>
        <w:wordWrap w:val="0"/>
        <w:adjustRightInd w:val="0"/>
        <w:snapToGrid w:val="0"/>
        <w:spacing w:line="240" w:lineRule="auto"/>
        <w:ind w:firstLine="482" w:firstLineChars="200"/>
        <w:rPr>
          <w:rFonts w:hAnsi="宋体" w:cs="宋体"/>
          <w:i/>
          <w:iCs/>
          <w:snapToGrid w:val="0"/>
          <w:color w:val="auto"/>
          <w:kern w:val="0"/>
          <w:highlight w:val="none"/>
        </w:rPr>
      </w:pPr>
      <w:r>
        <w:rPr>
          <w:rFonts w:hint="eastAsia" w:hAnsi="宋体" w:cs="宋体"/>
          <w:b/>
          <w:bCs/>
          <w:snapToGrid w:val="0"/>
          <w:color w:val="auto"/>
          <w:kern w:val="0"/>
          <w:highlight w:val="none"/>
        </w:rPr>
        <w:t>10.3.5</w:t>
      </w:r>
      <w:r>
        <w:rPr>
          <w:rFonts w:hint="eastAsia" w:hAnsi="宋体" w:cs="宋体"/>
          <w:snapToGrid w:val="0"/>
          <w:color w:val="auto"/>
          <w:kern w:val="0"/>
          <w:highlight w:val="none"/>
        </w:rPr>
        <w:t xml:space="preserve"> </w:t>
      </w:r>
      <w:r>
        <w:rPr>
          <w:rFonts w:hint="eastAsia" w:hAnsi="宋体" w:cs="宋体"/>
          <w:bCs/>
          <w:snapToGrid w:val="0"/>
          <w:color w:val="auto"/>
          <w:kern w:val="0"/>
          <w:highlight w:val="none"/>
        </w:rPr>
        <w:t>监理大纲</w:t>
      </w:r>
      <w:r>
        <w:rPr>
          <w:rFonts w:hint="eastAsia" w:hAnsi="宋体" w:cs="宋体"/>
          <w:snapToGrid w:val="0"/>
          <w:color w:val="auto"/>
          <w:kern w:val="0"/>
          <w:highlight w:val="none"/>
        </w:rPr>
        <w:t>应尽量避免手工涂改、行间插字或删除。如果出现上述情况，改动之处应加盖单位章或由投标人的法定代表人或其委托代理人签字确认。</w:t>
      </w:r>
    </w:p>
    <w:p>
      <w:pPr>
        <w:snapToGrid w:val="0"/>
        <w:spacing w:line="240" w:lineRule="auto"/>
        <w:ind w:firstLine="480" w:firstLineChars="200"/>
        <w:rPr>
          <w:rFonts w:hAnsi="宋体" w:cs="宋体"/>
          <w:snapToGrid w:val="0"/>
          <w:color w:val="auto"/>
          <w:kern w:val="0"/>
          <w:highlight w:val="none"/>
        </w:rPr>
      </w:pPr>
    </w:p>
    <w:p>
      <w:pPr>
        <w:pStyle w:val="5"/>
        <w:wordWrap w:val="0"/>
        <w:snapToGrid w:val="0"/>
        <w:spacing w:line="240" w:lineRule="auto"/>
        <w:ind w:firstLine="480"/>
        <w:jc w:val="both"/>
        <w:rPr>
          <w:rFonts w:hAnsi="宋体" w:cs="宋体"/>
          <w:b/>
          <w:snapToGrid w:val="0"/>
          <w:color w:val="auto"/>
          <w:highlight w:val="none"/>
        </w:rPr>
      </w:pPr>
      <w:bookmarkStart w:id="63" w:name="_Toc32463"/>
      <w:bookmarkStart w:id="64" w:name="_Toc15407"/>
      <w:r>
        <w:rPr>
          <w:rFonts w:hint="eastAsia" w:hAnsi="宋体" w:cs="宋体"/>
          <w:b/>
          <w:snapToGrid w:val="0"/>
          <w:color w:val="auto"/>
          <w:highlight w:val="none"/>
        </w:rPr>
        <w:t>11．电子投标</w:t>
      </w:r>
      <w:bookmarkEnd w:id="63"/>
      <w:bookmarkEnd w:id="64"/>
    </w:p>
    <w:p>
      <w:pPr>
        <w:spacing w:line="240" w:lineRule="auto"/>
        <w:ind w:firstLine="480" w:firstLineChars="200"/>
        <w:rPr>
          <w:rFonts w:ascii="Times New Roman"/>
          <w:bCs/>
          <w:snapToGrid w:val="0"/>
          <w:color w:val="auto"/>
          <w:highlight w:val="none"/>
        </w:rPr>
      </w:pPr>
      <w:bookmarkStart w:id="65" w:name="_Hlt66200498"/>
      <w:bookmarkEnd w:id="65"/>
      <w:bookmarkStart w:id="66" w:name="_Hlt66511038"/>
      <w:bookmarkEnd w:id="66"/>
      <w:r>
        <w:rPr>
          <w:rFonts w:hint="eastAsia" w:ascii="Times New Roman"/>
          <w:bCs/>
          <w:snapToGrid w:val="0"/>
          <w:color w:val="auto"/>
          <w:highlight w:val="none"/>
        </w:rPr>
        <w:t>11.1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V1.3》。本项目评标采用全流程电子化进行招标投标（投标人应根据全国公共资源交易平台（广东省·韶关市）新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11.3电子投标及投标解密失败及突发情况的补救方案</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11.3.1按照交易平台关于全流程电子化项目的相关指南进行操作。详见全国公共资源交易平台（广东省·韶关市）（https://ygp.gdzwfw.gov.cn/ggzy-portal/#/440200/index）服务指南栏目发布的最新版操作指引。</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11.3.2补救方案：</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（1）投标文件解密失败的补救方案：</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（2）评标时突发情况的补救方案</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spacing w:line="240" w:lineRule="auto"/>
        <w:ind w:firstLine="480" w:firstLineChars="200"/>
        <w:rPr>
          <w:rFonts w:ascii="Times New Roman"/>
          <w:bCs/>
          <w:snapToGrid w:val="0"/>
          <w:color w:val="auto"/>
          <w:highlight w:val="none"/>
        </w:rPr>
      </w:pPr>
      <w:r>
        <w:rPr>
          <w:rFonts w:hint="eastAsia" w:ascii="Times New Roman"/>
          <w:bCs/>
          <w:snapToGrid w:val="0"/>
          <w:color w:val="auto"/>
          <w:highlight w:val="none"/>
        </w:rPr>
        <w:t>（3）除发生上述情况外，开标评标均以投标人通过交易平台网上递交的电子投标文件为准。</w:t>
      </w:r>
    </w:p>
    <w:p>
      <w:pPr>
        <w:spacing w:line="240" w:lineRule="auto"/>
        <w:ind w:firstLine="480" w:firstLineChars="200"/>
        <w:rPr>
          <w:color w:val="auto"/>
          <w:highlight w:val="none"/>
        </w:rPr>
      </w:pPr>
      <w:r>
        <w:rPr>
          <w:rFonts w:hint="eastAsia" w:ascii="Times New Roman"/>
          <w:bCs/>
          <w:snapToGrid w:val="0"/>
          <w:color w:val="auto"/>
          <w:highlight w:val="none"/>
        </w:rPr>
        <w:t>11.3.3 招标人或其授权的招标代理机构核对、接收投标人递交的投标文件和相关资料后，应向投标人出具标明签收人和签收时间的凭证，并妥善保管。</w:t>
      </w:r>
    </w:p>
    <w:p>
      <w:pPr>
        <w:pStyle w:val="2"/>
        <w:rPr>
          <w:color w:val="auto"/>
          <w:highlight w:val="none"/>
        </w:rPr>
      </w:pPr>
    </w:p>
    <w:p>
      <w:pPr>
        <w:pStyle w:val="5"/>
        <w:wordWrap w:val="0"/>
        <w:snapToGrid w:val="0"/>
        <w:spacing w:line="240" w:lineRule="auto"/>
        <w:ind w:firstLine="480"/>
        <w:jc w:val="both"/>
        <w:rPr>
          <w:rFonts w:hAnsi="宋体" w:cs="宋体"/>
          <w:b/>
          <w:snapToGrid w:val="0"/>
          <w:color w:val="auto"/>
          <w:highlight w:val="none"/>
        </w:rPr>
      </w:pPr>
      <w:bookmarkStart w:id="67" w:name="_Toc21679"/>
      <w:bookmarkStart w:id="68" w:name="_Toc24956"/>
      <w:r>
        <w:rPr>
          <w:rFonts w:hint="eastAsia" w:hAnsi="宋体" w:cs="宋体"/>
          <w:b/>
          <w:snapToGrid w:val="0"/>
          <w:color w:val="auto"/>
          <w:highlight w:val="none"/>
        </w:rPr>
        <w:t>12．投标文件的提交</w:t>
      </w:r>
      <w:bookmarkEnd w:id="67"/>
      <w:bookmarkEnd w:id="68"/>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12.2提交时间和地点：见本章第二节“重要事项时间地点一览表”</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12.3</w:t>
      </w:r>
      <w:r>
        <w:rPr>
          <w:rFonts w:hint="eastAsia" w:hAnsi="宋体" w:cs="宋体"/>
          <w:color w:val="auto"/>
          <w:szCs w:val="24"/>
          <w:highlight w:val="none"/>
        </w:rPr>
        <w:t>投标人法定代表人或其委托代理人（以下简称“投标人代表”）应在指定的时间和地点递交投标相关资料（如有）。</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12.4 递交时间和地点：投标人如有招标文件要求提交的用于评审的证书、证件、证明原件（附一式两份清单），由投标人法定代表人或其委托代理人在指定的时间和地点递交（见“重要事项时间地点一览表”）</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12.5 代理机构对因不可抗力事件造成的投标文件的损坏、丢失的，不承担责任。</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12.6出现下述情形之一，属于未成功提交投标文件，按无效投标处理：</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（1）)至提交投标文件截止时，投标文件未完整上传及提交标书；</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（2）投标文件未按投标格式中注明需签字盖章的要求进行签名（含电子签名）和加盖电子印章，或签名（含电子签名）或电子印章不完整的；</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（3）解密失败且在规定时间内未重新提交投标文件的；</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（4）投标文件损坏或格式不正确的；</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ascii="Times New Roman"/>
          <w:snapToGrid w:val="0"/>
          <w:color w:val="auto"/>
          <w:kern w:val="0"/>
          <w:highlight w:val="none"/>
        </w:rPr>
        <w:t>12.7招标人或其授权的招标代理机构核对、接收投标人递交的投标相关资料后，应向投标人出具标明签收人和签收时间的凭证，并妥善保管。</w:t>
      </w:r>
    </w:p>
    <w:p>
      <w:pPr>
        <w:pStyle w:val="5"/>
        <w:wordWrap w:val="0"/>
        <w:snapToGrid w:val="0"/>
        <w:spacing w:line="240" w:lineRule="auto"/>
        <w:ind w:firstLine="480"/>
        <w:jc w:val="both"/>
        <w:rPr>
          <w:rFonts w:hAnsi="宋体" w:cs="宋体"/>
          <w:b/>
          <w:snapToGrid w:val="0"/>
          <w:color w:val="auto"/>
          <w:highlight w:val="none"/>
        </w:rPr>
      </w:pPr>
      <w:bookmarkStart w:id="69" w:name="_Toc3494"/>
      <w:bookmarkStart w:id="70" w:name="_Toc4506"/>
    </w:p>
    <w:p>
      <w:pPr>
        <w:pStyle w:val="5"/>
        <w:wordWrap w:val="0"/>
        <w:snapToGrid w:val="0"/>
        <w:spacing w:line="240" w:lineRule="auto"/>
        <w:ind w:firstLine="480"/>
        <w:jc w:val="both"/>
        <w:rPr>
          <w:rFonts w:hAnsi="宋体" w:cs="宋体"/>
          <w:snapToGrid w:val="0"/>
          <w:color w:val="auto"/>
          <w:highlight w:val="none"/>
        </w:rPr>
      </w:pPr>
      <w:r>
        <w:rPr>
          <w:rFonts w:hint="eastAsia" w:hAnsi="宋体" w:cs="宋体"/>
          <w:b/>
          <w:snapToGrid w:val="0"/>
          <w:color w:val="auto"/>
          <w:highlight w:val="none"/>
        </w:rPr>
        <w:t>13．投标有效期</w:t>
      </w:r>
      <w:bookmarkEnd w:id="69"/>
      <w:bookmarkEnd w:id="70"/>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本次招标投标有效期为</w:t>
      </w:r>
      <w:r>
        <w:rPr>
          <w:rFonts w:hint="eastAsia" w:hAnsi="宋体" w:cs="宋体"/>
          <w:snapToGrid w:val="0"/>
          <w:color w:val="auto"/>
          <w:kern w:val="0"/>
          <w:highlight w:val="none"/>
          <w:u w:val="single"/>
        </w:rPr>
        <w:t xml:space="preserve"> 90 </w:t>
      </w:r>
      <w:r>
        <w:rPr>
          <w:rFonts w:hint="eastAsia" w:hAnsi="宋体" w:cs="宋体"/>
          <w:snapToGrid w:val="0"/>
          <w:color w:val="auto"/>
          <w:kern w:val="0"/>
          <w:highlight w:val="none"/>
        </w:rPr>
        <w:t>个日历天，自招标人或其授权的招标代理机构接收投标人递交的投标文件之日起计。在此期间，投标人不得撤销或修改其投标文件，否则其投标保证不予退还。</w:t>
      </w:r>
    </w:p>
    <w:p>
      <w:pPr>
        <w:pStyle w:val="5"/>
        <w:wordWrap w:val="0"/>
        <w:snapToGrid w:val="0"/>
        <w:spacing w:line="240" w:lineRule="auto"/>
        <w:ind w:firstLine="480"/>
        <w:jc w:val="both"/>
        <w:rPr>
          <w:rFonts w:hAnsi="宋体" w:cs="宋体"/>
          <w:b/>
          <w:snapToGrid w:val="0"/>
          <w:color w:val="auto"/>
          <w:highlight w:val="none"/>
        </w:rPr>
      </w:pPr>
      <w:bookmarkStart w:id="71" w:name="_Toc9950"/>
      <w:bookmarkStart w:id="72" w:name="_Toc7473"/>
    </w:p>
    <w:p>
      <w:pPr>
        <w:pStyle w:val="5"/>
        <w:wordWrap w:val="0"/>
        <w:snapToGrid w:val="0"/>
        <w:spacing w:line="240" w:lineRule="auto"/>
        <w:ind w:firstLine="480"/>
        <w:jc w:val="both"/>
        <w:rPr>
          <w:rFonts w:hAnsi="宋体" w:cs="宋体"/>
          <w:snapToGrid w:val="0"/>
          <w:color w:val="auto"/>
          <w:highlight w:val="none"/>
        </w:rPr>
      </w:pPr>
      <w:r>
        <w:rPr>
          <w:rFonts w:hint="eastAsia" w:hAnsi="宋体" w:cs="宋体"/>
          <w:b/>
          <w:snapToGrid w:val="0"/>
          <w:color w:val="auto"/>
          <w:highlight w:val="none"/>
        </w:rPr>
        <w:t>14．开标</w:t>
      </w:r>
      <w:bookmarkEnd w:id="71"/>
      <w:bookmarkEnd w:id="72"/>
    </w:p>
    <w:p>
      <w:pPr>
        <w:pStyle w:val="30"/>
        <w:wordWrap w:val="0"/>
        <w:adjustRightInd w:val="0"/>
        <w:snapToGrid w:val="0"/>
        <w:ind w:firstLine="482" w:firstLineChars="200"/>
        <w:jc w:val="left"/>
        <w:rPr>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招标人邀请所有正确</w:t>
      </w:r>
      <w:r>
        <w:rPr>
          <w:rFonts w:hint="eastAsia" w:ascii="宋体" w:hAnsi="宋体" w:cs="宋体"/>
          <w:snapToGrid w:val="0"/>
          <w:color w:val="auto"/>
          <w:kern w:val="0"/>
          <w:sz w:val="24"/>
          <w:highlight w:val="none"/>
        </w:rPr>
        <w:t>获取招标文件、</w:t>
      </w:r>
      <w:r>
        <w:rPr>
          <w:rFonts w:hint="eastAsia"/>
          <w:snapToGrid w:val="0"/>
          <w:color w:val="auto"/>
          <w:kern w:val="0"/>
          <w:sz w:val="24"/>
          <w:highlight w:val="none"/>
        </w:rPr>
        <w:t>缴纳投标保证、电子投标的投标人参加开标，投标人可自主决定是否参加。</w:t>
      </w:r>
      <w:r>
        <w:rPr>
          <w:rFonts w:hint="eastAsia" w:ascii="宋体" w:hAnsi="宋体" w:cs="宋体"/>
          <w:snapToGrid w:val="0"/>
          <w:color w:val="auto"/>
          <w:kern w:val="0"/>
          <w:sz w:val="24"/>
          <w:highlight w:val="none"/>
        </w:rPr>
        <w:t>投标人无须进行现场签到，可登录交易平台观看开标实况、提出异议或进行澄清、确认等操作，具体按招标文件和系统操作手册为准。</w:t>
      </w:r>
    </w:p>
    <w:p>
      <w:pPr>
        <w:pStyle w:val="30"/>
        <w:wordWrap w:val="0"/>
        <w:adjustRightInd w:val="0"/>
        <w:snapToGrid w:val="0"/>
        <w:ind w:firstLine="482" w:firstLineChars="200"/>
        <w:jc w:val="left"/>
        <w:rPr>
          <w:snapToGrid w:val="0"/>
          <w:color w:val="auto"/>
          <w:kern w:val="0"/>
          <w:sz w:val="24"/>
          <w:highlight w:val="none"/>
        </w:rPr>
      </w:pPr>
      <w:r>
        <w:rPr>
          <w:rFonts w:hint="eastAsia"/>
          <w:b/>
          <w:bCs/>
          <w:snapToGrid w:val="0"/>
          <w:color w:val="auto"/>
          <w:kern w:val="0"/>
          <w:sz w:val="24"/>
          <w:highlight w:val="none"/>
        </w:rPr>
        <w:t>14.1.1</w:t>
      </w:r>
      <w:r>
        <w:rPr>
          <w:rFonts w:hint="eastAsia"/>
          <w:snapToGrid w:val="0"/>
          <w:color w:val="auto"/>
          <w:kern w:val="0"/>
          <w:sz w:val="24"/>
          <w:highlight w:val="none"/>
        </w:rPr>
        <w:t xml:space="preserve"> 开标时间和地点：见本章第二节“重要事项时间地点一览表”。</w:t>
      </w:r>
    </w:p>
    <w:p>
      <w:pPr>
        <w:pStyle w:val="30"/>
        <w:wordWrap w:val="0"/>
        <w:adjustRightInd w:val="0"/>
        <w:snapToGrid w:val="0"/>
        <w:ind w:firstLine="482" w:firstLineChars="200"/>
        <w:jc w:val="left"/>
        <w:rPr>
          <w:snapToGrid w:val="0"/>
          <w:color w:val="auto"/>
          <w:kern w:val="0"/>
          <w:sz w:val="24"/>
          <w:highlight w:val="none"/>
        </w:rPr>
      </w:pPr>
      <w:r>
        <w:rPr>
          <w:rFonts w:hint="eastAsia"/>
          <w:b/>
          <w:bCs/>
          <w:snapToGrid w:val="0"/>
          <w:color w:val="auto"/>
          <w:kern w:val="0"/>
          <w:sz w:val="24"/>
          <w:highlight w:val="none"/>
        </w:rPr>
        <w:t>14.1.2</w:t>
      </w:r>
      <w:r>
        <w:rPr>
          <w:rFonts w:hint="eastAsia"/>
          <w:snapToGrid w:val="0"/>
          <w:color w:val="auto"/>
          <w:kern w:val="0"/>
          <w:sz w:val="24"/>
          <w:highlight w:val="none"/>
        </w:rPr>
        <w:t xml:space="preserve"> </w:t>
      </w:r>
      <w:r>
        <w:rPr>
          <w:rFonts w:hint="eastAsia" w:ascii="宋体" w:hAnsi="宋体" w:cs="宋体"/>
          <w:snapToGrid w:val="0"/>
          <w:color w:val="auto"/>
          <w:kern w:val="0"/>
          <w:sz w:val="24"/>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pPr>
        <w:pStyle w:val="30"/>
        <w:wordWrap w:val="0"/>
        <w:adjustRightInd w:val="0"/>
        <w:snapToGrid w:val="0"/>
        <w:ind w:firstLine="482" w:firstLineChars="200"/>
        <w:jc w:val="left"/>
        <w:rPr>
          <w:rFonts w:ascii="宋体" w:hAnsi="宋体" w:cs="宋体"/>
          <w:snapToGrid w:val="0"/>
          <w:color w:val="auto"/>
          <w:kern w:val="0"/>
          <w:sz w:val="24"/>
          <w:highlight w:val="none"/>
        </w:rPr>
      </w:pPr>
      <w:r>
        <w:rPr>
          <w:rFonts w:hint="eastAsia" w:hAnsi="宋体" w:cs="宋体"/>
          <w:b/>
          <w:bCs/>
          <w:snapToGrid w:val="0"/>
          <w:color w:val="auto"/>
          <w:kern w:val="0"/>
          <w:sz w:val="24"/>
          <w:highlight w:val="none"/>
        </w:rPr>
        <w:t>14.1.3</w:t>
      </w:r>
      <w:r>
        <w:rPr>
          <w:rFonts w:hint="eastAsia" w:hAnsi="宋体" w:cs="宋体"/>
          <w:snapToGrid w:val="0"/>
          <w:color w:val="auto"/>
          <w:kern w:val="0"/>
          <w:sz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14.2</w:t>
      </w:r>
      <w:r>
        <w:rPr>
          <w:rFonts w:hint="eastAsia" w:hAnsi="宋体" w:cs="宋体"/>
          <w:snapToGrid w:val="0"/>
          <w:color w:val="auto"/>
          <w:kern w:val="0"/>
          <w:highlight w:val="none"/>
        </w:rPr>
        <w:t xml:space="preserve"> 开标程序</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（1）主持人（招标人代表或招标人授权的招标代理机构人员）宣读开标纪律。</w:t>
      </w:r>
      <w:bookmarkStart w:id="73" w:name="_Toc30079"/>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（2）主持人宣布唱标人、记录人、见证人、监督人等有关人员姓名。</w:t>
      </w:r>
      <w:bookmarkEnd w:id="73"/>
      <w:bookmarkStart w:id="74" w:name="_Toc23816"/>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（3）到达投标截止时间后，主持人点击“开始开标”按钮，系统自动对投标企业进行在线签到。招标代理机构应将有关情形在《开标一览表》“备注”栏中注明。</w:t>
      </w:r>
      <w:bookmarkEnd w:id="74"/>
      <w:bookmarkStart w:id="75" w:name="_Toc21677"/>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（4）招标代理机构在交易场所工作人员见证下，对投标人的电子投标信息进行解密，建设工程交易系统自动生成《投标保证缴纳情况表》和《开标一览表》。</w:t>
      </w:r>
      <w:bookmarkEnd w:id="75"/>
      <w:bookmarkStart w:id="76" w:name="_Toc30701"/>
    </w:p>
    <w:p>
      <w:pPr>
        <w:wordWrap w:val="0"/>
        <w:adjustRightInd w:val="0"/>
        <w:snapToGrid w:val="0"/>
        <w:spacing w:line="240" w:lineRule="auto"/>
        <w:ind w:firstLine="482" w:firstLineChars="200"/>
        <w:rPr>
          <w:color w:val="auto"/>
          <w:highlight w:val="none"/>
        </w:rPr>
      </w:pPr>
      <w:r>
        <w:rPr>
          <w:rFonts w:hint="eastAsia"/>
          <w:b/>
          <w:bCs/>
          <w:color w:val="auto"/>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76"/>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（6）唱标人检查《开标一览表》中各投标人的投标总价、工期是否符合招标文件规定。若不符合规定，招标代理机构应将有关情形在《开标一览表》“备注”栏中注明。</w:t>
      </w:r>
    </w:p>
    <w:p>
      <w:pPr>
        <w:wordWrap w:val="0"/>
        <w:adjustRightInd w:val="0"/>
        <w:snapToGrid w:val="0"/>
        <w:spacing w:line="24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（7）招标人代表、唱标人、记录人等有关人员在《投标保证缴纳情况表》以及《开标一览表》上签字确认。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ascii="Times New Roman"/>
          <w:snapToGrid w:val="0"/>
          <w:color w:val="auto"/>
          <w:kern w:val="0"/>
          <w:highlight w:val="none"/>
        </w:rPr>
        <w:t>（8）主持人宣布有关注意事项后，宣布开标结束。</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14.3</w:t>
      </w:r>
      <w:r>
        <w:rPr>
          <w:rFonts w:hint="eastAsia" w:hAnsi="宋体" w:cs="宋体"/>
          <w:snapToGrid w:val="0"/>
          <w:color w:val="auto"/>
          <w:kern w:val="0"/>
          <w:highlight w:val="none"/>
        </w:rPr>
        <w:t xml:space="preserve">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14.4</w:t>
      </w:r>
      <w:r>
        <w:rPr>
          <w:rFonts w:hint="eastAsia" w:hAnsi="宋体" w:cs="宋体"/>
          <w:snapToGrid w:val="0"/>
          <w:color w:val="auto"/>
          <w:kern w:val="0"/>
          <w:highlight w:val="none"/>
        </w:rPr>
        <w:t>招标代理机构将资料原件（若有）、《开标一览表》以及其他有关资料移交评标委员会。</w:t>
      </w:r>
      <w:bookmarkStart w:id="77" w:name="_Hlt127093805"/>
      <w:bookmarkEnd w:id="77"/>
    </w:p>
    <w:p>
      <w:pPr>
        <w:pStyle w:val="5"/>
        <w:wordWrap w:val="0"/>
        <w:snapToGrid w:val="0"/>
        <w:spacing w:line="240" w:lineRule="auto"/>
        <w:ind w:firstLine="480"/>
        <w:jc w:val="both"/>
        <w:rPr>
          <w:rFonts w:hAnsi="宋体" w:cs="宋体"/>
          <w:b/>
          <w:snapToGrid w:val="0"/>
          <w:color w:val="auto"/>
          <w:highlight w:val="none"/>
        </w:rPr>
      </w:pPr>
      <w:bookmarkStart w:id="78" w:name="_Toc16554"/>
      <w:bookmarkStart w:id="79" w:name="_Toc9511"/>
    </w:p>
    <w:p>
      <w:pPr>
        <w:pStyle w:val="5"/>
        <w:wordWrap w:val="0"/>
        <w:snapToGrid w:val="0"/>
        <w:spacing w:line="240" w:lineRule="auto"/>
        <w:ind w:firstLine="480"/>
        <w:jc w:val="both"/>
        <w:rPr>
          <w:rFonts w:hAnsi="宋体" w:cs="宋体"/>
          <w:b/>
          <w:snapToGrid w:val="0"/>
          <w:color w:val="auto"/>
          <w:highlight w:val="none"/>
        </w:rPr>
      </w:pPr>
      <w:r>
        <w:rPr>
          <w:rFonts w:hint="eastAsia" w:hAnsi="宋体" w:cs="宋体"/>
          <w:b/>
          <w:snapToGrid w:val="0"/>
          <w:color w:val="auto"/>
          <w:highlight w:val="none"/>
        </w:rPr>
        <w:t>15．评标</w:t>
      </w:r>
      <w:bookmarkEnd w:id="78"/>
      <w:bookmarkEnd w:id="79"/>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pPr>
        <w:wordWrap w:val="0"/>
        <w:adjustRightInd w:val="0"/>
        <w:snapToGrid w:val="0"/>
        <w:spacing w:line="240" w:lineRule="auto"/>
        <w:ind w:firstLine="482" w:firstLineChars="200"/>
        <w:rPr>
          <w:rFonts w:hAnsi="宋体" w:cs="宋体"/>
          <w:bCs/>
          <w:snapToGrid w:val="0"/>
          <w:color w:val="auto"/>
          <w:kern w:val="0"/>
          <w:highlight w:val="none"/>
        </w:rPr>
      </w:pPr>
      <w:r>
        <w:rPr>
          <w:rFonts w:hint="eastAsia" w:hAnsi="宋体" w:cs="宋体"/>
          <w:b/>
          <w:bCs/>
          <w:snapToGrid w:val="0"/>
          <w:color w:val="auto"/>
          <w:kern w:val="0"/>
          <w:highlight w:val="none"/>
        </w:rPr>
        <w:t>15.1</w:t>
      </w:r>
      <w:r>
        <w:rPr>
          <w:rFonts w:hint="eastAsia" w:hAnsi="宋体" w:cs="宋体"/>
          <w:bCs/>
          <w:snapToGrid w:val="0"/>
          <w:color w:val="auto"/>
          <w:kern w:val="0"/>
          <w:highlight w:val="none"/>
        </w:rPr>
        <w:t xml:space="preserve"> 评标委员会</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b/>
          <w:bCs/>
          <w:snapToGrid w:val="0"/>
          <w:color w:val="auto"/>
          <w:kern w:val="0"/>
          <w:highlight w:val="none"/>
        </w:rPr>
        <w:t>15.1.1</w:t>
      </w:r>
      <w:r>
        <w:rPr>
          <w:rFonts w:hint="eastAsia" w:hAnsi="宋体" w:cs="宋体"/>
          <w:snapToGrid w:val="0"/>
          <w:color w:val="auto"/>
          <w:kern w:val="0"/>
          <w:highlight w:val="none"/>
        </w:rPr>
        <w:t xml:space="preserve"> 评标委员会由</w:t>
      </w:r>
      <w:r>
        <w:rPr>
          <w:rFonts w:hint="eastAsia" w:hAnsi="宋体" w:cs="宋体"/>
          <w:snapToGrid w:val="0"/>
          <w:color w:val="auto"/>
          <w:kern w:val="0"/>
          <w:highlight w:val="none"/>
          <w:u w:val="single"/>
        </w:rPr>
        <w:t xml:space="preserve"> 5 </w:t>
      </w:r>
      <w:r>
        <w:rPr>
          <w:rFonts w:hint="eastAsia" w:hAnsi="宋体" w:cs="宋体"/>
          <w:snapToGrid w:val="0"/>
          <w:color w:val="auto"/>
          <w:kern w:val="0"/>
          <w:highlight w:val="none"/>
        </w:rPr>
        <w:t>人组成，其中招标人代表</w:t>
      </w:r>
      <w:r>
        <w:rPr>
          <w:rFonts w:hint="eastAsia" w:hAnsi="宋体" w:cs="宋体"/>
          <w:snapToGrid w:val="0"/>
          <w:color w:val="auto"/>
          <w:kern w:val="0"/>
          <w:highlight w:val="none"/>
          <w:u w:val="single"/>
        </w:rPr>
        <w:t xml:space="preserve"> 0 </w:t>
      </w:r>
      <w:r>
        <w:rPr>
          <w:rFonts w:hint="eastAsia" w:hAnsi="宋体" w:cs="宋体"/>
          <w:snapToGrid w:val="0"/>
          <w:color w:val="auto"/>
          <w:kern w:val="0"/>
          <w:highlight w:val="none"/>
        </w:rPr>
        <w:t>人，专家</w:t>
      </w:r>
      <w:r>
        <w:rPr>
          <w:rFonts w:hint="eastAsia" w:hAnsi="宋体" w:cs="宋体"/>
          <w:snapToGrid w:val="0"/>
          <w:color w:val="auto"/>
          <w:kern w:val="0"/>
          <w:highlight w:val="none"/>
          <w:u w:val="single"/>
        </w:rPr>
        <w:t xml:space="preserve"> 5 </w:t>
      </w:r>
      <w:r>
        <w:rPr>
          <w:rFonts w:hint="eastAsia" w:hAnsi="宋体" w:cs="宋体"/>
          <w:snapToGrid w:val="0"/>
          <w:color w:val="auto"/>
          <w:kern w:val="0"/>
          <w:highlight w:val="none"/>
        </w:rPr>
        <w:t>人。专家从广东省综合评标评审专家库中随机抽取，其中技术类专家</w:t>
      </w:r>
      <w:r>
        <w:rPr>
          <w:rFonts w:hint="eastAsia" w:hAnsi="宋体" w:cs="宋体"/>
          <w:snapToGrid w:val="0"/>
          <w:color w:val="auto"/>
          <w:kern w:val="0"/>
          <w:highlight w:val="none"/>
          <w:u w:val="single"/>
        </w:rPr>
        <w:t xml:space="preserve">  3 </w:t>
      </w:r>
      <w:r>
        <w:rPr>
          <w:rFonts w:hint="eastAsia" w:hAnsi="宋体" w:cs="宋体"/>
          <w:snapToGrid w:val="0"/>
          <w:color w:val="auto"/>
          <w:kern w:val="0"/>
          <w:highlight w:val="none"/>
        </w:rPr>
        <w:t>人，经济类专家</w:t>
      </w:r>
      <w:r>
        <w:rPr>
          <w:rFonts w:hint="eastAsia" w:hAnsi="宋体" w:cs="宋体"/>
          <w:snapToGrid w:val="0"/>
          <w:color w:val="auto"/>
          <w:kern w:val="0"/>
          <w:highlight w:val="none"/>
          <w:u w:val="single"/>
        </w:rPr>
        <w:t xml:space="preserve"> 2 </w:t>
      </w:r>
      <w:r>
        <w:rPr>
          <w:rFonts w:hint="eastAsia" w:hAnsi="宋体" w:cs="宋体"/>
          <w:snapToGrid w:val="0"/>
          <w:color w:val="auto"/>
          <w:kern w:val="0"/>
          <w:highlight w:val="none"/>
        </w:rPr>
        <w:t>人。评标委员会设负责人，由评标委员会成员推举产生。评标委员会负责人与评标委员会的其他成员有同等的表决权。</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15.1.2</w:t>
      </w:r>
      <w:r>
        <w:rPr>
          <w:rFonts w:hint="eastAsia" w:hAnsi="宋体" w:cs="宋体"/>
          <w:snapToGrid w:val="0"/>
          <w:color w:val="auto"/>
          <w:kern w:val="0"/>
          <w:highlight w:val="none"/>
        </w:rPr>
        <w:t xml:space="preserve"> 评标委员会应认真、公正、诚实、廉洁地履行职责。有下列情形之一的，不得担任评标委员会成员：</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（1）投标人或投标人主要负责人的近亲属；</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（2）项目主管部门或者行政监督部门的人员；</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（3）与投标人有经济利益关系，可能影响对投标公正评审的；</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（4）曾因在招标、评标以及其他与招标投标有关活动中从事违法行为而受过行政处罚或刑事处罚的。</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评标委员会成员有以上情形之一的，应主动提出回避。</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15.1.3</w:t>
      </w:r>
      <w:r>
        <w:rPr>
          <w:rFonts w:hint="eastAsia" w:hAnsi="宋体" w:cs="宋体"/>
          <w:snapToGrid w:val="0"/>
          <w:color w:val="auto"/>
          <w:kern w:val="0"/>
          <w:highlight w:val="none"/>
        </w:rPr>
        <w:t xml:space="preserve"> 评标全过程实行封闭式管理，在中标结果公布前，禁止评标委员会成员以任何方式私下接触投标人。</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15.1.4</w:t>
      </w:r>
      <w:r>
        <w:rPr>
          <w:rFonts w:hint="eastAsia" w:hAnsi="宋体" w:cs="宋体"/>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240" w:lineRule="auto"/>
        <w:ind w:firstLine="562"/>
        <w:rPr>
          <w:rFonts w:hAnsi="宋体" w:cs="宋体"/>
          <w:b/>
          <w:snapToGrid w:val="0"/>
          <w:color w:val="auto"/>
          <w:kern w:val="0"/>
          <w:szCs w:val="22"/>
          <w:highlight w:val="none"/>
        </w:rPr>
      </w:pPr>
      <w:r>
        <w:rPr>
          <w:rFonts w:hint="eastAsia" w:hAnsi="宋体" w:cs="宋体"/>
          <w:b/>
          <w:bCs/>
          <w:snapToGrid w:val="0"/>
          <w:color w:val="auto"/>
          <w:kern w:val="0"/>
          <w:highlight w:val="none"/>
        </w:rPr>
        <w:t>15.1.5</w:t>
      </w:r>
      <w:r>
        <w:rPr>
          <w:rFonts w:hint="eastAsia" w:hAnsi="宋体" w:cs="宋体"/>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240" w:lineRule="auto"/>
        <w:ind w:firstLine="561"/>
        <w:rPr>
          <w:rFonts w:hAnsi="宋体" w:cs="宋体"/>
          <w:bCs/>
          <w:snapToGrid w:val="0"/>
          <w:color w:val="auto"/>
          <w:kern w:val="0"/>
          <w:highlight w:val="none"/>
        </w:rPr>
      </w:pPr>
      <w:r>
        <w:rPr>
          <w:rFonts w:hint="eastAsia" w:hAnsi="宋体" w:cs="宋体"/>
          <w:b/>
          <w:bCs/>
          <w:snapToGrid w:val="0"/>
          <w:color w:val="auto"/>
          <w:kern w:val="0"/>
          <w:highlight w:val="none"/>
        </w:rPr>
        <w:t>15.2</w:t>
      </w:r>
      <w:r>
        <w:rPr>
          <w:rFonts w:hint="eastAsia" w:hAnsi="宋体" w:cs="宋体"/>
          <w:bCs/>
          <w:snapToGrid w:val="0"/>
          <w:color w:val="auto"/>
          <w:kern w:val="0"/>
          <w:szCs w:val="22"/>
          <w:highlight w:val="none"/>
        </w:rPr>
        <w:t xml:space="preserve"> 评标方法</w:t>
      </w:r>
    </w:p>
    <w:p>
      <w:pPr>
        <w:wordWrap w:val="0"/>
        <w:adjustRightInd w:val="0"/>
        <w:snapToGrid w:val="0"/>
        <w:spacing w:line="240" w:lineRule="auto"/>
        <w:ind w:firstLine="562"/>
        <w:rPr>
          <w:rFonts w:hAnsi="宋体" w:cs="宋体"/>
          <w:i/>
          <w:iCs/>
          <w:snapToGrid w:val="0"/>
          <w:color w:val="auto"/>
          <w:kern w:val="0"/>
          <w:highlight w:val="none"/>
        </w:rPr>
      </w:pPr>
      <w:r>
        <w:rPr>
          <w:rFonts w:hint="eastAsia" w:hAnsi="宋体" w:cs="宋体"/>
          <w:snapToGrid w:val="0"/>
          <w:color w:val="auto"/>
          <w:kern w:val="0"/>
          <w:highlight w:val="none"/>
        </w:rPr>
        <w:t>根据有关法律、法规的相关规定，结合本招标项目资金来源和规模特点，本次招标采用“综合评估法”进行评标。</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15.3</w:t>
      </w:r>
      <w:r>
        <w:rPr>
          <w:rFonts w:hint="eastAsia" w:hAnsi="宋体" w:cs="宋体"/>
          <w:bCs/>
          <w:snapToGrid w:val="0"/>
          <w:color w:val="auto"/>
          <w:kern w:val="0"/>
          <w:szCs w:val="22"/>
          <w:highlight w:val="none"/>
        </w:rPr>
        <w:t xml:space="preserve"> 评审范围：</w:t>
      </w:r>
      <w:r>
        <w:rPr>
          <w:rFonts w:hint="eastAsia" w:hAnsi="宋体" w:cs="宋体"/>
          <w:snapToGrid w:val="0"/>
          <w:color w:val="auto"/>
          <w:kern w:val="0"/>
          <w:highlight w:val="none"/>
        </w:rPr>
        <w:t>评标委员会应对所有进入评标投标人的投标文件进行评审。</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15.4</w:t>
      </w:r>
      <w:r>
        <w:rPr>
          <w:rFonts w:hint="eastAsia" w:hAnsi="宋体" w:cs="宋体"/>
          <w:snapToGrid w:val="0"/>
          <w:color w:val="auto"/>
          <w:kern w:val="0"/>
          <w:highlight w:val="none"/>
        </w:rPr>
        <w:t xml:space="preserve"> 初步评审阶段</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初步评审阶段分为资格评审、形式评审和响应性评审三个环节。</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15.4.1</w:t>
      </w:r>
      <w:r>
        <w:rPr>
          <w:rFonts w:hint="eastAsia" w:hAnsi="宋体" w:cs="宋体"/>
          <w:snapToGrid w:val="0"/>
          <w:color w:val="auto"/>
          <w:kern w:val="0"/>
          <w:highlight w:val="none"/>
        </w:rPr>
        <w:t xml:space="preserve"> 资格评审环节</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资格评审事项包括：</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（1）投标人名称是否与营业执照、资质证书一致。</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（2）投标人的资质是否符合招标文件规定；其营业执照、资质证书是否合法、有效。</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 xml:space="preserve">（3）投标文件中拟派总监理工程师是否与《开标一览表》一致；拟派总监理工程师的条件是否符合招标文件规定。 </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（4）拟派总监理工程师的注册证书是否合法、有效。</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（5）投标人为外省建筑企业的，是否按规定在“进粤企业和人员诚信信息登记平台”录入企业有关信息并通过数据规范检查。</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15.4.2</w:t>
      </w:r>
      <w:r>
        <w:rPr>
          <w:rFonts w:hint="eastAsia" w:hAnsi="宋体" w:cs="宋体"/>
          <w:snapToGrid w:val="0"/>
          <w:color w:val="auto"/>
          <w:kern w:val="0"/>
          <w:highlight w:val="none"/>
        </w:rPr>
        <w:t xml:space="preserve"> 形式评审环节</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形式评审事项包括：</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（1）投标文件的分册组成是否符合招标文件规定。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（2）本节第</w:t>
      </w: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第</w:t>
      </w:r>
      <w:r>
        <w:rPr>
          <w:rFonts w:hint="eastAsia" w:hAnsi="宋体" w:cs="宋体"/>
          <w:b/>
          <w:bCs/>
          <w:snapToGrid w:val="0"/>
          <w:color w:val="auto"/>
          <w:kern w:val="0"/>
          <w:szCs w:val="18"/>
          <w:highlight w:val="none"/>
        </w:rPr>
        <w:t>10.3.3</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中规定的“</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”的组成内容（包括该组成内容的所附资料）是否完整、齐全。</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（3）各分册是否按招标文件规定签字、盖章。</w:t>
      </w:r>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b/>
          <w:bCs/>
          <w:snapToGrid w:val="0"/>
          <w:color w:val="auto"/>
          <w:kern w:val="0"/>
          <w:highlight w:val="none"/>
        </w:rPr>
        <w:t>15.4.3</w:t>
      </w:r>
      <w:r>
        <w:rPr>
          <w:rFonts w:hint="eastAsia" w:hAnsi="宋体" w:cs="宋体"/>
          <w:snapToGrid w:val="0"/>
          <w:color w:val="auto"/>
          <w:kern w:val="0"/>
          <w:highlight w:val="none"/>
        </w:rPr>
        <w:t xml:space="preserve"> 响应性评审环节</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响应性评审事项包括：</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（1）投标有效期、监理及相关服务期限等是否响应招标文件实质性要求；是否擅自修改、遗漏《投标函》《各项承诺一览表》的实质性内容。</w:t>
      </w:r>
    </w:p>
    <w:p>
      <w:pPr>
        <w:wordWrap w:val="0"/>
        <w:adjustRightInd w:val="0"/>
        <w:snapToGrid w:val="0"/>
        <w:spacing w:line="240" w:lineRule="auto"/>
        <w:ind w:firstLine="562"/>
        <w:rPr>
          <w:rFonts w:hAnsi="宋体" w:cs="宋体"/>
          <w:snapToGrid w:val="0"/>
          <w:color w:val="auto"/>
          <w:kern w:val="0"/>
          <w:highlight w:val="none"/>
        </w:rPr>
      </w:pPr>
      <w:r>
        <w:rPr>
          <w:rFonts w:hint="eastAsia" w:hAnsi="宋体" w:cs="宋体"/>
          <w:snapToGrid w:val="0"/>
          <w:color w:val="auto"/>
          <w:kern w:val="0"/>
          <w:highlight w:val="none"/>
        </w:rPr>
        <w:t>（2）投标总价是否唯一；投标总价是否超出最高投标限价。</w:t>
      </w:r>
    </w:p>
    <w:p>
      <w:pPr>
        <w:wordWrap w:val="0"/>
        <w:adjustRightInd w:val="0"/>
        <w:snapToGrid w:val="0"/>
        <w:spacing w:line="240" w:lineRule="auto"/>
        <w:ind w:firstLine="562"/>
        <w:rPr>
          <w:rFonts w:hAnsi="宋体" w:cs="宋体"/>
          <w:snapToGrid w:val="0"/>
          <w:color w:val="auto"/>
          <w:kern w:val="0"/>
          <w:highlight w:val="none"/>
        </w:rPr>
      </w:pPr>
      <w:r>
        <w:rPr>
          <w:rFonts w:hint="eastAsia" w:hAnsi="宋体" w:cs="宋体"/>
          <w:snapToGrid w:val="0"/>
          <w:color w:val="auto"/>
          <w:kern w:val="0"/>
          <w:highlight w:val="none"/>
        </w:rPr>
        <w:t xml:space="preserve">（3）监理大纲中的监理及相关服务的范围、内容、目标是否符合招标文件规定。 </w:t>
      </w:r>
    </w:p>
    <w:p>
      <w:pPr>
        <w:wordWrap w:val="0"/>
        <w:adjustRightInd w:val="0"/>
        <w:snapToGrid w:val="0"/>
        <w:spacing w:line="240" w:lineRule="auto"/>
        <w:ind w:firstLine="562"/>
        <w:rPr>
          <w:rFonts w:hAnsi="宋体" w:cs="宋体"/>
          <w:snapToGrid w:val="0"/>
          <w:color w:val="auto"/>
          <w:kern w:val="0"/>
          <w:highlight w:val="none"/>
        </w:rPr>
      </w:pPr>
      <w:r>
        <w:rPr>
          <w:rFonts w:hint="eastAsia" w:hAnsi="宋体" w:cs="宋体"/>
          <w:b/>
          <w:bCs/>
          <w:snapToGrid w:val="0"/>
          <w:color w:val="auto"/>
          <w:kern w:val="0"/>
          <w:highlight w:val="none"/>
        </w:rPr>
        <w:t>15.4.4</w:t>
      </w:r>
      <w:r>
        <w:rPr>
          <w:rFonts w:hint="eastAsia" w:hAnsi="宋体" w:cs="宋体"/>
          <w:snapToGrid w:val="0"/>
          <w:color w:val="auto"/>
          <w:kern w:val="0"/>
          <w:highlight w:val="none"/>
        </w:rPr>
        <w:t xml:space="preserve"> 否决投标说明</w:t>
      </w:r>
    </w:p>
    <w:p>
      <w:pPr>
        <w:wordWrap w:val="0"/>
        <w:adjustRightInd w:val="0"/>
        <w:snapToGrid w:val="0"/>
        <w:spacing w:line="240" w:lineRule="auto"/>
        <w:ind w:firstLine="562"/>
        <w:rPr>
          <w:rFonts w:hAnsi="宋体" w:cs="宋体"/>
          <w:snapToGrid w:val="0"/>
          <w:color w:val="auto"/>
          <w:kern w:val="0"/>
          <w:highlight w:val="none"/>
        </w:rPr>
      </w:pPr>
      <w:r>
        <w:rPr>
          <w:rFonts w:hint="eastAsia" w:hAnsi="宋体" w:cs="宋体"/>
          <w:snapToGrid w:val="0"/>
          <w:color w:val="auto"/>
          <w:kern w:val="0"/>
          <w:highlight w:val="none"/>
        </w:rPr>
        <w:t>初步评审阶段各个环节否决投标的全部条件，在本章第四节“否决投标条件”第</w:t>
      </w:r>
      <w:r>
        <w:rPr>
          <w:rFonts w:hint="eastAsia" w:hAnsi="宋体" w:cs="宋体"/>
          <w:b/>
          <w:bCs/>
          <w:snapToGrid w:val="0"/>
          <w:color w:val="auto"/>
          <w:kern w:val="0"/>
          <w:highlight w:val="none"/>
        </w:rPr>
        <w:t>1</w:t>
      </w:r>
      <w:r>
        <w:rPr>
          <w:rFonts w:hint="eastAsia" w:hAnsi="宋体" w:cs="宋体"/>
          <w:snapToGrid w:val="0"/>
          <w:color w:val="auto"/>
          <w:kern w:val="0"/>
          <w:highlight w:val="none"/>
        </w:rPr>
        <w:t>条至第</w:t>
      </w:r>
      <w:r>
        <w:rPr>
          <w:rFonts w:hint="eastAsia" w:hAnsi="宋体" w:cs="宋体"/>
          <w:b/>
          <w:bCs/>
          <w:snapToGrid w:val="0"/>
          <w:color w:val="auto"/>
          <w:kern w:val="0"/>
          <w:highlight w:val="none"/>
        </w:rPr>
        <w:t>4</w:t>
      </w:r>
      <w:r>
        <w:rPr>
          <w:rFonts w:hint="eastAsia" w:hAnsi="宋体" w:cs="宋体"/>
          <w:snapToGrid w:val="0"/>
          <w:color w:val="auto"/>
          <w:kern w:val="0"/>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wordWrap w:val="0"/>
        <w:adjustRightInd w:val="0"/>
        <w:snapToGrid w:val="0"/>
        <w:spacing w:line="240" w:lineRule="auto"/>
        <w:rPr>
          <w:rFonts w:hAnsi="宋体" w:cs="宋体"/>
          <w:snapToGrid w:val="0"/>
          <w:color w:val="auto"/>
          <w:kern w:val="0"/>
          <w:highlight w:val="none"/>
        </w:rPr>
      </w:pPr>
      <w:r>
        <w:rPr>
          <w:rFonts w:hint="eastAsia" w:hAnsi="宋体" w:cs="宋体"/>
          <w:b/>
          <w:bCs/>
          <w:snapToGrid w:val="0"/>
          <w:color w:val="auto"/>
          <w:kern w:val="0"/>
          <w:highlight w:val="none"/>
        </w:rPr>
        <w:t xml:space="preserve">    15.5</w:t>
      </w:r>
      <w:r>
        <w:rPr>
          <w:rFonts w:hint="eastAsia" w:hAnsi="宋体" w:cs="宋体"/>
          <w:snapToGrid w:val="0"/>
          <w:color w:val="auto"/>
          <w:kern w:val="0"/>
          <w:highlight w:val="none"/>
        </w:rPr>
        <w:t xml:space="preserve"> 详细评审</w:t>
      </w:r>
      <w:bookmarkStart w:id="80" w:name="_Hlt121629839"/>
      <w:r>
        <w:rPr>
          <w:rFonts w:hint="eastAsia" w:hAnsi="宋体" w:cs="宋体"/>
          <w:snapToGrid w:val="0"/>
          <w:color w:val="auto"/>
          <w:kern w:val="0"/>
          <w:highlight w:val="none"/>
        </w:rPr>
        <w:t>阶段</w:t>
      </w:r>
    </w:p>
    <w:p>
      <w:pPr>
        <w:wordWrap w:val="0"/>
        <w:adjustRightInd w:val="0"/>
        <w:snapToGrid w:val="0"/>
        <w:spacing w:line="240" w:lineRule="auto"/>
        <w:rPr>
          <w:rFonts w:hAnsi="宋体" w:cs="宋体"/>
          <w:snapToGrid w:val="0"/>
          <w:color w:val="auto"/>
          <w:kern w:val="0"/>
          <w:highlight w:val="none"/>
        </w:rPr>
      </w:pPr>
      <w:r>
        <w:rPr>
          <w:rFonts w:hint="eastAsia" w:hAnsi="宋体" w:cs="宋体"/>
          <w:b/>
          <w:bCs/>
          <w:snapToGrid w:val="0"/>
          <w:color w:val="auto"/>
          <w:kern w:val="0"/>
          <w:highlight w:val="none"/>
        </w:rPr>
        <w:t xml:space="preserve">    15.5.1</w:t>
      </w:r>
      <w:r>
        <w:rPr>
          <w:rFonts w:hint="eastAsia" w:hAnsi="宋体" w:cs="宋体"/>
          <w:bCs/>
          <w:snapToGrid w:val="0"/>
          <w:color w:val="auto"/>
          <w:kern w:val="0"/>
          <w:highlight w:val="none"/>
        </w:rPr>
        <w:t xml:space="preserve"> “综合评估法”评审程序</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评审内容分为商务、技术和投标报价三大部分，综合得分满分为100分。其中，商务满分为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u w:val="single"/>
          <w:lang w:val="en-US" w:eastAsia="zh-CN"/>
        </w:rPr>
        <w:t>50</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分，技术满分为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u w:val="single"/>
          <w:lang w:val="en-US" w:eastAsia="zh-CN"/>
        </w:rPr>
        <w:t>3</w:t>
      </w:r>
      <w:r>
        <w:rPr>
          <w:rFonts w:hint="eastAsia" w:hAnsi="宋体" w:cs="宋体"/>
          <w:snapToGrid w:val="0"/>
          <w:color w:val="auto"/>
          <w:kern w:val="0"/>
          <w:highlight w:val="none"/>
          <w:u w:val="single"/>
        </w:rPr>
        <w:t>0</w:t>
      </w:r>
      <w:r>
        <w:rPr>
          <w:rFonts w:hint="eastAsia" w:hAnsi="宋体" w:cs="宋体"/>
          <w:snapToGrid w:val="0"/>
          <w:color w:val="auto"/>
          <w:kern w:val="0"/>
          <w:highlight w:val="none"/>
        </w:rPr>
        <w:t>分，投标报价部分满分为</w:t>
      </w:r>
      <w:r>
        <w:rPr>
          <w:rFonts w:hint="eastAsia" w:hAnsi="宋体" w:cs="宋体"/>
          <w:snapToGrid w:val="0"/>
          <w:color w:val="auto"/>
          <w:kern w:val="0"/>
          <w:highlight w:val="none"/>
          <w:u w:val="single"/>
          <w:lang w:val="en-US" w:eastAsia="zh-CN"/>
        </w:rPr>
        <w:t>2</w:t>
      </w:r>
      <w:r>
        <w:rPr>
          <w:rFonts w:hint="eastAsia" w:hAnsi="宋体" w:cs="宋体"/>
          <w:snapToGrid w:val="0"/>
          <w:color w:val="auto"/>
          <w:kern w:val="0"/>
          <w:highlight w:val="none"/>
          <w:u w:val="single"/>
        </w:rPr>
        <w:t>0</w:t>
      </w:r>
      <w:r>
        <w:rPr>
          <w:rFonts w:hint="eastAsia" w:hAnsi="宋体" w:cs="宋体"/>
          <w:snapToGrid w:val="0"/>
          <w:color w:val="auto"/>
          <w:kern w:val="0"/>
          <w:highlight w:val="none"/>
        </w:rPr>
        <w:t>分。</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除特别注明外，综合得分以及商务、技术、投标报价得分的中间过程计算值和最终值，均按“四舍五入”原则精确到两位小数。</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（1）商务得分M</w:t>
      </w:r>
      <w:r>
        <w:rPr>
          <w:rFonts w:hint="eastAsia" w:hAnsi="宋体" w:cs="宋体"/>
          <w:snapToGrid w:val="0"/>
          <w:color w:val="auto"/>
          <w:kern w:val="0"/>
          <w:highlight w:val="none"/>
          <w:vertAlign w:val="subscript"/>
        </w:rPr>
        <w:t>1</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评标委员会按照《综合评分表》商务部分指定的评分标准对各评分因素进行打分。各评分因素得分之和即为某投标人的商务得分M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（2）技术得分M</w:t>
      </w:r>
      <w:r>
        <w:rPr>
          <w:rFonts w:hint="eastAsia" w:hAnsi="宋体" w:cs="宋体"/>
          <w:snapToGrid w:val="0"/>
          <w:color w:val="auto"/>
          <w:kern w:val="0"/>
          <w:highlight w:val="none"/>
          <w:vertAlign w:val="subscript"/>
        </w:rPr>
        <w:t>2</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（3）投标报价得分M</w:t>
      </w:r>
      <w:r>
        <w:rPr>
          <w:rFonts w:hint="eastAsia" w:hAnsi="宋体" w:cs="宋体"/>
          <w:snapToGrid w:val="0"/>
          <w:color w:val="auto"/>
          <w:kern w:val="0"/>
          <w:highlight w:val="none"/>
          <w:vertAlign w:val="subscript"/>
        </w:rPr>
        <w:t>3</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a</w:t>
      </w:r>
      <w:r>
        <w:rPr>
          <w:rFonts w:hint="eastAsia" w:hAnsi="宋体" w:cs="宋体"/>
          <w:snapToGrid w:val="0"/>
          <w:color w:val="auto"/>
          <w:kern w:val="0"/>
          <w:highlight w:val="none"/>
        </w:rPr>
        <w:t>．评标委员会按照《综合评分表》投标报价部分指定的方法计算评标基准价D。</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b</w:t>
      </w:r>
      <w:r>
        <w:rPr>
          <w:rFonts w:hint="eastAsia" w:hAnsi="宋体" w:cs="宋体"/>
          <w:snapToGrid w:val="0"/>
          <w:color w:val="auto"/>
          <w:kern w:val="0"/>
          <w:highlight w:val="none"/>
        </w:rPr>
        <w:t>．采用内插法计算某投标人的投标报价得分M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，即当投标人的投标总价等于评标基准价时得满分，每高于评标基准价一个百分点扣1分, 每低于评标基准价一个百分点扣0.5分，扣完为止。公式如下：</w:t>
      </w:r>
    </w:p>
    <w:p>
      <w:pPr>
        <w:wordWrap w:val="0"/>
        <w:adjustRightInd w:val="0"/>
        <w:snapToGrid w:val="0"/>
        <w:spacing w:line="240" w:lineRule="auto"/>
        <w:jc w:val="center"/>
        <w:rPr>
          <w:rFonts w:hAnsi="宋体" w:cs="宋体"/>
          <w:snapToGrid w:val="0"/>
          <w:color w:val="auto"/>
          <w:kern w:val="0"/>
          <w:highlight w:val="none"/>
        </w:rPr>
      </w:pP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＝投标报价满分－（| Di－D | ÷D）×100×E</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式中：D为评标基准价，Di为某投标人的投标总价；E为扣分因子。当Di＞D时，E＝1；当Di＜D时，E＝0.5。</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（4）综合得分M</w:t>
      </w:r>
    </w:p>
    <w:p>
      <w:pPr>
        <w:wordWrap w:val="0"/>
        <w:adjustRightInd w:val="0"/>
        <w:snapToGrid w:val="0"/>
        <w:spacing w:line="240" w:lineRule="auto"/>
        <w:jc w:val="center"/>
        <w:rPr>
          <w:rFonts w:hAnsi="宋体" w:cs="宋体"/>
          <w:snapToGrid w:val="0"/>
          <w:color w:val="auto"/>
          <w:kern w:val="0"/>
          <w:highlight w:val="none"/>
        </w:rPr>
      </w:pPr>
      <w:r>
        <w:rPr>
          <w:rFonts w:hint="eastAsia" w:hAnsi="宋体" w:cs="宋体"/>
          <w:snapToGrid w:val="0"/>
          <w:color w:val="auto"/>
          <w:kern w:val="0"/>
          <w:highlight w:val="none"/>
        </w:rPr>
        <w:t>M＝M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＋M</w:t>
      </w:r>
      <w:r>
        <w:rPr>
          <w:rFonts w:hint="eastAsia" w:hAnsi="宋体" w:cs="宋体"/>
          <w:snapToGrid w:val="0"/>
          <w:color w:val="auto"/>
          <w:kern w:val="0"/>
          <w:highlight w:val="none"/>
          <w:vertAlign w:val="subscript"/>
        </w:rPr>
        <w:t>3</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式中：M为综合得分，M</w:t>
      </w:r>
      <w:r>
        <w:rPr>
          <w:rFonts w:hint="eastAsia" w:hAnsi="宋体" w:cs="宋体"/>
          <w:snapToGrid w:val="0"/>
          <w:color w:val="auto"/>
          <w:kern w:val="0"/>
          <w:highlight w:val="none"/>
          <w:vertAlign w:val="subscript"/>
        </w:rPr>
        <w:t>1</w:t>
      </w:r>
      <w:r>
        <w:rPr>
          <w:rFonts w:hint="eastAsia" w:hAnsi="宋体" w:cs="宋体"/>
          <w:snapToGrid w:val="0"/>
          <w:color w:val="auto"/>
          <w:kern w:val="0"/>
          <w:highlight w:val="none"/>
        </w:rPr>
        <w:t>为商务得分，M</w:t>
      </w:r>
      <w:r>
        <w:rPr>
          <w:rFonts w:hint="eastAsia" w:hAnsi="宋体" w:cs="宋体"/>
          <w:snapToGrid w:val="0"/>
          <w:color w:val="auto"/>
          <w:kern w:val="0"/>
          <w:highlight w:val="none"/>
          <w:vertAlign w:val="subscript"/>
        </w:rPr>
        <w:t>2</w:t>
      </w:r>
      <w:r>
        <w:rPr>
          <w:rFonts w:hint="eastAsia" w:hAnsi="宋体" w:cs="宋体"/>
          <w:snapToGrid w:val="0"/>
          <w:color w:val="auto"/>
          <w:kern w:val="0"/>
          <w:highlight w:val="none"/>
        </w:rPr>
        <w:t>为技术得分，M</w:t>
      </w:r>
      <w:r>
        <w:rPr>
          <w:rFonts w:hint="eastAsia" w:hAnsi="宋体" w:cs="宋体"/>
          <w:snapToGrid w:val="0"/>
          <w:color w:val="auto"/>
          <w:kern w:val="0"/>
          <w:highlight w:val="none"/>
          <w:vertAlign w:val="subscript"/>
        </w:rPr>
        <w:t>3</w:t>
      </w:r>
      <w:r>
        <w:rPr>
          <w:rFonts w:hint="eastAsia" w:hAnsi="宋体" w:cs="宋体"/>
          <w:snapToGrid w:val="0"/>
          <w:color w:val="auto"/>
          <w:kern w:val="0"/>
          <w:highlight w:val="none"/>
        </w:rPr>
        <w:t>为投标报价得分。</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15.6</w:t>
      </w:r>
      <w:r>
        <w:rPr>
          <w:rFonts w:hint="eastAsia" w:hAnsi="宋体" w:cs="宋体"/>
          <w:snapToGrid w:val="0"/>
          <w:color w:val="auto"/>
          <w:kern w:val="0"/>
          <w:highlight w:val="none"/>
        </w:rPr>
        <w:t xml:space="preserve"> 评标活动突发情况的应急措施：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在评标活动开始前，因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做好招投标资料的封存和保密工作，另行组建评标委员会进行评标。</w:t>
      </w:r>
    </w:p>
    <w:p>
      <w:pPr>
        <w:spacing w:line="240" w:lineRule="auto"/>
        <w:rPr>
          <w:rFonts w:hAnsi="宋体" w:cs="宋体"/>
          <w:b/>
          <w:bCs/>
          <w:snapToGrid w:val="0"/>
          <w:color w:val="auto"/>
          <w:kern w:val="0"/>
          <w:sz w:val="30"/>
          <w:szCs w:val="30"/>
          <w:highlight w:val="none"/>
        </w:rPr>
      </w:pPr>
      <w:r>
        <w:rPr>
          <w:rFonts w:hint="eastAsia" w:hAnsi="宋体" w:cs="宋体"/>
          <w:snapToGrid w:val="0"/>
          <w:color w:val="auto"/>
          <w:kern w:val="0"/>
          <w:highlight w:val="none"/>
        </w:rPr>
        <w:t xml:space="preserve">（2）在评标过程中，因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做好招投标资料的封存和保密工作，另行组建评标委员会重新评标。原评标委员会成员应当对评标情况保密，不得对外透露与评标有关的任何信息与情况。 </w:t>
      </w:r>
      <w:bookmarkStart w:id="81" w:name="_Toc7071"/>
    </w:p>
    <w:p>
      <w:pPr>
        <w:rPr>
          <w:rFonts w:hAnsi="宋体" w:cs="宋体"/>
          <w:b/>
          <w:bCs/>
          <w:snapToGrid w:val="0"/>
          <w:color w:val="auto"/>
          <w:kern w:val="0"/>
          <w:sz w:val="30"/>
          <w:szCs w:val="30"/>
          <w:highlight w:val="none"/>
        </w:rPr>
      </w:pPr>
      <w:r>
        <w:rPr>
          <w:rFonts w:hint="eastAsia" w:hAnsi="宋体" w:cs="宋体"/>
          <w:b/>
          <w:bCs/>
          <w:snapToGrid w:val="0"/>
          <w:color w:val="auto"/>
          <w:kern w:val="0"/>
          <w:sz w:val="30"/>
          <w:szCs w:val="30"/>
          <w:highlight w:val="none"/>
        </w:rPr>
        <w:br w:type="page"/>
      </w:r>
    </w:p>
    <w:bookmarkEnd w:id="81"/>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8"/>
          <w:szCs w:val="28"/>
          <w:highlight w:val="none"/>
          <w:lang w:eastAsia="zh-CN"/>
        </w:rPr>
        <w:t>表</w:t>
      </w:r>
      <w:r>
        <w:rPr>
          <w:rFonts w:hint="eastAsia" w:ascii="宋体" w:hAnsi="宋体" w:eastAsia="宋体" w:cs="宋体"/>
          <w:b/>
          <w:color w:val="auto"/>
          <w:sz w:val="28"/>
          <w:szCs w:val="28"/>
          <w:highlight w:val="none"/>
          <w:lang w:val="en-US" w:eastAsia="zh-CN"/>
        </w:rPr>
        <w:t xml:space="preserve">1 </w:t>
      </w:r>
      <w:r>
        <w:rPr>
          <w:rFonts w:hint="eastAsia" w:ascii="宋体" w:hAnsi="宋体" w:eastAsia="宋体" w:cs="宋体"/>
          <w:b/>
          <w:color w:val="auto"/>
          <w:sz w:val="28"/>
          <w:szCs w:val="28"/>
          <w:highlight w:val="none"/>
        </w:rPr>
        <w:t>综合评分表</w:t>
      </w:r>
    </w:p>
    <w:tbl>
      <w:tblPr>
        <w:tblStyle w:val="19"/>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473"/>
        <w:gridCol w:w="7"/>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53" w:type="dxa"/>
            <w:gridSpan w:val="4"/>
            <w:shd w:val="clear" w:color="auto" w:fill="D7D7D7"/>
            <w:noWrap w:val="0"/>
            <w:vAlign w:val="center"/>
          </w:tcPr>
          <w:p>
            <w:pPr>
              <w:widowControl w:val="0"/>
              <w:tabs>
                <w:tab w:val="left" w:pos="1354"/>
                <w:tab w:val="left" w:pos="1459"/>
                <w:tab w:val="center" w:pos="3902"/>
                <w:tab w:val="right" w:pos="7805"/>
              </w:tabs>
              <w:adjustRightInd w:val="0"/>
              <w:snapToGrid w:val="0"/>
              <w:spacing w:before="60" w:after="60" w:line="360" w:lineRule="auto"/>
              <w:jc w:val="both"/>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商务部分，满分：</w:t>
            </w:r>
            <w:r>
              <w:rPr>
                <w:rFonts w:hint="eastAsia" w:hAnsi="宋体" w:cs="黑体"/>
                <w:b/>
                <w:snapToGrid w:val="0"/>
                <w:color w:val="auto"/>
                <w:kern w:val="0"/>
                <w:sz w:val="24"/>
                <w:szCs w:val="24"/>
                <w:highlight w:val="none"/>
                <w:u w:val="single"/>
                <w:lang w:val="en-US" w:eastAsia="zh-CN" w:bidi="ar-SA"/>
              </w:rPr>
              <w:t>50</w:t>
            </w:r>
            <w:r>
              <w:rPr>
                <w:rFonts w:hint="eastAsia" w:ascii="宋体" w:hAnsi="宋体" w:eastAsia="宋体" w:cs="黑体"/>
                <w:b/>
                <w:snapToGrid w:val="0"/>
                <w:color w:val="auto"/>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04" w:type="dxa"/>
            <w:noWrap w:val="0"/>
            <w:vAlign w:val="center"/>
          </w:tcPr>
          <w:p>
            <w:pPr>
              <w:widowControl w:val="0"/>
              <w:tabs>
                <w:tab w:val="left" w:pos="1354"/>
                <w:tab w:val="left" w:pos="1459"/>
                <w:tab w:val="center" w:pos="3902"/>
                <w:tab w:val="right" w:pos="7805"/>
              </w:tabs>
              <w:adjustRightInd w:val="0"/>
              <w:snapToGrid w:val="0"/>
              <w:spacing w:after="120" w:line="400" w:lineRule="exact"/>
              <w:jc w:val="center"/>
              <w:rPr>
                <w:rFonts w:ascii="黑体" w:hAnsi="黑体" w:eastAsia="黑体" w:cs="黑体"/>
                <w:snapToGrid w:val="0"/>
                <w:color w:val="auto"/>
                <w:kern w:val="0"/>
                <w:sz w:val="24"/>
                <w:szCs w:val="21"/>
                <w:highlight w:val="none"/>
                <w:lang w:val="en-US" w:eastAsia="zh-CN" w:bidi="ar-SA"/>
              </w:rPr>
            </w:pPr>
            <w:r>
              <w:rPr>
                <w:rFonts w:hint="eastAsia" w:hAnsi="Times New Roman" w:cs="Times New Roman"/>
                <w:b/>
                <w:bCs/>
                <w:color w:val="auto"/>
                <w:kern w:val="2"/>
                <w:sz w:val="24"/>
                <w:szCs w:val="21"/>
                <w:highlight w:val="none"/>
                <w:lang w:val="en-US" w:eastAsia="zh-CN" w:bidi="ar-SA"/>
              </w:rPr>
              <w:t>评分因素</w:t>
            </w:r>
          </w:p>
        </w:tc>
        <w:tc>
          <w:tcPr>
            <w:tcW w:w="4473" w:type="dxa"/>
            <w:noWrap w:val="0"/>
            <w:vAlign w:val="center"/>
          </w:tcPr>
          <w:p>
            <w:pPr>
              <w:widowControl w:val="0"/>
              <w:tabs>
                <w:tab w:val="left" w:pos="1354"/>
                <w:tab w:val="left" w:pos="1459"/>
                <w:tab w:val="center" w:pos="3902"/>
                <w:tab w:val="right" w:pos="7805"/>
              </w:tabs>
              <w:adjustRightInd w:val="0"/>
              <w:snapToGrid w:val="0"/>
              <w:spacing w:after="120" w:line="400" w:lineRule="exact"/>
              <w:jc w:val="center"/>
              <w:rPr>
                <w:rFonts w:ascii="黑体" w:hAnsi="黑体" w:eastAsia="黑体" w:cs="黑体"/>
                <w:snapToGrid w:val="0"/>
                <w:color w:val="auto"/>
                <w:kern w:val="0"/>
                <w:sz w:val="24"/>
                <w:szCs w:val="21"/>
                <w:highlight w:val="none"/>
                <w:lang w:val="en-US" w:eastAsia="zh-CN" w:bidi="ar-SA"/>
              </w:rPr>
            </w:pPr>
            <w:r>
              <w:rPr>
                <w:rFonts w:hint="eastAsia" w:ascii="宋体" w:hAnsi="Times New Roman" w:eastAsia="宋体" w:cs="Times New Roman"/>
                <w:b/>
                <w:bCs/>
                <w:color w:val="auto"/>
                <w:kern w:val="2"/>
                <w:sz w:val="24"/>
                <w:szCs w:val="21"/>
                <w:highlight w:val="none"/>
                <w:lang w:val="en-US" w:eastAsia="zh-CN" w:bidi="ar-SA"/>
              </w:rPr>
              <w:t>评分标准</w:t>
            </w:r>
          </w:p>
        </w:tc>
        <w:tc>
          <w:tcPr>
            <w:tcW w:w="4076" w:type="dxa"/>
            <w:gridSpan w:val="2"/>
            <w:noWrap w:val="0"/>
            <w:vAlign w:val="center"/>
          </w:tcPr>
          <w:p>
            <w:pPr>
              <w:widowControl w:val="0"/>
              <w:tabs>
                <w:tab w:val="left" w:pos="1354"/>
                <w:tab w:val="left" w:pos="1459"/>
                <w:tab w:val="center" w:pos="3902"/>
                <w:tab w:val="right" w:pos="7805"/>
              </w:tabs>
              <w:adjustRightInd w:val="0"/>
              <w:snapToGrid w:val="0"/>
              <w:spacing w:after="120" w:line="400" w:lineRule="exact"/>
              <w:jc w:val="center"/>
              <w:rPr>
                <w:rFonts w:ascii="黑体" w:hAnsi="黑体" w:eastAsia="黑体" w:cs="黑体"/>
                <w:snapToGrid w:val="0"/>
                <w:color w:val="auto"/>
                <w:kern w:val="0"/>
                <w:sz w:val="24"/>
                <w:szCs w:val="21"/>
                <w:highlight w:val="none"/>
                <w:lang w:val="en-US" w:eastAsia="zh-CN" w:bidi="ar-SA"/>
              </w:rPr>
            </w:pPr>
            <w:r>
              <w:rPr>
                <w:rFonts w:hint="eastAsia" w:ascii="黑体" w:hAnsi="黑体" w:eastAsia="黑体" w:cs="黑体"/>
                <w:snapToGrid w:val="0"/>
                <w:color w:val="auto"/>
                <w:kern w:val="0"/>
                <w:sz w:val="24"/>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404" w:type="dxa"/>
            <w:noWrap w:val="0"/>
            <w:vAlign w:val="center"/>
          </w:tcPr>
          <w:p>
            <w:pPr>
              <w:autoSpaceDE w:val="0"/>
              <w:autoSpaceDN w:val="0"/>
              <w:adjustRightInd w:val="0"/>
              <w:ind w:right="-20"/>
              <w:jc w:val="center"/>
              <w:rPr>
                <w:rFonts w:ascii="宋体" w:hAnsi="宋体" w:eastAsia="宋体" w:cs="Microsoft JhengHei"/>
                <w:color w:val="auto"/>
                <w:kern w:val="0"/>
                <w:position w:val="-2"/>
                <w:sz w:val="21"/>
                <w:szCs w:val="21"/>
                <w:highlight w:val="none"/>
              </w:rPr>
            </w:pPr>
            <w:r>
              <w:rPr>
                <w:rFonts w:hint="eastAsia" w:ascii="宋体" w:hAnsi="宋体" w:eastAsia="宋体" w:cs="Microsoft JhengHei"/>
                <w:color w:val="auto"/>
                <w:kern w:val="0"/>
                <w:position w:val="-2"/>
                <w:sz w:val="21"/>
                <w:szCs w:val="21"/>
                <w:highlight w:val="none"/>
                <w:lang w:eastAsia="zh-CN"/>
              </w:rPr>
              <w:t>监理</w:t>
            </w:r>
            <w:r>
              <w:rPr>
                <w:rFonts w:hint="eastAsia" w:ascii="宋体" w:hAnsi="宋体" w:eastAsia="宋体" w:cs="Microsoft JhengHei"/>
                <w:color w:val="auto"/>
                <w:spacing w:val="-2"/>
                <w:kern w:val="0"/>
                <w:position w:val="-2"/>
                <w:sz w:val="21"/>
                <w:szCs w:val="21"/>
                <w:highlight w:val="none"/>
              </w:rPr>
              <w:t>业</w:t>
            </w:r>
            <w:r>
              <w:rPr>
                <w:rFonts w:hint="eastAsia" w:ascii="宋体" w:hAnsi="宋体" w:eastAsia="宋体" w:cs="Microsoft JhengHei"/>
                <w:color w:val="auto"/>
                <w:kern w:val="0"/>
                <w:position w:val="-2"/>
                <w:sz w:val="21"/>
                <w:szCs w:val="21"/>
                <w:highlight w:val="none"/>
              </w:rPr>
              <w:t>绩</w:t>
            </w:r>
          </w:p>
          <w:p>
            <w:pPr>
              <w:adjustRightInd w:val="0"/>
              <w:snapToGrid w:val="0"/>
              <w:spacing w:line="360" w:lineRule="exact"/>
              <w:jc w:val="center"/>
              <w:rPr>
                <w:rFonts w:hint="eastAsia" w:ascii="宋体" w:hAnsi="宋体" w:eastAsia="宋体" w:cs="Times New Roman"/>
                <w:color w:val="auto"/>
                <w:sz w:val="21"/>
                <w:szCs w:val="21"/>
                <w:highlight w:val="none"/>
              </w:rPr>
            </w:pPr>
            <w:r>
              <w:rPr>
                <w:rFonts w:hint="eastAsia" w:ascii="宋体" w:hAnsi="宋体" w:eastAsia="宋体" w:cs="Microsoft JhengHei"/>
                <w:color w:val="auto"/>
                <w:kern w:val="0"/>
                <w:position w:val="-2"/>
                <w:sz w:val="21"/>
                <w:szCs w:val="21"/>
                <w:highlight w:val="none"/>
              </w:rPr>
              <w:t>（</w:t>
            </w:r>
            <w:r>
              <w:rPr>
                <w:rFonts w:hint="eastAsia" w:ascii="宋体" w:hAnsi="宋体" w:eastAsia="宋体" w:cs="Microsoft JhengHei"/>
                <w:color w:val="auto"/>
                <w:kern w:val="0"/>
                <w:position w:val="-2"/>
                <w:sz w:val="21"/>
                <w:szCs w:val="21"/>
                <w:highlight w:val="none"/>
                <w:lang w:val="en-US" w:eastAsia="zh-CN"/>
              </w:rPr>
              <w:t>10</w:t>
            </w:r>
            <w:r>
              <w:rPr>
                <w:rFonts w:hint="eastAsia" w:ascii="宋体" w:hAnsi="宋体" w:eastAsia="宋体" w:cs="Microsoft JhengHei"/>
                <w:color w:val="auto"/>
                <w:kern w:val="0"/>
                <w:position w:val="-2"/>
                <w:sz w:val="21"/>
                <w:szCs w:val="21"/>
                <w:highlight w:val="none"/>
              </w:rPr>
              <w:t>分）</w:t>
            </w:r>
          </w:p>
        </w:tc>
        <w:tc>
          <w:tcPr>
            <w:tcW w:w="4473" w:type="dxa"/>
            <w:noWrap w:val="0"/>
            <w:vAlign w:val="center"/>
          </w:tcPr>
          <w:p>
            <w:pPr>
              <w:adjustRightInd w:val="0"/>
              <w:snapToGrid w:val="0"/>
              <w:spacing w:line="360" w:lineRule="exact"/>
              <w:jc w:val="left"/>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自201</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年1月1日起至今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完成过质量合格的工程监理服务项目，每提供一个得5分，本项最多得10分，未提供不得分。</w:t>
            </w:r>
          </w:p>
        </w:tc>
        <w:tc>
          <w:tcPr>
            <w:tcW w:w="4076" w:type="dxa"/>
            <w:gridSpan w:val="2"/>
            <w:noWrap w:val="0"/>
            <w:vAlign w:val="center"/>
          </w:tcPr>
          <w:p>
            <w:pPr>
              <w:adjustRightInd w:val="0"/>
              <w:snapToGrid w:val="0"/>
              <w:spacing w:line="360" w:lineRule="exact"/>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1.类似工程：是指工程监理服务，工程达到质量验收合格。需同时提供中标通知书或免招标的相关证明、施工监理合同、竣工验收报告或竣工验收证明</w:t>
            </w:r>
            <w:r>
              <w:rPr>
                <w:rFonts w:hint="eastAsia" w:ascii="宋体" w:hAnsi="宋体" w:eastAsia="宋体" w:cs="Times New Roman"/>
                <w:color w:val="auto"/>
                <w:sz w:val="21"/>
                <w:szCs w:val="21"/>
                <w:highlight w:val="none"/>
                <w:lang w:val="en-US" w:eastAsia="zh-CN"/>
              </w:rPr>
              <w:t>彩色扫描件</w:t>
            </w:r>
            <w:r>
              <w:rPr>
                <w:rFonts w:hint="eastAsia" w:ascii="宋体" w:hAnsi="宋体" w:eastAsia="宋体" w:cs="Times New Roman"/>
                <w:color w:val="auto"/>
                <w:sz w:val="21"/>
                <w:szCs w:val="21"/>
                <w:highlight w:val="none"/>
              </w:rPr>
              <w:t>，业绩时间以竣工验收报告或竣工验收证明出具时间为准。</w:t>
            </w:r>
          </w:p>
          <w:p>
            <w:pPr>
              <w:adjustRightInd w:val="0"/>
              <w:snapToGrid w:val="0"/>
              <w:spacing w:line="360" w:lineRule="exact"/>
              <w:jc w:val="left"/>
              <w:rPr>
                <w:rFonts w:hint="eastAsia" w:ascii="宋体"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2.需提供原件核查，否则不得分。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404" w:type="dxa"/>
            <w:noWrap w:val="0"/>
            <w:vAlign w:val="center"/>
          </w:tcPr>
          <w:p>
            <w:pPr>
              <w:adjustRightInd w:val="0"/>
              <w:snapToGrid w:val="0"/>
              <w:spacing w:line="360" w:lineRule="exact"/>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企业</w:t>
            </w:r>
            <w:r>
              <w:rPr>
                <w:rFonts w:hint="eastAsia" w:ascii="宋体" w:hAnsi="宋体" w:eastAsia="宋体" w:cs="Times New Roman"/>
                <w:color w:val="auto"/>
                <w:sz w:val="21"/>
                <w:szCs w:val="21"/>
                <w:highlight w:val="none"/>
              </w:rPr>
              <w:t>信誉</w:t>
            </w:r>
          </w:p>
          <w:p>
            <w:pPr>
              <w:adjustRightInd w:val="0"/>
              <w:snapToGrid w:val="0"/>
              <w:spacing w:line="360" w:lineRule="exact"/>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分）</w:t>
            </w:r>
          </w:p>
        </w:tc>
        <w:tc>
          <w:tcPr>
            <w:tcW w:w="4473" w:type="dxa"/>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近5年来企业获得工程监理服务履约信誉AAA级证书的得10分。证书需在有效期内。</w:t>
            </w:r>
          </w:p>
        </w:tc>
        <w:tc>
          <w:tcPr>
            <w:tcW w:w="4076"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需附相关证书彩色扫描件（或打印件），</w:t>
            </w:r>
            <w:r>
              <w:rPr>
                <w:rFonts w:hint="eastAsia" w:ascii="宋体" w:hAnsi="宋体" w:eastAsia="宋体" w:cs="Times New Roman"/>
                <w:color w:val="auto"/>
                <w:sz w:val="21"/>
                <w:szCs w:val="21"/>
                <w:highlight w:val="none"/>
                <w:lang w:eastAsia="zh-CN"/>
              </w:rPr>
              <w:t>同时提供原件核对（电子证书打印件的除外），否则不得分。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404" w:type="dxa"/>
            <w:noWrap w:val="0"/>
            <w:vAlign w:val="center"/>
          </w:tcPr>
          <w:p>
            <w:pPr>
              <w:adjustRightInd w:val="0"/>
              <w:snapToGrid w:val="0"/>
              <w:spacing w:line="360" w:lineRule="exact"/>
              <w:jc w:val="center"/>
              <w:rPr>
                <w:rFonts w:hint="eastAsia" w:hAnsi="宋体"/>
                <w:color w:val="auto"/>
                <w:sz w:val="21"/>
                <w:szCs w:val="21"/>
                <w:highlight w:val="none"/>
                <w:lang w:eastAsia="zh-CN"/>
              </w:rPr>
            </w:pPr>
            <w:r>
              <w:rPr>
                <w:rFonts w:hint="eastAsia" w:hAnsi="宋体"/>
                <w:color w:val="auto"/>
                <w:sz w:val="21"/>
                <w:szCs w:val="21"/>
                <w:highlight w:val="none"/>
                <w:lang w:eastAsia="zh-CN"/>
              </w:rPr>
              <w:t>感谢信</w:t>
            </w:r>
          </w:p>
          <w:p>
            <w:pPr>
              <w:adjustRightInd w:val="0"/>
              <w:snapToGrid w:val="0"/>
              <w:spacing w:line="360" w:lineRule="exact"/>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10分</w:t>
            </w:r>
            <w:r>
              <w:rPr>
                <w:rFonts w:hint="eastAsia" w:hAnsi="宋体"/>
                <w:color w:val="auto"/>
                <w:sz w:val="21"/>
                <w:szCs w:val="21"/>
                <w:highlight w:val="none"/>
                <w:lang w:eastAsia="zh-CN"/>
              </w:rPr>
              <w:t>）</w:t>
            </w:r>
          </w:p>
        </w:tc>
        <w:tc>
          <w:tcPr>
            <w:tcW w:w="4473" w:type="dxa"/>
            <w:noWrap w:val="0"/>
            <w:vAlign w:val="center"/>
          </w:tcPr>
          <w:p>
            <w:pPr>
              <w:pStyle w:val="8"/>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cs="宋体"/>
                <w:color w:val="auto"/>
                <w:sz w:val="21"/>
                <w:szCs w:val="22"/>
                <w:highlight w:val="none"/>
                <w:lang w:bidi="zh-CN"/>
              </w:rPr>
              <w:t>近年来（指</w:t>
            </w:r>
            <w:r>
              <w:rPr>
                <w:rFonts w:hint="eastAsia" w:cs="宋体"/>
                <w:color w:val="auto"/>
                <w:sz w:val="21"/>
                <w:szCs w:val="22"/>
                <w:highlight w:val="none"/>
                <w:lang w:bidi="zh-CN"/>
              </w:rPr>
              <w:t>2019年1月1日至今</w:t>
            </w:r>
            <w:r>
              <w:rPr>
                <w:rFonts w:cs="宋体"/>
                <w:color w:val="auto"/>
                <w:sz w:val="21"/>
                <w:szCs w:val="22"/>
                <w:highlight w:val="none"/>
                <w:lang w:bidi="zh-CN"/>
              </w:rPr>
              <w:t>）</w:t>
            </w:r>
            <w:r>
              <w:rPr>
                <w:rFonts w:hint="eastAsia" w:cs="宋体"/>
                <w:color w:val="auto"/>
                <w:sz w:val="21"/>
                <w:szCs w:val="22"/>
                <w:highlight w:val="none"/>
                <w:lang w:bidi="zh-CN"/>
              </w:rPr>
              <w:t>企业</w:t>
            </w:r>
            <w:r>
              <w:rPr>
                <w:rFonts w:hint="eastAsia" w:ascii="宋体" w:hAnsi="宋体" w:eastAsia="宋体" w:cs="宋体"/>
                <w:snapToGrid w:val="0"/>
                <w:color w:val="auto"/>
                <w:kern w:val="0"/>
                <w:sz w:val="21"/>
                <w:szCs w:val="21"/>
                <w:highlight w:val="none"/>
              </w:rPr>
              <w:t>获得过</w:t>
            </w:r>
            <w:r>
              <w:rPr>
                <w:rFonts w:hint="eastAsia" w:ascii="宋体" w:hAnsi="宋体" w:eastAsia="宋体" w:cs="宋体"/>
                <w:snapToGrid w:val="0"/>
                <w:color w:val="auto"/>
                <w:kern w:val="0"/>
                <w:sz w:val="21"/>
                <w:szCs w:val="21"/>
                <w:highlight w:val="none"/>
                <w:lang w:eastAsia="zh-CN"/>
              </w:rPr>
              <w:t>区（县）、市级</w:t>
            </w:r>
            <w:r>
              <w:rPr>
                <w:rFonts w:hint="eastAsia" w:hAnsi="宋体" w:cs="宋体"/>
                <w:snapToGrid w:val="0"/>
                <w:color w:val="auto"/>
                <w:kern w:val="0"/>
                <w:sz w:val="21"/>
                <w:szCs w:val="21"/>
                <w:highlight w:val="none"/>
                <w:lang w:eastAsia="zh-CN"/>
              </w:rPr>
              <w:t>及以上</w:t>
            </w:r>
            <w:r>
              <w:rPr>
                <w:rFonts w:hint="eastAsia" w:ascii="宋体" w:hAnsi="宋体" w:eastAsia="宋体" w:cs="宋体"/>
                <w:snapToGrid w:val="0"/>
                <w:color w:val="auto"/>
                <w:kern w:val="0"/>
                <w:sz w:val="21"/>
                <w:szCs w:val="21"/>
                <w:highlight w:val="none"/>
              </w:rPr>
              <w:t>建设行政主管部门出具的“感谢信”的得</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rPr>
              <w:t>分，满分得</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rPr>
              <w:t>分。</w:t>
            </w:r>
          </w:p>
          <w:p>
            <w:pPr>
              <w:pStyle w:val="8"/>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lang w:val="en-US" w:eastAsia="zh-CN" w:bidi="ar-SA"/>
              </w:rPr>
            </w:pPr>
          </w:p>
        </w:tc>
        <w:tc>
          <w:tcPr>
            <w:tcW w:w="4076" w:type="dxa"/>
            <w:gridSpan w:val="2"/>
            <w:noWrap w:val="0"/>
            <w:vAlign w:val="center"/>
          </w:tcPr>
          <w:p>
            <w:pPr>
              <w:pStyle w:val="8"/>
              <w:wordWrap w:val="0"/>
              <w:adjustRightInd w:val="0"/>
              <w:snapToGrid w:val="0"/>
              <w:spacing w:after="0" w:line="400" w:lineRule="exact"/>
              <w:rPr>
                <w:rFonts w:hint="eastAsia" w:hAnsi="宋体" w:cs="宋体"/>
                <w:b/>
                <w:bCs/>
                <w:snapToGrid w:val="0"/>
                <w:color w:val="auto"/>
                <w:kern w:val="0"/>
                <w:sz w:val="21"/>
                <w:szCs w:val="21"/>
                <w:highlight w:val="none"/>
              </w:rPr>
            </w:pPr>
            <w:r>
              <w:rPr>
                <w:rFonts w:hint="eastAsia" w:hAnsi="宋体" w:cs="宋体"/>
                <w:snapToGrid w:val="0"/>
                <w:color w:val="auto"/>
                <w:kern w:val="0"/>
                <w:sz w:val="21"/>
                <w:szCs w:val="21"/>
                <w:highlight w:val="none"/>
              </w:rPr>
              <w:t>1．需附相关证书</w:t>
            </w:r>
            <w:r>
              <w:rPr>
                <w:rFonts w:hint="eastAsia" w:hAnsi="宋体" w:cs="宋体"/>
                <w:snapToGrid w:val="0"/>
                <w:color w:val="auto"/>
                <w:kern w:val="0"/>
                <w:sz w:val="21"/>
                <w:szCs w:val="21"/>
                <w:highlight w:val="none"/>
                <w:lang w:val="en-US" w:eastAsia="zh-CN"/>
              </w:rPr>
              <w:t>彩色扫描件</w:t>
            </w:r>
            <w:r>
              <w:rPr>
                <w:rFonts w:hint="eastAsia" w:hAnsi="宋体" w:cs="宋体"/>
                <w:snapToGrid w:val="0"/>
                <w:color w:val="auto"/>
                <w:kern w:val="0"/>
                <w:sz w:val="21"/>
                <w:szCs w:val="21"/>
                <w:highlight w:val="none"/>
              </w:rPr>
              <w:t>（或打印件）</w:t>
            </w:r>
            <w:r>
              <w:rPr>
                <w:rFonts w:hint="eastAsia" w:hAnsi="宋体" w:cs="宋体"/>
                <w:b/>
                <w:bCs/>
                <w:snapToGrid w:val="0"/>
                <w:color w:val="auto"/>
                <w:kern w:val="0"/>
                <w:sz w:val="21"/>
                <w:szCs w:val="21"/>
                <w:highlight w:val="none"/>
              </w:rPr>
              <w:t>。</w:t>
            </w:r>
          </w:p>
          <w:p>
            <w:pPr>
              <w:pStyle w:val="8"/>
              <w:wordWrap w:val="0"/>
              <w:adjustRightInd w:val="0"/>
              <w:snapToGrid w:val="0"/>
              <w:spacing w:after="0" w:line="400" w:lineRule="exact"/>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2．证书须由</w:t>
            </w:r>
            <w:r>
              <w:rPr>
                <w:rFonts w:hint="eastAsia" w:hAnsi="宋体" w:cs="宋体"/>
                <w:snapToGrid w:val="0"/>
                <w:color w:val="auto"/>
                <w:kern w:val="0"/>
                <w:sz w:val="21"/>
                <w:szCs w:val="21"/>
                <w:highlight w:val="none"/>
                <w:lang w:eastAsia="zh-CN"/>
              </w:rPr>
              <w:t>区（县）、市级及以上</w:t>
            </w:r>
            <w:r>
              <w:rPr>
                <w:rFonts w:hint="eastAsia" w:ascii="宋体" w:hAnsi="宋体" w:eastAsia="宋体" w:cs="宋体"/>
                <w:snapToGrid w:val="0"/>
                <w:color w:val="auto"/>
                <w:kern w:val="0"/>
                <w:sz w:val="21"/>
                <w:szCs w:val="21"/>
                <w:highlight w:val="none"/>
              </w:rPr>
              <w:t>建设行政主管部门</w:t>
            </w:r>
            <w:r>
              <w:rPr>
                <w:rFonts w:hint="eastAsia" w:hAnsi="宋体" w:cs="宋体"/>
                <w:snapToGrid w:val="0"/>
                <w:color w:val="auto"/>
                <w:kern w:val="0"/>
                <w:sz w:val="21"/>
                <w:szCs w:val="21"/>
                <w:highlight w:val="none"/>
              </w:rPr>
              <w:t>颁发。</w:t>
            </w:r>
          </w:p>
          <w:p>
            <w:pPr>
              <w:pStyle w:val="8"/>
              <w:wordWrap w:val="0"/>
              <w:adjustRightInd w:val="0"/>
              <w:snapToGrid w:val="0"/>
              <w:spacing w:after="0" w:line="400" w:lineRule="exact"/>
              <w:rPr>
                <w:rFonts w:hint="eastAsia" w:ascii="Times New Roman" w:hAnsi="Times New Roman" w:eastAsia="宋体" w:cs="Times New Roman"/>
                <w:snapToGrid w:val="0"/>
                <w:color w:val="auto"/>
                <w:kern w:val="0"/>
                <w:sz w:val="21"/>
                <w:szCs w:val="21"/>
                <w:highlight w:val="none"/>
                <w:lang w:val="en-US" w:eastAsia="zh-CN" w:bidi="ar-SA"/>
              </w:rPr>
            </w:pPr>
            <w:r>
              <w:rPr>
                <w:rFonts w:hint="eastAsia" w:hAnsi="宋体" w:cs="宋体"/>
                <w:snapToGrid w:val="0"/>
                <w:color w:val="auto"/>
                <w:kern w:val="0"/>
                <w:sz w:val="21"/>
                <w:szCs w:val="21"/>
                <w:highlight w:val="none"/>
              </w:rPr>
              <w:t>3．颁发机构、获奖时间不符合评分标准和备注规定的，不予得分。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404" w:type="dxa"/>
            <w:noWrap w:val="0"/>
            <w:vAlign w:val="center"/>
          </w:tcPr>
          <w:p>
            <w:pPr>
              <w:adjustRightInd w:val="0"/>
              <w:snapToGrid w:val="0"/>
              <w:spacing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总监理工程师资历</w:t>
            </w:r>
          </w:p>
          <w:p>
            <w:pPr>
              <w:adjustRightInd w:val="0"/>
              <w:snapToGrid w:val="0"/>
              <w:spacing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（10分）</w:t>
            </w:r>
          </w:p>
        </w:tc>
        <w:tc>
          <w:tcPr>
            <w:tcW w:w="4473" w:type="dxa"/>
            <w:noWrap w:val="0"/>
            <w:vAlign w:val="center"/>
          </w:tcPr>
          <w:p>
            <w:pPr>
              <w:numPr>
                <w:ilvl w:val="0"/>
                <w:numId w:val="2"/>
              </w:numPr>
              <w:adjustRightInd w:val="0"/>
              <w:snapToGrid w:val="0"/>
              <w:spacing w:line="360" w:lineRule="exact"/>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总监理工程师具备工程师或以上职称得5分；</w:t>
            </w:r>
          </w:p>
          <w:p>
            <w:pPr>
              <w:pStyle w:val="22"/>
              <w:ind w:left="0" w:leftChars="0" w:firstLine="0" w:firstLineChars="0"/>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2.总监理工程师具备一级注册建造师得5分；</w:t>
            </w:r>
          </w:p>
          <w:p>
            <w:pPr>
              <w:pStyle w:val="22"/>
              <w:numPr>
                <w:ilvl w:val="0"/>
                <w:numId w:val="0"/>
              </w:numPr>
              <w:ind w:leftChars="0"/>
              <w:rPr>
                <w:rFonts w:hint="default"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本项最高得10分。</w:t>
            </w:r>
          </w:p>
        </w:tc>
        <w:tc>
          <w:tcPr>
            <w:tcW w:w="4076" w:type="dxa"/>
            <w:gridSpan w:val="2"/>
            <w:noWrap w:val="0"/>
            <w:vAlign w:val="center"/>
          </w:tcPr>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提供相关</w:t>
            </w:r>
            <w:r>
              <w:rPr>
                <w:rFonts w:hint="eastAsia" w:ascii="宋体" w:hAnsi="宋体" w:eastAsia="宋体" w:cs="Times New Roman"/>
                <w:color w:val="auto"/>
                <w:sz w:val="21"/>
                <w:szCs w:val="21"/>
                <w:highlight w:val="none"/>
                <w:lang w:val="en-US" w:eastAsia="zh-CN"/>
              </w:rPr>
              <w:t>证件资料彩色扫描件加盖公章，</w:t>
            </w:r>
            <w:r>
              <w:rPr>
                <w:rFonts w:hint="eastAsia" w:ascii="宋体" w:hAnsi="宋体" w:eastAsia="宋体" w:cs="Times New Roman"/>
                <w:color w:val="auto"/>
                <w:sz w:val="21"/>
                <w:szCs w:val="21"/>
                <w:highlight w:val="none"/>
                <w:lang w:eastAsia="zh-CN"/>
              </w:rPr>
              <w:t>同时提供原件核对（电子证书打印件的除外），否则不得分。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404" w:type="dxa"/>
            <w:noWrap w:val="0"/>
            <w:vAlign w:val="center"/>
          </w:tcPr>
          <w:p>
            <w:pPr>
              <w:adjustRightInd w:val="0"/>
              <w:snapToGrid w:val="0"/>
              <w:spacing w:line="360" w:lineRule="exact"/>
              <w:jc w:val="center"/>
              <w:rPr>
                <w:rFonts w:ascii="宋体" w:hAnsi="宋体" w:eastAsia="宋体" w:cs="Times New Roman"/>
                <w:color w:val="auto"/>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eastAsia="zh-CN"/>
              </w:rPr>
              <w:t>配备程度</w:t>
            </w:r>
          </w:p>
          <w:p>
            <w:pPr>
              <w:adjustRightInd w:val="0"/>
              <w:snapToGrid w:val="0"/>
              <w:spacing w:line="36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分）</w:t>
            </w:r>
          </w:p>
        </w:tc>
        <w:tc>
          <w:tcPr>
            <w:tcW w:w="4473" w:type="dxa"/>
            <w:noWrap w:val="0"/>
            <w:vAlign w:val="center"/>
          </w:tcPr>
          <w:p>
            <w:pPr>
              <w:adjustRightInd w:val="0"/>
              <w:snapToGrid w:val="0"/>
              <w:spacing w:line="36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其他拟派人员的数量和专业完全满足表2《项目监理机构其他人员需求表》（以下简称《需求表》）要求的，得</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分（满分）；不符合要求的，每人扣</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分，直至扣完。</w:t>
            </w:r>
          </w:p>
        </w:tc>
        <w:tc>
          <w:tcPr>
            <w:tcW w:w="4076" w:type="dxa"/>
            <w:gridSpan w:val="2"/>
            <w:noWrap w:val="0"/>
            <w:vAlign w:val="center"/>
          </w:tcPr>
          <w:p>
            <w:pPr>
              <w:adjustRightInd w:val="0"/>
              <w:snapToGrid w:val="0"/>
              <w:spacing w:line="36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专业类别以上岗证或注册监理工程师注册证书或毕业证或职称证上所列的相关专业为准</w:t>
            </w:r>
            <w:r>
              <w:rPr>
                <w:rFonts w:hint="eastAsia" w:ascii="宋体" w:hAnsi="宋体"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53" w:type="dxa"/>
            <w:gridSpan w:val="4"/>
            <w:shd w:val="clear" w:color="auto" w:fill="D9D9D9"/>
            <w:noWrap w:val="0"/>
            <w:vAlign w:val="center"/>
          </w:tcPr>
          <w:p>
            <w:pPr>
              <w:widowControl w:val="0"/>
              <w:adjustRightInd w:val="0"/>
              <w:snapToGrid w:val="0"/>
              <w:spacing w:after="120" w:line="400" w:lineRule="exact"/>
              <w:jc w:val="left"/>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技术部分（监理大纲），满分：</w:t>
            </w:r>
            <w:r>
              <w:rPr>
                <w:rFonts w:ascii="宋体" w:hAnsi="宋体" w:eastAsia="宋体" w:cs="黑体"/>
                <w:b/>
                <w:snapToGrid w:val="0"/>
                <w:color w:val="auto"/>
                <w:kern w:val="0"/>
                <w:sz w:val="24"/>
                <w:szCs w:val="24"/>
                <w:highlight w:val="none"/>
                <w:u w:val="single"/>
                <w:lang w:val="en-US" w:eastAsia="zh-CN" w:bidi="ar-SA"/>
              </w:rPr>
              <w:t xml:space="preserve"> </w:t>
            </w:r>
            <w:r>
              <w:rPr>
                <w:rFonts w:hint="eastAsia" w:hAnsi="宋体" w:cs="黑体"/>
                <w:b/>
                <w:snapToGrid w:val="0"/>
                <w:color w:val="auto"/>
                <w:kern w:val="0"/>
                <w:sz w:val="24"/>
                <w:szCs w:val="24"/>
                <w:highlight w:val="none"/>
                <w:u w:val="single"/>
                <w:lang w:val="en-US" w:eastAsia="zh-CN" w:bidi="ar-SA"/>
              </w:rPr>
              <w:t>3</w:t>
            </w:r>
            <w:r>
              <w:rPr>
                <w:rFonts w:hint="eastAsia" w:ascii="宋体" w:hAnsi="宋体" w:eastAsia="宋体" w:cs="黑体"/>
                <w:b/>
                <w:snapToGrid w:val="0"/>
                <w:color w:val="auto"/>
                <w:kern w:val="0"/>
                <w:sz w:val="24"/>
                <w:szCs w:val="24"/>
                <w:highlight w:val="none"/>
                <w:u w:val="single"/>
                <w:lang w:val="en-US" w:eastAsia="zh-CN" w:bidi="ar-SA"/>
              </w:rPr>
              <w:t>0</w:t>
            </w:r>
            <w:r>
              <w:rPr>
                <w:rFonts w:hint="eastAsia" w:ascii="宋体" w:hAnsi="宋体" w:eastAsia="宋体" w:cs="黑体"/>
                <w:b/>
                <w:snapToGrid w:val="0"/>
                <w:color w:val="auto"/>
                <w:kern w:val="0"/>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404" w:type="dxa"/>
            <w:noWrap w:val="0"/>
            <w:vAlign w:val="center"/>
          </w:tcPr>
          <w:p>
            <w:pPr>
              <w:widowControl w:val="0"/>
              <w:adjustRightInd w:val="0"/>
              <w:snapToGrid w:val="0"/>
              <w:spacing w:after="120" w:line="400" w:lineRule="exact"/>
              <w:jc w:val="center"/>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评分因素</w:t>
            </w:r>
          </w:p>
        </w:tc>
        <w:tc>
          <w:tcPr>
            <w:tcW w:w="4480" w:type="dxa"/>
            <w:gridSpan w:val="2"/>
            <w:noWrap w:val="0"/>
            <w:vAlign w:val="center"/>
          </w:tcPr>
          <w:p>
            <w:pPr>
              <w:widowControl w:val="0"/>
              <w:adjustRightInd w:val="0"/>
              <w:snapToGrid w:val="0"/>
              <w:spacing w:after="120" w:line="400" w:lineRule="exact"/>
              <w:jc w:val="center"/>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评分标准</w:t>
            </w:r>
          </w:p>
        </w:tc>
        <w:tc>
          <w:tcPr>
            <w:tcW w:w="4069" w:type="dxa"/>
            <w:noWrap w:val="0"/>
            <w:vAlign w:val="center"/>
          </w:tcPr>
          <w:p>
            <w:pPr>
              <w:widowControl w:val="0"/>
              <w:adjustRightInd w:val="0"/>
              <w:snapToGrid w:val="0"/>
              <w:spacing w:after="120" w:line="400" w:lineRule="exact"/>
              <w:jc w:val="center"/>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监理依据</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及工作目标</w:t>
            </w:r>
          </w:p>
          <w:p>
            <w:pPr>
              <w:widowControl w:val="0"/>
              <w:adjustRightInd w:val="0"/>
              <w:snapToGrid w:val="0"/>
              <w:spacing w:after="120" w:line="400" w:lineRule="exact"/>
              <w:jc w:val="center"/>
              <w:rPr>
                <w:rFonts w:ascii="宋体" w:hAnsi="宋体" w:eastAsia="宋体" w:cs="Times New Roman"/>
                <w:snapToGrid w:val="0"/>
                <w:color w:val="auto"/>
                <w:kern w:val="0"/>
                <w:sz w:val="21"/>
                <w:szCs w:val="21"/>
                <w:highlight w:val="none"/>
                <w:lang w:val="en-US" w:eastAsia="zh-CN" w:bidi="ar-SA"/>
              </w:rPr>
            </w:pPr>
            <w:r>
              <w:rPr>
                <w:rFonts w:hint="eastAsia" w:ascii="宋体" w:hAnsi="宋体" w:eastAsia="宋体" w:cs="Times New Roman"/>
                <w:snapToGrid w:val="0"/>
                <w:color w:val="auto"/>
                <w:kern w:val="0"/>
                <w:sz w:val="21"/>
                <w:szCs w:val="21"/>
                <w:highlight w:val="none"/>
                <w:lang w:val="en-US" w:eastAsia="zh-CN" w:bidi="ar-SA"/>
              </w:rPr>
              <w:t>（</w:t>
            </w:r>
            <w:r>
              <w:rPr>
                <w:rFonts w:hint="eastAsia" w:hAnsi="宋体" w:cs="Times New Roman"/>
                <w:snapToGrid w:val="0"/>
                <w:color w:val="auto"/>
                <w:kern w:val="0"/>
                <w:sz w:val="21"/>
                <w:szCs w:val="21"/>
                <w:highlight w:val="none"/>
                <w:u w:val="single"/>
                <w:lang w:val="en-US" w:eastAsia="zh-CN" w:bidi="ar-SA"/>
              </w:rPr>
              <w:t>2</w:t>
            </w:r>
            <w:r>
              <w:rPr>
                <w:rFonts w:hint="eastAsia" w:ascii="宋体" w:hAnsi="宋体" w:eastAsia="宋体" w:cs="Times New Roman"/>
                <w:snapToGrid w:val="0"/>
                <w:color w:val="auto"/>
                <w:kern w:val="0"/>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after="120" w:line="400" w:lineRule="exact"/>
              <w:jc w:val="left"/>
              <w:rPr>
                <w:rFonts w:ascii="宋体" w:hAnsi="宋体" w:eastAsia="宋体" w:cs="Times New Roman"/>
                <w:snapToGrid w:val="0"/>
                <w:color w:val="auto"/>
                <w:kern w:val="0"/>
                <w:sz w:val="21"/>
                <w:szCs w:val="21"/>
                <w:highlight w:val="none"/>
                <w:lang w:val="en-US" w:eastAsia="zh-CN" w:bidi="ar-SA"/>
              </w:rPr>
            </w:pPr>
            <w:r>
              <w:rPr>
                <w:rFonts w:hint="eastAsia" w:ascii="宋体" w:hAnsi="宋体" w:eastAsia="宋体" w:cs="Times New Roman"/>
                <w:snapToGrid w:val="0"/>
                <w:color w:val="auto"/>
                <w:kern w:val="0"/>
                <w:sz w:val="21"/>
                <w:szCs w:val="21"/>
                <w:highlight w:val="none"/>
                <w:lang w:val="en-US" w:eastAsia="zh-CN" w:bidi="ar-SA"/>
              </w:rPr>
              <w:t>【差】得该项因素分的60</w:t>
            </w:r>
            <w:r>
              <w:rPr>
                <w:rFonts w:ascii="宋体" w:hAnsi="宋体" w:eastAsia="宋体" w:cs="Times New Roman"/>
                <w:snapToGrid w:val="0"/>
                <w:color w:val="auto"/>
                <w:kern w:val="2"/>
                <w:sz w:val="24"/>
                <w:szCs w:val="21"/>
                <w:highlight w:val="none"/>
                <w:lang w:val="en-US" w:eastAsia="zh-CN" w:bidi="ar-SA"/>
              </w:rPr>
              <w:t>%</w:t>
            </w:r>
            <w:r>
              <w:rPr>
                <w:rFonts w:hint="eastAsia" w:ascii="宋体" w:hAnsi="宋体" w:eastAsia="宋体" w:cs="Times New Roman"/>
                <w:snapToGrid w:val="0"/>
                <w:color w:val="auto"/>
                <w:kern w:val="0"/>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70%（含60%）</w:t>
            </w:r>
            <w:r>
              <w:rPr>
                <w:rFonts w:hint="eastAsia" w:ascii="宋体" w:hAnsi="宋体" w:eastAsia="宋体" w:cs="Times New Roman"/>
                <w:snapToGrid w:val="0"/>
                <w:color w:val="auto"/>
                <w:kern w:val="0"/>
                <w:sz w:val="21"/>
                <w:szCs w:val="21"/>
                <w:highlight w:val="none"/>
                <w:lang w:val="en-US" w:eastAsia="zh-CN" w:bidi="ar-SA"/>
              </w:rPr>
              <w:t>。</w:t>
            </w:r>
          </w:p>
        </w:tc>
        <w:tc>
          <w:tcPr>
            <w:tcW w:w="4069"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要求依据全面、适用；目标清晰、正确；针对性强。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工程质量</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4</w:t>
            </w:r>
            <w:r>
              <w:rPr>
                <w:rFonts w:hint="eastAsia" w:ascii="宋体" w:hAnsi="宋体" w:eastAsia="宋体" w:cs="Times New Roman"/>
                <w:snapToGrid w:val="0"/>
                <w:color w:val="auto"/>
                <w:kern w:val="2"/>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69" w:type="dxa"/>
            <w:vMerge w:val="restart"/>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工程进度</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4</w:t>
            </w:r>
            <w:r>
              <w:rPr>
                <w:rFonts w:hint="eastAsia" w:ascii="宋体" w:hAnsi="宋体" w:eastAsia="宋体" w:cs="Times New Roman"/>
                <w:snapToGrid w:val="0"/>
                <w:color w:val="auto"/>
                <w:kern w:val="2"/>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69" w:type="dxa"/>
            <w:vMerge w:val="continue"/>
            <w:noWrap w:val="0"/>
            <w:vAlign w:val="center"/>
          </w:tcPr>
          <w:p>
            <w:pPr>
              <w:widowControl/>
              <w:spacing w:line="400" w:lineRule="exact"/>
              <w:jc w:val="center"/>
              <w:rPr>
                <w:rFonts w:ascii="宋体" w:hAnsi="宋体" w:eastAsia="宋体" w:cs="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工程造价</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4</w:t>
            </w:r>
            <w:r>
              <w:rPr>
                <w:rFonts w:hint="eastAsia" w:ascii="宋体" w:hAnsi="宋体" w:eastAsia="宋体" w:cs="Times New Roman"/>
                <w:snapToGrid w:val="0"/>
                <w:color w:val="auto"/>
                <w:kern w:val="2"/>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69" w:type="dxa"/>
            <w:vMerge w:val="continue"/>
            <w:noWrap w:val="0"/>
            <w:vAlign w:val="center"/>
          </w:tcPr>
          <w:p>
            <w:pPr>
              <w:widowControl/>
              <w:spacing w:line="400" w:lineRule="exact"/>
              <w:jc w:val="center"/>
              <w:rPr>
                <w:rFonts w:ascii="宋体" w:hAnsi="宋体" w:eastAsia="宋体" w:cs="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安全防护</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4</w:t>
            </w:r>
            <w:r>
              <w:rPr>
                <w:rFonts w:hint="eastAsia" w:ascii="宋体" w:hAnsi="宋体" w:eastAsia="宋体" w:cs="Times New Roman"/>
                <w:snapToGrid w:val="0"/>
                <w:color w:val="auto"/>
                <w:kern w:val="2"/>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69" w:type="dxa"/>
            <w:vMerge w:val="continue"/>
            <w:noWrap w:val="0"/>
            <w:vAlign w:val="center"/>
          </w:tcPr>
          <w:p>
            <w:pPr>
              <w:widowControl/>
              <w:spacing w:line="400" w:lineRule="exact"/>
              <w:jc w:val="center"/>
              <w:rPr>
                <w:rFonts w:ascii="宋体" w:hAnsi="宋体" w:eastAsia="宋体" w:cs="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绿色施工</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、文明施工</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4</w:t>
            </w:r>
            <w:r>
              <w:rPr>
                <w:rFonts w:hint="eastAsia" w:ascii="宋体" w:hAnsi="宋体" w:eastAsia="宋体" w:cs="Times New Roman"/>
                <w:snapToGrid w:val="0"/>
                <w:color w:val="auto"/>
                <w:kern w:val="2"/>
                <w:sz w:val="21"/>
                <w:szCs w:val="21"/>
                <w:highlight w:val="none"/>
                <w:lang w:val="en-US" w:eastAsia="zh-CN" w:bidi="ar-SA"/>
              </w:rPr>
              <w:t>分）</w:t>
            </w:r>
          </w:p>
        </w:tc>
        <w:tc>
          <w:tcPr>
            <w:tcW w:w="4480" w:type="dxa"/>
            <w:gridSpan w:val="2"/>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69" w:type="dxa"/>
            <w:vMerge w:val="continue"/>
            <w:noWrap w:val="0"/>
            <w:vAlign w:val="center"/>
          </w:tcPr>
          <w:p>
            <w:pPr>
              <w:widowControl/>
              <w:spacing w:line="400" w:lineRule="exact"/>
              <w:jc w:val="center"/>
              <w:rPr>
                <w:rFonts w:ascii="宋体" w:hAnsi="宋体" w:eastAsia="宋体" w:cs="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合同、信息</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管理方案</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2</w:t>
            </w:r>
            <w:r>
              <w:rPr>
                <w:rFonts w:hint="eastAsia" w:ascii="宋体" w:hAnsi="宋体" w:eastAsia="宋体" w:cs="Times New Roman"/>
                <w:snapToGrid w:val="0"/>
                <w:color w:val="auto"/>
                <w:kern w:val="2"/>
                <w:sz w:val="21"/>
                <w:szCs w:val="21"/>
                <w:highlight w:val="none"/>
                <w:lang w:val="en-US" w:eastAsia="zh-CN" w:bidi="ar-SA"/>
              </w:rPr>
              <w:t>分）</w:t>
            </w:r>
          </w:p>
        </w:tc>
        <w:tc>
          <w:tcPr>
            <w:tcW w:w="4473" w:type="dxa"/>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76" w:type="dxa"/>
            <w:gridSpan w:val="2"/>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要求各项制度规范清晰，方法科学合理，措施及时有效，针对性强。能够切实防范和处理合同纠纷，提升监理工作效能。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组织协调</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内容及措施</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2</w:t>
            </w:r>
            <w:r>
              <w:rPr>
                <w:rFonts w:hint="eastAsia" w:ascii="宋体" w:hAnsi="宋体" w:eastAsia="宋体" w:cs="Times New Roman"/>
                <w:snapToGrid w:val="0"/>
                <w:color w:val="auto"/>
                <w:kern w:val="2"/>
                <w:sz w:val="21"/>
                <w:szCs w:val="21"/>
                <w:highlight w:val="none"/>
                <w:lang w:val="en-US" w:eastAsia="zh-CN" w:bidi="ar-SA"/>
              </w:rPr>
              <w:t>分）</w:t>
            </w:r>
          </w:p>
        </w:tc>
        <w:tc>
          <w:tcPr>
            <w:tcW w:w="4473" w:type="dxa"/>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76" w:type="dxa"/>
            <w:gridSpan w:val="2"/>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要求各项制度规范清晰，方法科学合理，措施及时有效，针对性强。能够高效收集、协调、处理、反馈各方各类问题。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监理工作重点、难点分析</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lang w:val="en-US" w:eastAsia="zh-CN" w:bidi="ar-SA"/>
              </w:rPr>
              <w:t>2</w:t>
            </w:r>
            <w:r>
              <w:rPr>
                <w:rFonts w:hint="eastAsia" w:ascii="宋体" w:hAnsi="宋体" w:eastAsia="宋体" w:cs="Times New Roman"/>
                <w:snapToGrid w:val="0"/>
                <w:color w:val="auto"/>
                <w:kern w:val="2"/>
                <w:sz w:val="21"/>
                <w:szCs w:val="21"/>
                <w:highlight w:val="none"/>
                <w:lang w:val="en-US" w:eastAsia="zh-CN" w:bidi="ar-SA"/>
              </w:rPr>
              <w:t>分）</w:t>
            </w:r>
          </w:p>
        </w:tc>
        <w:tc>
          <w:tcPr>
            <w:tcW w:w="4473" w:type="dxa"/>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76" w:type="dxa"/>
            <w:gridSpan w:val="2"/>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合理化建议</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w:t>
            </w:r>
            <w:r>
              <w:rPr>
                <w:rFonts w:hint="eastAsia" w:hAnsi="宋体" w:cs="Times New Roman"/>
                <w:snapToGrid w:val="0"/>
                <w:color w:val="auto"/>
                <w:kern w:val="2"/>
                <w:sz w:val="21"/>
                <w:szCs w:val="21"/>
                <w:highlight w:val="none"/>
                <w:u w:val="single"/>
                <w:lang w:val="en-US" w:eastAsia="zh-CN" w:bidi="ar-SA"/>
              </w:rPr>
              <w:t>2</w:t>
            </w:r>
            <w:r>
              <w:rPr>
                <w:rFonts w:hint="eastAsia" w:ascii="宋体" w:hAnsi="宋体" w:eastAsia="宋体" w:cs="Times New Roman"/>
                <w:snapToGrid w:val="0"/>
                <w:color w:val="auto"/>
                <w:kern w:val="2"/>
                <w:sz w:val="21"/>
                <w:szCs w:val="21"/>
                <w:highlight w:val="none"/>
                <w:lang w:val="en-US" w:eastAsia="zh-CN" w:bidi="ar-SA"/>
              </w:rPr>
              <w:t>分）</w:t>
            </w:r>
          </w:p>
        </w:tc>
        <w:tc>
          <w:tcPr>
            <w:tcW w:w="4473" w:type="dxa"/>
            <w:noWrap w:val="0"/>
            <w:vAlign w:val="center"/>
          </w:tcPr>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【优】得该项因素分的90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r>
              <w:rPr>
                <w:rFonts w:ascii="宋体" w:hAnsi="宋体" w:eastAsia="宋体" w:cs="Times New Roman"/>
                <w:snapToGrid w:val="0"/>
                <w:color w:val="auto"/>
                <w:kern w:val="2"/>
                <w:sz w:val="21"/>
                <w:szCs w:val="21"/>
                <w:highlight w:val="none"/>
                <w:lang w:val="en-US" w:eastAsia="zh-CN" w:bidi="ar-SA"/>
              </w:rPr>
              <w:t>100%</w:t>
            </w:r>
            <w:r>
              <w:rPr>
                <w:rFonts w:hint="eastAsia" w:ascii="宋体" w:hAnsi="宋体" w:eastAsia="宋体" w:cs="Times New Roman"/>
                <w:snapToGrid w:val="0"/>
                <w:color w:val="auto"/>
                <w:kern w:val="2"/>
                <w:sz w:val="21"/>
                <w:szCs w:val="21"/>
                <w:highlight w:val="none"/>
                <w:lang w:val="en-US" w:eastAsia="zh-CN" w:bidi="ar-SA"/>
              </w:rPr>
              <w:t>（含90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【良】得该项因素分的8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～90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（含80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【中】得该项因素分的7</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～8</w:t>
            </w:r>
            <w:r>
              <w:rPr>
                <w:rFonts w:ascii="宋体" w:hAnsi="宋体" w:eastAsia="宋体" w:cs="Times New Roman"/>
                <w:snapToGrid w:val="0"/>
                <w:color w:val="auto"/>
                <w:kern w:val="2"/>
                <w:sz w:val="21"/>
                <w:szCs w:val="21"/>
                <w:highlight w:val="none"/>
                <w:lang w:val="en-US" w:eastAsia="zh-CN" w:bidi="ar-SA"/>
              </w:rPr>
              <w:t>0%</w:t>
            </w:r>
            <w:r>
              <w:rPr>
                <w:rFonts w:hint="eastAsia" w:ascii="宋体" w:hAnsi="宋体" w:eastAsia="宋体" w:cs="Times New Roman"/>
                <w:snapToGrid w:val="0"/>
                <w:color w:val="auto"/>
                <w:kern w:val="2"/>
                <w:sz w:val="21"/>
                <w:szCs w:val="21"/>
                <w:highlight w:val="none"/>
                <w:lang w:val="en-US" w:eastAsia="zh-CN" w:bidi="ar-SA"/>
              </w:rPr>
              <w:t>（含70</w:t>
            </w:r>
            <w:r>
              <w:rPr>
                <w:rFonts w:ascii="宋体" w:hAnsi="宋体" w:eastAsia="宋体" w:cs="Times New Roman"/>
                <w:snapToGrid w:val="0"/>
                <w:color w:val="auto"/>
                <w:kern w:val="2"/>
                <w:sz w:val="21"/>
                <w:szCs w:val="21"/>
                <w:highlight w:val="none"/>
                <w:lang w:val="en-US" w:eastAsia="zh-CN" w:bidi="ar-SA"/>
              </w:rPr>
              <w:t>%</w:t>
            </w:r>
            <w:r>
              <w:rPr>
                <w:rFonts w:hint="eastAsia" w:ascii="宋体" w:hAnsi="宋体" w:eastAsia="宋体" w:cs="Times New Roman"/>
                <w:snapToGrid w:val="0"/>
                <w:color w:val="auto"/>
                <w:kern w:val="2"/>
                <w:sz w:val="21"/>
                <w:szCs w:val="21"/>
                <w:highlight w:val="none"/>
                <w:lang w:val="en-US" w:eastAsia="zh-CN" w:bidi="ar-SA"/>
              </w:rPr>
              <w:t>）；</w:t>
            </w:r>
          </w:p>
          <w:p>
            <w:pPr>
              <w:widowControl w:val="0"/>
              <w:adjustRightInd w:val="0"/>
              <w:snapToGrid w:val="0"/>
              <w:spacing w:line="400" w:lineRule="exact"/>
              <w:jc w:val="left"/>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【差】得该项因素分的60%～70%（含60%）。</w:t>
            </w:r>
          </w:p>
        </w:tc>
        <w:tc>
          <w:tcPr>
            <w:tcW w:w="4076" w:type="dxa"/>
            <w:gridSpan w:val="2"/>
            <w:noWrap w:val="0"/>
            <w:vAlign w:val="center"/>
          </w:tcPr>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CN" w:bidi="ar-SA"/>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53" w:type="dxa"/>
            <w:gridSpan w:val="4"/>
            <w:shd w:val="clear" w:color="auto" w:fill="D9D9D9"/>
            <w:noWrap w:val="0"/>
            <w:vAlign w:val="center"/>
          </w:tcPr>
          <w:p>
            <w:pPr>
              <w:widowControl w:val="0"/>
              <w:adjustRightInd w:val="0"/>
              <w:snapToGrid w:val="0"/>
              <w:spacing w:line="400" w:lineRule="exact"/>
              <w:jc w:val="left"/>
              <w:rPr>
                <w:rFonts w:ascii="宋体" w:hAnsi="宋体" w:eastAsia="宋体" w:cs="Times New Roman"/>
                <w:b/>
                <w:snapToGrid w:val="0"/>
                <w:color w:val="auto"/>
                <w:kern w:val="2"/>
                <w:sz w:val="24"/>
                <w:szCs w:val="24"/>
                <w:highlight w:val="none"/>
                <w:lang w:val="en-US" w:eastAsia="zh-CN" w:bidi="ar-SA"/>
              </w:rPr>
            </w:pPr>
            <w:r>
              <w:rPr>
                <w:rFonts w:hint="eastAsia" w:ascii="宋体" w:hAnsi="宋体" w:eastAsia="宋体" w:cs="黑体"/>
                <w:b/>
                <w:snapToGrid w:val="0"/>
                <w:color w:val="auto"/>
                <w:kern w:val="2"/>
                <w:sz w:val="24"/>
                <w:szCs w:val="24"/>
                <w:highlight w:val="none"/>
                <w:lang w:val="en-US" w:eastAsia="zh-CN" w:bidi="ar-SA"/>
              </w:rPr>
              <w:t>投标报价部分，满分：</w:t>
            </w:r>
            <w:r>
              <w:rPr>
                <w:rFonts w:hint="eastAsia" w:hAnsi="宋体" w:cs="黑体"/>
                <w:b/>
                <w:snapToGrid w:val="0"/>
                <w:color w:val="auto"/>
                <w:kern w:val="2"/>
                <w:sz w:val="24"/>
                <w:szCs w:val="24"/>
                <w:highlight w:val="none"/>
                <w:u w:val="single"/>
                <w:lang w:val="en-US" w:eastAsia="zh-CN" w:bidi="ar-SA"/>
              </w:rPr>
              <w:t>20</w:t>
            </w:r>
            <w:r>
              <w:rPr>
                <w:rFonts w:hint="eastAsia" w:ascii="宋体" w:hAnsi="宋体" w:eastAsia="宋体" w:cs="黑体"/>
                <w:b/>
                <w:snapToGrid w:val="0"/>
                <w:color w:val="auto"/>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04" w:type="dxa"/>
            <w:noWrap w:val="0"/>
            <w:vAlign w:val="center"/>
          </w:tcPr>
          <w:p>
            <w:pPr>
              <w:widowControl w:val="0"/>
              <w:adjustRightInd w:val="0"/>
              <w:snapToGrid w:val="0"/>
              <w:spacing w:after="120" w:line="400" w:lineRule="exact"/>
              <w:jc w:val="center"/>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评分事项</w:t>
            </w:r>
          </w:p>
        </w:tc>
        <w:tc>
          <w:tcPr>
            <w:tcW w:w="8549" w:type="dxa"/>
            <w:gridSpan w:val="3"/>
            <w:noWrap w:val="0"/>
            <w:vAlign w:val="center"/>
          </w:tcPr>
          <w:p>
            <w:pPr>
              <w:widowControl w:val="0"/>
              <w:adjustRightInd w:val="0"/>
              <w:snapToGrid w:val="0"/>
              <w:spacing w:after="120" w:line="400" w:lineRule="exact"/>
              <w:jc w:val="center"/>
              <w:rPr>
                <w:rFonts w:ascii="宋体" w:hAnsi="宋体" w:eastAsia="宋体" w:cs="黑体"/>
                <w:b/>
                <w:snapToGrid w:val="0"/>
                <w:color w:val="auto"/>
                <w:kern w:val="0"/>
                <w:sz w:val="24"/>
                <w:szCs w:val="24"/>
                <w:highlight w:val="none"/>
                <w:lang w:val="en-US" w:eastAsia="zh-CN" w:bidi="ar-SA"/>
              </w:rPr>
            </w:pPr>
            <w:r>
              <w:rPr>
                <w:rFonts w:hint="eastAsia" w:ascii="宋体" w:hAnsi="宋体" w:eastAsia="宋体" w:cs="黑体"/>
                <w:b/>
                <w:snapToGrid w:val="0"/>
                <w:color w:val="auto"/>
                <w:kern w:val="0"/>
                <w:sz w:val="24"/>
                <w:szCs w:val="24"/>
                <w:highlight w:val="none"/>
                <w:lang w:val="en-US" w:eastAsia="zh-CN" w:bidi="ar-SA"/>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2" w:hRule="atLeast"/>
          <w:jc w:val="center"/>
        </w:trPr>
        <w:tc>
          <w:tcPr>
            <w:tcW w:w="1404" w:type="dxa"/>
            <w:noWrap w:val="0"/>
            <w:vAlign w:val="center"/>
          </w:tcPr>
          <w:p>
            <w:pPr>
              <w:widowControl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评标基准价</w:t>
            </w:r>
          </w:p>
          <w:p>
            <w:pPr>
              <w:widowControl w:val="0"/>
              <w:adjustRightInd w:val="0"/>
              <w:snapToGrid w:val="0"/>
              <w:spacing w:line="400" w:lineRule="exact"/>
              <w:jc w:val="center"/>
              <w:rPr>
                <w:rFonts w:ascii="宋体" w:hAnsi="宋体" w:eastAsia="宋体" w:cs="Times New Roman"/>
                <w:snapToGrid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w:t>
            </w:r>
          </w:p>
        </w:tc>
        <w:tc>
          <w:tcPr>
            <w:tcW w:w="8549" w:type="dxa"/>
            <w:gridSpan w:val="3"/>
            <w:noWrap w:val="0"/>
            <w:vAlign w:val="center"/>
          </w:tcPr>
          <w:p>
            <w:pPr>
              <w:numPr>
                <w:ilvl w:val="0"/>
                <w:numId w:val="3"/>
              </w:numPr>
              <w:wordWrap w:val="0"/>
              <w:adjustRightInd w:val="0"/>
              <w:snapToGrid w:val="0"/>
              <w:spacing w:line="400" w:lineRule="exact"/>
              <w:ind w:firstLine="420" w:firstLineChars="200"/>
              <w:jc w:val="left"/>
              <w:rPr>
                <w:rFonts w:ascii="宋体" w:hAnsi="Times New Roman" w:eastAsia="宋体" w:cs="Times New Roman"/>
                <w:b w:val="0"/>
                <w:bCs w:val="0"/>
                <w:color w:val="auto"/>
                <w:sz w:val="21"/>
                <w:szCs w:val="21"/>
                <w:highlight w:val="none"/>
              </w:rPr>
            </w:pPr>
            <w:r>
              <w:rPr>
                <w:rFonts w:ascii="Times New Roman" w:hAnsi="Times New Roman" w:eastAsia="宋体" w:cs="Times New Roman"/>
                <w:b w:val="0"/>
                <w:bCs w:val="0"/>
                <w:snapToGrid w:val="0"/>
                <w:color w:val="auto"/>
                <w:kern w:val="0"/>
                <w:sz w:val="21"/>
                <w:szCs w:val="21"/>
                <w:highlight w:val="none"/>
              </w:rPr>
              <w:t>确定</w:t>
            </w:r>
            <w:r>
              <w:rPr>
                <w:rFonts w:hint="eastAsia" w:ascii="Times New Roman" w:hAnsi="Times New Roman" w:eastAsia="宋体" w:cs="Times New Roman"/>
                <w:b w:val="0"/>
                <w:bCs w:val="0"/>
                <w:snapToGrid w:val="0"/>
                <w:color w:val="auto"/>
                <w:kern w:val="0"/>
                <w:sz w:val="21"/>
                <w:szCs w:val="21"/>
                <w:highlight w:val="none"/>
                <w:lang w:val="en-US" w:eastAsia="zh-CN"/>
              </w:rPr>
              <w:t>最高投标限价</w:t>
            </w:r>
            <w:r>
              <w:rPr>
                <w:rFonts w:ascii="Times New Roman" w:hAnsi="Times New Roman" w:eastAsia="宋体" w:cs="Times New Roman"/>
                <w:b w:val="0"/>
                <w:bCs w:val="0"/>
                <w:snapToGrid w:val="0"/>
                <w:color w:val="auto"/>
                <w:kern w:val="0"/>
                <w:sz w:val="21"/>
                <w:szCs w:val="21"/>
                <w:highlight w:val="none"/>
              </w:rPr>
              <w:t>下浮系数n：用1～21号球分别代表一个下浮系数，由评委代表从这21个号码中随机抽取</w:t>
            </w:r>
            <w:r>
              <w:rPr>
                <w:rFonts w:ascii="Times New Roman" w:hAnsi="Times New Roman" w:eastAsia="宋体" w:cs="Times New Roman"/>
                <w:b w:val="0"/>
                <w:bCs w:val="0"/>
                <w:snapToGrid w:val="0"/>
                <w:color w:val="auto"/>
                <w:kern w:val="0"/>
                <w:sz w:val="21"/>
                <w:szCs w:val="21"/>
                <w:highlight w:val="none"/>
                <w:u w:val="single"/>
              </w:rPr>
              <w:t xml:space="preserve"> 3 </w:t>
            </w:r>
            <w:r>
              <w:rPr>
                <w:rFonts w:ascii="Times New Roman" w:hAnsi="Times New Roman" w:eastAsia="宋体" w:cs="Times New Roman"/>
                <w:b w:val="0"/>
                <w:bCs w:val="0"/>
                <w:snapToGrid w:val="0"/>
                <w:color w:val="auto"/>
                <w:kern w:val="0"/>
                <w:sz w:val="21"/>
                <w:szCs w:val="21"/>
                <w:highlight w:val="none"/>
              </w:rPr>
              <w:t>次，每次抽取1个号码，抽出的号球不参与下次抽取。所抽取的3个号码对应下浮系数的算术平均值作为</w:t>
            </w:r>
            <w:r>
              <w:rPr>
                <w:rFonts w:hint="eastAsia" w:ascii="Times New Roman" w:hAnsi="Times New Roman" w:eastAsia="宋体" w:cs="Times New Roman"/>
                <w:b w:val="0"/>
                <w:bCs w:val="0"/>
                <w:snapToGrid w:val="0"/>
                <w:color w:val="auto"/>
                <w:kern w:val="0"/>
                <w:sz w:val="21"/>
                <w:szCs w:val="21"/>
                <w:highlight w:val="none"/>
                <w:lang w:val="en-US" w:eastAsia="zh-CN"/>
              </w:rPr>
              <w:t>最高投标限价</w:t>
            </w:r>
            <w:r>
              <w:rPr>
                <w:rFonts w:ascii="Times New Roman" w:hAnsi="Times New Roman" w:eastAsia="宋体" w:cs="Times New Roman"/>
                <w:b w:val="0"/>
                <w:bCs w:val="0"/>
                <w:snapToGrid w:val="0"/>
                <w:color w:val="auto"/>
                <w:kern w:val="0"/>
                <w:sz w:val="21"/>
                <w:szCs w:val="21"/>
                <w:highlight w:val="none"/>
              </w:rPr>
              <w:t>下浮系数n。具体号码对应的下浮系数</w:t>
            </w:r>
            <w:r>
              <w:rPr>
                <w:rFonts w:hint="eastAsia" w:ascii="Times New Roman" w:hAnsi="Times New Roman" w:eastAsia="宋体" w:cs="Times New Roman"/>
                <w:b w:val="0"/>
                <w:bCs w:val="0"/>
                <w:snapToGrid w:val="0"/>
                <w:color w:val="auto"/>
                <w:kern w:val="0"/>
                <w:sz w:val="21"/>
                <w:szCs w:val="21"/>
                <w:highlight w:val="none"/>
              </w:rPr>
              <w:t>见</w:t>
            </w:r>
            <w:r>
              <w:rPr>
                <w:rFonts w:ascii="Times New Roman" w:hAnsi="Times New Roman" w:eastAsia="宋体" w:cs="Times New Roman"/>
                <w:b w:val="0"/>
                <w:bCs w:val="0"/>
                <w:snapToGrid w:val="0"/>
                <w:color w:val="auto"/>
                <w:kern w:val="0"/>
                <w:sz w:val="21"/>
                <w:szCs w:val="21"/>
                <w:highlight w:val="none"/>
              </w:rPr>
              <w:t>下表。</w:t>
            </w:r>
          </w:p>
          <w:p>
            <w:pPr>
              <w:widowControl/>
              <w:adjustRightInd w:val="0"/>
              <w:snapToGrid w:val="0"/>
              <w:spacing w:line="400" w:lineRule="exact"/>
              <w:jc w:val="left"/>
              <w:rPr>
                <w:rFonts w:ascii="宋体" w:hAnsi="宋体" w:eastAsia="宋体" w:cs="宋体"/>
                <w:color w:val="auto"/>
                <w:kern w:val="0"/>
                <w:sz w:val="21"/>
                <w:szCs w:val="21"/>
                <w:highlight w:val="none"/>
              </w:rPr>
            </w:pPr>
          </w:p>
          <w:tbl>
            <w:tblPr>
              <w:tblStyle w:val="19"/>
              <w:tblpPr w:leftFromText="180" w:rightFromText="180" w:vertAnchor="text" w:horzAnchor="margin" w:tblpY="-246"/>
              <w:tblOverlap w:val="never"/>
              <w:tblW w:w="0" w:type="auto"/>
              <w:tblInd w:w="0" w:type="dxa"/>
              <w:tblLayout w:type="fixed"/>
              <w:tblCellMar>
                <w:top w:w="0" w:type="dxa"/>
                <w:left w:w="108" w:type="dxa"/>
                <w:bottom w:w="0" w:type="dxa"/>
                <w:right w:w="108" w:type="dxa"/>
              </w:tblCellMar>
            </w:tblPr>
            <w:tblGrid>
              <w:gridCol w:w="1557"/>
              <w:gridCol w:w="881"/>
              <w:gridCol w:w="975"/>
              <w:gridCol w:w="975"/>
              <w:gridCol w:w="1039"/>
              <w:gridCol w:w="971"/>
              <w:gridCol w:w="1032"/>
              <w:gridCol w:w="826"/>
            </w:tblGrid>
            <w:tr>
              <w:tblPrEx>
                <w:tblCellMar>
                  <w:top w:w="0" w:type="dxa"/>
                  <w:left w:w="108" w:type="dxa"/>
                  <w:bottom w:w="0" w:type="dxa"/>
                  <w:right w:w="108" w:type="dxa"/>
                </w:tblCellMar>
              </w:tblPrEx>
              <w:trPr>
                <w:trHeight w:val="280"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b/>
                      <w:color w:val="auto"/>
                      <w:sz w:val="21"/>
                      <w:szCs w:val="21"/>
                      <w:highlight w:val="none"/>
                    </w:rPr>
                    <w:t>号球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ind w:firstLine="210" w:firstLineChars="100"/>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6</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7</w:t>
                  </w:r>
                </w:p>
              </w:tc>
            </w:tr>
            <w:tr>
              <w:tblPrEx>
                <w:tblCellMar>
                  <w:top w:w="0" w:type="dxa"/>
                  <w:left w:w="108" w:type="dxa"/>
                  <w:bottom w:w="0" w:type="dxa"/>
                  <w:right w:w="108" w:type="dxa"/>
                </w:tblCellMar>
              </w:tblPrEx>
              <w:trPr>
                <w:trHeight w:val="420"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下浮</w:t>
                  </w:r>
                  <w:r>
                    <w:rPr>
                      <w:rFonts w:hint="eastAsia" w:ascii="宋体" w:hAnsi="宋体" w:eastAsia="宋体" w:cs="宋体"/>
                      <w:color w:val="auto"/>
                      <w:kern w:val="0"/>
                      <w:sz w:val="21"/>
                      <w:szCs w:val="21"/>
                      <w:highlight w:val="none"/>
                    </w:rPr>
                    <w:t>系数</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0.0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0.2</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0.3</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0.4</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0.5</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0.6</w:t>
                  </w:r>
                </w:p>
              </w:tc>
            </w:tr>
            <w:tr>
              <w:tblPrEx>
                <w:tblCellMar>
                  <w:top w:w="0" w:type="dxa"/>
                  <w:left w:w="108" w:type="dxa"/>
                  <w:bottom w:w="0" w:type="dxa"/>
                  <w:right w:w="108" w:type="dxa"/>
                </w:tblCellMar>
              </w:tblPrEx>
              <w:trPr>
                <w:trHeight w:val="280"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b/>
                      <w:color w:val="auto"/>
                      <w:sz w:val="21"/>
                      <w:szCs w:val="21"/>
                      <w:highlight w:val="none"/>
                    </w:rPr>
                    <w:t>号球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11</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13</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14</w:t>
                  </w:r>
                </w:p>
              </w:tc>
            </w:tr>
            <w:tr>
              <w:tblPrEx>
                <w:tblCellMar>
                  <w:top w:w="0" w:type="dxa"/>
                  <w:left w:w="108" w:type="dxa"/>
                  <w:bottom w:w="0" w:type="dxa"/>
                  <w:right w:w="108" w:type="dxa"/>
                </w:tblCellMar>
              </w:tblPrEx>
              <w:trPr>
                <w:trHeight w:val="517"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下浮</w:t>
                  </w:r>
                  <w:r>
                    <w:rPr>
                      <w:rFonts w:hint="eastAsia" w:ascii="宋体" w:hAnsi="宋体" w:eastAsia="宋体" w:cs="宋体"/>
                      <w:color w:val="auto"/>
                      <w:kern w:val="0"/>
                      <w:sz w:val="21"/>
                      <w:szCs w:val="21"/>
                      <w:highlight w:val="none"/>
                    </w:rPr>
                    <w:t>系数</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0.7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0.9</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0</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1.2</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1.3</w:t>
                  </w:r>
                </w:p>
              </w:tc>
            </w:tr>
            <w:tr>
              <w:tblPrEx>
                <w:tblCellMar>
                  <w:top w:w="0" w:type="dxa"/>
                  <w:left w:w="108" w:type="dxa"/>
                  <w:bottom w:w="0" w:type="dxa"/>
                  <w:right w:w="108" w:type="dxa"/>
                </w:tblCellMar>
              </w:tblPrEx>
              <w:trPr>
                <w:trHeight w:val="312"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b/>
                      <w:color w:val="auto"/>
                      <w:sz w:val="21"/>
                      <w:szCs w:val="21"/>
                      <w:highlight w:val="none"/>
                    </w:rPr>
                    <w:t>号球</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18</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19</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20</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sz w:val="21"/>
                      <w:szCs w:val="21"/>
                      <w:highlight w:val="none"/>
                    </w:rPr>
                    <w:t>21</w:t>
                  </w:r>
                </w:p>
              </w:tc>
            </w:tr>
            <w:tr>
              <w:tblPrEx>
                <w:tblCellMar>
                  <w:top w:w="0" w:type="dxa"/>
                  <w:left w:w="108" w:type="dxa"/>
                  <w:bottom w:w="0" w:type="dxa"/>
                  <w:right w:w="108" w:type="dxa"/>
                </w:tblCellMar>
              </w:tblPrEx>
              <w:trPr>
                <w:trHeight w:val="523"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下浮</w:t>
                  </w:r>
                  <w:r>
                    <w:rPr>
                      <w:rFonts w:hint="eastAsia" w:ascii="宋体" w:hAnsi="宋体" w:eastAsia="宋体" w:cs="宋体"/>
                      <w:color w:val="auto"/>
                      <w:kern w:val="0"/>
                      <w:sz w:val="21"/>
                      <w:szCs w:val="21"/>
                      <w:highlight w:val="none"/>
                    </w:rPr>
                    <w:t>系数</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eastAsia="zh-CN"/>
                    </w:rPr>
                    <w:t>1.4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1.7</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1.8</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1.9</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0</w:t>
                  </w:r>
                </w:p>
              </w:tc>
            </w:tr>
          </w:tbl>
          <w:p>
            <w:pPr>
              <w:wordWrap w:val="0"/>
              <w:adjustRightInd w:val="0"/>
              <w:snapToGrid w:val="0"/>
              <w:spacing w:line="400" w:lineRule="exact"/>
              <w:jc w:val="left"/>
              <w:rPr>
                <w:rFonts w:ascii="宋体" w:hAnsi="宋体"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（2）评标基准价D＝最高投标限价×（1－n）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404" w:type="dxa"/>
            <w:noWrap w:val="0"/>
            <w:vAlign w:val="center"/>
          </w:tcPr>
          <w:p>
            <w:pPr>
              <w:widowControl w:val="0"/>
              <w:wordWrap w:val="0"/>
              <w:adjustRightInd w:val="0"/>
              <w:snapToGrid w:val="0"/>
              <w:spacing w:line="400" w:lineRule="exact"/>
              <w:jc w:val="center"/>
              <w:rPr>
                <w:rFonts w:ascii="Times New Roman" w:hAnsi="Times New Roman" w:eastAsia="宋体" w:cs="Times New Roman"/>
                <w:snapToGrid w:val="0"/>
                <w:color w:val="auto"/>
                <w:kern w:val="0"/>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投标报价</w:t>
            </w:r>
          </w:p>
          <w:p>
            <w:pPr>
              <w:widowControl w:val="0"/>
              <w:wordWrap w:val="0"/>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snapToGrid w:val="0"/>
                <w:color w:val="auto"/>
                <w:kern w:val="0"/>
                <w:sz w:val="21"/>
                <w:szCs w:val="21"/>
                <w:highlight w:val="none"/>
                <w:lang w:val="en-US" w:eastAsia="zh-CN" w:bidi="ar-SA"/>
              </w:rPr>
              <w:t>得分M</w:t>
            </w:r>
            <w:r>
              <w:rPr>
                <w:rFonts w:hint="eastAsia" w:ascii="Times New Roman" w:hAnsi="Times New Roman" w:eastAsia="宋体" w:cs="Times New Roman"/>
                <w:snapToGrid w:val="0"/>
                <w:color w:val="auto"/>
                <w:kern w:val="0"/>
                <w:sz w:val="21"/>
                <w:szCs w:val="21"/>
                <w:highlight w:val="none"/>
                <w:vertAlign w:val="subscript"/>
                <w:lang w:val="en-US" w:eastAsia="zh-CN" w:bidi="ar-SA"/>
              </w:rPr>
              <w:t>3</w:t>
            </w:r>
          </w:p>
        </w:tc>
        <w:tc>
          <w:tcPr>
            <w:tcW w:w="8549" w:type="dxa"/>
            <w:gridSpan w:val="3"/>
            <w:noWrap w:val="0"/>
            <w:vAlign w:val="center"/>
          </w:tcPr>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采用内插法计算某投标人的投标报价得分M</w:t>
            </w:r>
            <w:r>
              <w:rPr>
                <w:rFonts w:hint="eastAsia" w:ascii="Times New Roman" w:hAnsi="Times New Roman" w:eastAsia="宋体" w:cs="Times New Roman"/>
                <w:snapToGrid w:val="0"/>
                <w:color w:val="auto"/>
                <w:kern w:val="0"/>
                <w:sz w:val="21"/>
                <w:szCs w:val="21"/>
                <w:highlight w:val="none"/>
                <w:vertAlign w:val="subscript"/>
              </w:rPr>
              <w:t>3</w:t>
            </w:r>
            <w:r>
              <w:rPr>
                <w:rFonts w:hint="eastAsia" w:ascii="Times New Roman" w:hAnsi="Times New Roman" w:eastAsia="宋体" w:cs="Times New Roman"/>
                <w:snapToGrid w:val="0"/>
                <w:color w:val="auto"/>
                <w:kern w:val="0"/>
                <w:sz w:val="21"/>
                <w:szCs w:val="21"/>
                <w:highlight w:val="none"/>
              </w:rPr>
              <w:t>，即当投标人的投标总价等于评标基准价时得满分，每高于评标基准价一个百分点扣</w:t>
            </w:r>
            <w:r>
              <w:rPr>
                <w:rFonts w:hint="eastAsia" w:ascii="Times New Roman" w:hAnsi="Times New Roman" w:eastAsia="宋体" w:cs="Times New Roman"/>
                <w:snapToGrid w:val="0"/>
                <w:color w:val="auto"/>
                <w:kern w:val="0"/>
                <w:sz w:val="21"/>
                <w:szCs w:val="21"/>
                <w:highlight w:val="none"/>
                <w:lang w:val="en-US" w:eastAsia="zh-CN"/>
              </w:rPr>
              <w:t>1</w:t>
            </w:r>
            <w:r>
              <w:rPr>
                <w:rFonts w:hint="eastAsia" w:ascii="Times New Roman" w:hAnsi="Times New Roman" w:eastAsia="宋体" w:cs="Times New Roman"/>
                <w:snapToGrid w:val="0"/>
                <w:color w:val="auto"/>
                <w:kern w:val="0"/>
                <w:sz w:val="21"/>
                <w:szCs w:val="21"/>
                <w:highlight w:val="none"/>
              </w:rPr>
              <w:t>分, 每低于评标基准价一个百分点扣0.</w:t>
            </w:r>
            <w:r>
              <w:rPr>
                <w:rFonts w:hint="eastAsia" w:ascii="Times New Roman" w:hAnsi="Times New Roman" w:eastAsia="宋体" w:cs="Times New Roman"/>
                <w:snapToGrid w:val="0"/>
                <w:color w:val="auto"/>
                <w:kern w:val="0"/>
                <w:sz w:val="21"/>
                <w:szCs w:val="21"/>
                <w:highlight w:val="none"/>
                <w:lang w:val="en-US" w:eastAsia="zh-CN"/>
              </w:rPr>
              <w:t>5</w:t>
            </w:r>
            <w:r>
              <w:rPr>
                <w:rFonts w:hint="eastAsia" w:ascii="Times New Roman" w:hAnsi="Times New Roman" w:eastAsia="宋体" w:cs="Times New Roman"/>
                <w:snapToGrid w:val="0"/>
                <w:color w:val="auto"/>
                <w:kern w:val="0"/>
                <w:sz w:val="21"/>
                <w:szCs w:val="21"/>
                <w:highlight w:val="none"/>
              </w:rPr>
              <w:t>分，扣完为止。公式如下：</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M</w:t>
            </w:r>
            <w:r>
              <w:rPr>
                <w:rFonts w:hint="eastAsia" w:ascii="Times New Roman" w:hAnsi="Times New Roman" w:eastAsia="宋体" w:cs="Times New Roman"/>
                <w:snapToGrid w:val="0"/>
                <w:color w:val="auto"/>
                <w:kern w:val="0"/>
                <w:sz w:val="21"/>
                <w:szCs w:val="21"/>
                <w:highlight w:val="none"/>
                <w:vertAlign w:val="subscript"/>
              </w:rPr>
              <w:t>3</w:t>
            </w:r>
            <w:r>
              <w:rPr>
                <w:rFonts w:hint="eastAsia" w:ascii="Times New Roman" w:hAnsi="Times New Roman" w:eastAsia="宋体" w:cs="Times New Roman"/>
                <w:snapToGrid w:val="0"/>
                <w:color w:val="auto"/>
                <w:kern w:val="0"/>
                <w:sz w:val="21"/>
                <w:szCs w:val="21"/>
                <w:highlight w:val="none"/>
              </w:rPr>
              <w:t>＝投标报价满分－（| Di－D | ÷D）×100×E</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式中：D为评标基准价，Di为某投标人的投标总价；E为扣分因子。当Di＞D时，E＝</w:t>
            </w:r>
            <w:r>
              <w:rPr>
                <w:rFonts w:hint="eastAsia" w:ascii="Times New Roman" w:hAnsi="Times New Roman" w:eastAsia="宋体" w:cs="Times New Roman"/>
                <w:snapToGrid w:val="0"/>
                <w:color w:val="auto"/>
                <w:kern w:val="0"/>
                <w:sz w:val="21"/>
                <w:szCs w:val="21"/>
                <w:highlight w:val="none"/>
                <w:lang w:val="en-US" w:eastAsia="zh-CN"/>
              </w:rPr>
              <w:t>1</w:t>
            </w:r>
            <w:r>
              <w:rPr>
                <w:rFonts w:hint="eastAsia" w:ascii="Times New Roman" w:hAnsi="Times New Roman" w:eastAsia="宋体" w:cs="Times New Roman"/>
                <w:snapToGrid w:val="0"/>
                <w:color w:val="auto"/>
                <w:kern w:val="0"/>
                <w:sz w:val="21"/>
                <w:szCs w:val="21"/>
                <w:highlight w:val="none"/>
              </w:rPr>
              <w:t>；当Di＜D时，E＝0.</w:t>
            </w:r>
            <w:r>
              <w:rPr>
                <w:rFonts w:hint="eastAsia" w:ascii="Times New Roman" w:hAnsi="Times New Roman" w:eastAsia="宋体" w:cs="Times New Roman"/>
                <w:snapToGrid w:val="0"/>
                <w:color w:val="auto"/>
                <w:kern w:val="0"/>
                <w:sz w:val="21"/>
                <w:szCs w:val="21"/>
                <w:highlight w:val="none"/>
                <w:lang w:val="en-US" w:eastAsia="zh-CN"/>
              </w:rPr>
              <w:t>5</w:t>
            </w:r>
            <w:r>
              <w:rPr>
                <w:rFonts w:hint="eastAsia" w:ascii="Times New Roman" w:hAnsi="Times New Roman" w:eastAsia="宋体" w:cs="Times New Roman"/>
                <w:snapToGrid w:val="0"/>
                <w:color w:val="auto"/>
                <w:kern w:val="0"/>
                <w:sz w:val="21"/>
                <w:szCs w:val="21"/>
                <w:highlight w:val="none"/>
              </w:rPr>
              <w:t>。</w:t>
            </w:r>
          </w:p>
          <w:p>
            <w:pPr>
              <w:wordWrap w:val="0"/>
              <w:adjustRightInd w:val="0"/>
              <w:snapToGrid w:val="0"/>
              <w:spacing w:line="400" w:lineRule="exact"/>
              <w:ind w:firstLine="420" w:firstLineChars="20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注：本项扣分扣完为止。</w:t>
            </w:r>
          </w:p>
        </w:tc>
      </w:tr>
    </w:tbl>
    <w:p>
      <w:pPr>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注：</w:t>
      </w:r>
    </w:p>
    <w:p>
      <w:pPr>
        <w:numPr>
          <w:ilvl w:val="0"/>
          <w:numId w:val="4"/>
        </w:numPr>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评分如出现小数点，则保留小数点后两位，第三位四舍五入。</w:t>
      </w:r>
    </w:p>
    <w:p>
      <w:pPr>
        <w:numPr>
          <w:ilvl w:val="0"/>
          <w:numId w:val="4"/>
        </w:numPr>
        <w:spacing w:line="400" w:lineRule="exact"/>
        <w:ind w:left="0" w:leftChars="0" w:firstLine="0" w:firstLineChars="0"/>
        <w:rPr>
          <w:rFonts w:hint="eastAsia" w:hAnsi="宋体" w:cs="宋体"/>
          <w:color w:val="auto"/>
          <w:kern w:val="0"/>
          <w:sz w:val="24"/>
          <w:szCs w:val="24"/>
          <w:highlight w:val="none"/>
        </w:rPr>
      </w:pPr>
      <w:r>
        <w:rPr>
          <w:rFonts w:hint="eastAsia" w:hAnsi="宋体" w:cs="宋体"/>
          <w:color w:val="auto"/>
          <w:kern w:val="0"/>
          <w:sz w:val="24"/>
          <w:szCs w:val="24"/>
          <w:highlight w:val="none"/>
        </w:rPr>
        <w:t>除总监理工程师外，拟委派的监理机构其他人员不作为形式评审、资格评审、响应性评审的审查内容，只作为综合评分的评审依据。</w:t>
      </w:r>
    </w:p>
    <w:p>
      <w:pPr>
        <w:wordWrap w:val="0"/>
        <w:adjustRightInd w:val="0"/>
        <w:snapToGrid w:val="0"/>
        <w:spacing w:line="400" w:lineRule="exact"/>
        <w:rPr>
          <w:rFonts w:hint="eastAsia" w:hAnsi="宋体" w:cs="微软雅黑"/>
          <w:b/>
          <w:bCs/>
          <w:color w:val="auto"/>
          <w:spacing w:val="10"/>
          <w:sz w:val="21"/>
          <w:szCs w:val="16"/>
          <w:highlight w:val="none"/>
          <w:lang w:val="en-US" w:eastAsia="zh-CN"/>
        </w:rPr>
      </w:pPr>
      <w:r>
        <w:rPr>
          <w:rFonts w:hint="eastAsia" w:hAnsi="宋体" w:cs="微软雅黑"/>
          <w:b/>
          <w:bCs/>
          <w:color w:val="auto"/>
          <w:spacing w:val="10"/>
          <w:sz w:val="21"/>
          <w:szCs w:val="16"/>
          <w:highlight w:val="none"/>
        </w:rPr>
        <w:br w:type="page"/>
      </w:r>
    </w:p>
    <w:p>
      <w:pPr>
        <w:numPr>
          <w:ilvl w:val="0"/>
          <w:numId w:val="0"/>
        </w:numPr>
        <w:wordWrap w:val="0"/>
        <w:adjustRightInd w:val="0"/>
        <w:snapToGrid w:val="0"/>
        <w:spacing w:line="400" w:lineRule="exact"/>
        <w:jc w:val="center"/>
        <w:rPr>
          <w:rFonts w:hint="eastAsia" w:ascii="Times New Roman" w:hAnsi="Times New Roman" w:cs="Times New Roman"/>
          <w:b/>
          <w:bCs/>
          <w:i w:val="0"/>
          <w:iCs w:val="0"/>
          <w:caps w:val="0"/>
          <w:smallCaps w:val="0"/>
          <w:snapToGrid w:val="0"/>
          <w:color w:val="auto"/>
          <w:spacing w:val="0"/>
          <w:kern w:val="0"/>
          <w:sz w:val="24"/>
          <w:highlight w:val="none"/>
          <w:u w:val="none"/>
          <w:lang w:val="en-US" w:eastAsia="zh-CN"/>
        </w:rPr>
      </w:pPr>
      <w:r>
        <w:rPr>
          <w:rFonts w:hint="eastAsia" w:ascii="Times New Roman" w:hAnsi="Times New Roman" w:cs="Times New Roman"/>
          <w:b/>
          <w:bCs/>
          <w:i w:val="0"/>
          <w:iCs w:val="0"/>
          <w:caps w:val="0"/>
          <w:smallCaps w:val="0"/>
          <w:snapToGrid w:val="0"/>
          <w:color w:val="auto"/>
          <w:spacing w:val="0"/>
          <w:kern w:val="0"/>
          <w:sz w:val="30"/>
          <w:highlight w:val="none"/>
          <w:u w:val="none"/>
          <w:lang w:val="en-US" w:eastAsia="zh-CN"/>
        </w:rPr>
        <w:t>表2 项目监理机构其他人员需求表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108"/>
        <w:gridCol w:w="606"/>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91" w:type="dxa"/>
            <w:gridSpan w:val="4"/>
            <w:noWrap w:val="0"/>
            <w:vAlign w:val="center"/>
          </w:tcPr>
          <w:p>
            <w:pPr>
              <w:widowControl w:val="0"/>
              <w:wordWrap w:val="0"/>
              <w:adjustRightInd w:val="0"/>
              <w:snapToGrid w:val="0"/>
              <w:spacing w:line="360" w:lineRule="exact"/>
              <w:jc w:val="left"/>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监理人员：共</w:t>
            </w:r>
            <w:r>
              <w:rPr>
                <w:rFonts w:hint="eastAsia" w:ascii="黑体" w:hAnsi="黑体" w:eastAsia="黑体" w:cs="Times New Roman"/>
                <w:snapToGrid w:val="0"/>
                <w:color w:val="auto"/>
                <w:kern w:val="0"/>
                <w:sz w:val="21"/>
                <w:szCs w:val="24"/>
                <w:highlight w:val="none"/>
                <w:u w:val="single"/>
                <w:lang w:val="en-US" w:eastAsia="zh-CN" w:bidi="ar-SA"/>
              </w:rPr>
              <w:t xml:space="preserve">5 </w:t>
            </w:r>
            <w:r>
              <w:rPr>
                <w:rFonts w:hint="eastAsia" w:ascii="黑体" w:hAnsi="黑体" w:eastAsia="黑体" w:cs="Times New Roman"/>
                <w:snapToGrid w:val="0"/>
                <w:color w:val="auto"/>
                <w:kern w:val="0"/>
                <w:sz w:val="21"/>
                <w:szCs w:val="24"/>
                <w:highlight w:val="none"/>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083" w:type="dxa"/>
            <w:noWrap w:val="0"/>
            <w:vAlign w:val="center"/>
          </w:tcPr>
          <w:p>
            <w:pPr>
              <w:widowControl w:val="0"/>
              <w:wordWrap w:val="0"/>
              <w:adjustRightInd w:val="0"/>
              <w:snapToGrid w:val="0"/>
              <w:spacing w:line="300" w:lineRule="exact"/>
              <w:jc w:val="center"/>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职务</w:t>
            </w:r>
          </w:p>
        </w:tc>
        <w:tc>
          <w:tcPr>
            <w:tcW w:w="2108" w:type="dxa"/>
            <w:noWrap w:val="0"/>
            <w:vAlign w:val="center"/>
          </w:tcPr>
          <w:p>
            <w:pPr>
              <w:widowControl w:val="0"/>
              <w:wordWrap w:val="0"/>
              <w:adjustRightInd w:val="0"/>
              <w:snapToGrid w:val="0"/>
              <w:spacing w:line="300" w:lineRule="exact"/>
              <w:jc w:val="center"/>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专业要求</w:t>
            </w:r>
          </w:p>
        </w:tc>
        <w:tc>
          <w:tcPr>
            <w:tcW w:w="606" w:type="dxa"/>
            <w:noWrap w:val="0"/>
            <w:vAlign w:val="center"/>
          </w:tcPr>
          <w:p>
            <w:pPr>
              <w:widowControl w:val="0"/>
              <w:wordWrap w:val="0"/>
              <w:adjustRightInd w:val="0"/>
              <w:snapToGrid w:val="0"/>
              <w:spacing w:line="300" w:lineRule="exact"/>
              <w:jc w:val="center"/>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数量</w:t>
            </w:r>
          </w:p>
          <w:p>
            <w:pPr>
              <w:widowControl w:val="0"/>
              <w:wordWrap w:val="0"/>
              <w:adjustRightInd w:val="0"/>
              <w:snapToGrid w:val="0"/>
              <w:spacing w:line="300" w:lineRule="exact"/>
              <w:jc w:val="center"/>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要求</w:t>
            </w:r>
          </w:p>
        </w:tc>
        <w:tc>
          <w:tcPr>
            <w:tcW w:w="4994" w:type="dxa"/>
            <w:noWrap w:val="0"/>
            <w:vAlign w:val="center"/>
          </w:tcPr>
          <w:p>
            <w:pPr>
              <w:widowControl w:val="0"/>
              <w:wordWrap w:val="0"/>
              <w:adjustRightInd w:val="0"/>
              <w:snapToGrid w:val="0"/>
              <w:spacing w:line="300" w:lineRule="exact"/>
              <w:jc w:val="center"/>
              <w:rPr>
                <w:rFonts w:ascii="黑体" w:hAnsi="黑体" w:eastAsia="黑体" w:cs="Times New Roman"/>
                <w:snapToGrid w:val="0"/>
                <w:color w:val="auto"/>
                <w:kern w:val="0"/>
                <w:sz w:val="21"/>
                <w:szCs w:val="24"/>
                <w:highlight w:val="none"/>
                <w:lang w:val="en-US" w:eastAsia="zh-CN" w:bidi="ar-SA"/>
              </w:rPr>
            </w:pPr>
            <w:r>
              <w:rPr>
                <w:rFonts w:hint="eastAsia" w:ascii="黑体" w:hAnsi="黑体" w:eastAsia="黑体" w:cs="Times New Roman"/>
                <w:snapToGrid w:val="0"/>
                <w:color w:val="auto"/>
                <w:kern w:val="0"/>
                <w:sz w:val="21"/>
                <w:szCs w:val="24"/>
                <w:highlight w:val="none"/>
                <w:lang w:val="en-US" w:eastAsia="zh-CN" w:bidi="ar-SA"/>
              </w:rPr>
              <w:t>持证要求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1083" w:type="dxa"/>
            <w:noWrap w:val="0"/>
            <w:vAlign w:val="center"/>
          </w:tcPr>
          <w:p>
            <w:pPr>
              <w:widowControl w:val="0"/>
              <w:wordWrap w:val="0"/>
              <w:adjustRightInd w:val="0"/>
              <w:snapToGrid w:val="0"/>
              <w:spacing w:line="30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4"/>
                <w:highlight w:val="none"/>
                <w:lang w:val="en-US" w:eastAsia="zh-CN" w:bidi="ar-SA"/>
              </w:rPr>
              <w:t>总监理工程师</w:t>
            </w:r>
          </w:p>
        </w:tc>
        <w:tc>
          <w:tcPr>
            <w:tcW w:w="2108" w:type="dxa"/>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hAnsi="宋体" w:cs="宋体"/>
                <w:snapToGrid w:val="0"/>
                <w:color w:val="auto"/>
                <w:kern w:val="0"/>
                <w:sz w:val="21"/>
                <w:szCs w:val="24"/>
                <w:highlight w:val="none"/>
                <w:lang w:val="en-US" w:eastAsia="zh-CN" w:bidi="ar-SA"/>
              </w:rPr>
              <w:t>市政公用工程</w:t>
            </w:r>
            <w:r>
              <w:rPr>
                <w:rFonts w:hint="eastAsia" w:ascii="宋体" w:hAnsi="宋体" w:eastAsia="宋体" w:cs="宋体"/>
                <w:snapToGrid w:val="0"/>
                <w:color w:val="auto"/>
                <w:kern w:val="0"/>
                <w:sz w:val="21"/>
                <w:szCs w:val="24"/>
                <w:highlight w:val="none"/>
                <w:lang w:val="en-US" w:eastAsia="zh-CN" w:bidi="ar-SA"/>
              </w:rPr>
              <w:t>专业</w:t>
            </w:r>
          </w:p>
        </w:tc>
        <w:tc>
          <w:tcPr>
            <w:tcW w:w="606" w:type="dxa"/>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4"/>
                <w:highlight w:val="none"/>
                <w:lang w:val="en-US" w:eastAsia="zh-CN" w:bidi="ar-SA"/>
              </w:rPr>
              <w:t>1</w:t>
            </w:r>
          </w:p>
        </w:tc>
        <w:tc>
          <w:tcPr>
            <w:tcW w:w="4994" w:type="dxa"/>
            <w:vMerge w:val="restart"/>
            <w:noWrap w:val="0"/>
            <w:vAlign w:val="center"/>
          </w:tcPr>
          <w:p>
            <w:pPr>
              <w:widowControl w:val="0"/>
              <w:wordWrap w:val="0"/>
              <w:adjustRightInd w:val="0"/>
              <w:snapToGrid w:val="0"/>
              <w:spacing w:line="360" w:lineRule="exact"/>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符合以下3种情形之一均可：</w:t>
            </w:r>
          </w:p>
          <w:p>
            <w:pPr>
              <w:widowControl w:val="0"/>
              <w:wordWrap w:val="0"/>
              <w:adjustRightInd w:val="0"/>
              <w:snapToGrid w:val="0"/>
              <w:spacing w:line="360" w:lineRule="exact"/>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1．具备所需专业注册监理工程师执业资格，持有效的注册证书；</w:t>
            </w:r>
          </w:p>
          <w:p>
            <w:pPr>
              <w:widowControl w:val="0"/>
              <w:wordWrap w:val="0"/>
              <w:adjustRightInd w:val="0"/>
              <w:snapToGrid w:val="0"/>
              <w:spacing w:line="360" w:lineRule="exact"/>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2．具备工程类注册执业资格，并经监理业务培训。持有效的注册证书、省级建设行政主管部门或其授权的组织（机构）颁发的岗位证书；</w:t>
            </w:r>
          </w:p>
          <w:p>
            <w:pPr>
              <w:widowControl w:val="0"/>
              <w:wordWrap w:val="0"/>
              <w:adjustRightInd w:val="0"/>
              <w:snapToGrid w:val="0"/>
              <w:spacing w:line="360" w:lineRule="exact"/>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3．具备中级及以上专业技术职称，并经监理业务培训。持有效的职称证书、省级建设行政主管部门或其授权的组织（机构）颁发的岗位证书。</w:t>
            </w:r>
          </w:p>
          <w:p>
            <w:pPr>
              <w:widowControl w:val="0"/>
              <w:wordWrap w:val="0"/>
              <w:adjustRightInd w:val="0"/>
              <w:snapToGrid w:val="0"/>
              <w:spacing w:line="360" w:lineRule="exact"/>
              <w:jc w:val="both"/>
              <w:rPr>
                <w:color w:val="auto"/>
                <w:highlight w:val="none"/>
                <w:lang w:val="en-US" w:eastAsia="zh-CN"/>
              </w:rPr>
            </w:pPr>
            <w:r>
              <w:rPr>
                <w:rFonts w:hint="eastAsia" w:ascii="Times New Roman" w:hAnsi="Times New Roman" w:eastAsia="宋体" w:cs="Times New Roman"/>
                <w:snapToGrid w:val="0"/>
                <w:color w:val="auto"/>
                <w:kern w:val="0"/>
                <w:sz w:val="21"/>
                <w:szCs w:val="24"/>
                <w:highlight w:val="none"/>
                <w:lang w:val="en-US" w:eastAsia="zh-CN" w:bidi="ar-SA"/>
              </w:rPr>
              <w:t>注：专业类别以注册执业证书或专业监理工程师证书或职称证书或毕业证所列明的专</w:t>
            </w:r>
            <w:r>
              <w:rPr>
                <w:rFonts w:hint="eastAsia"/>
                <w:color w:val="auto"/>
                <w:highlight w:val="none"/>
                <w:lang w:val="en-US" w:eastAsia="zh-CN"/>
              </w:rPr>
              <w:t>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exact"/>
        </w:trPr>
        <w:tc>
          <w:tcPr>
            <w:tcW w:w="1083" w:type="dxa"/>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专业监理</w:t>
            </w:r>
          </w:p>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工程师</w:t>
            </w:r>
          </w:p>
        </w:tc>
        <w:tc>
          <w:tcPr>
            <w:tcW w:w="2108" w:type="dxa"/>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hAnsi="宋体" w:cs="宋体"/>
                <w:snapToGrid w:val="0"/>
                <w:color w:val="auto"/>
                <w:kern w:val="0"/>
                <w:sz w:val="21"/>
                <w:szCs w:val="24"/>
                <w:highlight w:val="none"/>
                <w:lang w:val="en-US" w:eastAsia="zh-CN" w:bidi="ar-SA"/>
              </w:rPr>
              <w:t>市政公用</w:t>
            </w:r>
            <w:r>
              <w:rPr>
                <w:rFonts w:hint="eastAsia" w:ascii="宋体" w:hAnsi="宋体" w:eastAsia="宋体" w:cs="宋体"/>
                <w:snapToGrid w:val="0"/>
                <w:color w:val="auto"/>
                <w:kern w:val="0"/>
                <w:sz w:val="21"/>
                <w:szCs w:val="24"/>
                <w:highlight w:val="none"/>
                <w:lang w:val="en-US" w:eastAsia="zh-CN" w:bidi="ar-SA"/>
              </w:rPr>
              <w:t>工程专业</w:t>
            </w:r>
          </w:p>
        </w:tc>
        <w:tc>
          <w:tcPr>
            <w:tcW w:w="606" w:type="dxa"/>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4"/>
                <w:highlight w:val="none"/>
                <w:lang w:val="en-US" w:eastAsia="zh-CN" w:bidi="ar-SA"/>
              </w:rPr>
              <w:t>1</w:t>
            </w:r>
          </w:p>
        </w:tc>
        <w:tc>
          <w:tcPr>
            <w:tcW w:w="4994" w:type="dxa"/>
            <w:vMerge w:val="continue"/>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83" w:type="dxa"/>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监理员</w:t>
            </w:r>
          </w:p>
        </w:tc>
        <w:tc>
          <w:tcPr>
            <w:tcW w:w="2108" w:type="dxa"/>
            <w:noWrap w:val="0"/>
            <w:vAlign w:val="center"/>
          </w:tcPr>
          <w:p>
            <w:pPr>
              <w:widowControl w:val="0"/>
              <w:wordWrap w:val="0"/>
              <w:adjustRightInd w:val="0"/>
              <w:snapToGrid w:val="0"/>
              <w:spacing w:line="360" w:lineRule="exact"/>
              <w:jc w:val="center"/>
              <w:rPr>
                <w:rFonts w:ascii="Times New Roman" w:hAnsi="Times New Roman" w:eastAsia="宋体" w:cs="Times New Roman"/>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具备监理员岗位证书（有效期内）</w:t>
            </w:r>
          </w:p>
        </w:tc>
        <w:tc>
          <w:tcPr>
            <w:tcW w:w="606" w:type="dxa"/>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4"/>
                <w:highlight w:val="none"/>
                <w:lang w:val="en-US" w:eastAsia="zh-CN" w:bidi="ar-SA"/>
              </w:rPr>
              <w:t>2</w:t>
            </w:r>
          </w:p>
        </w:tc>
        <w:tc>
          <w:tcPr>
            <w:tcW w:w="4994" w:type="dxa"/>
            <w:noWrap w:val="0"/>
            <w:vAlign w:val="center"/>
          </w:tcPr>
          <w:p>
            <w:pPr>
              <w:widowControl w:val="0"/>
              <w:wordWrap w:val="0"/>
              <w:adjustRightInd w:val="0"/>
              <w:snapToGrid w:val="0"/>
              <w:spacing w:line="360" w:lineRule="exact"/>
              <w:jc w:val="both"/>
              <w:rPr>
                <w:rFonts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经监理业务培训，持有效的省级建设行政主管部门或其授权的组织（机构）颁发的岗位证书。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83" w:type="dxa"/>
            <w:noWrap w:val="0"/>
            <w:vAlign w:val="center"/>
          </w:tcPr>
          <w:p>
            <w:pPr>
              <w:widowControl w:val="0"/>
              <w:wordWrap w:val="0"/>
              <w:adjustRightInd w:val="0"/>
              <w:snapToGrid w:val="0"/>
              <w:spacing w:line="360" w:lineRule="exact"/>
              <w:jc w:val="center"/>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安全监理员</w:t>
            </w:r>
          </w:p>
        </w:tc>
        <w:tc>
          <w:tcPr>
            <w:tcW w:w="2108" w:type="dxa"/>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具备安全监理员岗位证书（有效期内）</w:t>
            </w:r>
          </w:p>
        </w:tc>
        <w:tc>
          <w:tcPr>
            <w:tcW w:w="606" w:type="dxa"/>
            <w:noWrap w:val="0"/>
            <w:vAlign w:val="center"/>
          </w:tcPr>
          <w:p>
            <w:pPr>
              <w:widowControl w:val="0"/>
              <w:wordWrap w:val="0"/>
              <w:adjustRightInd w:val="0"/>
              <w:snapToGrid w:val="0"/>
              <w:spacing w:line="360" w:lineRule="exact"/>
              <w:jc w:val="center"/>
              <w:rPr>
                <w:rFonts w:hint="eastAsia" w:ascii="宋体" w:hAnsi="宋体" w:eastAsia="宋体" w:cs="宋体"/>
                <w:snapToGrid w:val="0"/>
                <w:color w:val="auto"/>
                <w:kern w:val="0"/>
                <w:sz w:val="21"/>
                <w:szCs w:val="24"/>
                <w:highlight w:val="none"/>
                <w:lang w:val="en-US" w:eastAsia="zh-CN" w:bidi="ar-SA"/>
              </w:rPr>
            </w:pPr>
            <w:r>
              <w:rPr>
                <w:rFonts w:hint="eastAsia" w:ascii="宋体" w:hAnsi="宋体" w:eastAsia="宋体" w:cs="宋体"/>
                <w:snapToGrid w:val="0"/>
                <w:color w:val="auto"/>
                <w:kern w:val="0"/>
                <w:sz w:val="21"/>
                <w:szCs w:val="24"/>
                <w:highlight w:val="none"/>
                <w:lang w:val="en-US" w:eastAsia="zh-CN" w:bidi="ar-SA"/>
              </w:rPr>
              <w:t>1</w:t>
            </w:r>
          </w:p>
        </w:tc>
        <w:tc>
          <w:tcPr>
            <w:tcW w:w="4994" w:type="dxa"/>
            <w:noWrap w:val="0"/>
            <w:vAlign w:val="center"/>
          </w:tcPr>
          <w:p>
            <w:pPr>
              <w:widowControl w:val="0"/>
              <w:wordWrap w:val="0"/>
              <w:adjustRightInd w:val="0"/>
              <w:snapToGrid w:val="0"/>
              <w:spacing w:line="360" w:lineRule="exact"/>
              <w:jc w:val="both"/>
              <w:rPr>
                <w:rFonts w:hint="eastAsia" w:ascii="Times New Roman" w:hAnsi="Times New Roman" w:eastAsia="宋体" w:cs="Times New Roman"/>
                <w:snapToGrid w:val="0"/>
                <w:color w:val="auto"/>
                <w:kern w:val="0"/>
                <w:sz w:val="21"/>
                <w:szCs w:val="24"/>
                <w:highlight w:val="none"/>
                <w:lang w:val="en-US" w:eastAsia="zh-CN" w:bidi="ar-SA"/>
              </w:rPr>
            </w:pPr>
            <w:r>
              <w:rPr>
                <w:rFonts w:hint="eastAsia" w:ascii="Times New Roman" w:hAnsi="Times New Roman" w:eastAsia="宋体" w:cs="Times New Roman"/>
                <w:snapToGrid w:val="0"/>
                <w:color w:val="auto"/>
                <w:kern w:val="0"/>
                <w:sz w:val="21"/>
                <w:szCs w:val="24"/>
                <w:highlight w:val="none"/>
                <w:lang w:val="en-US" w:eastAsia="zh-CN" w:bidi="ar-SA"/>
              </w:rPr>
              <w:t>经监理业务培训，持有效的省级建设行政主管部门或其授权的组织（机构）颁发的岗位证书。</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highlight w:val="none"/>
        </w:rPr>
      </w:pPr>
      <w:r>
        <w:rPr>
          <w:rFonts w:hint="eastAsia" w:ascii="Times New Roman" w:cs="黑体"/>
          <w:color w:val="auto"/>
          <w:szCs w:val="24"/>
          <w:highlight w:val="none"/>
        </w:rPr>
        <w:t>注：以上人员一人一岗，不得重复。除总监理工程师外，拟委派的监理机构其他人员不作为形式评审、资格评审、响应性评审的审查内容，只作为综合评分的评审依据。</w:t>
      </w:r>
    </w:p>
    <w:p>
      <w:pPr>
        <w:pStyle w:val="30"/>
        <w:wordWrap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 xml:space="preserve">15.5.2 </w:t>
      </w:r>
      <w:r>
        <w:rPr>
          <w:rFonts w:hint="eastAsia" w:hAnsi="宋体" w:cs="宋体"/>
          <w:snapToGrid w:val="0"/>
          <w:color w:val="auto"/>
          <w:kern w:val="0"/>
          <w:highlight w:val="none"/>
        </w:rPr>
        <w:t>否决投标说明</w:t>
      </w:r>
    </w:p>
    <w:p>
      <w:pPr>
        <w:wordWrap w:val="0"/>
        <w:adjustRightInd w:val="0"/>
        <w:snapToGrid w:val="0"/>
        <w:spacing w:line="240" w:lineRule="auto"/>
        <w:ind w:firstLine="562"/>
        <w:rPr>
          <w:rFonts w:hAnsi="宋体" w:cs="宋体"/>
          <w:snapToGrid w:val="0"/>
          <w:color w:val="auto"/>
          <w:kern w:val="0"/>
          <w:highlight w:val="none"/>
        </w:rPr>
      </w:pPr>
      <w:r>
        <w:rPr>
          <w:rFonts w:hint="eastAsia" w:hAnsi="宋体" w:cs="宋体"/>
          <w:snapToGrid w:val="0"/>
          <w:color w:val="auto"/>
          <w:kern w:val="0"/>
          <w:highlight w:val="none"/>
        </w:rPr>
        <w:t>详细评审阶段否决投标的全部条件，在本章第四节“否决投标条件”第</w:t>
      </w:r>
      <w:r>
        <w:rPr>
          <w:rFonts w:hint="eastAsia" w:hAnsi="宋体" w:cs="宋体"/>
          <w:b/>
          <w:bCs/>
          <w:snapToGrid w:val="0"/>
          <w:color w:val="auto"/>
          <w:kern w:val="0"/>
          <w:highlight w:val="none"/>
        </w:rPr>
        <w:t>4</w:t>
      </w:r>
      <w:r>
        <w:rPr>
          <w:rFonts w:hint="eastAsia" w:hAnsi="宋体" w:cs="宋体"/>
          <w:snapToGrid w:val="0"/>
          <w:color w:val="auto"/>
          <w:kern w:val="0"/>
          <w:highlight w:val="none"/>
        </w:rPr>
        <w:t>条中集中列示。投标人有其中所列任何一种情形的，由评标委员会否决其投标。经详细评审后，若所有投标均被否决，招标人应当依法重新招标。</w:t>
      </w:r>
    </w:p>
    <w:p>
      <w:pPr>
        <w:wordWrap w:val="0"/>
        <w:adjustRightInd w:val="0"/>
        <w:snapToGrid w:val="0"/>
        <w:spacing w:line="240" w:lineRule="auto"/>
        <w:ind w:firstLine="482" w:firstLineChars="200"/>
        <w:rPr>
          <w:rFonts w:hAnsi="宋体" w:cs="宋体"/>
          <w:b/>
          <w:snapToGrid w:val="0"/>
          <w:color w:val="auto"/>
          <w:kern w:val="0"/>
          <w:highlight w:val="none"/>
        </w:rPr>
      </w:pPr>
      <w:r>
        <w:rPr>
          <w:rFonts w:hint="eastAsia" w:hAnsi="宋体" w:cs="宋体"/>
          <w:b/>
          <w:bCs/>
          <w:snapToGrid w:val="0"/>
          <w:color w:val="auto"/>
          <w:kern w:val="0"/>
          <w:highlight w:val="none"/>
        </w:rPr>
        <w:t>注：投标人在详细评审阶段根据评分方法提供的佐证材料，其合法性、有效性和准确性不符合要求的，有关评分因素的评分按相应评分标准处理，但不否决投标。</w:t>
      </w:r>
    </w:p>
    <w:p>
      <w:pPr>
        <w:wordWrap w:val="0"/>
        <w:adjustRightInd w:val="0"/>
        <w:snapToGrid w:val="0"/>
        <w:spacing w:line="240" w:lineRule="auto"/>
        <w:ind w:firstLine="482" w:firstLineChars="200"/>
        <w:outlineLvl w:val="2"/>
        <w:rPr>
          <w:rFonts w:hAnsi="宋体" w:cs="宋体"/>
          <w:b/>
          <w:snapToGrid w:val="0"/>
          <w:color w:val="auto"/>
          <w:kern w:val="0"/>
          <w:highlight w:val="none"/>
        </w:rPr>
      </w:pPr>
      <w:bookmarkStart w:id="82" w:name="_Toc9832"/>
      <w:r>
        <w:rPr>
          <w:rFonts w:hint="eastAsia" w:hAnsi="宋体" w:cs="宋体"/>
          <w:b/>
          <w:snapToGrid w:val="0"/>
          <w:color w:val="auto"/>
          <w:kern w:val="0"/>
          <w:highlight w:val="none"/>
        </w:rPr>
        <w:t>16．推荐中标候选人</w:t>
      </w:r>
      <w:bookmarkEnd w:id="82"/>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16.1</w:t>
      </w:r>
      <w:r>
        <w:rPr>
          <w:rFonts w:hint="eastAsia" w:hAnsi="宋体" w:cs="宋体"/>
          <w:snapToGrid w:val="0"/>
          <w:color w:val="auto"/>
          <w:kern w:val="0"/>
          <w:highlight w:val="none"/>
        </w:rPr>
        <w:t xml:space="preserve"> 确定排名</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16.2</w:t>
      </w:r>
      <w:r>
        <w:rPr>
          <w:rFonts w:hint="eastAsia" w:hAnsi="宋体" w:cs="宋体"/>
          <w:snapToGrid w:val="0"/>
          <w:color w:val="auto"/>
          <w:kern w:val="0"/>
          <w:highlight w:val="none"/>
        </w:rPr>
        <w:t xml:space="preserve"> 推荐方法</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（1）有效投标人数量达到或超过3个的，评标委员会将前三名投标人作为中标候选人向招标人推荐，并标明排列顺序。</w:t>
      </w:r>
    </w:p>
    <w:p>
      <w:pPr>
        <w:wordWrap w:val="0"/>
        <w:adjustRightInd w:val="0"/>
        <w:snapToGrid w:val="0"/>
        <w:spacing w:line="240" w:lineRule="auto"/>
        <w:ind w:firstLine="480" w:firstLineChars="200"/>
        <w:rPr>
          <w:rFonts w:hAnsi="宋体" w:cs="宋体"/>
          <w:i/>
          <w:iCs/>
          <w:snapToGrid w:val="0"/>
          <w:color w:val="auto"/>
          <w:kern w:val="0"/>
          <w:highlight w:val="none"/>
        </w:rPr>
      </w:pPr>
      <w:r>
        <w:rPr>
          <w:rFonts w:hint="eastAsia" w:hAnsi="宋体" w:cs="宋体"/>
          <w:snapToGrid w:val="0"/>
          <w:color w:val="auto"/>
          <w:kern w:val="0"/>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16.3</w:t>
      </w:r>
      <w:r>
        <w:rPr>
          <w:rFonts w:hint="eastAsia" w:hAnsi="宋体" w:cs="宋体"/>
          <w:snapToGrid w:val="0"/>
          <w:color w:val="auto"/>
          <w:kern w:val="0"/>
          <w:highlight w:val="none"/>
        </w:rPr>
        <w:t xml:space="preserve"> 评标委员会完成评标后，应向招标人提交由全体评标委员会成员签字的评标报告和中标候选人名单。</w:t>
      </w:r>
    </w:p>
    <w:p>
      <w:pPr>
        <w:wordWrap w:val="0"/>
        <w:adjustRightInd w:val="0"/>
        <w:snapToGrid w:val="0"/>
        <w:spacing w:line="240" w:lineRule="auto"/>
        <w:ind w:firstLine="482" w:firstLineChars="200"/>
        <w:outlineLvl w:val="2"/>
        <w:rPr>
          <w:rFonts w:hAnsi="宋体" w:cs="宋体"/>
          <w:b/>
          <w:snapToGrid w:val="0"/>
          <w:color w:val="auto"/>
          <w:kern w:val="0"/>
          <w:highlight w:val="none"/>
        </w:rPr>
      </w:pPr>
      <w:bookmarkStart w:id="83" w:name="_Toc22086"/>
      <w:r>
        <w:rPr>
          <w:rFonts w:hint="eastAsia" w:hAnsi="宋体" w:cs="宋体"/>
          <w:b/>
          <w:snapToGrid w:val="0"/>
          <w:color w:val="auto"/>
          <w:kern w:val="0"/>
          <w:highlight w:val="none"/>
        </w:rPr>
        <w:t>17．中标候选人公示</w:t>
      </w:r>
      <w:bookmarkEnd w:id="83"/>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17.1 招标人自收到评标委员会提交的书面评标报告和中标候选人名单之日起3日内，将评标结果（即中标候选人名单）、中标候选人投标文件（指商务标书分册）、评标过程（评标专家姓名用代码标记）一并在广东省招标投标监管网（https://www.gdzwfw.gov.cn/ztbjg-portal/#/index）、全国公共资源交易平台（广东省·韶关市）（https://ygp.gdzwfw.gov.cn/ggzy-portal/#/440200/index）进行公示，公示期不得少于3天。</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17.2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如通过“全国公共资源交易平台（广东省·韶关市）新建设工程交易系统”提出异议，投标人必须上传提交异议书扫描件（作为附件），异议书格式内容按照《韶关市工程建设项目招标投标活动异议和投诉处理办法》（韶发改〔2021〕44号）执行，否则招标人不予受理。投标人提出异议后，必须及时通知招标人查收，否则，由此造成的超出法律规定时限的后果，由投标人自行承担。招标人受理异议后，投标人须及时向招标人提交书面异议。</w:t>
      </w:r>
    </w:p>
    <w:p>
      <w:pPr>
        <w:wordWrap w:val="0"/>
        <w:adjustRightInd w:val="0"/>
        <w:snapToGrid w:val="0"/>
        <w:spacing w:line="240" w:lineRule="auto"/>
        <w:ind w:firstLine="480" w:firstLineChars="200"/>
        <w:rPr>
          <w:rFonts w:hAnsi="宋体" w:cs="宋体"/>
          <w:snapToGrid w:val="0"/>
          <w:color w:val="auto"/>
          <w:highlight w:val="none"/>
        </w:rPr>
      </w:pPr>
      <w:r>
        <w:rPr>
          <w:rFonts w:hint="eastAsia" w:hAnsi="宋体" w:cs="宋体"/>
          <w:snapToGrid w:val="0"/>
          <w:color w:val="auto"/>
          <w:kern w:val="0"/>
          <w:highlight w:val="none"/>
        </w:rPr>
        <w:t>17.3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7"/>
        <w:spacing w:line="360" w:lineRule="auto"/>
        <w:rPr>
          <w:rFonts w:hAnsi="宋体" w:cs="宋体"/>
          <w:snapToGrid w:val="0"/>
          <w:color w:val="auto"/>
          <w:highlight w:val="none"/>
        </w:rPr>
      </w:pPr>
    </w:p>
    <w:p>
      <w:pPr>
        <w:pStyle w:val="4"/>
        <w:wordWrap w:val="0"/>
        <w:autoSpaceDE/>
        <w:autoSpaceDN/>
        <w:snapToGrid w:val="0"/>
        <w:spacing w:before="260" w:after="260"/>
        <w:jc w:val="both"/>
        <w:rPr>
          <w:rFonts w:hAnsi="宋体" w:cs="宋体"/>
          <w:snapToGrid w:val="0"/>
          <w:color w:val="auto"/>
          <w:highlight w:val="none"/>
        </w:rPr>
      </w:pPr>
      <w:bookmarkStart w:id="84" w:name="_Toc9027"/>
      <w:bookmarkStart w:id="85" w:name="_Toc17488"/>
      <w:r>
        <w:rPr>
          <w:rFonts w:hint="eastAsia" w:hAnsi="宋体" w:cs="宋体"/>
          <w:b/>
          <w:bCs/>
          <w:snapToGrid w:val="0"/>
          <w:color w:val="auto"/>
          <w:sz w:val="28"/>
          <w:szCs w:val="18"/>
          <w:highlight w:val="none"/>
        </w:rPr>
        <w:t>第四节   否决投标条件</w:t>
      </w:r>
      <w:bookmarkEnd w:id="84"/>
      <w:bookmarkEnd w:id="85"/>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hAnsi="宋体" w:cs="宋体"/>
          <w:b/>
          <w:bCs/>
          <w:snapToGrid w:val="0"/>
          <w:color w:val="auto"/>
          <w:kern w:val="0"/>
          <w:highlight w:val="none"/>
        </w:rPr>
        <w:t>投标人未有列入本节情形的，评标时一律不得否决其投标。</w:t>
      </w:r>
      <w:r>
        <w:rPr>
          <w:rFonts w:hint="eastAsia" w:hAnsi="宋体" w:cs="宋体"/>
          <w:snapToGrid w:val="0"/>
          <w:color w:val="auto"/>
          <w:kern w:val="0"/>
          <w:highlight w:val="none"/>
        </w:rPr>
        <w:t>本节所称“规定”均指招标文件的规定。</w:t>
      </w:r>
    </w:p>
    <w:p>
      <w:pPr>
        <w:wordWrap w:val="0"/>
        <w:adjustRightInd w:val="0"/>
        <w:snapToGrid w:val="0"/>
        <w:spacing w:line="240" w:lineRule="auto"/>
        <w:ind w:firstLine="480"/>
        <w:outlineLvl w:val="2"/>
        <w:rPr>
          <w:rFonts w:hAnsi="宋体" w:cs="宋体"/>
          <w:snapToGrid w:val="0"/>
          <w:color w:val="auto"/>
          <w:kern w:val="0"/>
          <w:highlight w:val="none"/>
        </w:rPr>
      </w:pPr>
      <w:bookmarkStart w:id="86" w:name="_Toc6450"/>
      <w:r>
        <w:rPr>
          <w:rFonts w:hint="eastAsia" w:hAnsi="宋体" w:cs="宋体"/>
          <w:b/>
          <w:bCs/>
          <w:snapToGrid w:val="0"/>
          <w:color w:val="auto"/>
          <w:kern w:val="0"/>
          <w:highlight w:val="none"/>
        </w:rPr>
        <w:t>1．资格评审环节</w:t>
      </w:r>
      <w:bookmarkEnd w:id="86"/>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投标人有下列情形之一的，评标委员会应否决其投标。被否决的投标，不进入形式评审环节。</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（1）有本章第三节第</w:t>
      </w:r>
      <w:r>
        <w:rPr>
          <w:rFonts w:hint="eastAsia" w:hAnsi="宋体" w:cs="宋体"/>
          <w:b/>
          <w:bCs/>
          <w:snapToGrid w:val="0"/>
          <w:color w:val="auto"/>
          <w:kern w:val="0"/>
          <w:highlight w:val="none"/>
        </w:rPr>
        <w:t>2.4</w:t>
      </w:r>
      <w:r>
        <w:rPr>
          <w:rFonts w:hint="eastAsia" w:hAnsi="宋体" w:cs="宋体"/>
          <w:snapToGrid w:val="0"/>
          <w:color w:val="auto"/>
          <w:kern w:val="0"/>
          <w:highlight w:val="none"/>
        </w:rPr>
        <w:t>条“禁止投标条款”规定的任何一种情形；</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（2）投标人资质不符合</w:t>
      </w:r>
      <w:r>
        <w:rPr>
          <w:rFonts w:hint="eastAsia" w:hAnsi="宋体" w:cs="宋体"/>
          <w:snapToGrid w:val="0"/>
          <w:color w:val="auto"/>
          <w:kern w:val="0"/>
          <w:szCs w:val="18"/>
          <w:highlight w:val="none"/>
        </w:rPr>
        <w:t>规定的；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（3）投标人名称与营业执照、资质证书上的企业名称相互不一致的；其资质证书不是由住房城乡建设主管部门颁发的；营业执照、资质证书被吊销、暂扣或不在有效期内的；</w:t>
      </w:r>
    </w:p>
    <w:p>
      <w:pPr>
        <w:spacing w:line="240" w:lineRule="auto"/>
        <w:ind w:firstLine="482" w:firstLineChars="200"/>
        <w:rPr>
          <w:rFonts w:hAnsi="宋体" w:cs="宋体"/>
          <w:b/>
          <w:bCs/>
          <w:color w:val="auto"/>
          <w:highlight w:val="none"/>
        </w:rPr>
      </w:pPr>
      <w:r>
        <w:rPr>
          <w:rFonts w:hint="eastAsia" w:hAnsi="宋体" w:cs="宋体"/>
          <w:b/>
          <w:bCs/>
          <w:color w:val="auto"/>
          <w:highlight w:val="none"/>
        </w:rPr>
        <w:t>注：投标人已经工商变更，但其企业资质证书的企业名称未完成变更的，不得否决其投标；投标人营业执照、资质证书之间登记的信息不一致，应当允许投标人澄清，不得直接否决其投标。</w:t>
      </w:r>
    </w:p>
    <w:p>
      <w:pPr>
        <w:spacing w:line="240" w:lineRule="auto"/>
        <w:ind w:firstLine="482" w:firstLineChars="200"/>
        <w:rPr>
          <w:rFonts w:hAnsi="宋体" w:cs="宋体"/>
          <w:b/>
          <w:bCs/>
          <w:color w:val="auto"/>
          <w:highlight w:val="none"/>
        </w:rPr>
      </w:pPr>
      <w:r>
        <w:rPr>
          <w:rFonts w:hint="eastAsia" w:hAnsi="宋体" w:cs="宋体"/>
          <w:b/>
          <w:bCs/>
          <w:color w:val="auto"/>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（4）投标文件中拟派总监理工程师与《开标一览表》不一致的；拟派总监理工程师的条件不符合规定的；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（5）拟派总监理工程师的注册证书不是住房和城乡建设主管部门颁发的，或注册单位与投标人不一致的，或不在有效期内的；</w:t>
      </w:r>
    </w:p>
    <w:p>
      <w:pPr>
        <w:wordWrap w:val="0"/>
        <w:adjustRightInd w:val="0"/>
        <w:snapToGrid w:val="0"/>
        <w:spacing w:line="240" w:lineRule="auto"/>
        <w:ind w:firstLine="480"/>
        <w:rPr>
          <w:rFonts w:hAnsi="宋体" w:cs="宋体"/>
          <w:b/>
          <w:bCs/>
          <w:snapToGrid w:val="0"/>
          <w:color w:val="auto"/>
          <w:kern w:val="0"/>
          <w:highlight w:val="none"/>
        </w:rPr>
      </w:pPr>
      <w:r>
        <w:rPr>
          <w:rFonts w:hint="eastAsia" w:hAnsi="宋体" w:cs="宋体"/>
          <w:b/>
          <w:bCs/>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240" w:lineRule="auto"/>
        <w:ind w:firstLine="480"/>
        <w:rPr>
          <w:rFonts w:hAnsi="宋体" w:cs="宋体"/>
          <w:snapToGrid w:val="0"/>
          <w:color w:val="auto"/>
          <w:kern w:val="0"/>
          <w:szCs w:val="18"/>
          <w:highlight w:val="none"/>
        </w:rPr>
      </w:pPr>
      <w:r>
        <w:rPr>
          <w:rFonts w:hint="eastAsia" w:hAnsi="宋体" w:cs="宋体"/>
          <w:snapToGrid w:val="0"/>
          <w:color w:val="auto"/>
          <w:kern w:val="0"/>
          <w:highlight w:val="none"/>
        </w:rPr>
        <w:t>（6）招标文件规定不接受联合体投标，但以联合体投标的；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（7）投标人为外省企业，但未提供“进粤企业和人员诚信信息登记平台”企业信息情况的。</w:t>
      </w:r>
    </w:p>
    <w:p>
      <w:pPr>
        <w:wordWrap w:val="0"/>
        <w:adjustRightInd w:val="0"/>
        <w:snapToGrid w:val="0"/>
        <w:spacing w:line="240" w:lineRule="auto"/>
        <w:ind w:firstLine="480"/>
        <w:outlineLvl w:val="2"/>
        <w:rPr>
          <w:rFonts w:hAnsi="宋体" w:cs="宋体"/>
          <w:snapToGrid w:val="0"/>
          <w:color w:val="auto"/>
          <w:kern w:val="0"/>
          <w:highlight w:val="none"/>
        </w:rPr>
      </w:pPr>
      <w:bookmarkStart w:id="87" w:name="_Toc13756"/>
      <w:r>
        <w:rPr>
          <w:rFonts w:hint="eastAsia" w:hAnsi="宋体" w:cs="宋体"/>
          <w:b/>
          <w:bCs/>
          <w:snapToGrid w:val="0"/>
          <w:color w:val="auto"/>
          <w:kern w:val="0"/>
          <w:highlight w:val="none"/>
        </w:rPr>
        <w:t>2．形式评审环节</w:t>
      </w:r>
      <w:bookmarkEnd w:id="87"/>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投标人有下列情形之一的，评标委员会应否决其投标。被否决的投标，不进入响应性评审环节。</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（8）投标文件的分册组成不符合规定的；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（9）本章第三节第</w:t>
      </w:r>
      <w:r>
        <w:rPr>
          <w:rFonts w:hint="eastAsia" w:hAnsi="宋体" w:cs="宋体"/>
          <w:b/>
          <w:bCs/>
          <w:snapToGrid w:val="0"/>
          <w:color w:val="auto"/>
          <w:kern w:val="0"/>
          <w:szCs w:val="18"/>
          <w:highlight w:val="none"/>
        </w:rPr>
        <w:t>10.2.2</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第</w:t>
      </w:r>
      <w:r>
        <w:rPr>
          <w:rFonts w:hint="eastAsia" w:hAnsi="宋体" w:cs="宋体"/>
          <w:b/>
          <w:bCs/>
          <w:snapToGrid w:val="0"/>
          <w:color w:val="auto"/>
          <w:kern w:val="0"/>
          <w:szCs w:val="18"/>
          <w:highlight w:val="none"/>
        </w:rPr>
        <w:t>10.3.3</w:t>
      </w:r>
      <w:r>
        <w:rPr>
          <w:rFonts w:hint="eastAsia" w:hAnsi="宋体" w:cs="宋体"/>
          <w:snapToGrid w:val="0"/>
          <w:color w:val="auto"/>
          <w:kern w:val="0"/>
          <w:szCs w:val="18"/>
          <w:highlight w:val="none"/>
        </w:rPr>
        <w:t>目</w:t>
      </w:r>
      <w:r>
        <w:rPr>
          <w:rFonts w:hint="eastAsia" w:hAnsi="宋体" w:cs="宋体"/>
          <w:snapToGrid w:val="0"/>
          <w:color w:val="auto"/>
          <w:kern w:val="0"/>
          <w:highlight w:val="none"/>
        </w:rPr>
        <w:t>中规定的“</w:t>
      </w:r>
      <w:r>
        <w:rPr>
          <w:rFonts w:hint="eastAsia" w:hAnsi="宋体" w:cs="宋体"/>
          <w:snapToGrid w:val="0"/>
          <w:color w:val="auto"/>
          <w:kern w:val="0"/>
          <w:szCs w:val="18"/>
          <w:highlight w:val="none"/>
        </w:rPr>
        <w:t>所有投标人均应提供</w:t>
      </w:r>
      <w:r>
        <w:rPr>
          <w:rFonts w:hint="eastAsia" w:hAnsi="宋体" w:cs="宋体"/>
          <w:snapToGrid w:val="0"/>
          <w:color w:val="auto"/>
          <w:kern w:val="0"/>
          <w:highlight w:val="none"/>
        </w:rPr>
        <w:t>”的组成内容（包括该组成内容的所附资料）中，任何一项有缺漏的；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（10）关键字迹模糊、无法辨认，</w:t>
      </w:r>
      <w:r>
        <w:rPr>
          <w:rFonts w:hint="eastAsia" w:hAnsi="宋体" w:cs="宋体"/>
          <w:b/>
          <w:bCs/>
          <w:snapToGrid w:val="0"/>
          <w:color w:val="auto"/>
          <w:kern w:val="0"/>
          <w:highlight w:val="none"/>
        </w:rPr>
        <w:t>且该种过错将导致评标委员会无法作出投标文件是否响应招标文件实质性要求的</w:t>
      </w:r>
      <w:r>
        <w:rPr>
          <w:rFonts w:hint="eastAsia" w:hAnsi="宋体" w:cs="宋体"/>
          <w:snapToGrid w:val="0"/>
          <w:color w:val="auto"/>
          <w:kern w:val="0"/>
          <w:highlight w:val="none"/>
        </w:rPr>
        <w:t>；出现手工涂改、行间插字或删除，但未加盖单位章或由投标人的法定代表人或其委托代理人签字确认的；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（11）投标文件未按规定签字、盖章的；</w:t>
      </w:r>
    </w:p>
    <w:p>
      <w:pPr>
        <w:wordWrap w:val="0"/>
        <w:adjustRightInd w:val="0"/>
        <w:snapToGrid w:val="0"/>
        <w:spacing w:line="240" w:lineRule="auto"/>
        <w:ind w:firstLine="480"/>
        <w:outlineLvl w:val="2"/>
        <w:rPr>
          <w:rFonts w:hAnsi="宋体" w:cs="宋体"/>
          <w:b/>
          <w:bCs/>
          <w:snapToGrid w:val="0"/>
          <w:color w:val="auto"/>
          <w:kern w:val="0"/>
          <w:highlight w:val="none"/>
        </w:rPr>
      </w:pPr>
      <w:bookmarkStart w:id="88" w:name="_Toc26110"/>
      <w:r>
        <w:rPr>
          <w:rFonts w:hint="eastAsia" w:hAnsi="宋体" w:cs="宋体"/>
          <w:b/>
          <w:bCs/>
          <w:snapToGrid w:val="0"/>
          <w:color w:val="auto"/>
          <w:kern w:val="0"/>
          <w:highlight w:val="none"/>
        </w:rPr>
        <w:t>3．响应性评审环节</w:t>
      </w:r>
      <w:bookmarkEnd w:id="88"/>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投标人有下列情形之一的，评标委员会应否决其投标。被否决的投标，不进入详细评审阶段。</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（12）投标有效期、服务期限不符合规定的；擅自修改、遗漏《投标函》《各项承诺一览表》实质性内容的；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（13）出现两个或两个以上投标总价的（同一个投标总价大、小写不一致的除外）；投标总价超出最高投标限价的；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（14）在监理大纲评审中，评标委员会认定监理及相关服务的范围、内容、目标不符合规定的；质量、进度、造价监理措施明显不符合国家和省市现行有关规范、规定、标准，</w:t>
      </w:r>
      <w:r>
        <w:rPr>
          <w:rFonts w:hint="eastAsia" w:hAnsi="宋体" w:cs="宋体"/>
          <w:b/>
          <w:bCs/>
          <w:snapToGrid w:val="0"/>
          <w:color w:val="auto"/>
          <w:kern w:val="0"/>
          <w:highlight w:val="none"/>
        </w:rPr>
        <w:t>且该种过错将导致“三控制”目标无法实现的</w:t>
      </w:r>
      <w:r>
        <w:rPr>
          <w:rFonts w:hint="eastAsia" w:hAnsi="宋体" w:cs="宋体"/>
          <w:snapToGrid w:val="0"/>
          <w:color w:val="auto"/>
          <w:kern w:val="0"/>
          <w:highlight w:val="none"/>
        </w:rPr>
        <w:t>。</w:t>
      </w:r>
    </w:p>
    <w:p>
      <w:pPr>
        <w:wordWrap w:val="0"/>
        <w:adjustRightInd w:val="0"/>
        <w:snapToGrid w:val="0"/>
        <w:spacing w:line="240" w:lineRule="auto"/>
        <w:ind w:firstLine="480"/>
        <w:outlineLvl w:val="2"/>
        <w:rPr>
          <w:rFonts w:hAnsi="宋体" w:cs="宋体"/>
          <w:b/>
          <w:bCs/>
          <w:snapToGrid w:val="0"/>
          <w:color w:val="auto"/>
          <w:kern w:val="0"/>
          <w:highlight w:val="none"/>
        </w:rPr>
      </w:pPr>
      <w:bookmarkStart w:id="89" w:name="_Toc32064"/>
      <w:r>
        <w:rPr>
          <w:rFonts w:hint="eastAsia" w:hAnsi="宋体" w:cs="宋体"/>
          <w:b/>
          <w:bCs/>
          <w:snapToGrid w:val="0"/>
          <w:color w:val="auto"/>
          <w:kern w:val="0"/>
          <w:highlight w:val="none"/>
        </w:rPr>
        <w:t>4．其他</w:t>
      </w:r>
      <w:bookmarkEnd w:id="89"/>
    </w:p>
    <w:p>
      <w:pPr>
        <w:wordWrap w:val="0"/>
        <w:adjustRightInd w:val="0"/>
        <w:snapToGrid w:val="0"/>
        <w:spacing w:line="240" w:lineRule="auto"/>
        <w:ind w:firstLine="480"/>
        <w:rPr>
          <w:rFonts w:hAnsi="宋体" w:cs="宋体"/>
          <w:snapToGrid w:val="0"/>
          <w:color w:val="auto"/>
          <w:kern w:val="0"/>
          <w:szCs w:val="22"/>
          <w:highlight w:val="none"/>
        </w:rPr>
      </w:pPr>
      <w:r>
        <w:rPr>
          <w:rFonts w:hint="eastAsia" w:hAnsi="宋体" w:cs="宋体"/>
          <w:snapToGrid w:val="0"/>
          <w:color w:val="auto"/>
          <w:kern w:val="0"/>
          <w:highlight w:val="none"/>
        </w:rPr>
        <w:t>在任何评标环节（或阶段），投标人有下列情形之一的，评标委员会应否决其投标。</w:t>
      </w:r>
      <w:r>
        <w:rPr>
          <w:rFonts w:hint="eastAsia" w:hAnsi="宋体" w:cs="宋体"/>
          <w:snapToGrid w:val="0"/>
          <w:color w:val="auto"/>
          <w:kern w:val="0"/>
          <w:szCs w:val="22"/>
          <w:highlight w:val="none"/>
        </w:rPr>
        <w:t>被否决的投标，不进入下一环节（或阶段）。</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（15）不按评标委员会要求澄清、说明或补正的；</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（16）有下列情形之一，被评标委员会认定属于串通投标的：</w:t>
      </w:r>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①不同投标人的投标文件两处以上（含两处）错、漏一致；</w:t>
      </w:r>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②不同投标人的投标各项报价存在异常一致或者呈规律性变化；</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③不同投标人的投标文件由同一单位或者同一个人编制；</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④不同投标人的投标文件中投标资料（包括电子资料）相互混装或项目班子成员出现同一人；</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⑤不同投标人的投标文件由同一电脑编制或同一台附属设备上传；</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⑥不同投标人的投标保证由同一企业或同一账户资金缴纳；</w:t>
      </w:r>
    </w:p>
    <w:p>
      <w:pPr>
        <w:wordWrap w:val="0"/>
        <w:adjustRightInd w:val="0"/>
        <w:snapToGrid w:val="0"/>
        <w:spacing w:line="240" w:lineRule="auto"/>
        <w:ind w:firstLine="480"/>
        <w:rPr>
          <w:rFonts w:hAnsi="宋体" w:cs="宋体"/>
          <w:snapToGrid w:val="0"/>
          <w:color w:val="auto"/>
          <w:kern w:val="0"/>
          <w:highlight w:val="none"/>
        </w:rPr>
      </w:pPr>
      <w:r>
        <w:rPr>
          <w:rFonts w:hint="eastAsia" w:hAnsi="宋体" w:cs="宋体"/>
          <w:snapToGrid w:val="0"/>
          <w:color w:val="auto"/>
          <w:kern w:val="0"/>
          <w:highlight w:val="none"/>
        </w:rPr>
        <w:t>⑦不同投标人委托同一个人或注册在同一家企业的注册人员或同一家企业为其投标提供投标咨询、商务报价、技术咨询（招标项目本身要求采用专有技术的除外）等服务。</w:t>
      </w: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p>
      <w:pPr>
        <w:pStyle w:val="7"/>
        <w:spacing w:line="360" w:lineRule="auto"/>
        <w:rPr>
          <w:rFonts w:hAnsi="宋体" w:cs="宋体"/>
          <w:snapToGrid w:val="0"/>
          <w:color w:val="auto"/>
          <w:highlight w:val="none"/>
        </w:rPr>
      </w:pPr>
    </w:p>
    <w:bookmarkEnd w:id="80"/>
    <w:p>
      <w:pPr>
        <w:pStyle w:val="3"/>
        <w:tabs>
          <w:tab w:val="left" w:pos="885"/>
        </w:tabs>
        <w:wordWrap w:val="0"/>
        <w:autoSpaceDE/>
        <w:autoSpaceDN/>
        <w:snapToGrid w:val="0"/>
        <w:jc w:val="center"/>
        <w:rPr>
          <w:rFonts w:hAnsi="宋体" w:cs="宋体"/>
          <w:b/>
          <w:snapToGrid w:val="0"/>
          <w:color w:val="auto"/>
          <w:sz w:val="24"/>
          <w:highlight w:val="none"/>
        </w:rPr>
      </w:pPr>
      <w:bookmarkStart w:id="90" w:name="_Hlt69698769"/>
      <w:bookmarkStart w:id="91" w:name="_Hlt69698741"/>
      <w:bookmarkStart w:id="92" w:name="_Hlt69698722"/>
      <w:r>
        <w:rPr>
          <w:rFonts w:hint="eastAsia" w:hAnsi="宋体" w:cs="宋体"/>
          <w:b/>
          <w:snapToGrid w:val="0"/>
          <w:color w:val="auto"/>
          <w:sz w:val="24"/>
          <w:highlight w:val="none"/>
        </w:rPr>
        <w:br w:type="page"/>
      </w:r>
    </w:p>
    <w:p>
      <w:pPr>
        <w:pStyle w:val="3"/>
        <w:tabs>
          <w:tab w:val="left" w:pos="885"/>
        </w:tabs>
        <w:wordWrap w:val="0"/>
        <w:autoSpaceDE/>
        <w:autoSpaceDN/>
        <w:snapToGrid w:val="0"/>
        <w:jc w:val="center"/>
        <w:rPr>
          <w:rFonts w:hAnsi="宋体" w:cs="宋体"/>
          <w:b/>
          <w:snapToGrid w:val="0"/>
          <w:color w:val="auto"/>
          <w:sz w:val="32"/>
          <w:szCs w:val="32"/>
          <w:highlight w:val="none"/>
        </w:rPr>
      </w:pPr>
      <w:bookmarkStart w:id="93" w:name="_Toc15078"/>
      <w:bookmarkStart w:id="94" w:name="_Toc21075"/>
      <w:r>
        <w:rPr>
          <w:rFonts w:hint="eastAsia" w:hAnsi="宋体" w:cs="宋体"/>
          <w:b/>
          <w:snapToGrid w:val="0"/>
          <w:color w:val="auto"/>
          <w:sz w:val="32"/>
          <w:szCs w:val="32"/>
          <w:highlight w:val="none"/>
        </w:rPr>
        <w:t>第</w:t>
      </w:r>
      <w:bookmarkStart w:id="95" w:name="_Hlt69669171"/>
      <w:bookmarkEnd w:id="95"/>
      <w:r>
        <w:rPr>
          <w:rFonts w:hint="eastAsia" w:hAnsi="宋体" w:cs="宋体"/>
          <w:b/>
          <w:snapToGrid w:val="0"/>
          <w:color w:val="auto"/>
          <w:sz w:val="32"/>
          <w:szCs w:val="32"/>
          <w:highlight w:val="none"/>
        </w:rPr>
        <w:t>二章</w:t>
      </w:r>
      <w:bookmarkStart w:id="96" w:name="_Hlt87793839"/>
      <w:bookmarkEnd w:id="96"/>
      <w:r>
        <w:rPr>
          <w:rFonts w:hint="eastAsia" w:hAnsi="宋体" w:cs="宋体"/>
          <w:b/>
          <w:snapToGrid w:val="0"/>
          <w:color w:val="auto"/>
          <w:sz w:val="32"/>
          <w:szCs w:val="32"/>
          <w:highlight w:val="none"/>
        </w:rPr>
        <w:t xml:space="preserve">   中标人须知</w:t>
      </w:r>
      <w:bookmarkEnd w:id="90"/>
      <w:bookmarkEnd w:id="91"/>
      <w:bookmarkEnd w:id="92"/>
      <w:bookmarkEnd w:id="93"/>
      <w:bookmarkEnd w:id="94"/>
    </w:p>
    <w:p>
      <w:pPr>
        <w:wordWrap w:val="0"/>
        <w:adjustRightInd w:val="0"/>
        <w:snapToGrid w:val="0"/>
        <w:spacing w:line="380" w:lineRule="exact"/>
        <w:ind w:firstLine="562"/>
        <w:outlineLvl w:val="1"/>
        <w:rPr>
          <w:rFonts w:hAnsi="宋体" w:cs="宋体"/>
          <w:snapToGrid w:val="0"/>
          <w:color w:val="auto"/>
          <w:kern w:val="0"/>
          <w:highlight w:val="none"/>
        </w:rPr>
      </w:pPr>
      <w:bookmarkStart w:id="97" w:name="_Toc2499"/>
      <w:r>
        <w:rPr>
          <w:rFonts w:hint="eastAsia" w:hAnsi="宋体" w:cs="宋体"/>
          <w:b/>
          <w:snapToGrid w:val="0"/>
          <w:color w:val="auto"/>
          <w:kern w:val="0"/>
          <w:highlight w:val="none"/>
        </w:rPr>
        <w:t>1．中标通知书</w:t>
      </w:r>
      <w:bookmarkEnd w:id="97"/>
    </w:p>
    <w:p>
      <w:pPr>
        <w:wordWrap w:val="0"/>
        <w:adjustRightInd w:val="0"/>
        <w:snapToGrid w:val="0"/>
        <w:spacing w:line="380" w:lineRule="exact"/>
        <w:ind w:firstLine="562"/>
        <w:rPr>
          <w:rFonts w:hAnsi="宋体" w:cs="宋体"/>
          <w:snapToGrid w:val="0"/>
          <w:color w:val="auto"/>
          <w:kern w:val="0"/>
          <w:highlight w:val="none"/>
        </w:rPr>
      </w:pPr>
      <w:r>
        <w:rPr>
          <w:rFonts w:hint="eastAsia" w:hAnsi="宋体" w:cs="宋体"/>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380" w:lineRule="exact"/>
        <w:ind w:firstLine="562"/>
        <w:outlineLvl w:val="1"/>
        <w:rPr>
          <w:rFonts w:hAnsi="宋体" w:cs="宋体"/>
          <w:snapToGrid w:val="0"/>
          <w:color w:val="auto"/>
          <w:kern w:val="0"/>
          <w:highlight w:val="none"/>
        </w:rPr>
      </w:pPr>
      <w:bookmarkStart w:id="98" w:name="_Toc27114"/>
      <w:r>
        <w:rPr>
          <w:rFonts w:hint="eastAsia" w:hAnsi="宋体" w:cs="宋体"/>
          <w:b/>
          <w:bCs/>
          <w:snapToGrid w:val="0"/>
          <w:color w:val="auto"/>
          <w:kern w:val="0"/>
          <w:highlight w:val="none"/>
        </w:rPr>
        <w:t>2．中标结果公示</w:t>
      </w:r>
      <w:bookmarkEnd w:id="98"/>
    </w:p>
    <w:p>
      <w:pPr>
        <w:wordWrap w:val="0"/>
        <w:adjustRightInd w:val="0"/>
        <w:snapToGrid w:val="0"/>
        <w:spacing w:line="380" w:lineRule="exact"/>
        <w:ind w:firstLine="562"/>
        <w:rPr>
          <w:rFonts w:hAnsi="宋体" w:cs="宋体"/>
          <w:snapToGrid w:val="0"/>
          <w:color w:val="auto"/>
          <w:kern w:val="0"/>
          <w:highlight w:val="none"/>
        </w:rPr>
      </w:pPr>
      <w:r>
        <w:rPr>
          <w:rFonts w:hint="eastAsia" w:hAnsi="宋体" w:cs="宋体"/>
          <w:snapToGrid w:val="0"/>
          <w:color w:val="auto"/>
          <w:kern w:val="0"/>
          <w:highlight w:val="none"/>
        </w:rPr>
        <w:t>中标通知书发出后15日内，招标人应将中标结果在广东省招标投标监管网（https://www.gdzwfw.gov.cn/ztbjg-portal/#/index）及全国公共资源交易平台（广东省·韶关市）（https://ygp.gdzwfw.gov.cn/ggzy-portal/#/440200/index）进行公示。</w:t>
      </w:r>
    </w:p>
    <w:p>
      <w:pPr>
        <w:wordWrap w:val="0"/>
        <w:adjustRightInd w:val="0"/>
        <w:snapToGrid w:val="0"/>
        <w:spacing w:line="380" w:lineRule="exact"/>
        <w:ind w:firstLine="562"/>
        <w:outlineLvl w:val="1"/>
        <w:rPr>
          <w:rFonts w:hAnsi="宋体" w:cs="宋体"/>
          <w:snapToGrid w:val="0"/>
          <w:color w:val="auto"/>
          <w:kern w:val="0"/>
          <w:highlight w:val="none"/>
        </w:rPr>
      </w:pPr>
      <w:bookmarkStart w:id="99" w:name="_Toc30396"/>
      <w:r>
        <w:rPr>
          <w:rFonts w:hint="eastAsia" w:hAnsi="宋体" w:cs="宋体"/>
          <w:b/>
          <w:bCs/>
          <w:snapToGrid w:val="0"/>
          <w:color w:val="auto"/>
          <w:kern w:val="0"/>
          <w:highlight w:val="none"/>
        </w:rPr>
        <w:t>3．履约保证</w:t>
      </w:r>
      <w:bookmarkEnd w:id="99"/>
    </w:p>
    <w:p>
      <w:pPr>
        <w:wordWrap w:val="0"/>
        <w:adjustRightInd w:val="0"/>
        <w:snapToGrid w:val="0"/>
        <w:spacing w:line="380" w:lineRule="exact"/>
        <w:ind w:firstLine="562"/>
        <w:rPr>
          <w:rFonts w:hAnsi="宋体" w:cs="宋体"/>
          <w:snapToGrid w:val="0"/>
          <w:color w:val="auto"/>
          <w:kern w:val="0"/>
          <w:highlight w:val="none"/>
        </w:rPr>
      </w:pPr>
      <w:r>
        <w:rPr>
          <w:rFonts w:hint="eastAsia" w:hAnsi="宋体" w:cs="宋体"/>
          <w:b/>
          <w:bCs/>
          <w:snapToGrid w:val="0"/>
          <w:color w:val="auto"/>
          <w:kern w:val="0"/>
          <w:highlight w:val="none"/>
        </w:rPr>
        <w:t>3.1</w:t>
      </w:r>
      <w:r>
        <w:rPr>
          <w:rFonts w:hint="eastAsia" w:hAnsi="宋体" w:cs="宋体"/>
          <w:snapToGrid w:val="0"/>
          <w:color w:val="auto"/>
          <w:kern w:val="0"/>
          <w:highlight w:val="none"/>
        </w:rPr>
        <w:t xml:space="preserve"> 中标人须在领取中标通知书之日起</w:t>
      </w:r>
      <w:r>
        <w:rPr>
          <w:rFonts w:hint="eastAsia" w:hAnsi="宋体" w:cs="宋体"/>
          <w:snapToGrid w:val="0"/>
          <w:color w:val="auto"/>
          <w:kern w:val="0"/>
          <w:highlight w:val="none"/>
          <w:u w:val="single"/>
        </w:rPr>
        <w:t>10</w:t>
      </w:r>
      <w:r>
        <w:rPr>
          <w:rFonts w:hint="eastAsia" w:hAnsi="宋体" w:cs="宋体"/>
          <w:snapToGrid w:val="0"/>
          <w:color w:val="auto"/>
          <w:kern w:val="0"/>
          <w:highlight w:val="none"/>
        </w:rPr>
        <w:t>个工作日内、签订合同前向招标人提交金额为中标价</w:t>
      </w:r>
      <w:r>
        <w:rPr>
          <w:rFonts w:hint="eastAsia" w:hAnsi="宋体" w:cs="宋体"/>
          <w:snapToGrid w:val="0"/>
          <w:color w:val="auto"/>
          <w:kern w:val="0"/>
          <w:highlight w:val="none"/>
          <w:u w:val="single"/>
        </w:rPr>
        <w:t>10</w:t>
      </w:r>
      <w:r>
        <w:rPr>
          <w:rFonts w:hint="eastAsia" w:hAnsi="宋体" w:cs="宋体"/>
          <w:snapToGrid w:val="0"/>
          <w:color w:val="auto"/>
          <w:kern w:val="0"/>
          <w:highlight w:val="none"/>
        </w:rPr>
        <w:t>%的履约保证。</w:t>
      </w:r>
    </w:p>
    <w:p>
      <w:pPr>
        <w:wordWrap w:val="0"/>
        <w:adjustRightInd w:val="0"/>
        <w:snapToGrid w:val="0"/>
        <w:spacing w:line="380" w:lineRule="exact"/>
        <w:ind w:firstLine="562"/>
        <w:rPr>
          <w:rFonts w:hAnsi="宋体" w:cs="宋体"/>
          <w:snapToGrid w:val="0"/>
          <w:color w:val="auto"/>
          <w:kern w:val="0"/>
          <w:highlight w:val="none"/>
        </w:rPr>
      </w:pPr>
      <w:r>
        <w:rPr>
          <w:rFonts w:hint="eastAsia" w:hAnsi="宋体" w:cs="宋体"/>
          <w:b/>
          <w:bCs/>
          <w:snapToGrid w:val="0"/>
          <w:color w:val="auto"/>
          <w:kern w:val="0"/>
          <w:highlight w:val="none"/>
        </w:rPr>
        <w:t>3.2</w:t>
      </w:r>
      <w:r>
        <w:rPr>
          <w:rFonts w:hint="eastAsia" w:hAnsi="宋体" w:cs="宋体"/>
          <w:snapToGrid w:val="0"/>
          <w:color w:val="auto"/>
          <w:kern w:val="0"/>
          <w:highlight w:val="none"/>
        </w:rPr>
        <w:t>履约保证的形式包括履约保证金、履约保证担保、履约保证保险三种，由中标人自主选择。</w:t>
      </w:r>
    </w:p>
    <w:p>
      <w:pPr>
        <w:wordWrap w:val="0"/>
        <w:adjustRightInd w:val="0"/>
        <w:snapToGrid w:val="0"/>
        <w:spacing w:line="38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（1）采用履约保证金的，中标人须从其法人开户银行的账号将履约保证金划至招标人账户，并详细注明项目名称及用途。招标人指定账户的开户名称为</w:t>
      </w:r>
      <w:r>
        <w:rPr>
          <w:rFonts w:hint="eastAsia" w:hAnsi="宋体" w:cs="宋体"/>
          <w:snapToGrid w:val="0"/>
          <w:color w:val="auto"/>
          <w:kern w:val="0"/>
          <w:highlight w:val="none"/>
          <w:u w:val="single"/>
        </w:rPr>
        <w:t>韶关市武江区人民政府惠民街道办事处</w:t>
      </w:r>
      <w:r>
        <w:rPr>
          <w:rFonts w:hint="eastAsia" w:hAnsi="宋体" w:cs="宋体"/>
          <w:snapToGrid w:val="0"/>
          <w:color w:val="auto"/>
          <w:kern w:val="0"/>
          <w:highlight w:val="none"/>
        </w:rPr>
        <w:t>，开户银行为</w:t>
      </w:r>
      <w:r>
        <w:rPr>
          <w:rFonts w:hint="eastAsia" w:hAnsi="宋体" w:cs="宋体"/>
          <w:snapToGrid w:val="0"/>
          <w:color w:val="auto"/>
          <w:kern w:val="0"/>
          <w:highlight w:val="none"/>
          <w:u w:val="single"/>
        </w:rPr>
        <w:t>建行韶关西城支行</w:t>
      </w:r>
      <w:r>
        <w:rPr>
          <w:rFonts w:hint="eastAsia" w:hAnsi="宋体" w:cs="宋体"/>
          <w:snapToGrid w:val="0"/>
          <w:color w:val="auto"/>
          <w:kern w:val="0"/>
          <w:highlight w:val="none"/>
        </w:rPr>
        <w:t>，银行账号为</w:t>
      </w:r>
      <w:r>
        <w:rPr>
          <w:rFonts w:hint="eastAsia" w:hAnsi="宋体" w:cs="宋体"/>
          <w:snapToGrid w:val="0"/>
          <w:color w:val="auto"/>
          <w:kern w:val="0"/>
          <w:highlight w:val="none"/>
          <w:u w:val="single"/>
        </w:rPr>
        <w:t>44001628637050110703</w:t>
      </w:r>
      <w:r>
        <w:rPr>
          <w:rFonts w:hint="eastAsia" w:hAnsi="宋体" w:cs="宋体"/>
          <w:snapToGrid w:val="0"/>
          <w:color w:val="auto"/>
          <w:kern w:val="0"/>
          <w:highlight w:val="none"/>
        </w:rPr>
        <w:t>。</w:t>
      </w:r>
    </w:p>
    <w:p>
      <w:pPr>
        <w:wordWrap w:val="0"/>
        <w:adjustRightInd w:val="0"/>
        <w:snapToGrid w:val="0"/>
        <w:spacing w:line="38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3.3</w:t>
      </w:r>
      <w:r>
        <w:rPr>
          <w:rFonts w:hint="eastAsia" w:hAnsi="宋体" w:cs="宋体"/>
          <w:snapToGrid w:val="0"/>
          <w:color w:val="auto"/>
          <w:kern w:val="0"/>
          <w:highlight w:val="none"/>
        </w:rPr>
        <w:t>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3.4</w:t>
      </w:r>
      <w:r>
        <w:rPr>
          <w:rFonts w:hint="eastAsia" w:hAnsi="宋体" w:cs="宋体"/>
          <w:snapToGrid w:val="0"/>
          <w:color w:val="auto"/>
          <w:kern w:val="0"/>
          <w:highlight w:val="none"/>
        </w:rPr>
        <w:t>在监理实施过程中，如果监理人（即招标阶段的中标人，下同）不履行合同约定的义务或其履行不符合合同的约定，委托人（即招标阶段的招标人，下同）和建设单位有权扣划相应金额的履约保证。</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3.5</w:t>
      </w:r>
      <w:r>
        <w:rPr>
          <w:rFonts w:hint="eastAsia" w:hAnsi="宋体" w:cs="宋体"/>
          <w:snapToGrid w:val="0"/>
          <w:color w:val="auto"/>
          <w:kern w:val="0"/>
          <w:highlight w:val="none"/>
        </w:rPr>
        <w:t>项目通过竣工验收之日后28天内，建设单位将履约保证退还给监理人。</w:t>
      </w:r>
    </w:p>
    <w:p>
      <w:pPr>
        <w:wordWrap w:val="0"/>
        <w:adjustRightInd w:val="0"/>
        <w:snapToGrid w:val="0"/>
        <w:spacing w:line="380" w:lineRule="exact"/>
        <w:ind w:firstLine="482" w:firstLineChars="200"/>
        <w:outlineLvl w:val="1"/>
        <w:rPr>
          <w:rFonts w:hAnsi="宋体" w:cs="宋体"/>
          <w:b/>
          <w:bCs/>
          <w:snapToGrid w:val="0"/>
          <w:color w:val="auto"/>
          <w:kern w:val="0"/>
          <w:highlight w:val="none"/>
        </w:rPr>
      </w:pPr>
      <w:bookmarkStart w:id="100" w:name="_Toc18017"/>
      <w:r>
        <w:rPr>
          <w:rFonts w:hint="eastAsia" w:hAnsi="宋体" w:cs="宋体"/>
          <w:b/>
          <w:bCs/>
          <w:snapToGrid w:val="0"/>
          <w:color w:val="auto"/>
          <w:kern w:val="0"/>
          <w:highlight w:val="none"/>
        </w:rPr>
        <w:t>4．合同订立</w:t>
      </w:r>
      <w:bookmarkEnd w:id="100"/>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4.1</w:t>
      </w:r>
      <w:r>
        <w:rPr>
          <w:rFonts w:hint="eastAsia" w:hAnsi="宋体" w:cs="宋体"/>
          <w:snapToGrid w:val="0"/>
          <w:color w:val="auto"/>
          <w:kern w:val="0"/>
          <w:highlight w:val="none"/>
        </w:rPr>
        <w:t>招标人应当自中标通知书发出之日起</w:t>
      </w:r>
      <w:r>
        <w:rPr>
          <w:rFonts w:hint="eastAsia" w:hAnsi="宋体" w:cs="宋体"/>
          <w:snapToGrid w:val="0"/>
          <w:color w:val="auto"/>
          <w:kern w:val="0"/>
          <w:highlight w:val="none"/>
          <w:u w:val="single"/>
        </w:rPr>
        <w:t>30</w:t>
      </w:r>
      <w:r>
        <w:rPr>
          <w:rFonts w:hint="eastAsia" w:hAnsi="宋体" w:cs="宋体"/>
          <w:snapToGrid w:val="0"/>
          <w:color w:val="auto"/>
          <w:kern w:val="0"/>
          <w:highlight w:val="none"/>
        </w:rPr>
        <w:t>日内，按照招标文件、中标人的投标文件与中标人订立书面合同。</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4.2</w:t>
      </w:r>
      <w:r>
        <w:rPr>
          <w:rFonts w:hint="eastAsia" w:hAnsi="宋体" w:cs="宋体"/>
          <w:snapToGrid w:val="0"/>
          <w:color w:val="auto"/>
          <w:kern w:val="0"/>
          <w:highlight w:val="none"/>
        </w:rPr>
        <w:t xml:space="preserve"> 合同的标的、质量、履行期限条款和合同的价款、风险分担等主要条款，应当与招标文件、中标人的投标文件的内容一致。中标人在签订合同时不得向招标人提出附加条件。</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4.3</w:t>
      </w:r>
      <w:r>
        <w:rPr>
          <w:rFonts w:hint="eastAsia" w:hAnsi="宋体" w:cs="宋体"/>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4.4</w:t>
      </w:r>
      <w:r>
        <w:rPr>
          <w:rFonts w:hint="eastAsia" w:hAnsi="宋体" w:cs="宋体"/>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pPr>
        <w:wordWrap w:val="0"/>
        <w:adjustRightInd w:val="0"/>
        <w:snapToGrid w:val="0"/>
        <w:spacing w:line="380" w:lineRule="exact"/>
        <w:ind w:firstLine="482" w:firstLineChars="200"/>
        <w:outlineLvl w:val="1"/>
        <w:rPr>
          <w:rFonts w:hAnsi="宋体" w:cs="宋体"/>
          <w:snapToGrid w:val="0"/>
          <w:color w:val="auto"/>
          <w:kern w:val="0"/>
          <w:highlight w:val="none"/>
        </w:rPr>
      </w:pPr>
      <w:bookmarkStart w:id="101" w:name="_Toc15184"/>
      <w:r>
        <w:rPr>
          <w:rFonts w:hint="eastAsia" w:hAnsi="宋体" w:cs="宋体"/>
          <w:b/>
          <w:bCs/>
          <w:snapToGrid w:val="0"/>
          <w:color w:val="auto"/>
          <w:kern w:val="0"/>
          <w:highlight w:val="none"/>
        </w:rPr>
        <w:t>5．放弃中标的处理</w:t>
      </w:r>
      <w:bookmarkEnd w:id="101"/>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5.1</w:t>
      </w:r>
      <w:r>
        <w:rPr>
          <w:rFonts w:hint="eastAsia" w:hAnsi="宋体" w:cs="宋体"/>
          <w:snapToGrid w:val="0"/>
          <w:color w:val="auto"/>
          <w:kern w:val="0"/>
          <w:highlight w:val="none"/>
        </w:rPr>
        <w:t xml:space="preserve"> 中标人</w:t>
      </w:r>
      <w:r>
        <w:rPr>
          <w:rFonts w:hint="eastAsia" w:hAnsi="宋体" w:cs="宋体"/>
          <w:snapToGrid w:val="0"/>
          <w:color w:val="auto"/>
          <w:highlight w:val="none"/>
        </w:rPr>
        <w:t>无正当理由放弃中标的，</w:t>
      </w:r>
      <w:r>
        <w:rPr>
          <w:rFonts w:hint="eastAsia" w:hAnsi="宋体" w:cs="宋体"/>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hAnsi="宋体" w:cs="宋体"/>
          <w:bCs/>
          <w:snapToGrid w:val="0"/>
          <w:color w:val="auto"/>
          <w:kern w:val="0"/>
          <w:highlight w:val="none"/>
        </w:rPr>
        <w:t>因此种情况造成招标人重新招标的</w:t>
      </w:r>
      <w:r>
        <w:rPr>
          <w:rFonts w:hint="eastAsia" w:hAnsi="宋体" w:cs="宋体"/>
          <w:snapToGrid w:val="0"/>
          <w:color w:val="auto"/>
          <w:kern w:val="0"/>
          <w:highlight w:val="none"/>
        </w:rPr>
        <w:t>，招标人可不接受该弃标人再次投标。同时，招标人应将该弃标人的失信行为向行政监督部门报告。</w:t>
      </w:r>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5.2</w:t>
      </w:r>
      <w:r>
        <w:rPr>
          <w:rFonts w:hint="eastAsia" w:hAnsi="宋体" w:cs="宋体"/>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380" w:lineRule="exact"/>
        <w:ind w:firstLine="482" w:firstLineChars="200"/>
        <w:outlineLvl w:val="1"/>
        <w:rPr>
          <w:rFonts w:hAnsi="宋体" w:cs="宋体"/>
          <w:snapToGrid w:val="0"/>
          <w:color w:val="auto"/>
          <w:kern w:val="0"/>
          <w:highlight w:val="none"/>
        </w:rPr>
      </w:pPr>
      <w:bookmarkStart w:id="102" w:name="_Toc7774"/>
      <w:r>
        <w:rPr>
          <w:rFonts w:hint="eastAsia" w:hAnsi="宋体" w:cs="宋体"/>
          <w:b/>
          <w:bCs/>
          <w:snapToGrid w:val="0"/>
          <w:color w:val="auto"/>
          <w:kern w:val="0"/>
          <w:highlight w:val="none"/>
        </w:rPr>
        <w:t>6．分包</w:t>
      </w:r>
      <w:bookmarkEnd w:id="102"/>
    </w:p>
    <w:p>
      <w:pPr>
        <w:wordWrap w:val="0"/>
        <w:adjustRightInd w:val="0"/>
        <w:snapToGrid w:val="0"/>
        <w:spacing w:line="38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合同范围内的监理服务严禁分包，一经发现，委托人有权解除合同，由此引起的一切经济损失和法律责任由监理人自行承担。</w:t>
      </w:r>
    </w:p>
    <w:p>
      <w:pPr>
        <w:wordWrap w:val="0"/>
        <w:adjustRightInd w:val="0"/>
        <w:snapToGrid w:val="0"/>
        <w:spacing w:line="380" w:lineRule="exact"/>
        <w:ind w:firstLine="482" w:firstLineChars="200"/>
        <w:outlineLvl w:val="1"/>
        <w:rPr>
          <w:rFonts w:hAnsi="宋体" w:cs="宋体"/>
          <w:snapToGrid w:val="0"/>
          <w:color w:val="auto"/>
          <w:kern w:val="0"/>
          <w:highlight w:val="none"/>
        </w:rPr>
      </w:pPr>
      <w:bookmarkStart w:id="103" w:name="_Toc10068"/>
      <w:r>
        <w:rPr>
          <w:rFonts w:hint="eastAsia" w:hAnsi="宋体" w:cs="宋体"/>
          <w:b/>
          <w:bCs/>
          <w:snapToGrid w:val="0"/>
          <w:color w:val="auto"/>
          <w:kern w:val="0"/>
          <w:highlight w:val="none"/>
        </w:rPr>
        <w:t>7．诚信登记</w:t>
      </w:r>
      <w:bookmarkEnd w:id="103"/>
    </w:p>
    <w:p>
      <w:pPr>
        <w:wordWrap w:val="0"/>
        <w:adjustRightInd w:val="0"/>
        <w:snapToGrid w:val="0"/>
        <w:spacing w:line="38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监理人在签订合同之日起30日内，须按《韶关市住建管理局关于加强我市建筑行业企业及注册执业人员诚信管理的通知》（韶市建字〔2018）56号）的要求办理诚信登记，纳入诚信管理范围。</w:t>
      </w:r>
    </w:p>
    <w:p>
      <w:pPr>
        <w:wordWrap w:val="0"/>
        <w:adjustRightInd w:val="0"/>
        <w:snapToGrid w:val="0"/>
        <w:spacing w:line="380" w:lineRule="exact"/>
        <w:ind w:firstLine="482" w:firstLineChars="200"/>
        <w:outlineLvl w:val="1"/>
        <w:rPr>
          <w:rFonts w:hAnsi="宋体" w:cs="宋体"/>
          <w:b/>
          <w:bCs/>
          <w:snapToGrid w:val="0"/>
          <w:color w:val="auto"/>
          <w:kern w:val="0"/>
          <w:highlight w:val="none"/>
        </w:rPr>
      </w:pPr>
      <w:bookmarkStart w:id="104" w:name="_Toc20224"/>
      <w:r>
        <w:rPr>
          <w:rFonts w:hint="eastAsia" w:hAnsi="宋体" w:cs="宋体"/>
          <w:b/>
          <w:bCs/>
          <w:snapToGrid w:val="0"/>
          <w:color w:val="auto"/>
          <w:kern w:val="0"/>
          <w:highlight w:val="none"/>
        </w:rPr>
        <w:t>8．监理服务期限</w:t>
      </w:r>
      <w:bookmarkEnd w:id="104"/>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8.1</w:t>
      </w:r>
      <w:r>
        <w:rPr>
          <w:rFonts w:hint="eastAsia" w:hAnsi="宋体" w:cs="宋体"/>
          <w:snapToGrid w:val="0"/>
          <w:color w:val="auto"/>
          <w:kern w:val="0"/>
          <w:highlight w:val="none"/>
        </w:rPr>
        <w:t xml:space="preserve"> 当满足专用合同条款约定的开始监理条件时，委托人应提前7天向监理人发出开始监理通知。监理服务期限自开始监理通知中载明的开始监理日期起计算。</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8.2</w:t>
      </w:r>
      <w:r>
        <w:rPr>
          <w:rFonts w:hint="eastAsia" w:hAnsi="宋体" w:cs="宋体"/>
          <w:snapToGrid w:val="0"/>
          <w:color w:val="auto"/>
          <w:kern w:val="0"/>
          <w:highlight w:val="none"/>
        </w:rPr>
        <w:t xml:space="preserve"> 在合同履行过程中</w:t>
      </w:r>
      <w:r>
        <w:rPr>
          <w:rFonts w:hint="eastAsia" w:hAnsi="宋体" w:cs="宋体"/>
          <w:snapToGrid w:val="0"/>
          <w:color w:val="auto"/>
          <w:kern w:val="0"/>
          <w:highlight w:val="none"/>
          <w:lang w:eastAsia="zh-CN"/>
        </w:rPr>
        <w:t>，</w:t>
      </w:r>
      <w:r>
        <w:rPr>
          <w:rFonts w:hint="eastAsia" w:hAnsi="宋体" w:cs="宋体"/>
          <w:snapToGrid w:val="0"/>
          <w:color w:val="auto"/>
          <w:kern w:val="0"/>
          <w:highlight w:val="none"/>
        </w:rPr>
        <w:t>项目建设期间，即使出现缓建或停建事件导致监理工期延长，不另增加监理服务费。如确非监理人原因导致的工期延误，可以允许工期顺延，但委托人不增加监理酬金。</w:t>
      </w:r>
    </w:p>
    <w:p>
      <w:pPr>
        <w:pStyle w:val="22"/>
        <w:rPr>
          <w:color w:val="auto"/>
          <w:highlight w:val="none"/>
        </w:rPr>
      </w:pPr>
    </w:p>
    <w:p>
      <w:pPr>
        <w:wordWrap w:val="0"/>
        <w:adjustRightInd w:val="0"/>
        <w:snapToGrid w:val="0"/>
        <w:spacing w:line="380" w:lineRule="exact"/>
        <w:ind w:firstLine="482" w:firstLineChars="200"/>
        <w:outlineLvl w:val="1"/>
        <w:rPr>
          <w:rFonts w:hAnsi="宋体" w:cs="宋体"/>
          <w:snapToGrid w:val="0"/>
          <w:color w:val="auto"/>
          <w:kern w:val="0"/>
          <w:highlight w:val="none"/>
        </w:rPr>
      </w:pPr>
      <w:bookmarkStart w:id="105" w:name="_Toc17801"/>
      <w:r>
        <w:rPr>
          <w:rFonts w:hint="eastAsia" w:hAnsi="宋体" w:cs="宋体"/>
          <w:b/>
          <w:bCs/>
          <w:snapToGrid w:val="0"/>
          <w:color w:val="auto"/>
          <w:kern w:val="0"/>
          <w:highlight w:val="none"/>
        </w:rPr>
        <w:t>9．项目监理机构</w:t>
      </w:r>
      <w:bookmarkEnd w:id="105"/>
    </w:p>
    <w:p>
      <w:pPr>
        <w:wordWrap w:val="0"/>
        <w:adjustRightInd w:val="0"/>
        <w:snapToGrid w:val="0"/>
        <w:spacing w:line="380" w:lineRule="exact"/>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9.1</w:t>
      </w:r>
      <w:r>
        <w:rPr>
          <w:rFonts w:hint="eastAsia" w:hAnsi="宋体" w:cs="宋体"/>
          <w:snapToGrid w:val="0"/>
          <w:color w:val="auto"/>
          <w:kern w:val="0"/>
          <w:highlight w:val="none"/>
        </w:rPr>
        <w:t xml:space="preserve"> 监理人派驻项目监理机构的人员必须为其投标文件确定的人员，否则委托人有权解除合同。</w:t>
      </w:r>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b/>
          <w:bCs/>
          <w:snapToGrid w:val="0"/>
          <w:color w:val="auto"/>
          <w:kern w:val="0"/>
          <w:highlight w:val="none"/>
        </w:rPr>
        <w:t>9.2</w:t>
      </w:r>
      <w:r>
        <w:rPr>
          <w:rFonts w:hint="eastAsia" w:hAnsi="宋体" w:cs="宋体"/>
          <w:snapToGrid w:val="0"/>
          <w:color w:val="auto"/>
          <w:kern w:val="0"/>
          <w:highlight w:val="none"/>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pPr>
        <w:wordWrap w:val="0"/>
        <w:adjustRightInd w:val="0"/>
        <w:snapToGrid w:val="0"/>
        <w:spacing w:line="380" w:lineRule="exact"/>
        <w:ind w:firstLine="482" w:firstLineChars="200"/>
        <w:outlineLvl w:val="1"/>
        <w:rPr>
          <w:rFonts w:hAnsi="宋体" w:cs="宋体"/>
          <w:strike/>
          <w:snapToGrid w:val="0"/>
          <w:color w:val="auto"/>
          <w:kern w:val="0"/>
          <w:highlight w:val="none"/>
        </w:rPr>
      </w:pPr>
      <w:bookmarkStart w:id="106" w:name="_Toc14772"/>
      <w:r>
        <w:rPr>
          <w:rFonts w:hint="eastAsia" w:hAnsi="宋体" w:cs="宋体"/>
          <w:b/>
          <w:snapToGrid w:val="0"/>
          <w:color w:val="auto"/>
          <w:kern w:val="0"/>
          <w:highlight w:val="none"/>
        </w:rPr>
        <w:t>10．安全防护</w:t>
      </w:r>
      <w:bookmarkEnd w:id="106"/>
    </w:p>
    <w:p>
      <w:pPr>
        <w:wordWrap w:val="0"/>
        <w:adjustRightInd w:val="0"/>
        <w:snapToGrid w:val="0"/>
        <w:spacing w:line="380" w:lineRule="exact"/>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监理人应按照安全监理有关规定，采取严格、科学的安全防护措施，确保监理人员人身安全，承担由于自身安全防护措施不力所造成的安全事故责任和发生的费用。</w:t>
      </w:r>
    </w:p>
    <w:p>
      <w:pPr>
        <w:wordWrap w:val="0"/>
        <w:adjustRightInd w:val="0"/>
        <w:snapToGrid w:val="0"/>
        <w:spacing w:line="380" w:lineRule="exact"/>
        <w:ind w:firstLine="482" w:firstLineChars="200"/>
        <w:outlineLvl w:val="1"/>
        <w:rPr>
          <w:rFonts w:hAnsi="宋体" w:cs="宋体"/>
          <w:strike/>
          <w:snapToGrid w:val="0"/>
          <w:color w:val="auto"/>
          <w:kern w:val="0"/>
          <w:highlight w:val="none"/>
        </w:rPr>
      </w:pPr>
      <w:bookmarkStart w:id="107" w:name="_Toc13451"/>
      <w:r>
        <w:rPr>
          <w:rFonts w:hint="eastAsia" w:hAnsi="宋体" w:cs="宋体"/>
          <w:b/>
          <w:snapToGrid w:val="0"/>
          <w:color w:val="auto"/>
          <w:kern w:val="0"/>
          <w:highlight w:val="none"/>
        </w:rPr>
        <w:t>11．接受监督</w:t>
      </w:r>
      <w:bookmarkEnd w:id="107"/>
    </w:p>
    <w:p>
      <w:pPr>
        <w:wordWrap w:val="0"/>
        <w:adjustRightInd w:val="0"/>
        <w:snapToGrid w:val="0"/>
        <w:spacing w:line="380" w:lineRule="exact"/>
        <w:ind w:firstLine="480" w:firstLineChars="200"/>
        <w:rPr>
          <w:rFonts w:hAnsi="宋体" w:cs="宋体"/>
          <w:bCs/>
          <w:snapToGrid w:val="0"/>
          <w:color w:val="auto"/>
          <w:kern w:val="0"/>
          <w:highlight w:val="none"/>
        </w:rPr>
      </w:pPr>
      <w:r>
        <w:rPr>
          <w:rFonts w:hint="eastAsia" w:hAnsi="宋体" w:cs="宋体"/>
          <w:snapToGrid w:val="0"/>
          <w:color w:val="auto"/>
          <w:kern w:val="0"/>
          <w:highlight w:val="none"/>
        </w:rPr>
        <w:t>监理人应严格按照法律、法规以及</w:t>
      </w:r>
      <w:r>
        <w:rPr>
          <w:rFonts w:hint="eastAsia" w:hAnsi="宋体" w:cs="宋体"/>
          <w:bCs/>
          <w:snapToGrid w:val="0"/>
          <w:color w:val="auto"/>
          <w:kern w:val="0"/>
          <w:highlight w:val="none"/>
        </w:rPr>
        <w:t>《建设工程监理规范》（GB/T 50319—2013）有关规定实施监理，同时须</w:t>
      </w:r>
      <w:r>
        <w:rPr>
          <w:rFonts w:hint="eastAsia" w:hAnsi="宋体" w:cs="宋体"/>
          <w:snapToGrid w:val="0"/>
          <w:color w:val="auto"/>
          <w:kern w:val="0"/>
          <w:highlight w:val="none"/>
        </w:rPr>
        <w:t>服从委托人以及建设行政主管部门对监理工作全方位的监督，及时将监理大纲、监理规划、监理实施细则等监理文件报委托人审查备案。</w:t>
      </w:r>
    </w:p>
    <w:p>
      <w:pPr>
        <w:wordWrap w:val="0"/>
        <w:adjustRightInd w:val="0"/>
        <w:snapToGrid w:val="0"/>
        <w:spacing w:line="380" w:lineRule="exact"/>
        <w:ind w:firstLine="560"/>
        <w:outlineLvl w:val="1"/>
        <w:rPr>
          <w:rFonts w:hAnsi="宋体" w:cs="宋体"/>
          <w:bCs/>
          <w:snapToGrid w:val="0"/>
          <w:color w:val="auto"/>
          <w:kern w:val="0"/>
          <w:highlight w:val="none"/>
        </w:rPr>
      </w:pPr>
      <w:bookmarkStart w:id="108" w:name="_Toc25070"/>
      <w:r>
        <w:rPr>
          <w:rFonts w:hint="eastAsia" w:hAnsi="宋体" w:cs="宋体"/>
          <w:b/>
          <w:snapToGrid w:val="0"/>
          <w:color w:val="auto"/>
          <w:kern w:val="0"/>
          <w:highlight w:val="none"/>
        </w:rPr>
        <w:t>12．监理档案移交</w:t>
      </w:r>
      <w:bookmarkEnd w:id="108"/>
    </w:p>
    <w:p>
      <w:pPr>
        <w:wordWrap w:val="0"/>
        <w:adjustRightInd w:val="0"/>
        <w:snapToGrid w:val="0"/>
        <w:spacing w:line="380" w:lineRule="exact"/>
        <w:ind w:firstLine="560"/>
        <w:rPr>
          <w:rFonts w:hAnsi="宋体" w:cs="宋体"/>
          <w:bCs/>
          <w:snapToGrid w:val="0"/>
          <w:color w:val="auto"/>
          <w:kern w:val="0"/>
          <w:highlight w:val="none"/>
        </w:rPr>
      </w:pPr>
      <w:r>
        <w:rPr>
          <w:rFonts w:hint="eastAsia" w:hAnsi="宋体" w:cs="宋体"/>
          <w:bCs/>
          <w:snapToGrid w:val="0"/>
          <w:color w:val="auto"/>
          <w:kern w:val="0"/>
          <w:highlight w:val="none"/>
        </w:rPr>
        <w:t>项目竣工验收后，监理人应向委托人提交一式</w:t>
      </w:r>
      <w:r>
        <w:rPr>
          <w:rFonts w:hint="eastAsia" w:hAnsi="宋体" w:cs="宋体"/>
          <w:bCs/>
          <w:snapToGrid w:val="0"/>
          <w:color w:val="auto"/>
          <w:kern w:val="0"/>
          <w:highlight w:val="none"/>
          <w:u w:val="single"/>
        </w:rPr>
        <w:t>四</w:t>
      </w:r>
      <w:r>
        <w:rPr>
          <w:rFonts w:hint="eastAsia" w:hAnsi="宋体" w:cs="宋体"/>
          <w:bCs/>
          <w:snapToGrid w:val="0"/>
          <w:color w:val="auto"/>
          <w:kern w:val="0"/>
          <w:highlight w:val="none"/>
        </w:rPr>
        <w:t>份符合《建设工程监理规范》（GB/T 50319—2013）以及《韶关市城市建设档案管理办法》要求的监理档案。</w:t>
      </w:r>
    </w:p>
    <w:p>
      <w:pPr>
        <w:wordWrap w:val="0"/>
        <w:adjustRightInd w:val="0"/>
        <w:snapToGrid w:val="0"/>
        <w:spacing w:line="380" w:lineRule="exact"/>
        <w:ind w:firstLine="560"/>
        <w:outlineLvl w:val="1"/>
        <w:rPr>
          <w:rFonts w:hAnsi="宋体" w:cs="宋体"/>
          <w:strike/>
          <w:snapToGrid w:val="0"/>
          <w:color w:val="auto"/>
          <w:kern w:val="0"/>
          <w:highlight w:val="none"/>
        </w:rPr>
      </w:pPr>
      <w:bookmarkStart w:id="109" w:name="_Toc21568"/>
      <w:r>
        <w:rPr>
          <w:rFonts w:hint="eastAsia" w:hAnsi="宋体" w:cs="宋体"/>
          <w:b/>
          <w:bCs/>
          <w:snapToGrid w:val="0"/>
          <w:color w:val="auto"/>
          <w:kern w:val="0"/>
          <w:highlight w:val="none"/>
        </w:rPr>
        <w:t>13</w:t>
      </w:r>
      <w:r>
        <w:rPr>
          <w:rFonts w:hint="eastAsia" w:hAnsi="宋体" w:cs="宋体"/>
          <w:b/>
          <w:snapToGrid w:val="0"/>
          <w:color w:val="auto"/>
          <w:kern w:val="0"/>
          <w:highlight w:val="none"/>
        </w:rPr>
        <w:t>．不良行为处理</w:t>
      </w:r>
      <w:bookmarkEnd w:id="109"/>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（1）转让监理业务的；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（2）非原参加投标中标的总监理工程师负责组织监理或在实施过程中擅自更换总监理工程师的、项目监理机构的其他监理人员与中标文件确定的人员不相符的；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（3）与建设单位、施工单位串通，签认虚假工程量或工程造价的；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（4）现场监理不到位的；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（5）非本人资格证书注册单位从事监理工作的；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（6）总监理工程师承担超过三项工程监理任务的；</w:t>
      </w:r>
    </w:p>
    <w:p>
      <w:pPr>
        <w:pStyle w:val="37"/>
        <w:wordWrap w:val="0"/>
        <w:adjustRightInd w:val="0"/>
        <w:snapToGrid w:val="0"/>
        <w:spacing w:line="380" w:lineRule="exact"/>
        <w:ind w:firstLine="48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（7）违反有关法律、法规、规章规定的其它行为。</w:t>
      </w:r>
    </w:p>
    <w:p>
      <w:pPr>
        <w:pStyle w:val="37"/>
        <w:wordWrap w:val="0"/>
        <w:adjustRightInd w:val="0"/>
        <w:snapToGrid w:val="0"/>
        <w:spacing w:line="380" w:lineRule="exact"/>
        <w:ind w:firstLine="482" w:firstLineChars="200"/>
        <w:jc w:val="left"/>
        <w:outlineLvl w:val="1"/>
        <w:rPr>
          <w:rFonts w:ascii="宋体" w:hAnsi="宋体" w:cs="宋体"/>
          <w:b/>
          <w:bCs/>
          <w:snapToGrid w:val="0"/>
          <w:color w:val="auto"/>
          <w:kern w:val="0"/>
          <w:highlight w:val="none"/>
        </w:rPr>
      </w:pPr>
      <w:bookmarkStart w:id="110" w:name="_Toc20812"/>
      <w:r>
        <w:rPr>
          <w:rFonts w:hint="eastAsia" w:ascii="宋体" w:hAnsi="宋体" w:cs="宋体"/>
          <w:b/>
          <w:bCs/>
          <w:snapToGrid w:val="0"/>
          <w:color w:val="auto"/>
          <w:kern w:val="0"/>
          <w:highlight w:val="none"/>
        </w:rPr>
        <w:t>14．信用评价条款内容</w:t>
      </w:r>
      <w:bookmarkEnd w:id="110"/>
    </w:p>
    <w:p>
      <w:pPr>
        <w:pStyle w:val="37"/>
        <w:wordWrap w:val="0"/>
        <w:adjustRightInd w:val="0"/>
        <w:snapToGrid w:val="0"/>
        <w:spacing w:line="380" w:lineRule="exact"/>
        <w:ind w:firstLine="964" w:firstLineChars="400"/>
        <w:jc w:val="left"/>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w:t>
      </w:r>
    </w:p>
    <w:p>
      <w:pPr>
        <w:pStyle w:val="37"/>
        <w:wordWrap w:val="0"/>
        <w:adjustRightInd w:val="0"/>
        <w:snapToGrid w:val="0"/>
        <w:spacing w:line="380" w:lineRule="exact"/>
        <w:ind w:firstLine="482" w:firstLineChars="200"/>
        <w:jc w:val="left"/>
        <w:outlineLvl w:val="1"/>
        <w:rPr>
          <w:rFonts w:ascii="宋体" w:hAnsi="宋体" w:cs="宋体"/>
          <w:b/>
          <w:bCs/>
          <w:snapToGrid w:val="0"/>
          <w:color w:val="auto"/>
          <w:kern w:val="0"/>
          <w:highlight w:val="none"/>
        </w:rPr>
      </w:pPr>
      <w:bookmarkStart w:id="111" w:name="_Toc21459"/>
      <w:r>
        <w:rPr>
          <w:rFonts w:hint="eastAsia" w:ascii="宋体" w:hAnsi="宋体" w:cs="宋体"/>
          <w:b/>
          <w:bCs/>
          <w:snapToGrid w:val="0"/>
          <w:color w:val="auto"/>
          <w:kern w:val="0"/>
          <w:highlight w:val="none"/>
        </w:rPr>
        <w:t>15．其他事项</w:t>
      </w:r>
      <w:bookmarkEnd w:id="111"/>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snapToGrid w:val="0"/>
          <w:color w:val="auto"/>
          <w:kern w:val="0"/>
          <w:highlight w:val="none"/>
        </w:rPr>
        <w:t>15.1中标人中标后，在监理实施过程中每月28号前须提供下月工作计划安排表、人员计划安排表，交由发包人审核，发包人在下月实际检查过程中发现以下情况的，如出现提供工作计划安排与实际工作不符及提供的人员计划安排与实际人员不符，每检查出现一次扣除监理人违约金¥10000元，监理人须向建设单位予以返纳。</w:t>
      </w:r>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snapToGrid w:val="0"/>
          <w:color w:val="auto"/>
          <w:kern w:val="0"/>
          <w:highlight w:val="none"/>
        </w:rPr>
        <w:t>15.2中标后，中标人须提供人脸识别考勤系统（含维护），用于本项目监理的驻场人员考勤管理，相关费用由中标人自行考虑，招标人不予另计费。</w:t>
      </w:r>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snapToGrid w:val="0"/>
          <w:color w:val="auto"/>
          <w:kern w:val="0"/>
          <w:highlight w:val="none"/>
        </w:rPr>
        <w:t>15.3 中标人中标后，中标总价中增值税税金按一般纳税人一般计税方法计算，如中标单位为小规模纳税人，则须相应减少税额差额部分。</w:t>
      </w:r>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snapToGrid w:val="0"/>
          <w:color w:val="auto"/>
          <w:kern w:val="0"/>
          <w:highlight w:val="none"/>
        </w:rPr>
        <w:t>15.4招标文件中的拟签订合同的主要条款及其他与合同内容相关的条款均视为“实质性条款”，中标人必须按其所述内容签订监理服务合同。如“拟签订合同的主要条款”与“第六章 建设工程监理合同”中有部分条款发生冲突时，以拟签订合同条款中的表述为准。</w:t>
      </w:r>
    </w:p>
    <w:p>
      <w:pPr>
        <w:wordWrap w:val="0"/>
        <w:adjustRightInd w:val="0"/>
        <w:snapToGrid w:val="0"/>
        <w:spacing w:line="380" w:lineRule="exact"/>
        <w:ind w:firstLine="560"/>
        <w:rPr>
          <w:rFonts w:hAnsi="宋体" w:cs="宋体"/>
          <w:snapToGrid w:val="0"/>
          <w:color w:val="auto"/>
          <w:kern w:val="0"/>
          <w:highlight w:val="none"/>
        </w:rPr>
      </w:pPr>
      <w:r>
        <w:rPr>
          <w:rFonts w:hint="eastAsia" w:hAnsi="宋体" w:cs="宋体"/>
          <w:snapToGrid w:val="0"/>
          <w:color w:val="auto"/>
          <w:kern w:val="0"/>
          <w:highlight w:val="none"/>
        </w:rPr>
        <w:t>15.5招标文件中涉及的合同实质性内容以及拟签订合同的主要条款内容、中标须知、相关附件、格式内容等为中标后拟签订合同实质性内容，在订立合同时不得擅自进行更改。</w:t>
      </w:r>
    </w:p>
    <w:p>
      <w:pPr>
        <w:pStyle w:val="7"/>
        <w:spacing w:line="380" w:lineRule="exact"/>
        <w:ind w:firstLine="480" w:firstLineChars="200"/>
        <w:rPr>
          <w:rFonts w:hAnsi="宋体" w:cs="宋体"/>
          <w:snapToGrid w:val="0"/>
          <w:color w:val="auto"/>
          <w:highlight w:val="none"/>
        </w:rPr>
      </w:pPr>
      <w:r>
        <w:rPr>
          <w:rFonts w:hint="eastAsia" w:hAnsi="宋体" w:cs="宋体"/>
          <w:snapToGrid w:val="0"/>
          <w:color w:val="auto"/>
          <w:highlight w:val="none"/>
        </w:rPr>
        <w:t>15.6本项目如发生确非中标人原因导致的工期延误，可以允许工期顺延，但招标人不增加监理酬金。</w:t>
      </w:r>
    </w:p>
    <w:p>
      <w:pPr>
        <w:ind w:firstLine="480" w:firstLineChars="200"/>
        <w:rPr>
          <w:color w:val="auto"/>
          <w:highlight w:val="none"/>
        </w:rPr>
      </w:pPr>
      <w:r>
        <w:rPr>
          <w:rFonts w:hint="eastAsia" w:hAnsi="宋体" w:cs="宋体"/>
          <w:snapToGrid w:val="0"/>
          <w:color w:val="auto"/>
          <w:kern w:val="0"/>
          <w:highlight w:val="none"/>
        </w:rPr>
        <w:t>15.7总监理工程师在每周监理例会、行政部门检查、关键部位（基坑、各部位钢筋、各项材料验收等）验收、隐蔽验收等环节须到场。如有业主单位或代建单位认为需要总监理工程师到场的情况也须到场。</w:t>
      </w:r>
    </w:p>
    <w:p>
      <w:pPr>
        <w:pStyle w:val="3"/>
        <w:tabs>
          <w:tab w:val="left" w:pos="885"/>
        </w:tabs>
        <w:wordWrap w:val="0"/>
        <w:autoSpaceDE/>
        <w:autoSpaceDN/>
        <w:snapToGrid w:val="0"/>
        <w:ind w:left="885" w:hanging="885"/>
        <w:jc w:val="center"/>
        <w:rPr>
          <w:rFonts w:hAnsi="宋体" w:cs="宋体"/>
          <w:b/>
          <w:snapToGrid w:val="0"/>
          <w:color w:val="auto"/>
          <w:sz w:val="24"/>
          <w:szCs w:val="22"/>
          <w:highlight w:val="none"/>
        </w:rPr>
      </w:pPr>
      <w:bookmarkStart w:id="112" w:name="_Hlt69698765"/>
      <w:bookmarkStart w:id="113" w:name="_Hlt69698713"/>
      <w:bookmarkStart w:id="114" w:name="_Hlt69698776"/>
      <w:r>
        <w:rPr>
          <w:rFonts w:hint="eastAsia" w:hAnsi="宋体" w:cs="宋体"/>
          <w:b/>
          <w:snapToGrid w:val="0"/>
          <w:color w:val="auto"/>
          <w:sz w:val="24"/>
          <w:szCs w:val="22"/>
          <w:highlight w:val="none"/>
        </w:rPr>
        <w:br w:type="page"/>
      </w:r>
    </w:p>
    <w:p>
      <w:pPr>
        <w:pStyle w:val="3"/>
        <w:tabs>
          <w:tab w:val="left" w:pos="885"/>
        </w:tabs>
        <w:wordWrap w:val="0"/>
        <w:autoSpaceDE/>
        <w:autoSpaceDN/>
        <w:snapToGrid w:val="0"/>
        <w:ind w:left="885" w:hanging="885"/>
        <w:jc w:val="center"/>
        <w:rPr>
          <w:rFonts w:hAnsi="宋体" w:cs="宋体"/>
          <w:color w:val="auto"/>
          <w:szCs w:val="30"/>
          <w:highlight w:val="none"/>
        </w:rPr>
      </w:pPr>
      <w:bookmarkStart w:id="115" w:name="_Toc17252"/>
      <w:bookmarkStart w:id="116" w:name="_Toc15917"/>
      <w:r>
        <w:rPr>
          <w:rFonts w:hint="eastAsia" w:hAnsi="宋体" w:cs="宋体"/>
          <w:b/>
          <w:snapToGrid w:val="0"/>
          <w:color w:val="auto"/>
          <w:szCs w:val="30"/>
          <w:highlight w:val="none"/>
        </w:rPr>
        <w:t>第三章</w:t>
      </w:r>
      <w:bookmarkStart w:id="117" w:name="_Hlt87793831"/>
      <w:bookmarkEnd w:id="117"/>
      <w:r>
        <w:rPr>
          <w:rFonts w:hint="eastAsia" w:hAnsi="宋体" w:cs="宋体"/>
          <w:b/>
          <w:snapToGrid w:val="0"/>
          <w:color w:val="auto"/>
          <w:szCs w:val="30"/>
          <w:highlight w:val="none"/>
        </w:rPr>
        <w:t xml:space="preserve">   拟签订合同的主要条款</w:t>
      </w:r>
      <w:bookmarkEnd w:id="112"/>
      <w:bookmarkEnd w:id="113"/>
      <w:bookmarkEnd w:id="115"/>
      <w:bookmarkEnd w:id="116"/>
      <w:bookmarkStart w:id="118" w:name="_Toc322793288"/>
      <w:bookmarkStart w:id="119" w:name="_Toc326916629"/>
    </w:p>
    <w:bookmarkEnd w:id="118"/>
    <w:bookmarkEnd w:id="119"/>
    <w:p>
      <w:pPr>
        <w:wordWrap w:val="0"/>
        <w:adjustRightInd w:val="0"/>
        <w:snapToGrid w:val="0"/>
        <w:spacing w:line="240" w:lineRule="auto"/>
        <w:ind w:firstLine="482" w:firstLineChars="200"/>
        <w:outlineLvl w:val="1"/>
        <w:rPr>
          <w:rFonts w:hAnsi="宋体" w:cs="宋体"/>
          <w:b/>
          <w:bCs/>
          <w:snapToGrid w:val="0"/>
          <w:color w:val="auto"/>
          <w:kern w:val="0"/>
          <w:highlight w:val="none"/>
        </w:rPr>
      </w:pPr>
      <w:bookmarkStart w:id="120" w:name="_Toc19584"/>
      <w:r>
        <w:rPr>
          <w:rFonts w:hint="eastAsia" w:hAnsi="宋体" w:cs="宋体"/>
          <w:b/>
          <w:bCs/>
          <w:snapToGrid w:val="0"/>
          <w:color w:val="auto"/>
          <w:kern w:val="0"/>
          <w:highlight w:val="none"/>
        </w:rPr>
        <w:t>1.定义与解释</w:t>
      </w:r>
      <w:bookmarkEnd w:id="120"/>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21" w:name="_Toc4048"/>
      <w:r>
        <w:rPr>
          <w:rFonts w:hint="eastAsia" w:hAnsi="宋体" w:cs="宋体"/>
          <w:snapToGrid w:val="0"/>
          <w:color w:val="auto"/>
          <w:kern w:val="0"/>
          <w:highlight w:val="none"/>
        </w:rPr>
        <w:t>1.2  解释</w:t>
      </w:r>
      <w:bookmarkEnd w:id="121"/>
    </w:p>
    <w:p>
      <w:pPr>
        <w:wordWrap w:val="0"/>
        <w:adjustRightInd w:val="0"/>
        <w:snapToGrid w:val="0"/>
        <w:spacing w:line="240" w:lineRule="auto"/>
        <w:ind w:firstLine="480" w:firstLineChars="200"/>
        <w:rPr>
          <w:rFonts w:hAnsi="宋体" w:cs="宋体"/>
          <w:b/>
          <w:bCs/>
          <w:snapToGrid w:val="0"/>
          <w:color w:val="auto"/>
          <w:kern w:val="0"/>
          <w:highlight w:val="none"/>
        </w:rPr>
      </w:pPr>
      <w:r>
        <w:rPr>
          <w:rFonts w:hint="eastAsia" w:hAnsi="宋体" w:cs="宋体"/>
          <w:snapToGrid w:val="0"/>
          <w:color w:val="auto"/>
          <w:kern w:val="0"/>
          <w:highlight w:val="none"/>
        </w:rPr>
        <w:t>1.2.2 约定本合同文件的解释顺序为：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（1）协议书；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（2）中标通知书；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（3）专用条件；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（4）通用条件；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（5）投标文件；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双方签订的补充协议与其他文件发生矛盾或歧义时，属于同一类内容的文件，应以最新签署的为准。</w:t>
      </w:r>
    </w:p>
    <w:p>
      <w:pPr>
        <w:pStyle w:val="23"/>
        <w:rPr>
          <w:color w:val="auto"/>
          <w:highlight w:val="none"/>
        </w:rPr>
      </w:pPr>
    </w:p>
    <w:p>
      <w:pPr>
        <w:wordWrap w:val="0"/>
        <w:adjustRightInd w:val="0"/>
        <w:snapToGrid w:val="0"/>
        <w:spacing w:line="240" w:lineRule="auto"/>
        <w:ind w:firstLine="482" w:firstLineChars="200"/>
        <w:outlineLvl w:val="1"/>
        <w:rPr>
          <w:rFonts w:hAnsi="宋体" w:cs="宋体"/>
          <w:b/>
          <w:bCs/>
          <w:snapToGrid w:val="0"/>
          <w:color w:val="auto"/>
          <w:kern w:val="0"/>
          <w:highlight w:val="none"/>
        </w:rPr>
      </w:pPr>
      <w:bookmarkStart w:id="122" w:name="_Toc14264"/>
      <w:r>
        <w:rPr>
          <w:rFonts w:hint="eastAsia" w:hAnsi="宋体" w:cs="宋体"/>
          <w:b/>
          <w:bCs/>
          <w:snapToGrid w:val="0"/>
          <w:color w:val="auto"/>
          <w:kern w:val="0"/>
          <w:highlight w:val="none"/>
        </w:rPr>
        <w:t>2. 监理人义务</w:t>
      </w:r>
      <w:bookmarkEnd w:id="122"/>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3" w:name="_Toc29797"/>
      <w:r>
        <w:rPr>
          <w:rFonts w:hint="eastAsia" w:hAnsi="宋体" w:cs="宋体"/>
          <w:b/>
          <w:bCs/>
          <w:snapToGrid w:val="0"/>
          <w:color w:val="auto"/>
          <w:kern w:val="0"/>
          <w:highlight w:val="none"/>
        </w:rPr>
        <w:t>2.1 监理的范围和内容</w:t>
      </w:r>
      <w:bookmarkEnd w:id="123"/>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2.1.1 监理范围：</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（1）包括但不限于以下内容：项目建设施工阶段监理（含施工准备阶段、施工阶段、工程竣工结算阶段和缺陷责任期阶段监理）等相关工作。</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（2）除上述工作范围外，监理人还须按委托人的要求提前进场参与开工前期的准备和筹划工作，协助委托人制定工程管理办法、各参建方职责及有关事务性工作等。</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2.1.2 监理工作内容还包括：</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（1）收到工程设计文件后编制监理规划，并在第一次工地会议7天前报委托人。根据有关规定和监理工作需要，编制监理实施细则；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（2）熟悉工程设计文件，并参加由委托人主持的图纸会审和设计交底会议；</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（3）参加由委托人主持的第一次工地会议；主持监理例会并根据工程需要主持或参加专题会议；</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（4）审查施工承包人提交的施工组织设计，重点审查其中的质量安全技术措施、专项施工方案与工程建设强制性标准的符合性；</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 xml:space="preserve">（5）检查施工承包人工程质量、安全生产管理制度及组织机构和人员资格； </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（6）检查施工承包人专职安全生产管理人员的配备情况；</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（7）审查施工承包人提交的施工进度计划，核查承包人对施工进度计划的调整；</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（8）检查施工承包人的试验室；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（9）审核施工分包人资质条件；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（10）查验施工承包人的施工测量放线成果；</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（11）审查工程开工条件，对条件具备的签发开工令；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（12）审查施工承包人报送的工程材料、构配件、设备质量证明文件的有效性和符合性，并按规定对用于工程的材料采取平行检验或见证取样方式进行抽检；</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（13）审核施工承包人提交的工程款支付申请，签发或出具工程款支付证书，并报委托人审核、批准；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（14）在巡视、旁站和检验过程中，发现工程质量、施工安全存在事故隐患的，要求施工承包人整改并报委托人；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（15）经委托人同意，签发工程暂停令和复工令；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（16）审查施工承包人提交的采用新材料、新工艺、新技术、新设备的论证材料及相关验收标准；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（17）验收隐蔽工程、分部分项工程；</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（18）审查施工承包人提交的工程变更申请，协调处理施工进度调整、费用索赔、合同争议等事项；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（19）审查施工承包人提交的竣工验收申请，编写工程质量评估报告；</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（20）参加工程竣工验收，签署竣工验收意见；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（21）审查施工承包人提交的竣工结算申请并报委托人；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（22）编制、整理工程监理归档文件并报委托人。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（23）监理人在监理期间应严格遵守国家、省、市有关防火、爆破和监理安全以及文明监理、深夜监理、环卫城管等规定，建立规章制度和防护措施。否则，由此造成的经济和法律责任，均由监理人负责。</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4" w:name="_Toc17253"/>
      <w:r>
        <w:rPr>
          <w:rFonts w:hint="eastAsia" w:hAnsi="宋体" w:cs="宋体"/>
          <w:b/>
          <w:bCs/>
          <w:snapToGrid w:val="0"/>
          <w:color w:val="auto"/>
          <w:kern w:val="0"/>
          <w:highlight w:val="none"/>
        </w:rPr>
        <w:t>2.2 监理与相关服务依据</w:t>
      </w:r>
      <w:bookmarkEnd w:id="124"/>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2.2.1 监理依据包括：</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（1）贯彻执行现行的&lt;&lt;建设工程监理规范&gt;&gt;以及国家对工程建设的政策、法律、法规和工程监理的有关规定。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（2）建设主管部门批准的建设规划、计划和设计文件。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（3）经批准的本项工程的施工图纸，技术文件及说明书和其相应的国家、部门所制定的施工及验收规范。</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（4）广东省、市有关工程造价管理的文件。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（5）委托人与承包人签订的工程承包合同。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（6）合同图纸、工程量清单及说明；</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（7）其它国家或地方现行的监理法规。</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2.2.2 相关服务依据包括：为使施工监理服务能有效地进行，委托人有责任积极创造良好条件，在工程开工前，委托人应向监理人提供工程的有关资料：包括工程立项投资批文、施工图及相应的技术资料，施工承包合同及其附件等监理工作所需的资料。有关资料均各一份。</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5" w:name="_Toc8381"/>
      <w:r>
        <w:rPr>
          <w:rFonts w:hint="eastAsia" w:hAnsi="宋体" w:cs="宋体"/>
          <w:b/>
          <w:bCs/>
          <w:snapToGrid w:val="0"/>
          <w:color w:val="auto"/>
          <w:kern w:val="0"/>
          <w:highlight w:val="none"/>
        </w:rPr>
        <w:t>2.3项目监理机构和人员</w:t>
      </w:r>
      <w:bookmarkEnd w:id="125"/>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2.3.1 监理人按合同约定、《投标文件》承诺派出监理工作需要的监理机构及监理人员。</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2.3.2监理人拟派驻监理机构组成人员数量须符合《广东省建设厅粤建管（2002）97号文》关于工程项目监理最少人数配置的要求,且在施工现场进行监理的总监理工程师、专业监理工程师、其他监理人员全部必须是投标文件中所拟派的人员。同时，监理人派驻到工程所在地进行监理服务的监理人员，应能够胜任监理合同约定的监理服务工作。委托人有权以书面形式要求监理人更换不能按照监理合同的约定进行监理服务的派驻人员。拟派本项目监理机构名单如下：</w:t>
      </w:r>
    </w:p>
    <w:p>
      <w:pPr>
        <w:ind w:right="420"/>
        <w:jc w:val="center"/>
        <w:rPr>
          <w:bCs/>
          <w:color w:val="auto"/>
          <w:szCs w:val="24"/>
          <w:highlight w:val="none"/>
        </w:rPr>
      </w:pPr>
      <w:r>
        <w:rPr>
          <w:rFonts w:hint="eastAsia"/>
          <w:bCs/>
          <w:color w:val="auto"/>
          <w:szCs w:val="24"/>
          <w:highlight w:val="none"/>
        </w:rPr>
        <w:t>拟委派于本项目的其他主要监理人员一览表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17"/>
        <w:gridCol w:w="327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709" w:type="dxa"/>
            <w:vAlign w:val="center"/>
          </w:tcPr>
          <w:p>
            <w:pPr>
              <w:jc w:val="center"/>
              <w:rPr>
                <w:rFonts w:hAnsi="宋体"/>
                <w:color w:val="auto"/>
                <w:szCs w:val="24"/>
                <w:highlight w:val="none"/>
              </w:rPr>
            </w:pPr>
            <w:r>
              <w:rPr>
                <w:rFonts w:hint="eastAsia" w:hAnsi="宋体"/>
                <w:color w:val="auto"/>
                <w:szCs w:val="24"/>
                <w:highlight w:val="none"/>
              </w:rPr>
              <w:t>序号</w:t>
            </w:r>
          </w:p>
        </w:tc>
        <w:tc>
          <w:tcPr>
            <w:tcW w:w="1134" w:type="dxa"/>
            <w:vAlign w:val="center"/>
          </w:tcPr>
          <w:p>
            <w:pPr>
              <w:jc w:val="center"/>
              <w:rPr>
                <w:rFonts w:hAnsi="宋体"/>
                <w:color w:val="auto"/>
                <w:szCs w:val="24"/>
                <w:highlight w:val="none"/>
              </w:rPr>
            </w:pPr>
            <w:r>
              <w:rPr>
                <w:rFonts w:hint="eastAsia" w:hAnsi="宋体"/>
                <w:color w:val="auto"/>
                <w:szCs w:val="24"/>
                <w:highlight w:val="none"/>
              </w:rPr>
              <w:t>姓名</w:t>
            </w:r>
          </w:p>
        </w:tc>
        <w:tc>
          <w:tcPr>
            <w:tcW w:w="1117" w:type="dxa"/>
            <w:vAlign w:val="center"/>
          </w:tcPr>
          <w:p>
            <w:pPr>
              <w:jc w:val="center"/>
              <w:rPr>
                <w:rFonts w:hAnsi="宋体"/>
                <w:color w:val="auto"/>
                <w:szCs w:val="24"/>
                <w:highlight w:val="none"/>
              </w:rPr>
            </w:pPr>
            <w:r>
              <w:rPr>
                <w:rFonts w:hint="eastAsia" w:hAnsi="宋体"/>
                <w:color w:val="auto"/>
                <w:szCs w:val="24"/>
                <w:highlight w:val="none"/>
              </w:rPr>
              <w:t>职称</w:t>
            </w:r>
          </w:p>
        </w:tc>
        <w:tc>
          <w:tcPr>
            <w:tcW w:w="3277" w:type="dxa"/>
            <w:vAlign w:val="center"/>
          </w:tcPr>
          <w:p>
            <w:pPr>
              <w:jc w:val="center"/>
              <w:rPr>
                <w:rFonts w:hAnsi="宋体"/>
                <w:color w:val="auto"/>
                <w:szCs w:val="24"/>
                <w:highlight w:val="none"/>
              </w:rPr>
            </w:pPr>
            <w:r>
              <w:rPr>
                <w:rFonts w:hint="eastAsia" w:hAnsi="宋体"/>
                <w:color w:val="auto"/>
                <w:szCs w:val="24"/>
                <w:highlight w:val="none"/>
              </w:rPr>
              <w:t>拟在本项目中担任的工作</w:t>
            </w:r>
          </w:p>
        </w:tc>
        <w:tc>
          <w:tcPr>
            <w:tcW w:w="2288" w:type="dxa"/>
            <w:vAlign w:val="center"/>
          </w:tcPr>
          <w:p>
            <w:pPr>
              <w:jc w:val="center"/>
              <w:rPr>
                <w:rFonts w:hAnsi="宋体"/>
                <w:color w:val="auto"/>
                <w:szCs w:val="24"/>
                <w:highlight w:val="none"/>
              </w:rPr>
            </w:pPr>
            <w:r>
              <w:rPr>
                <w:rFonts w:hint="eastAsia" w:hAnsi="宋体"/>
                <w:color w:val="auto"/>
                <w:szCs w:val="24"/>
                <w:highlight w:val="none"/>
              </w:rPr>
              <w:t>监理工程师注册（或岗位、培训证号）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9" w:type="dxa"/>
            <w:vAlign w:val="center"/>
          </w:tcPr>
          <w:p>
            <w:pPr>
              <w:jc w:val="center"/>
              <w:rPr>
                <w:rFonts w:hAnsi="宋体"/>
                <w:color w:val="auto"/>
                <w:szCs w:val="24"/>
                <w:highlight w:val="none"/>
              </w:rPr>
            </w:pPr>
            <w:r>
              <w:rPr>
                <w:rFonts w:hint="eastAsia"/>
                <w:color w:val="auto"/>
                <w:szCs w:val="24"/>
                <w:highlight w:val="none"/>
              </w:rPr>
              <w:t>1</w:t>
            </w:r>
          </w:p>
        </w:tc>
        <w:tc>
          <w:tcPr>
            <w:tcW w:w="1134" w:type="dxa"/>
            <w:vAlign w:val="center"/>
          </w:tcPr>
          <w:p>
            <w:pPr>
              <w:jc w:val="center"/>
              <w:rPr>
                <w:rFonts w:hAnsi="宋体"/>
                <w:color w:val="auto"/>
                <w:szCs w:val="24"/>
                <w:highlight w:val="none"/>
              </w:rPr>
            </w:pPr>
          </w:p>
        </w:tc>
        <w:tc>
          <w:tcPr>
            <w:tcW w:w="1117" w:type="dxa"/>
            <w:vAlign w:val="center"/>
          </w:tcPr>
          <w:p>
            <w:pPr>
              <w:jc w:val="center"/>
              <w:rPr>
                <w:rFonts w:hAnsi="宋体"/>
                <w:color w:val="auto"/>
                <w:szCs w:val="24"/>
                <w:highlight w:val="none"/>
              </w:rPr>
            </w:pPr>
          </w:p>
        </w:tc>
        <w:tc>
          <w:tcPr>
            <w:tcW w:w="3277" w:type="dxa"/>
            <w:vAlign w:val="center"/>
          </w:tcPr>
          <w:p>
            <w:pPr>
              <w:jc w:val="center"/>
              <w:rPr>
                <w:rFonts w:hAnsi="宋体"/>
                <w:color w:val="auto"/>
                <w:szCs w:val="24"/>
                <w:highlight w:val="none"/>
              </w:rPr>
            </w:pPr>
          </w:p>
        </w:tc>
        <w:tc>
          <w:tcPr>
            <w:tcW w:w="2288" w:type="dxa"/>
            <w:vAlign w:val="center"/>
          </w:tcPr>
          <w:p>
            <w:pPr>
              <w:jc w:val="center"/>
              <w:rPr>
                <w:rFonts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 w:type="dxa"/>
            <w:vAlign w:val="center"/>
          </w:tcPr>
          <w:p>
            <w:pPr>
              <w:jc w:val="center"/>
              <w:rPr>
                <w:rFonts w:hAnsi="宋体"/>
                <w:color w:val="auto"/>
                <w:szCs w:val="24"/>
                <w:highlight w:val="none"/>
              </w:rPr>
            </w:pPr>
            <w:r>
              <w:rPr>
                <w:rFonts w:hint="eastAsia"/>
                <w:color w:val="auto"/>
                <w:szCs w:val="24"/>
                <w:highlight w:val="none"/>
              </w:rPr>
              <w:t>2</w:t>
            </w:r>
          </w:p>
        </w:tc>
        <w:tc>
          <w:tcPr>
            <w:tcW w:w="1134" w:type="dxa"/>
            <w:vAlign w:val="center"/>
          </w:tcPr>
          <w:p>
            <w:pPr>
              <w:jc w:val="center"/>
              <w:rPr>
                <w:rFonts w:hAnsi="宋体"/>
                <w:color w:val="auto"/>
                <w:szCs w:val="24"/>
                <w:highlight w:val="none"/>
              </w:rPr>
            </w:pPr>
          </w:p>
        </w:tc>
        <w:tc>
          <w:tcPr>
            <w:tcW w:w="1117" w:type="dxa"/>
            <w:vAlign w:val="center"/>
          </w:tcPr>
          <w:p>
            <w:pPr>
              <w:jc w:val="center"/>
              <w:rPr>
                <w:rFonts w:hAnsi="宋体"/>
                <w:color w:val="auto"/>
                <w:szCs w:val="24"/>
                <w:highlight w:val="none"/>
              </w:rPr>
            </w:pPr>
          </w:p>
        </w:tc>
        <w:tc>
          <w:tcPr>
            <w:tcW w:w="3277" w:type="dxa"/>
            <w:vAlign w:val="center"/>
          </w:tcPr>
          <w:p>
            <w:pPr>
              <w:jc w:val="center"/>
              <w:rPr>
                <w:rFonts w:hAnsi="宋体"/>
                <w:color w:val="auto"/>
                <w:szCs w:val="24"/>
                <w:highlight w:val="none"/>
              </w:rPr>
            </w:pPr>
          </w:p>
        </w:tc>
        <w:tc>
          <w:tcPr>
            <w:tcW w:w="2288" w:type="dxa"/>
            <w:vAlign w:val="center"/>
          </w:tcPr>
          <w:p>
            <w:pPr>
              <w:jc w:val="center"/>
              <w:rPr>
                <w:rFonts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Align w:val="center"/>
          </w:tcPr>
          <w:p>
            <w:pPr>
              <w:jc w:val="center"/>
              <w:rPr>
                <w:rFonts w:hAnsi="宋体"/>
                <w:color w:val="auto"/>
                <w:szCs w:val="24"/>
                <w:highlight w:val="none"/>
              </w:rPr>
            </w:pPr>
            <w:r>
              <w:rPr>
                <w:rFonts w:hint="eastAsia"/>
                <w:color w:val="auto"/>
                <w:szCs w:val="24"/>
                <w:highlight w:val="none"/>
              </w:rPr>
              <w:t>3</w:t>
            </w:r>
          </w:p>
        </w:tc>
        <w:tc>
          <w:tcPr>
            <w:tcW w:w="1134" w:type="dxa"/>
            <w:vAlign w:val="center"/>
          </w:tcPr>
          <w:p>
            <w:pPr>
              <w:jc w:val="center"/>
              <w:rPr>
                <w:rFonts w:hAnsi="宋体"/>
                <w:color w:val="auto"/>
                <w:szCs w:val="24"/>
                <w:highlight w:val="none"/>
              </w:rPr>
            </w:pPr>
          </w:p>
        </w:tc>
        <w:tc>
          <w:tcPr>
            <w:tcW w:w="1117" w:type="dxa"/>
            <w:vAlign w:val="center"/>
          </w:tcPr>
          <w:p>
            <w:pPr>
              <w:jc w:val="center"/>
              <w:rPr>
                <w:rFonts w:hAnsi="宋体"/>
                <w:color w:val="auto"/>
                <w:szCs w:val="24"/>
                <w:highlight w:val="none"/>
              </w:rPr>
            </w:pPr>
          </w:p>
        </w:tc>
        <w:tc>
          <w:tcPr>
            <w:tcW w:w="3277" w:type="dxa"/>
            <w:vAlign w:val="center"/>
          </w:tcPr>
          <w:p>
            <w:pPr>
              <w:jc w:val="center"/>
              <w:rPr>
                <w:rFonts w:hAnsi="宋体"/>
                <w:color w:val="auto"/>
                <w:szCs w:val="24"/>
                <w:highlight w:val="none"/>
              </w:rPr>
            </w:pPr>
          </w:p>
        </w:tc>
        <w:tc>
          <w:tcPr>
            <w:tcW w:w="2288" w:type="dxa"/>
            <w:vAlign w:val="center"/>
          </w:tcPr>
          <w:p>
            <w:pPr>
              <w:jc w:val="center"/>
              <w:rPr>
                <w:rFonts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9" w:type="dxa"/>
            <w:vAlign w:val="center"/>
          </w:tcPr>
          <w:p>
            <w:pPr>
              <w:jc w:val="center"/>
              <w:rPr>
                <w:rFonts w:hAnsi="宋体"/>
                <w:color w:val="auto"/>
                <w:szCs w:val="24"/>
                <w:highlight w:val="none"/>
              </w:rPr>
            </w:pPr>
            <w:r>
              <w:rPr>
                <w:color w:val="auto"/>
                <w:szCs w:val="24"/>
                <w:highlight w:val="none"/>
              </w:rPr>
              <w:t>…</w:t>
            </w:r>
          </w:p>
        </w:tc>
        <w:tc>
          <w:tcPr>
            <w:tcW w:w="1134" w:type="dxa"/>
            <w:vAlign w:val="center"/>
          </w:tcPr>
          <w:p>
            <w:pPr>
              <w:rPr>
                <w:rFonts w:hAnsi="宋体"/>
                <w:color w:val="auto"/>
                <w:szCs w:val="24"/>
                <w:highlight w:val="none"/>
              </w:rPr>
            </w:pPr>
          </w:p>
        </w:tc>
        <w:tc>
          <w:tcPr>
            <w:tcW w:w="1117" w:type="dxa"/>
            <w:vAlign w:val="center"/>
          </w:tcPr>
          <w:p>
            <w:pPr>
              <w:jc w:val="center"/>
              <w:rPr>
                <w:rFonts w:hAnsi="宋体"/>
                <w:color w:val="auto"/>
                <w:szCs w:val="24"/>
                <w:highlight w:val="none"/>
              </w:rPr>
            </w:pPr>
          </w:p>
        </w:tc>
        <w:tc>
          <w:tcPr>
            <w:tcW w:w="3277" w:type="dxa"/>
            <w:vAlign w:val="center"/>
          </w:tcPr>
          <w:p>
            <w:pPr>
              <w:jc w:val="center"/>
              <w:rPr>
                <w:rFonts w:hAnsi="宋体"/>
                <w:color w:val="auto"/>
                <w:szCs w:val="24"/>
                <w:highlight w:val="none"/>
              </w:rPr>
            </w:pPr>
          </w:p>
        </w:tc>
        <w:tc>
          <w:tcPr>
            <w:tcW w:w="2288" w:type="dxa"/>
            <w:vAlign w:val="center"/>
          </w:tcPr>
          <w:p>
            <w:pPr>
              <w:pStyle w:val="23"/>
              <w:rPr>
                <w:color w:val="auto"/>
                <w:highlight w:val="none"/>
              </w:rPr>
            </w:pPr>
          </w:p>
        </w:tc>
      </w:tr>
    </w:tbl>
    <w:p>
      <w:pPr>
        <w:rPr>
          <w:color w:val="auto"/>
          <w:szCs w:val="24"/>
          <w:highlight w:val="none"/>
        </w:rPr>
      </w:pP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 xml:space="preserve">2.3.3 更换监理人员的其他情形： </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委托人有权要求监理人更换不称职的监理人员，直到终止合同。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应保持现场监理人员相对固定。监理人因工作安排或其他原因，需要更换派驻到工程所在地的重要岗位监理人员时，应事先得到委托人的同意且至少提前7天以书面形式通知委托人，即使是委托人要求或同意更换的监理人员，其代替人员的资质不得低于被代替人员。变更或调整监理人员必须经委托人同意并经建设项目行政主管部门备案批准后方可进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2.3.4现场办公条件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2.3.4.1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2.3.4.2 监理人应按照工程需要，自行配备以下的设施、设备：</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（1）办公桌椅、文件柜、床铺被褥、供冷采暖设施等办公和生活设施；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（2）电脑、投影、打印机、复印机、传真机等办公设备及其耗材；</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（3）拍摄、录音、录像等取证器材；</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（4）信息化管理软件或系统；</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（5）通信和交通工具；</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（6）本招标项目必备的规范标准、图集等书籍手册；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（7）安全帽、安全鞋、安全手套、安全服装、手电筒等安全防护用具；</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（8）</w:t>
      </w:r>
      <w:r>
        <w:rPr>
          <w:rFonts w:hint="eastAsia" w:hAnsi="宋体" w:cs="宋体"/>
          <w:snapToGrid w:val="0"/>
          <w:color w:val="auto"/>
          <w:kern w:val="0"/>
          <w:highlight w:val="none"/>
          <w:u w:val="single"/>
        </w:rPr>
        <w:t>打卡</w:t>
      </w:r>
      <w:r>
        <w:rPr>
          <w:rFonts w:hint="eastAsia" w:hAnsi="宋体" w:cs="宋体"/>
          <w:snapToGrid w:val="0"/>
          <w:color w:val="auto"/>
          <w:kern w:val="0"/>
          <w:highlight w:val="none"/>
        </w:rPr>
        <w:t>考勤设备；</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（9）其他与监理工作有关的设备与用品。</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6" w:name="_Toc23899"/>
      <w:r>
        <w:rPr>
          <w:rFonts w:hint="eastAsia" w:hAnsi="宋体" w:cs="宋体"/>
          <w:b/>
          <w:bCs/>
          <w:snapToGrid w:val="0"/>
          <w:color w:val="auto"/>
          <w:kern w:val="0"/>
          <w:highlight w:val="none"/>
        </w:rPr>
        <w:t>2.4 履行职责</w:t>
      </w:r>
      <w:bookmarkEnd w:id="126"/>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2.4.1、监理人应遵循职业道德准则和行为规范，严格按照法律法规、工程建设有关标准及本合同履行职责。</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（1）在监理与相关服务范围内，委托人和承包人提出的意见和要求，监理人应及时提出处置意见。当委托人与承包人之间发生合同争议时，监理人应协助委托人、承包人协商解决。</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（2）当委托人与承包人之间的合同争议提交仲裁机构仲裁或人民法院审理时，监理人应提供必要的证明资料。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（3）监理人应在约定的授权范围内，处理委托人与承包人所签订合同的变更事宜。如果变更超过授权范围，应以书面形式报委托人批准。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在紧急情况下，为了保护财产和人身安全，监理人所发出的指令未能事先报委托人批准时，应在发出指令后的24小时内以书面形式报委托人。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（4）监理人发现承包人的人员不能担任本职工作的，有权要求承包人予以调换。</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2.4.3 对监理人的授权范围：凡涉及工程变更、工程量增减、议价、索赔、处理事故、改变工期、改变技术标准、改变重大施工方案等及一切有关费用的问题，均需与委托人共同商定，报委托人批准。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2.4.4 若由于监理人的过错或失职，对委托人造成损失的，监理人必须依法承担赔偿责任。</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2.4.5本工程质量必须达到合格标准。若因监理人原因，工程在竣工验收或分部工程验收时没有达到此标准，监理人按监理合同价款（指监理结算价款）的5％向委托人返纳质量违约金。</w:t>
      </w:r>
      <w:bookmarkStart w:id="127" w:name="_Toc20100"/>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2.5 提交报告</w:t>
      </w:r>
      <w:bookmarkEnd w:id="127"/>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应提交报告的种类(包括监理规划、监理月报及约定的专项报告)、时间和份数：监理合同签订后10日内提交监理规划及监理实施细则，每周一提交上一周监理工作周报告、每月3日提交上月月度报告及监理业务范围内的专项报告，其中监理规划6份、监理细则6份、监理月报每月4份、专项报告10份（如有）。同时，监理人应无条件积极配合委托人，按项目实际需要提交其他各类未约定的专项报告。</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8" w:name="_Toc22321"/>
      <w:r>
        <w:rPr>
          <w:rFonts w:hint="eastAsia" w:hAnsi="宋体" w:cs="宋体"/>
          <w:b/>
          <w:bCs/>
          <w:snapToGrid w:val="0"/>
          <w:color w:val="auto"/>
          <w:kern w:val="0"/>
          <w:highlight w:val="none"/>
        </w:rPr>
        <w:t>2.6 文件资料</w:t>
      </w:r>
      <w:bookmarkEnd w:id="128"/>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在本合同履行期内，监理人应在现场保留工作所用的图纸、报告及记录监理工作的相关文件。工程竣工验收后，监理人应向委托人提供符合现行《建设工程监理规范》、《韶关市城市建设档案管理办法》及市城建档案馆的要求（质量、数量），编制成册的监理档案资料（含声像档案）一式两份。</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29" w:name="_Toc29983"/>
      <w:r>
        <w:rPr>
          <w:rFonts w:hint="eastAsia" w:hAnsi="宋体" w:cs="宋体"/>
          <w:b/>
          <w:bCs/>
          <w:snapToGrid w:val="0"/>
          <w:color w:val="auto"/>
          <w:kern w:val="0"/>
          <w:highlight w:val="none"/>
        </w:rPr>
        <w:t>2.7 使用委托人的财产</w:t>
      </w:r>
      <w:bookmarkEnd w:id="129"/>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如委托人无偿提供房屋、设备，由委托人无偿提供的房屋、设备的所有权属于： 委托人。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监理人应在本合同终止后30天内移交委托人无偿提供的房屋、设备，移交的时间和方式为：当面返还并书面确认。</w:t>
      </w:r>
    </w:p>
    <w:p>
      <w:pPr>
        <w:pStyle w:val="23"/>
        <w:rPr>
          <w:color w:val="auto"/>
          <w:highlight w:val="none"/>
        </w:rPr>
      </w:pPr>
    </w:p>
    <w:p>
      <w:pPr>
        <w:wordWrap w:val="0"/>
        <w:adjustRightInd w:val="0"/>
        <w:snapToGrid w:val="0"/>
        <w:spacing w:line="240" w:lineRule="auto"/>
        <w:ind w:firstLine="482" w:firstLineChars="200"/>
        <w:outlineLvl w:val="1"/>
        <w:rPr>
          <w:rFonts w:hAnsi="宋体" w:cs="宋体"/>
          <w:b/>
          <w:bCs/>
          <w:snapToGrid w:val="0"/>
          <w:color w:val="auto"/>
          <w:kern w:val="0"/>
          <w:highlight w:val="none"/>
        </w:rPr>
      </w:pPr>
      <w:bookmarkStart w:id="130" w:name="_Toc20002"/>
      <w:r>
        <w:rPr>
          <w:rFonts w:hint="eastAsia" w:hAnsi="宋体" w:cs="宋体"/>
          <w:b/>
          <w:bCs/>
          <w:snapToGrid w:val="0"/>
          <w:color w:val="auto"/>
          <w:kern w:val="0"/>
          <w:highlight w:val="none"/>
        </w:rPr>
        <w:t>3. 委托人义务</w:t>
      </w:r>
      <w:bookmarkEnd w:id="130"/>
      <w:r>
        <w:rPr>
          <w:rFonts w:hint="eastAsia" w:hAnsi="宋体" w:cs="宋体"/>
          <w:b/>
          <w:bCs/>
          <w:snapToGrid w:val="0"/>
          <w:color w:val="auto"/>
          <w:kern w:val="0"/>
          <w:highlight w:val="none"/>
        </w:rPr>
        <w:t xml:space="preserve">  </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31" w:name="_Toc23207"/>
      <w:r>
        <w:rPr>
          <w:rFonts w:hint="eastAsia" w:hAnsi="宋体" w:cs="宋体"/>
          <w:snapToGrid w:val="0"/>
          <w:color w:val="auto"/>
          <w:kern w:val="0"/>
          <w:highlight w:val="none"/>
        </w:rPr>
        <w:t>3.4 委托人代表</w:t>
      </w:r>
      <w:bookmarkEnd w:id="131"/>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委托人代表为：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32" w:name="_Toc7837"/>
      <w:r>
        <w:rPr>
          <w:rFonts w:hint="eastAsia" w:hAnsi="宋体" w:cs="宋体"/>
          <w:snapToGrid w:val="0"/>
          <w:color w:val="auto"/>
          <w:kern w:val="0"/>
          <w:highlight w:val="none"/>
        </w:rPr>
        <w:t>3.6 答复</w:t>
      </w:r>
      <w:bookmarkEnd w:id="132"/>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委托人同意在7天内，对监理人书面提交并要求做出决定的事宜给予书面答复。</w:t>
      </w:r>
    </w:p>
    <w:p>
      <w:pPr>
        <w:pStyle w:val="23"/>
        <w:rPr>
          <w:color w:val="auto"/>
          <w:highlight w:val="none"/>
        </w:rPr>
      </w:pPr>
    </w:p>
    <w:p>
      <w:pPr>
        <w:wordWrap w:val="0"/>
        <w:adjustRightInd w:val="0"/>
        <w:snapToGrid w:val="0"/>
        <w:spacing w:line="240" w:lineRule="auto"/>
        <w:ind w:firstLine="560"/>
        <w:outlineLvl w:val="1"/>
        <w:rPr>
          <w:rFonts w:hAnsi="宋体" w:cs="宋体"/>
          <w:snapToGrid w:val="0"/>
          <w:color w:val="auto"/>
          <w:kern w:val="0"/>
          <w:highlight w:val="none"/>
        </w:rPr>
      </w:pPr>
      <w:bookmarkStart w:id="133" w:name="_Toc17820"/>
      <w:r>
        <w:rPr>
          <w:rFonts w:hint="eastAsia" w:hAnsi="宋体" w:cs="宋体"/>
          <w:b/>
          <w:bCs/>
          <w:snapToGrid w:val="0"/>
          <w:color w:val="auto"/>
          <w:kern w:val="0"/>
          <w:highlight w:val="none"/>
        </w:rPr>
        <w:t>4．违约责任</w:t>
      </w:r>
      <w:bookmarkEnd w:id="133"/>
    </w:p>
    <w:p>
      <w:pPr>
        <w:wordWrap w:val="0"/>
        <w:adjustRightInd w:val="0"/>
        <w:snapToGrid w:val="0"/>
        <w:spacing w:line="240" w:lineRule="auto"/>
        <w:ind w:firstLine="560"/>
        <w:outlineLvl w:val="2"/>
        <w:rPr>
          <w:rFonts w:hAnsi="宋体" w:cs="宋体"/>
          <w:snapToGrid w:val="0"/>
          <w:color w:val="auto"/>
          <w:kern w:val="0"/>
          <w:highlight w:val="none"/>
        </w:rPr>
      </w:pPr>
      <w:bookmarkStart w:id="134" w:name="_Toc10670"/>
      <w:r>
        <w:rPr>
          <w:rFonts w:hint="eastAsia" w:hAnsi="宋体" w:cs="宋体"/>
          <w:b/>
          <w:bCs/>
          <w:snapToGrid w:val="0"/>
          <w:color w:val="auto"/>
          <w:kern w:val="0"/>
          <w:highlight w:val="none"/>
        </w:rPr>
        <w:t>4.1</w:t>
      </w:r>
      <w:r>
        <w:rPr>
          <w:rFonts w:hint="eastAsia" w:hAnsi="宋体" w:cs="宋体"/>
          <w:snapToGrid w:val="0"/>
          <w:color w:val="auto"/>
          <w:kern w:val="0"/>
          <w:highlight w:val="none"/>
        </w:rPr>
        <w:t xml:space="preserve"> 监理人的违约责任</w:t>
      </w:r>
      <w:bookmarkEnd w:id="134"/>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监理人未履行本合同义务的，应承担相应的责任。</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4.1.1</w:t>
      </w:r>
      <w:r>
        <w:rPr>
          <w:rFonts w:hint="eastAsia" w:hAnsi="宋体" w:cs="宋体"/>
          <w:snapToGrid w:val="0"/>
          <w:color w:val="auto"/>
          <w:kern w:val="0"/>
          <w:highlight w:val="none"/>
        </w:rPr>
        <w:t xml:space="preserve"> 因监理人违反本合同约定给委托人造成损失的，监理人应当赔偿委托人损失。</w:t>
      </w:r>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 xml:space="preserve">    监理人赔偿金额按下列方法确定：</w:t>
      </w:r>
      <w:r>
        <w:rPr>
          <w:rFonts w:hint="eastAsia" w:hAnsi="宋体" w:cs="宋体"/>
          <w:snapToGrid w:val="0"/>
          <w:color w:val="auto"/>
          <w:kern w:val="0"/>
          <w:highlight w:val="none"/>
          <w:u w:val="single"/>
        </w:rPr>
        <w:t xml:space="preserve">  赔偿金=直接经济损失×正常工作酬金÷项目建安费（总额不超过税后合同监理费）</w:t>
      </w:r>
      <w:r>
        <w:rPr>
          <w:rFonts w:hint="eastAsia" w:hAnsi="宋体" w:cs="宋体"/>
          <w:snapToGrid w:val="0"/>
          <w:color w:val="auto"/>
          <w:kern w:val="0"/>
          <w:highlight w:val="none"/>
        </w:rPr>
        <w:t>。</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监理人承担部分赔偿责任的，其承担赔偿金额由双方协商确定。</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4.1.2</w:t>
      </w:r>
      <w:r>
        <w:rPr>
          <w:rFonts w:hint="eastAsia" w:hAnsi="宋体" w:cs="宋体"/>
          <w:snapToGrid w:val="0"/>
          <w:color w:val="auto"/>
          <w:kern w:val="0"/>
          <w:highlight w:val="none"/>
        </w:rPr>
        <w:t xml:space="preserve"> 监理人向委托人的索赔不成立时，监理人应赔偿委托人由此发生的费用。</w:t>
      </w:r>
    </w:p>
    <w:p>
      <w:pPr>
        <w:wordWrap w:val="0"/>
        <w:adjustRightInd w:val="0"/>
        <w:snapToGrid w:val="0"/>
        <w:spacing w:line="240" w:lineRule="auto"/>
        <w:ind w:firstLine="560"/>
        <w:outlineLvl w:val="2"/>
        <w:rPr>
          <w:rFonts w:hAnsi="宋体" w:cs="宋体"/>
          <w:snapToGrid w:val="0"/>
          <w:color w:val="auto"/>
          <w:kern w:val="0"/>
          <w:highlight w:val="none"/>
        </w:rPr>
      </w:pPr>
      <w:bookmarkStart w:id="135" w:name="_Toc7485"/>
      <w:r>
        <w:rPr>
          <w:rFonts w:hint="eastAsia" w:hAnsi="宋体" w:cs="宋体"/>
          <w:b/>
          <w:bCs/>
          <w:snapToGrid w:val="0"/>
          <w:color w:val="auto"/>
          <w:kern w:val="0"/>
          <w:highlight w:val="none"/>
        </w:rPr>
        <w:t>4.2</w:t>
      </w:r>
      <w:r>
        <w:rPr>
          <w:rFonts w:hint="eastAsia" w:hAnsi="宋体" w:cs="宋体"/>
          <w:snapToGrid w:val="0"/>
          <w:color w:val="auto"/>
          <w:kern w:val="0"/>
          <w:highlight w:val="none"/>
        </w:rPr>
        <w:t xml:space="preserve"> 委托人的违约责任</w:t>
      </w:r>
      <w:bookmarkEnd w:id="135"/>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委托人未履行本合同义务的，应承担相应的责任。</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4.2.1</w:t>
      </w:r>
      <w:r>
        <w:rPr>
          <w:rFonts w:hint="eastAsia" w:hAnsi="宋体" w:cs="宋体"/>
          <w:snapToGrid w:val="0"/>
          <w:color w:val="auto"/>
          <w:kern w:val="0"/>
          <w:highlight w:val="none"/>
        </w:rPr>
        <w:t xml:space="preserve"> 委托人违反本合同约定造成监理人损失的，委托人应予以赔偿。</w:t>
      </w:r>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b/>
          <w:bCs/>
          <w:snapToGrid w:val="0"/>
          <w:color w:val="auto"/>
          <w:kern w:val="0"/>
          <w:highlight w:val="none"/>
        </w:rPr>
        <w:t>4.2.2</w:t>
      </w:r>
      <w:r>
        <w:rPr>
          <w:rFonts w:hint="eastAsia" w:hAnsi="宋体" w:cs="宋体"/>
          <w:snapToGrid w:val="0"/>
          <w:color w:val="auto"/>
          <w:kern w:val="0"/>
          <w:highlight w:val="none"/>
        </w:rPr>
        <w:t xml:space="preserve"> 委托人向监理人的索赔不成立时，应赔偿监理人由此引起的费用。</w:t>
      </w:r>
    </w:p>
    <w:p>
      <w:pPr>
        <w:wordWrap w:val="0"/>
        <w:adjustRightInd w:val="0"/>
        <w:snapToGrid w:val="0"/>
        <w:spacing w:line="240" w:lineRule="auto"/>
        <w:ind w:firstLine="560"/>
        <w:outlineLvl w:val="2"/>
        <w:rPr>
          <w:rFonts w:hAnsi="宋体" w:cs="宋体"/>
          <w:snapToGrid w:val="0"/>
          <w:color w:val="auto"/>
          <w:kern w:val="0"/>
          <w:highlight w:val="none"/>
        </w:rPr>
      </w:pPr>
      <w:bookmarkStart w:id="136" w:name="_Toc8813"/>
      <w:r>
        <w:rPr>
          <w:rFonts w:hint="eastAsia" w:hAnsi="宋体" w:cs="宋体"/>
          <w:b/>
          <w:bCs/>
          <w:snapToGrid w:val="0"/>
          <w:color w:val="auto"/>
          <w:kern w:val="0"/>
          <w:highlight w:val="none"/>
        </w:rPr>
        <w:t>4.3</w:t>
      </w:r>
      <w:r>
        <w:rPr>
          <w:rFonts w:hint="eastAsia" w:hAnsi="宋体" w:cs="宋体"/>
          <w:snapToGrid w:val="0"/>
          <w:color w:val="auto"/>
          <w:kern w:val="0"/>
          <w:highlight w:val="none"/>
        </w:rPr>
        <w:t xml:space="preserve"> 除外责任</w:t>
      </w:r>
      <w:bookmarkEnd w:id="136"/>
    </w:p>
    <w:p>
      <w:pPr>
        <w:wordWrap w:val="0"/>
        <w:adjustRightInd w:val="0"/>
        <w:snapToGrid w:val="0"/>
        <w:spacing w:line="240" w:lineRule="auto"/>
        <w:ind w:firstLine="560"/>
        <w:rPr>
          <w:rFonts w:hAnsi="宋体" w:cs="宋体"/>
          <w:snapToGrid w:val="0"/>
          <w:color w:val="auto"/>
          <w:kern w:val="0"/>
          <w:highlight w:val="none"/>
        </w:rPr>
      </w:pPr>
      <w:r>
        <w:rPr>
          <w:rFonts w:hint="eastAsia" w:hAnsi="宋体" w:cs="宋体"/>
          <w:snapToGrid w:val="0"/>
          <w:color w:val="auto"/>
          <w:kern w:val="0"/>
          <w:highlight w:val="none"/>
        </w:rPr>
        <w:t>因非监理人的原因，且监理人无过错，发生工程质量事故、安全事故、工期延误等造成的损失，监理人不承担赔偿责任。</w:t>
      </w:r>
    </w:p>
    <w:p>
      <w:pPr>
        <w:wordWrap w:val="0"/>
        <w:adjustRightInd w:val="0"/>
        <w:snapToGrid w:val="0"/>
        <w:spacing w:line="240" w:lineRule="auto"/>
        <w:ind w:firstLine="560"/>
        <w:rPr>
          <w:rFonts w:hAnsi="宋体" w:cs="宋体"/>
          <w:color w:val="auto"/>
          <w:highlight w:val="none"/>
        </w:rPr>
      </w:pPr>
      <w:r>
        <w:rPr>
          <w:rFonts w:hint="eastAsia" w:hAnsi="宋体" w:cs="宋体"/>
          <w:snapToGrid w:val="0"/>
          <w:color w:val="auto"/>
          <w:kern w:val="0"/>
          <w:highlight w:val="none"/>
        </w:rPr>
        <w:t>因不可抗力导致本合同全部或部分不能履行时，双方各自承担其因此而造成的损失、损害。</w:t>
      </w:r>
    </w:p>
    <w:p>
      <w:pPr>
        <w:wordWrap w:val="0"/>
        <w:adjustRightInd w:val="0"/>
        <w:snapToGrid w:val="0"/>
        <w:spacing w:line="240" w:lineRule="auto"/>
        <w:ind w:firstLine="560"/>
        <w:outlineLvl w:val="1"/>
        <w:rPr>
          <w:rFonts w:hint="eastAsia" w:hAnsi="宋体" w:cs="宋体"/>
          <w:b/>
          <w:bCs/>
          <w:snapToGrid w:val="0"/>
          <w:color w:val="auto"/>
          <w:kern w:val="0"/>
          <w:highlight w:val="none"/>
        </w:rPr>
      </w:pPr>
      <w:bookmarkStart w:id="137" w:name="_Toc30131"/>
    </w:p>
    <w:p>
      <w:pPr>
        <w:wordWrap w:val="0"/>
        <w:adjustRightInd w:val="0"/>
        <w:snapToGrid w:val="0"/>
        <w:spacing w:line="240" w:lineRule="auto"/>
        <w:ind w:firstLine="560"/>
        <w:outlineLvl w:val="1"/>
        <w:rPr>
          <w:rFonts w:hAnsi="宋体" w:cs="宋体"/>
          <w:snapToGrid w:val="0"/>
          <w:color w:val="auto"/>
          <w:kern w:val="0"/>
          <w:highlight w:val="none"/>
        </w:rPr>
      </w:pPr>
      <w:r>
        <w:rPr>
          <w:rFonts w:hint="eastAsia" w:hAnsi="宋体" w:cs="宋体"/>
          <w:b/>
          <w:bCs/>
          <w:snapToGrid w:val="0"/>
          <w:color w:val="auto"/>
          <w:kern w:val="0"/>
          <w:highlight w:val="none"/>
        </w:rPr>
        <w:t>5．支付</w:t>
      </w:r>
      <w:bookmarkEnd w:id="137"/>
    </w:p>
    <w:p>
      <w:pPr>
        <w:wordWrap w:val="0"/>
        <w:adjustRightInd w:val="0"/>
        <w:snapToGrid w:val="0"/>
        <w:spacing w:line="240" w:lineRule="auto"/>
        <w:ind w:firstLine="560"/>
        <w:outlineLvl w:val="2"/>
        <w:rPr>
          <w:rFonts w:hint="eastAsia" w:ascii="宋体" w:hAnsi="宋体" w:eastAsia="宋体" w:cs="宋体"/>
          <w:snapToGrid w:val="0"/>
          <w:color w:val="auto"/>
          <w:kern w:val="0"/>
          <w:highlight w:val="none"/>
        </w:rPr>
      </w:pPr>
      <w:bookmarkStart w:id="138" w:name="_Toc3085"/>
      <w:r>
        <w:rPr>
          <w:rFonts w:hint="eastAsia" w:ascii="宋体" w:hAnsi="宋体" w:eastAsia="宋体" w:cs="宋体"/>
          <w:snapToGrid w:val="0"/>
          <w:color w:val="auto"/>
          <w:kern w:val="0"/>
          <w:highlight w:val="none"/>
        </w:rPr>
        <w:t>5.1支付货币</w:t>
      </w:r>
      <w:bookmarkEnd w:id="138"/>
    </w:p>
    <w:p>
      <w:pPr>
        <w:wordWrap w:val="0"/>
        <w:adjustRightInd w:val="0"/>
        <w:snapToGrid w:val="0"/>
        <w:spacing w:line="240" w:lineRule="auto"/>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酬金均以人民币支付。</w:t>
      </w:r>
    </w:p>
    <w:p>
      <w:pPr>
        <w:wordWrap w:val="0"/>
        <w:adjustRightInd w:val="0"/>
        <w:snapToGrid w:val="0"/>
        <w:spacing w:line="240" w:lineRule="auto"/>
        <w:ind w:firstLine="560"/>
        <w:outlineLvl w:val="2"/>
        <w:rPr>
          <w:rFonts w:hint="eastAsia" w:ascii="宋体" w:hAnsi="宋体" w:eastAsia="宋体" w:cs="宋体"/>
          <w:snapToGrid w:val="0"/>
          <w:color w:val="auto"/>
          <w:kern w:val="0"/>
          <w:highlight w:val="none"/>
        </w:rPr>
      </w:pPr>
      <w:bookmarkStart w:id="139" w:name="_Toc11881"/>
      <w:r>
        <w:rPr>
          <w:rFonts w:hint="eastAsia" w:ascii="宋体" w:hAnsi="宋体" w:eastAsia="宋体" w:cs="宋体"/>
          <w:snapToGrid w:val="0"/>
          <w:color w:val="auto"/>
          <w:kern w:val="0"/>
          <w:highlight w:val="none"/>
          <w:lang w:val="en-US" w:eastAsia="zh-CN"/>
        </w:rPr>
        <w:t>5.2</w:t>
      </w:r>
      <w:r>
        <w:rPr>
          <w:rFonts w:hint="eastAsia" w:ascii="宋体" w:hAnsi="宋体" w:eastAsia="宋体" w:cs="宋体"/>
          <w:snapToGrid w:val="0"/>
          <w:color w:val="auto"/>
          <w:kern w:val="0"/>
          <w:highlight w:val="none"/>
        </w:rPr>
        <w:t>支付申请</w:t>
      </w:r>
      <w:bookmarkEnd w:id="139"/>
    </w:p>
    <w:p>
      <w:pPr>
        <w:wordWrap w:val="0"/>
        <w:adjustRightInd w:val="0"/>
        <w:snapToGrid w:val="0"/>
        <w:spacing w:line="240" w:lineRule="auto"/>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监理人应在本合同约定的每次应付款时间的7天前，向委托人提交支付申请书。支付申请书应当说明当期应付款总额，并列出当期应支付的款项及其金额。</w:t>
      </w:r>
    </w:p>
    <w:p>
      <w:pPr>
        <w:wordWrap w:val="0"/>
        <w:adjustRightInd w:val="0"/>
        <w:snapToGrid w:val="0"/>
        <w:spacing w:line="240" w:lineRule="auto"/>
        <w:ind w:firstLine="560"/>
        <w:outlineLvl w:val="2"/>
        <w:rPr>
          <w:rFonts w:hint="eastAsia" w:ascii="宋体" w:hAnsi="宋体" w:eastAsia="宋体" w:cs="宋体"/>
          <w:snapToGrid w:val="0"/>
          <w:color w:val="auto"/>
          <w:kern w:val="0"/>
          <w:highlight w:val="none"/>
          <w:lang w:eastAsia="zh-CN"/>
        </w:rPr>
      </w:pPr>
      <w:bookmarkStart w:id="140" w:name="_Toc5447"/>
      <w:r>
        <w:rPr>
          <w:rFonts w:hint="eastAsia" w:ascii="宋体" w:hAnsi="宋体" w:eastAsia="宋体" w:cs="宋体"/>
          <w:snapToGrid w:val="0"/>
          <w:color w:val="auto"/>
          <w:kern w:val="0"/>
          <w:highlight w:val="none"/>
          <w:lang w:val="en-US" w:eastAsia="zh-CN"/>
        </w:rPr>
        <w:t>5.3</w:t>
      </w:r>
      <w:r>
        <w:rPr>
          <w:rFonts w:hint="eastAsia" w:ascii="宋体" w:hAnsi="宋体" w:eastAsia="宋体" w:cs="宋体"/>
          <w:snapToGrid w:val="0"/>
          <w:color w:val="auto"/>
          <w:kern w:val="0"/>
          <w:highlight w:val="none"/>
          <w:lang w:eastAsia="zh-CN"/>
        </w:rPr>
        <w:t>支付酬金</w:t>
      </w:r>
      <w:bookmarkEnd w:id="140"/>
    </w:p>
    <w:p>
      <w:pPr>
        <w:wordWrap w:val="0"/>
        <w:adjustRightInd w:val="0"/>
        <w:snapToGrid w:val="0"/>
        <w:spacing w:line="240" w:lineRule="auto"/>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5.3.1</w:t>
      </w:r>
      <w:r>
        <w:rPr>
          <w:rFonts w:hint="eastAsia" w:ascii="宋体" w:hAnsi="宋体" w:eastAsia="宋体" w:cs="宋体"/>
          <w:snapToGrid w:val="0"/>
          <w:color w:val="auto"/>
          <w:kern w:val="0"/>
          <w:highlight w:val="none"/>
          <w:lang w:eastAsia="zh-CN"/>
        </w:rPr>
        <w:t>本项目支付监理服务费预付款；</w:t>
      </w:r>
    </w:p>
    <w:p>
      <w:pPr>
        <w:wordWrap w:val="0"/>
        <w:adjustRightInd w:val="0"/>
        <w:snapToGrid w:val="0"/>
        <w:spacing w:line="240" w:lineRule="auto"/>
        <w:ind w:firstLine="56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r>
        <w:rPr>
          <w:rFonts w:hint="eastAsia" w:hAnsi="宋体" w:cs="宋体"/>
          <w:snapToGrid w:val="0"/>
          <w:color w:val="auto"/>
          <w:kern w:val="0"/>
          <w:highlight w:val="none"/>
          <w:lang w:val="en-US" w:eastAsia="zh-CN"/>
        </w:rPr>
        <w:t>3.</w:t>
      </w:r>
      <w:r>
        <w:rPr>
          <w:rFonts w:hint="eastAsia" w:ascii="宋体" w:hAnsi="宋体" w:eastAsia="宋体" w:cs="宋体"/>
          <w:snapToGrid w:val="0"/>
          <w:color w:val="auto"/>
          <w:kern w:val="0"/>
          <w:highlight w:val="none"/>
        </w:rPr>
        <w:t>2本项目施工阶段分期支付监理服务费，具体分期支付方式如下：</w:t>
      </w:r>
    </w:p>
    <w:tbl>
      <w:tblPr>
        <w:tblStyle w:val="19"/>
        <w:tblW w:w="89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418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60"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支付次数</w:t>
            </w:r>
          </w:p>
        </w:tc>
        <w:tc>
          <w:tcPr>
            <w:tcW w:w="418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支付时间</w:t>
            </w:r>
          </w:p>
        </w:tc>
        <w:tc>
          <w:tcPr>
            <w:tcW w:w="2836"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60"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预付款</w:t>
            </w:r>
          </w:p>
        </w:tc>
        <w:tc>
          <w:tcPr>
            <w:tcW w:w="418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签订</w:t>
            </w:r>
            <w:r>
              <w:rPr>
                <w:rFonts w:ascii="宋体" w:hAnsi="宋体" w:cs="宋体"/>
                <w:color w:val="auto"/>
                <w:sz w:val="24"/>
                <w:highlight w:val="none"/>
              </w:rPr>
              <w:t>合同</w:t>
            </w:r>
            <w:r>
              <w:rPr>
                <w:rFonts w:hint="eastAsia" w:hAnsi="宋体" w:cs="宋体"/>
                <w:color w:val="auto"/>
                <w:sz w:val="24"/>
                <w:highlight w:val="none"/>
                <w:lang w:val="en-US" w:eastAsia="zh-CN"/>
              </w:rPr>
              <w:t>开工</w:t>
            </w:r>
            <w:r>
              <w:rPr>
                <w:rFonts w:ascii="宋体" w:hAnsi="宋体" w:cs="宋体"/>
                <w:color w:val="auto"/>
                <w:sz w:val="24"/>
                <w:highlight w:val="none"/>
              </w:rPr>
              <w:t>后</w:t>
            </w:r>
          </w:p>
        </w:tc>
        <w:tc>
          <w:tcPr>
            <w:tcW w:w="2836"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960"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第二次付款</w:t>
            </w:r>
          </w:p>
        </w:tc>
        <w:tc>
          <w:tcPr>
            <w:tcW w:w="418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当施工工程量达</w:t>
            </w:r>
            <w:r>
              <w:rPr>
                <w:rFonts w:ascii="宋体" w:hAnsi="宋体" w:cs="宋体"/>
                <w:color w:val="auto"/>
                <w:sz w:val="24"/>
                <w:highlight w:val="none"/>
              </w:rPr>
              <w:t>70</w:t>
            </w:r>
            <w:r>
              <w:rPr>
                <w:rFonts w:hint="eastAsia" w:ascii="宋体" w:hAnsi="宋体" w:cs="宋体"/>
                <w:color w:val="auto"/>
                <w:sz w:val="24"/>
                <w:highlight w:val="none"/>
              </w:rPr>
              <w:t>%时</w:t>
            </w:r>
          </w:p>
        </w:tc>
        <w:tc>
          <w:tcPr>
            <w:tcW w:w="2836" w:type="dxa"/>
            <w:noWrap w:val="0"/>
            <w:vAlign w:val="center"/>
          </w:tcPr>
          <w:p>
            <w:pPr>
              <w:adjustRightInd w:val="0"/>
              <w:snapToGrid w:val="0"/>
              <w:jc w:val="center"/>
              <w:rPr>
                <w:rFonts w:ascii="宋体" w:hAnsi="宋体" w:cs="宋体"/>
                <w:color w:val="auto"/>
                <w:sz w:val="24"/>
                <w:highlight w:val="none"/>
              </w:rPr>
            </w:pPr>
            <w:r>
              <w:rPr>
                <w:rFonts w:hint="eastAsia" w:hAnsi="宋体" w:cs="宋体"/>
                <w:color w:val="auto"/>
                <w:sz w:val="24"/>
                <w:highlight w:val="none"/>
                <w:lang w:val="en-US" w:eastAsia="zh-CN"/>
              </w:rPr>
              <w:t>支付至70</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60"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第三次付款</w:t>
            </w:r>
          </w:p>
        </w:tc>
        <w:tc>
          <w:tcPr>
            <w:tcW w:w="4184" w:type="dxa"/>
            <w:noWrap w:val="0"/>
            <w:vAlign w:val="center"/>
          </w:tcPr>
          <w:p>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工程竣工验收</w:t>
            </w:r>
            <w:r>
              <w:rPr>
                <w:rFonts w:ascii="宋体" w:hAnsi="宋体" w:cs="宋体"/>
                <w:color w:val="auto"/>
                <w:sz w:val="24"/>
                <w:highlight w:val="none"/>
              </w:rPr>
              <w:t>完成并</w:t>
            </w:r>
            <w:r>
              <w:rPr>
                <w:rFonts w:hint="eastAsia" w:hAnsi="宋体" w:cs="宋体"/>
                <w:color w:val="auto"/>
                <w:sz w:val="24"/>
                <w:highlight w:val="none"/>
                <w:lang w:val="en-US" w:eastAsia="zh-CN"/>
              </w:rPr>
              <w:t>经财政评审中心结算审核后申请支付</w:t>
            </w:r>
            <w:r>
              <w:rPr>
                <w:rFonts w:hint="eastAsia" w:ascii="宋体" w:hAnsi="宋体" w:cs="宋体"/>
                <w:color w:val="auto"/>
                <w:sz w:val="24"/>
                <w:highlight w:val="none"/>
              </w:rPr>
              <w:t>（</w:t>
            </w:r>
            <w:r>
              <w:rPr>
                <w:rFonts w:hint="eastAsia" w:hAnsi="宋体" w:cs="宋体"/>
                <w:color w:val="auto"/>
                <w:sz w:val="24"/>
                <w:highlight w:val="none"/>
                <w:lang w:val="en-US" w:eastAsia="zh-CN"/>
              </w:rPr>
              <w:t>因使用财政资金，以实际支出时间为准</w:t>
            </w:r>
            <w:r>
              <w:rPr>
                <w:rFonts w:hint="eastAsia" w:ascii="宋体" w:hAnsi="宋体" w:cs="宋体"/>
                <w:color w:val="auto"/>
                <w:sz w:val="24"/>
                <w:highlight w:val="none"/>
              </w:rPr>
              <w:t>）</w:t>
            </w:r>
          </w:p>
        </w:tc>
        <w:tc>
          <w:tcPr>
            <w:tcW w:w="2836" w:type="dxa"/>
            <w:noWrap w:val="0"/>
            <w:vAlign w:val="center"/>
          </w:tcPr>
          <w:p>
            <w:pPr>
              <w:adjustRightInd w:val="0"/>
              <w:snapToGrid w:val="0"/>
              <w:jc w:val="center"/>
              <w:rPr>
                <w:rFonts w:hint="eastAsia" w:ascii="宋体" w:hAnsi="宋体" w:cs="宋体"/>
                <w:color w:val="auto"/>
                <w:sz w:val="24"/>
                <w:highlight w:val="none"/>
              </w:rPr>
            </w:pPr>
            <w:r>
              <w:rPr>
                <w:rFonts w:hint="eastAsia" w:hAnsi="宋体" w:cs="宋体"/>
                <w:color w:val="auto"/>
                <w:sz w:val="24"/>
                <w:highlight w:val="none"/>
                <w:lang w:val="en-US" w:eastAsia="zh-CN"/>
              </w:rPr>
              <w:t>支付至结算价的10</w:t>
            </w:r>
            <w:r>
              <w:rPr>
                <w:rFonts w:hint="eastAsia" w:ascii="宋体" w:hAnsi="宋体" w:cs="宋体"/>
                <w:color w:val="auto"/>
                <w:sz w:val="24"/>
                <w:highlight w:val="none"/>
              </w:rPr>
              <w:t>0%</w:t>
            </w:r>
          </w:p>
        </w:tc>
      </w:tr>
    </w:tbl>
    <w:p>
      <w:pPr>
        <w:wordWrap w:val="0"/>
        <w:adjustRightInd w:val="0"/>
        <w:snapToGrid w:val="0"/>
        <w:spacing w:line="240" w:lineRule="auto"/>
        <w:ind w:firstLine="560"/>
        <w:rPr>
          <w:rFonts w:hint="default"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rPr>
        <w:t>5.</w:t>
      </w:r>
      <w:r>
        <w:rPr>
          <w:rFonts w:hint="eastAsia" w:hAnsi="宋体" w:cs="宋体"/>
          <w:snapToGrid w:val="0"/>
          <w:color w:val="auto"/>
          <w:kern w:val="0"/>
          <w:highlight w:val="none"/>
          <w:lang w:val="en-US" w:eastAsia="zh-CN"/>
        </w:rPr>
        <w:t>3.3</w:t>
      </w:r>
      <w:r>
        <w:rPr>
          <w:rFonts w:hint="eastAsia" w:ascii="宋体" w:hAnsi="宋体" w:eastAsia="宋体" w:cs="宋体"/>
          <w:snapToGrid w:val="0"/>
          <w:color w:val="auto"/>
          <w:kern w:val="0"/>
          <w:highlight w:val="none"/>
        </w:rPr>
        <w:t>本项目的建设单位为</w:t>
      </w:r>
      <w:r>
        <w:rPr>
          <w:rFonts w:hint="eastAsia" w:hAnsi="宋体" w:cs="宋体"/>
          <w:snapToGrid w:val="0"/>
          <w:color w:val="auto"/>
          <w:kern w:val="0"/>
          <w:highlight w:val="none"/>
          <w:lang w:eastAsia="zh-CN"/>
        </w:rPr>
        <w:t>韶关市武江区人民政府惠民街道办事处</w:t>
      </w:r>
      <w:r>
        <w:rPr>
          <w:rFonts w:hint="eastAsia" w:ascii="宋体" w:hAnsi="宋体" w:eastAsia="宋体" w:cs="宋体"/>
          <w:snapToGrid w:val="0"/>
          <w:color w:val="auto"/>
          <w:kern w:val="0"/>
          <w:highlight w:val="none"/>
        </w:rPr>
        <w:t>，代建单位为</w:t>
      </w:r>
      <w:r>
        <w:rPr>
          <w:rFonts w:hint="eastAsia" w:hAnsi="宋体" w:cs="宋体"/>
          <w:snapToGrid w:val="0"/>
          <w:color w:val="auto"/>
          <w:kern w:val="0"/>
          <w:highlight w:val="none"/>
          <w:lang w:eastAsia="zh-CN"/>
        </w:rPr>
        <w:t>韶关市武江区人民政府惠民街道办事处</w:t>
      </w:r>
      <w:r>
        <w:rPr>
          <w:rFonts w:hint="eastAsia" w:ascii="宋体" w:hAnsi="宋体" w:eastAsia="宋体" w:cs="宋体"/>
          <w:snapToGrid w:val="0"/>
          <w:color w:val="auto"/>
          <w:kern w:val="0"/>
          <w:highlight w:val="none"/>
        </w:rPr>
        <w:t>。代建单位负责项目全过程的质量、安全、进度、成本控制，并承担和享受相应的责、权、利。本合同所有款项均由</w:t>
      </w:r>
      <w:r>
        <w:rPr>
          <w:rFonts w:hint="eastAsia"/>
          <w:color w:val="auto"/>
          <w:highlight w:val="none"/>
          <w:lang w:eastAsia="zh-CN"/>
        </w:rPr>
        <w:t>建设单位</w:t>
      </w:r>
      <w:r>
        <w:rPr>
          <w:rFonts w:hint="eastAsia" w:ascii="宋体" w:hAnsi="宋体" w:eastAsia="宋体" w:cs="宋体"/>
          <w:snapToGrid w:val="0"/>
          <w:color w:val="auto"/>
          <w:kern w:val="0"/>
          <w:highlight w:val="none"/>
        </w:rPr>
        <w:t>向监理人进行支付，监理人向</w:t>
      </w:r>
      <w:r>
        <w:rPr>
          <w:rFonts w:hint="eastAsia"/>
          <w:color w:val="auto"/>
          <w:highlight w:val="none"/>
          <w:lang w:eastAsia="zh-CN"/>
        </w:rPr>
        <w:t>建设单位</w:t>
      </w:r>
      <w:r>
        <w:rPr>
          <w:rFonts w:hint="eastAsia" w:ascii="宋体" w:hAnsi="宋体" w:eastAsia="宋体" w:cs="宋体"/>
          <w:snapToGrid w:val="0"/>
          <w:color w:val="auto"/>
          <w:kern w:val="0"/>
          <w:highlight w:val="none"/>
        </w:rPr>
        <w:t>提供符合要求的相应金额的发票，监理服务费增值税税金按一般纳税人一般计税方法计算，如中标人为小规模纳税人，则相应减少税额差额部分。委托人每次支付监理服务费前，监理人均应提供有效的增值税专用发票。如果监理人无法提供符合要求的监理服务费发票，由此造成的相应损失由监理人承担。</w:t>
      </w:r>
    </w:p>
    <w:p>
      <w:pPr>
        <w:keepNext w:val="0"/>
        <w:keepLines w:val="0"/>
        <w:pageBreakBefore w:val="0"/>
        <w:widowControl w:val="0"/>
        <w:kinsoku/>
        <w:wordWrap w:val="0"/>
        <w:overflowPunct/>
        <w:topLinePunct w:val="0"/>
        <w:autoSpaceDE/>
        <w:autoSpaceDN/>
        <w:bidi w:val="0"/>
        <w:adjustRightInd w:val="0"/>
        <w:snapToGrid w:val="0"/>
        <w:spacing w:line="240" w:lineRule="auto"/>
        <w:ind w:firstLine="560"/>
        <w:textAlignment w:val="auto"/>
        <w:outlineLvl w:val="2"/>
        <w:rPr>
          <w:rFonts w:hint="eastAsia" w:ascii="宋体" w:hAnsi="宋体" w:eastAsia="宋体" w:cs="宋体"/>
          <w:snapToGrid w:val="0"/>
          <w:color w:val="auto"/>
          <w:kern w:val="0"/>
          <w:highlight w:val="none"/>
        </w:rPr>
      </w:pPr>
      <w:bookmarkStart w:id="141" w:name="_Toc15430"/>
      <w:r>
        <w:rPr>
          <w:rFonts w:hint="eastAsia" w:ascii="宋体" w:hAnsi="宋体" w:eastAsia="宋体" w:cs="宋体"/>
          <w:snapToGrid w:val="0"/>
          <w:color w:val="auto"/>
          <w:kern w:val="0"/>
          <w:highlight w:val="none"/>
        </w:rPr>
        <w:t>5.</w:t>
      </w:r>
      <w:r>
        <w:rPr>
          <w:rFonts w:hint="eastAsia" w:hAnsi="宋体" w:cs="宋体"/>
          <w:snapToGrid w:val="0"/>
          <w:color w:val="auto"/>
          <w:kern w:val="0"/>
          <w:highlight w:val="none"/>
          <w:lang w:val="en-US" w:eastAsia="zh-CN"/>
        </w:rPr>
        <w:t>4</w:t>
      </w:r>
      <w:r>
        <w:rPr>
          <w:rFonts w:hint="eastAsia" w:ascii="宋体" w:hAnsi="宋体" w:eastAsia="宋体" w:cs="宋体"/>
          <w:snapToGrid w:val="0"/>
          <w:color w:val="auto"/>
          <w:kern w:val="0"/>
          <w:highlight w:val="none"/>
        </w:rPr>
        <w:t>有争议部分的付款</w:t>
      </w:r>
      <w:bookmarkEnd w:id="141"/>
    </w:p>
    <w:p>
      <w:pPr>
        <w:keepNext w:val="0"/>
        <w:keepLines w:val="0"/>
        <w:pageBreakBefore w:val="0"/>
        <w:widowControl w:val="0"/>
        <w:kinsoku/>
        <w:wordWrap w:val="0"/>
        <w:overflowPunct/>
        <w:topLinePunct w:val="0"/>
        <w:autoSpaceDE/>
        <w:autoSpaceDN/>
        <w:bidi w:val="0"/>
        <w:adjustRightInd w:val="0"/>
        <w:snapToGrid w:val="0"/>
        <w:spacing w:line="240" w:lineRule="auto"/>
        <w:ind w:firstLine="560"/>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委托人对监理人提交的支付申请书有异议时，应当在收到监理人提交的支付申请书后7天内，以书面形式向监理人发出异议通知。无异议部分的款项应按期支付，有异议部分的款项按本章第7条处理。</w:t>
      </w:r>
    </w:p>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snapToGrid w:val="0"/>
          <w:color w:val="auto"/>
          <w:kern w:val="0"/>
          <w:highlight w:val="none"/>
          <w:u w:val="single"/>
        </w:rPr>
      </w:pPr>
      <w:bookmarkStart w:id="142" w:name="_Toc9265"/>
      <w:r>
        <w:rPr>
          <w:rFonts w:hint="eastAsia" w:ascii="宋体" w:hAnsi="宋体" w:eastAsia="宋体" w:cs="宋体"/>
          <w:snapToGrid w:val="0"/>
          <w:color w:val="auto"/>
          <w:kern w:val="0"/>
          <w:highlight w:val="none"/>
          <w:lang w:val="en-US" w:eastAsia="zh-CN"/>
        </w:rPr>
        <w:t>5.5</w:t>
      </w:r>
      <w:r>
        <w:rPr>
          <w:rFonts w:hint="eastAsia" w:ascii="宋体" w:hAnsi="宋体" w:eastAsia="宋体" w:cs="宋体"/>
          <w:snapToGrid w:val="0"/>
          <w:color w:val="auto"/>
          <w:kern w:val="0"/>
          <w:highlight w:val="none"/>
        </w:rPr>
        <w:t>酬金结算原则：</w:t>
      </w:r>
      <w:bookmarkEnd w:id="142"/>
      <w:r>
        <w:rPr>
          <w:rFonts w:hint="eastAsia" w:ascii="宋体" w:hAnsi="宋体" w:eastAsia="宋体" w:cs="宋体"/>
          <w:b/>
          <w:snapToGrid w:val="0"/>
          <w:color w:val="auto"/>
          <w:kern w:val="0"/>
          <w:highlight w:val="none"/>
          <w:u w:val="single"/>
        </w:rPr>
        <w:t>监理服务费结算价以项目的中标价范围内按实结算，即：以</w:t>
      </w:r>
      <w:r>
        <w:rPr>
          <w:rFonts w:hint="eastAsia" w:ascii="宋体" w:hAnsi="宋体" w:eastAsia="宋体" w:cs="宋体"/>
          <w:b/>
          <w:bCs/>
          <w:snapToGrid w:val="0"/>
          <w:color w:val="auto"/>
          <w:kern w:val="0"/>
          <w:highlight w:val="none"/>
          <w:u w:val="single"/>
        </w:rPr>
        <w:t>实际</w:t>
      </w:r>
      <w:r>
        <w:rPr>
          <w:rFonts w:hint="eastAsia" w:ascii="宋体" w:hAnsi="宋体" w:eastAsia="宋体" w:cs="宋体"/>
          <w:b/>
          <w:snapToGrid w:val="0"/>
          <w:color w:val="auto"/>
          <w:kern w:val="0"/>
          <w:highlight w:val="none"/>
          <w:u w:val="single"/>
        </w:rPr>
        <w:t>施工结算价为基数乘以监理人中标取费费率计算，若监理服务费结算</w:t>
      </w:r>
      <w:r>
        <w:rPr>
          <w:rFonts w:hint="eastAsia" w:ascii="宋体" w:hAnsi="宋体" w:eastAsia="宋体" w:cs="宋体"/>
          <w:b/>
          <w:strike/>
          <w:snapToGrid w:val="0"/>
          <w:color w:val="auto"/>
          <w:kern w:val="0"/>
          <w:highlight w:val="none"/>
          <w:u w:val="single"/>
        </w:rPr>
        <w:t>总</w:t>
      </w:r>
      <w:r>
        <w:rPr>
          <w:rFonts w:hint="eastAsia" w:ascii="宋体" w:hAnsi="宋体" w:eastAsia="宋体" w:cs="宋体"/>
          <w:b/>
          <w:snapToGrid w:val="0"/>
          <w:color w:val="auto"/>
          <w:kern w:val="0"/>
          <w:highlight w:val="none"/>
          <w:u w:val="single"/>
        </w:rPr>
        <w:t>价超过签约合同价，则按签约合同价结算；若监理服务费结算</w:t>
      </w:r>
      <w:r>
        <w:rPr>
          <w:rFonts w:hint="eastAsia" w:ascii="宋体" w:hAnsi="宋体" w:eastAsia="宋体" w:cs="宋体"/>
          <w:b/>
          <w:strike/>
          <w:snapToGrid w:val="0"/>
          <w:color w:val="auto"/>
          <w:kern w:val="0"/>
          <w:highlight w:val="none"/>
          <w:u w:val="single"/>
        </w:rPr>
        <w:t>总</w:t>
      </w:r>
      <w:r>
        <w:rPr>
          <w:rFonts w:hint="eastAsia" w:ascii="宋体" w:hAnsi="宋体" w:eastAsia="宋体" w:cs="宋体"/>
          <w:b/>
          <w:snapToGrid w:val="0"/>
          <w:color w:val="auto"/>
          <w:kern w:val="0"/>
          <w:highlight w:val="none"/>
          <w:u w:val="single"/>
        </w:rPr>
        <w:t>价未超过签约合同价，则按以</w:t>
      </w:r>
      <w:r>
        <w:rPr>
          <w:rFonts w:hint="eastAsia" w:ascii="宋体" w:hAnsi="宋体" w:eastAsia="宋体" w:cs="宋体"/>
          <w:b/>
          <w:bCs/>
          <w:snapToGrid w:val="0"/>
          <w:color w:val="auto"/>
          <w:kern w:val="0"/>
          <w:highlight w:val="none"/>
          <w:u w:val="single"/>
        </w:rPr>
        <w:t>实际</w:t>
      </w:r>
      <w:r>
        <w:rPr>
          <w:rFonts w:hint="eastAsia" w:ascii="宋体" w:hAnsi="宋体" w:eastAsia="宋体" w:cs="宋体"/>
          <w:b/>
          <w:snapToGrid w:val="0"/>
          <w:color w:val="auto"/>
          <w:kern w:val="0"/>
          <w:highlight w:val="none"/>
          <w:u w:val="single"/>
        </w:rPr>
        <w:t>施工结算价为基数乘以监理人中标取费费率计算的结算价进行结算。监理服务费最终结算价以委托人或委托人委托的第三方审核机构审定为准。</w:t>
      </w:r>
    </w:p>
    <w:p>
      <w:pPr>
        <w:keepNext w:val="0"/>
        <w:keepLines w:val="0"/>
        <w:pageBreakBefore w:val="0"/>
        <w:widowControl w:val="0"/>
        <w:kinsoku/>
        <w:wordWrap w:val="0"/>
        <w:overflowPunct/>
        <w:topLinePunct w:val="0"/>
        <w:autoSpaceDE/>
        <w:autoSpaceDN/>
        <w:bidi w:val="0"/>
        <w:adjustRightInd w:val="0"/>
        <w:snapToGrid w:val="0"/>
        <w:spacing w:line="240" w:lineRule="auto"/>
        <w:ind w:firstLine="560"/>
        <w:textAlignment w:val="auto"/>
        <w:rPr>
          <w:rFonts w:hAnsi="宋体" w:cs="宋体"/>
          <w:snapToGrid w:val="0"/>
          <w:color w:val="auto"/>
          <w:kern w:val="0"/>
          <w:highlight w:val="none"/>
        </w:rPr>
      </w:pPr>
      <w:r>
        <w:rPr>
          <w:rFonts w:hint="eastAsia" w:ascii="宋体" w:hAnsi="宋体" w:eastAsia="宋体" w:cs="宋体"/>
          <w:b/>
          <w:snapToGrid w:val="0"/>
          <w:color w:val="auto"/>
          <w:kern w:val="0"/>
          <w:highlight w:val="none"/>
          <w:u w:val="single"/>
        </w:rPr>
        <w:t>注：委托人可根据本项目实际情况或相关政策变化对项目规模及内容进行调整或减少，监理人不得因此调整或减少向委托人索赔，并且必须按调整或减少后的规模及内容完成工程的监理及监理酬金结算。</w:t>
      </w:r>
    </w:p>
    <w:p>
      <w:pPr>
        <w:pStyle w:val="7"/>
        <w:spacing w:line="240" w:lineRule="auto"/>
        <w:ind w:firstLine="480" w:firstLineChars="200"/>
        <w:rPr>
          <w:strike/>
          <w:color w:val="auto"/>
          <w:highlight w:val="none"/>
        </w:rPr>
      </w:pPr>
    </w:p>
    <w:p>
      <w:pPr>
        <w:pStyle w:val="23"/>
        <w:rPr>
          <w:color w:val="auto"/>
          <w:highlight w:val="none"/>
        </w:rPr>
      </w:pPr>
    </w:p>
    <w:p>
      <w:pPr>
        <w:wordWrap w:val="0"/>
        <w:adjustRightInd w:val="0"/>
        <w:snapToGrid w:val="0"/>
        <w:spacing w:line="240" w:lineRule="auto"/>
        <w:ind w:firstLine="482" w:firstLineChars="200"/>
        <w:outlineLvl w:val="1"/>
        <w:rPr>
          <w:rFonts w:hAnsi="宋体" w:cs="宋体"/>
          <w:b/>
          <w:bCs/>
          <w:snapToGrid w:val="0"/>
          <w:color w:val="auto"/>
          <w:kern w:val="0"/>
          <w:highlight w:val="none"/>
        </w:rPr>
      </w:pPr>
      <w:bookmarkStart w:id="143" w:name="_Toc18089"/>
      <w:r>
        <w:rPr>
          <w:rFonts w:hint="eastAsia" w:hAnsi="宋体" w:cs="宋体"/>
          <w:b/>
          <w:bCs/>
          <w:snapToGrid w:val="0"/>
          <w:color w:val="auto"/>
          <w:kern w:val="0"/>
          <w:highlight w:val="none"/>
        </w:rPr>
        <w:t>6．合同生效、变更、暂停、解除与终止</w:t>
      </w:r>
      <w:bookmarkEnd w:id="143"/>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44" w:name="_Toc15813"/>
      <w:r>
        <w:rPr>
          <w:rFonts w:hint="eastAsia" w:hAnsi="宋体" w:cs="宋体"/>
          <w:b/>
          <w:bCs/>
          <w:snapToGrid w:val="0"/>
          <w:color w:val="auto"/>
          <w:kern w:val="0"/>
          <w:highlight w:val="none"/>
        </w:rPr>
        <w:t>6.1</w:t>
      </w:r>
      <w:r>
        <w:rPr>
          <w:rFonts w:hint="eastAsia" w:hAnsi="宋体" w:cs="宋体"/>
          <w:snapToGrid w:val="0"/>
          <w:color w:val="auto"/>
          <w:kern w:val="0"/>
          <w:highlight w:val="none"/>
        </w:rPr>
        <w:t xml:space="preserve"> 生效</w:t>
      </w:r>
      <w:bookmarkEnd w:id="144"/>
    </w:p>
    <w:p>
      <w:pPr>
        <w:wordWrap w:val="0"/>
        <w:adjustRightInd w:val="0"/>
        <w:snapToGrid w:val="0"/>
        <w:spacing w:line="240" w:lineRule="auto"/>
        <w:rPr>
          <w:rFonts w:hAnsi="宋体" w:cs="宋体"/>
          <w:snapToGrid w:val="0"/>
          <w:color w:val="auto"/>
          <w:kern w:val="0"/>
          <w:highlight w:val="none"/>
        </w:rPr>
      </w:pPr>
      <w:r>
        <w:rPr>
          <w:rFonts w:hint="eastAsia" w:hAnsi="宋体" w:cs="宋体"/>
          <w:snapToGrid w:val="0"/>
          <w:color w:val="auto"/>
          <w:kern w:val="0"/>
          <w:highlight w:val="none"/>
        </w:rPr>
        <w:t>委托人和监理人的法定代表人或其授权代理人在协议书上签字并盖单位章后本合同生效。</w:t>
      </w:r>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45" w:name="_Toc13654"/>
      <w:r>
        <w:rPr>
          <w:rFonts w:hint="eastAsia" w:hAnsi="宋体" w:cs="宋体"/>
          <w:b/>
          <w:bCs/>
          <w:snapToGrid w:val="0"/>
          <w:color w:val="auto"/>
          <w:kern w:val="0"/>
          <w:highlight w:val="none"/>
        </w:rPr>
        <w:t>6.2</w:t>
      </w:r>
      <w:r>
        <w:rPr>
          <w:rFonts w:hint="eastAsia" w:hAnsi="宋体" w:cs="宋体"/>
          <w:snapToGrid w:val="0"/>
          <w:color w:val="auto"/>
          <w:kern w:val="0"/>
          <w:highlight w:val="none"/>
        </w:rPr>
        <w:t xml:space="preserve"> 变更</w:t>
      </w:r>
      <w:bookmarkEnd w:id="145"/>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项目建设期间，即使出现缓建或停建事件导致监理工期延长，不另增加监理服务费。</w:t>
      </w:r>
    </w:p>
    <w:p>
      <w:pPr>
        <w:wordWrap w:val="0"/>
        <w:adjustRightInd w:val="0"/>
        <w:snapToGrid w:val="0"/>
        <w:spacing w:line="240" w:lineRule="auto"/>
        <w:ind w:firstLine="560"/>
        <w:rPr>
          <w:color w:val="auto"/>
          <w:highlight w:val="none"/>
        </w:rPr>
      </w:pPr>
      <w:r>
        <w:rPr>
          <w:rFonts w:hint="eastAsia"/>
          <w:color w:val="auto"/>
          <w:highlight w:val="none"/>
        </w:rPr>
        <w:t>因工程规划、监理范围的变化导致监理人的正常工作量增加时，</w:t>
      </w:r>
      <w:r>
        <w:rPr>
          <w:rFonts w:hint="eastAsia" w:hAnsi="宋体" w:cs="宋体"/>
          <w:snapToGrid w:val="0"/>
          <w:color w:val="auto"/>
          <w:kern w:val="0"/>
          <w:highlight w:val="none"/>
        </w:rPr>
        <w:t>不另增加监理服务费</w:t>
      </w:r>
      <w:r>
        <w:rPr>
          <w:rFonts w:hint="eastAsia"/>
          <w:color w:val="auto"/>
          <w:highlight w:val="none"/>
        </w:rPr>
        <w:t>。</w:t>
      </w:r>
    </w:p>
    <w:p>
      <w:pPr>
        <w:pStyle w:val="23"/>
        <w:jc w:val="both"/>
        <w:rPr>
          <w:rFonts w:hAnsi="宋体" w:cs="宋体"/>
          <w:snapToGrid w:val="0"/>
          <w:color w:val="auto"/>
          <w:kern w:val="0"/>
          <w:highlight w:val="none"/>
        </w:rPr>
      </w:pP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因工程规模、监理范围的变化导致监理人的正常工作量减少时，按减少工作量的比例从协议书约定的正常工作酬金中扣减相同比例的酬金。</w:t>
      </w:r>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46" w:name="_Toc3745"/>
      <w:r>
        <w:rPr>
          <w:rFonts w:hint="eastAsia" w:hAnsi="宋体" w:cs="宋体"/>
          <w:b/>
          <w:bCs/>
          <w:snapToGrid w:val="0"/>
          <w:color w:val="auto"/>
          <w:kern w:val="0"/>
          <w:highlight w:val="none"/>
        </w:rPr>
        <w:t>6.3</w:t>
      </w:r>
      <w:r>
        <w:rPr>
          <w:rFonts w:hint="eastAsia" w:hAnsi="宋体" w:cs="宋体"/>
          <w:snapToGrid w:val="0"/>
          <w:color w:val="auto"/>
          <w:kern w:val="0"/>
          <w:highlight w:val="none"/>
        </w:rPr>
        <w:t xml:space="preserve"> 暂停与解除</w:t>
      </w:r>
      <w:bookmarkEnd w:id="146"/>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除双方协商一致可以解除本合同外，当一方无正当理由未履行本合同约定的义务时，另一方可以根据本合同约定暂停履行本合同直至解除本合同。</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6.3.1</w:t>
      </w:r>
      <w:r>
        <w:rPr>
          <w:rFonts w:hint="eastAsia" w:hAnsi="宋体" w:cs="宋体"/>
          <w:snapToGrid w:val="0"/>
          <w:color w:val="auto"/>
          <w:kern w:val="0"/>
          <w:highlight w:val="none"/>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因解除本合同或解除监理人的部分义务导致监理人遭受的损失，除依法可以免除责任的情况外，应由委托人予以补偿，补偿金额由双方协商确定。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解除本合同的协议必须采取书面形式，协议未达成之前，本合同仍然有效。</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6.3.2</w:t>
      </w:r>
      <w:r>
        <w:rPr>
          <w:rFonts w:hint="eastAsia" w:hAnsi="宋体" w:cs="宋体"/>
          <w:snapToGrid w:val="0"/>
          <w:color w:val="auto"/>
          <w:kern w:val="0"/>
          <w:highlight w:val="none"/>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hAnsi="宋体" w:cs="宋体"/>
          <w:b/>
          <w:bCs/>
          <w:snapToGrid w:val="0"/>
          <w:color w:val="auto"/>
          <w:kern w:val="0"/>
          <w:highlight w:val="none"/>
        </w:rPr>
        <w:t>4.2</w:t>
      </w:r>
      <w:r>
        <w:rPr>
          <w:rFonts w:hint="eastAsia" w:hAnsi="宋体" w:cs="宋体"/>
          <w:snapToGrid w:val="0"/>
          <w:color w:val="auto"/>
          <w:kern w:val="0"/>
          <w:highlight w:val="none"/>
        </w:rPr>
        <w:t>条约定的责任。</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6.3.3</w:t>
      </w:r>
      <w:r>
        <w:rPr>
          <w:rFonts w:hint="eastAsia" w:hAnsi="宋体" w:cs="宋体"/>
          <w:snapToGrid w:val="0"/>
          <w:color w:val="auto"/>
          <w:kern w:val="0"/>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hAnsi="宋体" w:cs="宋体"/>
          <w:b/>
          <w:bCs/>
          <w:snapToGrid w:val="0"/>
          <w:color w:val="auto"/>
          <w:kern w:val="0"/>
          <w:highlight w:val="none"/>
        </w:rPr>
        <w:t>4.1</w:t>
      </w:r>
      <w:r>
        <w:rPr>
          <w:rFonts w:hint="eastAsia" w:hAnsi="宋体" w:cs="宋体"/>
          <w:snapToGrid w:val="0"/>
          <w:color w:val="auto"/>
          <w:kern w:val="0"/>
          <w:highlight w:val="none"/>
        </w:rPr>
        <w:t>条约定的责任。</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6.3.4</w:t>
      </w:r>
      <w:r>
        <w:rPr>
          <w:rFonts w:hint="eastAsia" w:hAnsi="宋体" w:cs="宋体"/>
          <w:snapToGrid w:val="0"/>
          <w:color w:val="auto"/>
          <w:kern w:val="0"/>
          <w:highlight w:val="none"/>
        </w:rPr>
        <w:t xml:space="preserve"> 监理人在专用条件</w:t>
      </w:r>
      <w:r>
        <w:rPr>
          <w:rFonts w:hint="eastAsia" w:hAnsi="宋体" w:cs="宋体"/>
          <w:b/>
          <w:bCs/>
          <w:snapToGrid w:val="0"/>
          <w:color w:val="auto"/>
          <w:kern w:val="0"/>
          <w:highlight w:val="none"/>
        </w:rPr>
        <w:t>5.3</w:t>
      </w:r>
      <w:r>
        <w:rPr>
          <w:rFonts w:hint="eastAsia" w:hAnsi="宋体" w:cs="宋体"/>
          <w:snapToGrid w:val="0"/>
          <w:color w:val="auto"/>
          <w:kern w:val="0"/>
          <w:highlight w:val="none"/>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本章第</w:t>
      </w:r>
      <w:r>
        <w:rPr>
          <w:rFonts w:hint="eastAsia" w:hAnsi="宋体" w:cs="宋体"/>
          <w:b/>
          <w:bCs/>
          <w:snapToGrid w:val="0"/>
          <w:color w:val="auto"/>
          <w:kern w:val="0"/>
          <w:highlight w:val="none"/>
        </w:rPr>
        <w:t>4.2.3</w:t>
      </w:r>
      <w:r>
        <w:rPr>
          <w:rFonts w:hint="eastAsia" w:hAnsi="宋体" w:cs="宋体"/>
          <w:snapToGrid w:val="0"/>
          <w:color w:val="auto"/>
          <w:kern w:val="0"/>
          <w:highlight w:val="none"/>
        </w:rPr>
        <w:t>目约定的责任。</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6.3.5</w:t>
      </w:r>
      <w:r>
        <w:rPr>
          <w:rFonts w:hint="eastAsia" w:hAnsi="宋体" w:cs="宋体"/>
          <w:snapToGrid w:val="0"/>
          <w:color w:val="auto"/>
          <w:kern w:val="0"/>
          <w:highlight w:val="none"/>
        </w:rPr>
        <w:t xml:space="preserve"> 因不可抗力致使本合同部分或全部不能履行时，一方应立即通知另一方，可暂停或解除本合同。</w:t>
      </w:r>
    </w:p>
    <w:p>
      <w:pPr>
        <w:wordWrap w:val="0"/>
        <w:adjustRightInd w:val="0"/>
        <w:snapToGrid w:val="0"/>
        <w:spacing w:line="240" w:lineRule="auto"/>
        <w:ind w:firstLine="482" w:firstLineChars="200"/>
        <w:rPr>
          <w:rFonts w:hAnsi="宋体" w:cs="宋体"/>
          <w:snapToGrid w:val="0"/>
          <w:color w:val="auto"/>
          <w:kern w:val="0"/>
          <w:highlight w:val="none"/>
        </w:rPr>
      </w:pPr>
      <w:r>
        <w:rPr>
          <w:rFonts w:hint="eastAsia" w:hAnsi="宋体" w:cs="宋体"/>
          <w:b/>
          <w:bCs/>
          <w:snapToGrid w:val="0"/>
          <w:color w:val="auto"/>
          <w:kern w:val="0"/>
          <w:highlight w:val="none"/>
        </w:rPr>
        <w:t>6.3.6</w:t>
      </w:r>
      <w:r>
        <w:rPr>
          <w:rFonts w:hint="eastAsia" w:hAnsi="宋体" w:cs="宋体"/>
          <w:snapToGrid w:val="0"/>
          <w:color w:val="auto"/>
          <w:kern w:val="0"/>
          <w:highlight w:val="none"/>
        </w:rPr>
        <w:t xml:space="preserve"> 本合同解除后，本合同约定的有关结算、清理、争议解决方式的条件仍然有效。</w:t>
      </w:r>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47" w:name="_Toc32438"/>
      <w:r>
        <w:rPr>
          <w:rFonts w:hint="eastAsia" w:hAnsi="宋体" w:cs="宋体"/>
          <w:b/>
          <w:bCs/>
          <w:snapToGrid w:val="0"/>
          <w:color w:val="auto"/>
          <w:kern w:val="0"/>
          <w:highlight w:val="none"/>
        </w:rPr>
        <w:t>6.4</w:t>
      </w:r>
      <w:r>
        <w:rPr>
          <w:rFonts w:hint="eastAsia" w:hAnsi="宋体" w:cs="宋体"/>
          <w:snapToGrid w:val="0"/>
          <w:color w:val="auto"/>
          <w:kern w:val="0"/>
          <w:highlight w:val="none"/>
        </w:rPr>
        <w:t xml:space="preserve"> 终止</w:t>
      </w:r>
      <w:bookmarkEnd w:id="147"/>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以下条件全部满足时，本合同即告终止：</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（1）监理人完成本合同约定的全部工作；</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（2）委托人与监理人结清并支付全部酬金。</w:t>
      </w:r>
    </w:p>
    <w:p>
      <w:pPr>
        <w:pStyle w:val="23"/>
        <w:rPr>
          <w:color w:val="auto"/>
          <w:highlight w:val="none"/>
        </w:rPr>
      </w:pPr>
    </w:p>
    <w:p>
      <w:pPr>
        <w:wordWrap w:val="0"/>
        <w:adjustRightInd w:val="0"/>
        <w:snapToGrid w:val="0"/>
        <w:spacing w:line="240" w:lineRule="auto"/>
        <w:ind w:firstLine="482" w:firstLineChars="200"/>
        <w:outlineLvl w:val="1"/>
        <w:rPr>
          <w:rFonts w:hAnsi="宋体" w:cs="宋体"/>
          <w:b/>
          <w:bCs/>
          <w:snapToGrid w:val="0"/>
          <w:color w:val="auto"/>
          <w:kern w:val="0"/>
          <w:highlight w:val="none"/>
        </w:rPr>
      </w:pPr>
      <w:bookmarkStart w:id="148" w:name="_Toc18121"/>
      <w:r>
        <w:rPr>
          <w:rFonts w:hint="eastAsia" w:hAnsi="宋体" w:cs="宋体"/>
          <w:b/>
          <w:bCs/>
          <w:snapToGrid w:val="0"/>
          <w:color w:val="auto"/>
          <w:kern w:val="0"/>
          <w:highlight w:val="none"/>
        </w:rPr>
        <w:t>7．争议解决</w:t>
      </w:r>
      <w:bookmarkEnd w:id="148"/>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49" w:name="_Toc16655"/>
      <w:r>
        <w:rPr>
          <w:rFonts w:hint="eastAsia" w:hAnsi="宋体" w:cs="宋体"/>
          <w:b/>
          <w:bCs/>
          <w:snapToGrid w:val="0"/>
          <w:color w:val="auto"/>
          <w:kern w:val="0"/>
          <w:highlight w:val="none"/>
        </w:rPr>
        <w:t>7.1</w:t>
      </w:r>
      <w:r>
        <w:rPr>
          <w:rFonts w:hint="eastAsia" w:hAnsi="宋体" w:cs="宋体"/>
          <w:snapToGrid w:val="0"/>
          <w:color w:val="auto"/>
          <w:kern w:val="0"/>
          <w:highlight w:val="none"/>
        </w:rPr>
        <w:t xml:space="preserve"> 协商</w:t>
      </w:r>
      <w:bookmarkEnd w:id="149"/>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双方应本着诚信原则协商解决彼此间的争议。</w:t>
      </w:r>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50" w:name="_Toc18543"/>
      <w:r>
        <w:rPr>
          <w:rFonts w:hint="eastAsia" w:hAnsi="宋体" w:cs="宋体"/>
          <w:b/>
          <w:bCs/>
          <w:snapToGrid w:val="0"/>
          <w:color w:val="auto"/>
          <w:kern w:val="0"/>
          <w:highlight w:val="none"/>
        </w:rPr>
        <w:t>7.2</w:t>
      </w:r>
      <w:r>
        <w:rPr>
          <w:rFonts w:hint="eastAsia" w:hAnsi="宋体" w:cs="宋体"/>
          <w:snapToGrid w:val="0"/>
          <w:color w:val="auto"/>
          <w:kern w:val="0"/>
          <w:highlight w:val="none"/>
        </w:rPr>
        <w:t xml:space="preserve"> 调解</w:t>
      </w:r>
      <w:bookmarkEnd w:id="150"/>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如果双方不能在14天内或双方商定的其他时间内解决本合同争议，可以将其提交给</w:t>
      </w:r>
      <w:r>
        <w:rPr>
          <w:rFonts w:hint="eastAsia" w:hAnsi="宋体" w:cs="宋体"/>
          <w:snapToGrid w:val="0"/>
          <w:color w:val="auto"/>
          <w:kern w:val="0"/>
          <w:highlight w:val="none"/>
          <w:u w:val="single"/>
        </w:rPr>
        <w:t>行政主管部门</w:t>
      </w:r>
      <w:r>
        <w:rPr>
          <w:rFonts w:hint="eastAsia" w:hAnsi="宋体" w:cs="宋体"/>
          <w:snapToGrid w:val="0"/>
          <w:color w:val="auto"/>
          <w:kern w:val="0"/>
          <w:highlight w:val="none"/>
        </w:rPr>
        <w:t>进行调解。</w:t>
      </w:r>
    </w:p>
    <w:p>
      <w:pPr>
        <w:wordWrap w:val="0"/>
        <w:adjustRightInd w:val="0"/>
        <w:snapToGrid w:val="0"/>
        <w:spacing w:line="240" w:lineRule="auto"/>
        <w:ind w:firstLine="482" w:firstLineChars="200"/>
        <w:outlineLvl w:val="2"/>
        <w:rPr>
          <w:rFonts w:hAnsi="宋体" w:cs="宋体"/>
          <w:snapToGrid w:val="0"/>
          <w:color w:val="auto"/>
          <w:kern w:val="0"/>
          <w:highlight w:val="none"/>
        </w:rPr>
      </w:pPr>
      <w:bookmarkStart w:id="151" w:name="_Toc18091"/>
      <w:r>
        <w:rPr>
          <w:rFonts w:hint="eastAsia" w:hAnsi="宋体" w:cs="宋体"/>
          <w:b/>
          <w:bCs/>
          <w:snapToGrid w:val="0"/>
          <w:color w:val="auto"/>
          <w:kern w:val="0"/>
          <w:highlight w:val="none"/>
        </w:rPr>
        <w:t>7.3</w:t>
      </w:r>
      <w:r>
        <w:rPr>
          <w:rFonts w:hint="eastAsia" w:hAnsi="宋体" w:cs="宋体"/>
          <w:snapToGrid w:val="0"/>
          <w:color w:val="auto"/>
          <w:kern w:val="0"/>
          <w:highlight w:val="none"/>
        </w:rPr>
        <w:t xml:space="preserve"> 仲裁或诉讼</w:t>
      </w:r>
      <w:bookmarkEnd w:id="151"/>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双方均有权不经调解直接向专用条件约定的仲裁机构申请仲裁或向有管辖权的人民法院提起诉讼。</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本合同争议的最终解决方式为下列第</w:t>
      </w:r>
      <w:r>
        <w:rPr>
          <w:rFonts w:hint="eastAsia" w:hAnsi="宋体" w:cs="宋体"/>
          <w:snapToGrid w:val="0"/>
          <w:color w:val="auto"/>
          <w:kern w:val="0"/>
          <w:highlight w:val="none"/>
          <w:u w:val="single"/>
        </w:rPr>
        <w:t>2</w:t>
      </w:r>
      <w:r>
        <w:rPr>
          <w:rFonts w:hint="eastAsia" w:hAnsi="宋体" w:cs="宋体"/>
          <w:snapToGrid w:val="0"/>
          <w:color w:val="auto"/>
          <w:kern w:val="0"/>
          <w:highlight w:val="none"/>
        </w:rPr>
        <w:t>种方式：</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（1）提请</w:t>
      </w:r>
      <w:r>
        <w:rPr>
          <w:rFonts w:hint="eastAsia" w:hAnsi="宋体" w:cs="宋体"/>
          <w:snapToGrid w:val="0"/>
          <w:color w:val="auto"/>
          <w:kern w:val="0"/>
          <w:highlight w:val="none"/>
          <w:u w:val="single"/>
        </w:rPr>
        <w:t>韶关市</w:t>
      </w:r>
      <w:r>
        <w:rPr>
          <w:rFonts w:hint="eastAsia" w:hAnsi="宋体" w:cs="宋体"/>
          <w:snapToGrid w:val="0"/>
          <w:color w:val="auto"/>
          <w:kern w:val="0"/>
          <w:highlight w:val="none"/>
        </w:rPr>
        <w:t>仲裁委员会进行仲裁。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（2）向</w:t>
      </w:r>
      <w:r>
        <w:rPr>
          <w:rFonts w:hint="eastAsia" w:hAnsi="宋体" w:cs="宋体"/>
          <w:snapToGrid w:val="0"/>
          <w:color w:val="auto"/>
          <w:kern w:val="0"/>
          <w:highlight w:val="none"/>
          <w:u w:val="single"/>
        </w:rPr>
        <w:t>项目所在地</w:t>
      </w:r>
      <w:r>
        <w:rPr>
          <w:rFonts w:hint="eastAsia" w:hAnsi="宋体" w:cs="宋体"/>
          <w:snapToGrid w:val="0"/>
          <w:color w:val="auto"/>
          <w:kern w:val="0"/>
          <w:highlight w:val="none"/>
        </w:rPr>
        <w:t>人民法院提起诉讼。</w:t>
      </w:r>
    </w:p>
    <w:p>
      <w:pPr>
        <w:pStyle w:val="23"/>
        <w:rPr>
          <w:color w:val="auto"/>
          <w:highlight w:val="none"/>
        </w:rPr>
      </w:pPr>
    </w:p>
    <w:p>
      <w:pPr>
        <w:pStyle w:val="7"/>
        <w:spacing w:line="240" w:lineRule="auto"/>
        <w:ind w:firstLine="482" w:firstLineChars="200"/>
        <w:outlineLvl w:val="1"/>
        <w:rPr>
          <w:rFonts w:hAnsi="宋体" w:cs="宋体"/>
          <w:b/>
          <w:bCs/>
          <w:snapToGrid w:val="0"/>
          <w:color w:val="auto"/>
          <w:szCs w:val="24"/>
          <w:highlight w:val="none"/>
        </w:rPr>
      </w:pPr>
      <w:bookmarkStart w:id="152" w:name="_Toc27153"/>
      <w:r>
        <w:rPr>
          <w:rFonts w:hint="eastAsia" w:hAnsi="宋体" w:cs="宋体"/>
          <w:b/>
          <w:bCs/>
          <w:snapToGrid w:val="0"/>
          <w:color w:val="auto"/>
          <w:szCs w:val="24"/>
          <w:highlight w:val="none"/>
        </w:rPr>
        <w:t>8．其他</w:t>
      </w:r>
      <w:bookmarkEnd w:id="152"/>
    </w:p>
    <w:p>
      <w:pPr>
        <w:wordWrap w:val="0"/>
        <w:adjustRightInd w:val="0"/>
        <w:snapToGrid w:val="0"/>
        <w:spacing w:line="240" w:lineRule="auto"/>
        <w:ind w:firstLine="480" w:firstLineChars="200"/>
        <w:outlineLvl w:val="2"/>
        <w:rPr>
          <w:color w:val="auto"/>
          <w:highlight w:val="none"/>
        </w:rPr>
      </w:pPr>
      <w:bookmarkStart w:id="153" w:name="_Toc21508"/>
      <w:r>
        <w:rPr>
          <w:rFonts w:hint="eastAsia"/>
          <w:color w:val="auto"/>
          <w:highlight w:val="none"/>
        </w:rPr>
        <w:t>8.1</w:t>
      </w:r>
      <w:r>
        <w:rPr>
          <w:color w:val="auto"/>
          <w:highlight w:val="none"/>
        </w:rPr>
        <w:t>外出考察费用</w:t>
      </w:r>
      <w:bookmarkEnd w:id="153"/>
    </w:p>
    <w:p>
      <w:pPr>
        <w:pStyle w:val="16"/>
        <w:spacing w:line="240" w:lineRule="auto"/>
        <w:rPr>
          <w:color w:val="auto"/>
          <w:highlight w:val="none"/>
        </w:rPr>
      </w:pPr>
      <w:r>
        <w:rPr>
          <w:color w:val="auto"/>
          <w:highlight w:val="none"/>
        </w:rPr>
        <w:t>双方一致同意不适用通用条款第 8.1 款的约定。委托的建设工程监理所必要的监理人员出外考察、材料设备复试、监造，其费用支出由监理人负责解决。但对于设备监造酬金，由双方另行约定。</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54" w:name="_Toc22632"/>
      <w:r>
        <w:rPr>
          <w:rFonts w:hint="eastAsia" w:hAnsi="宋体" w:cs="宋体"/>
          <w:snapToGrid w:val="0"/>
          <w:color w:val="auto"/>
          <w:kern w:val="0"/>
          <w:highlight w:val="none"/>
        </w:rPr>
        <w:t>8.3 咨询费用</w:t>
      </w:r>
      <w:bookmarkEnd w:id="154"/>
    </w:p>
    <w:p>
      <w:pPr>
        <w:wordWrap w:val="0"/>
        <w:adjustRightInd w:val="0"/>
        <w:snapToGrid w:val="0"/>
        <w:spacing w:line="240" w:lineRule="auto"/>
        <w:ind w:firstLine="480" w:firstLineChars="200"/>
        <w:rPr>
          <w:rFonts w:hAnsi="宋体" w:cs="宋体"/>
          <w:snapToGrid w:val="0"/>
          <w:color w:val="auto"/>
          <w:kern w:val="0"/>
          <w:highlight w:val="none"/>
        </w:rPr>
      </w:pPr>
      <w:r>
        <w:rPr>
          <w:color w:val="auto"/>
          <w:highlight w:val="none"/>
        </w:rPr>
        <w:t>根据工程需要组织的相关咨询论证会以及聘请相关专家等发生的费用，属监理人组织或聘请的由监理人支付，属委托人或者委托人委托监理人组织或聘请的由委托人支付。</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55" w:name="_Toc10507"/>
      <w:r>
        <w:rPr>
          <w:rFonts w:hint="eastAsia" w:hAnsi="宋体" w:cs="宋体"/>
          <w:snapToGrid w:val="0"/>
          <w:color w:val="auto"/>
          <w:kern w:val="0"/>
          <w:highlight w:val="none"/>
        </w:rPr>
        <w:t>8.4 奖励</w:t>
      </w:r>
      <w:bookmarkEnd w:id="155"/>
    </w:p>
    <w:p>
      <w:pPr>
        <w:wordWrap w:val="0"/>
        <w:adjustRightInd w:val="0"/>
        <w:snapToGrid w:val="0"/>
        <w:spacing w:line="240" w:lineRule="auto"/>
        <w:ind w:firstLine="480" w:firstLineChars="200"/>
        <w:rPr>
          <w:rFonts w:hAnsi="宋体" w:cs="宋体"/>
          <w:snapToGrid w:val="0"/>
          <w:color w:val="auto"/>
          <w:kern w:val="0"/>
          <w:highlight w:val="none"/>
        </w:rPr>
      </w:pPr>
      <w:r>
        <w:rPr>
          <w:color w:val="auto"/>
          <w:highlight w:val="none"/>
        </w:rPr>
        <w:t>双方一致同意不适用通用条款第 8.4 款的约定。</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56" w:name="_Toc7355"/>
      <w:r>
        <w:rPr>
          <w:rFonts w:hint="eastAsia" w:hAnsi="宋体" w:cs="宋体"/>
          <w:snapToGrid w:val="0"/>
          <w:color w:val="auto"/>
          <w:kern w:val="0"/>
          <w:highlight w:val="none"/>
        </w:rPr>
        <w:t>8.6 保密</w:t>
      </w:r>
      <w:bookmarkEnd w:id="156"/>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委托人申明的保密事项和期限：从合同签订之日起，监理人应承担保密事项包括但不仅限于以下内容，包括项目立项、用地、规划、方案报建、设计图纸、技术报告、工程档案资料等项目相关资料和文件，保密期限为无限期保密，直至委托人宣布解密。如果监理人违约造成委托人或相关单位损失，监理人除赔偿损失外，还应承担相应的责任。</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监理人申明的保密事项和期限：从合同签订之日起，监理人向为委托人提供的财务会计资料、合同业绩资料等非公开文件、资料及信息。</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第三方申明的保密事项和期限：从合同签订之日起，项目相关第三方向合同双方提供的内部非公开文件、资料及信息。</w:t>
      </w:r>
    </w:p>
    <w:p>
      <w:pPr>
        <w:wordWrap w:val="0"/>
        <w:adjustRightInd w:val="0"/>
        <w:snapToGrid w:val="0"/>
        <w:spacing w:line="240" w:lineRule="auto"/>
        <w:ind w:firstLine="480" w:firstLineChars="200"/>
        <w:outlineLvl w:val="2"/>
        <w:rPr>
          <w:rFonts w:hAnsi="宋体" w:cs="宋体"/>
          <w:snapToGrid w:val="0"/>
          <w:color w:val="auto"/>
          <w:kern w:val="0"/>
          <w:highlight w:val="none"/>
        </w:rPr>
      </w:pPr>
      <w:bookmarkStart w:id="157" w:name="_Toc15508"/>
      <w:r>
        <w:rPr>
          <w:rFonts w:hint="eastAsia" w:hAnsi="宋体" w:cs="宋体"/>
          <w:snapToGrid w:val="0"/>
          <w:color w:val="auto"/>
          <w:kern w:val="0"/>
          <w:highlight w:val="none"/>
        </w:rPr>
        <w:t>8.8著作权</w:t>
      </w:r>
      <w:bookmarkEnd w:id="157"/>
    </w:p>
    <w:p>
      <w:pPr>
        <w:wordWrap w:val="0"/>
        <w:adjustRightInd w:val="0"/>
        <w:snapToGrid w:val="0"/>
        <w:spacing w:line="240" w:lineRule="auto"/>
        <w:ind w:firstLine="480" w:firstLineChars="200"/>
        <w:rPr>
          <w:color w:val="auto"/>
          <w:highlight w:val="none"/>
        </w:rPr>
      </w:pPr>
      <w:r>
        <w:rPr>
          <w:color w:val="auto"/>
          <w:highlight w:val="none"/>
        </w:rPr>
        <w:t>监理人对其编制的文件拥有著作权，委托人仅有权为本合同工程使用或复制此类文件。</w:t>
      </w:r>
    </w:p>
    <w:p>
      <w:pPr>
        <w:pStyle w:val="16"/>
        <w:rPr>
          <w:color w:val="auto"/>
          <w:highlight w:val="none"/>
        </w:rPr>
      </w:pPr>
    </w:p>
    <w:p>
      <w:pPr>
        <w:pStyle w:val="7"/>
        <w:spacing w:line="240" w:lineRule="auto"/>
        <w:ind w:firstLine="482" w:firstLineChars="200"/>
        <w:outlineLvl w:val="1"/>
        <w:rPr>
          <w:rFonts w:hAnsi="宋体" w:cs="宋体"/>
          <w:snapToGrid w:val="0"/>
          <w:color w:val="auto"/>
          <w:highlight w:val="none"/>
        </w:rPr>
      </w:pPr>
      <w:bookmarkStart w:id="158" w:name="_Toc10553"/>
      <w:r>
        <w:rPr>
          <w:rFonts w:hint="eastAsia" w:hAnsi="宋体" w:cs="宋体"/>
          <w:b/>
          <w:bCs/>
          <w:snapToGrid w:val="0"/>
          <w:color w:val="auto"/>
          <w:szCs w:val="24"/>
          <w:highlight w:val="none"/>
        </w:rPr>
        <w:t>9.补充条款</w:t>
      </w:r>
      <w:bookmarkEnd w:id="158"/>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59" w:name="_Toc2026"/>
      <w:r>
        <w:rPr>
          <w:rFonts w:hint="eastAsia" w:hAnsi="宋体" w:cs="宋体"/>
          <w:b/>
          <w:bCs/>
          <w:snapToGrid w:val="0"/>
          <w:color w:val="auto"/>
          <w:kern w:val="0"/>
          <w:highlight w:val="none"/>
        </w:rPr>
        <w:t>9.1履约保证金</w:t>
      </w:r>
      <w:bookmarkEnd w:id="159"/>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（1）在监理过程中，如监理人由于自身的资金、技术、质量、非不可抗力等原因给建设单位和委托人造成经济损失时，建设单位扣除相应履约保证金。</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（2）有争议时各方协商解决或由当地仲裁部门裁定，法律有规定按规定执行。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（3）工程竣工验收合格后30日历天内建设单位退回剩余履约保证金（不计算利息）。</w:t>
      </w:r>
    </w:p>
    <w:p>
      <w:pPr>
        <w:wordWrap w:val="0"/>
        <w:adjustRightInd w:val="0"/>
        <w:snapToGrid w:val="0"/>
        <w:spacing w:line="240" w:lineRule="auto"/>
        <w:ind w:firstLine="482" w:firstLineChars="200"/>
        <w:outlineLvl w:val="2"/>
        <w:rPr>
          <w:rFonts w:hAnsi="宋体" w:cs="宋体"/>
          <w:b/>
          <w:bCs/>
          <w:snapToGrid w:val="0"/>
          <w:color w:val="auto"/>
          <w:kern w:val="0"/>
          <w:highlight w:val="none"/>
        </w:rPr>
      </w:pPr>
      <w:bookmarkStart w:id="160" w:name="_Toc8812"/>
      <w:r>
        <w:rPr>
          <w:rFonts w:hint="eastAsia" w:hAnsi="宋体" w:cs="宋体"/>
          <w:b/>
          <w:bCs/>
          <w:snapToGrid w:val="0"/>
          <w:color w:val="auto"/>
          <w:kern w:val="0"/>
          <w:highlight w:val="none"/>
        </w:rPr>
        <w:t>9.2工程质量、造价、进度控制及安全生产管理</w:t>
      </w:r>
      <w:bookmarkEnd w:id="160"/>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9.2.1、工程质量控制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9.2.1.1工程开工前，项目监理机构应审查施工单位现场的质量管理组织机构、管理制度及专职管理人员和特种作业人员的资格。</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9.2.1.2总监理工程师应组织专业监理工程师审查施工单位报审的施工方案，符合要求后应予以签认。施工方案审查应包括下列基本内容：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（1）编审程序应符合相关规定。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（2）工程质量保证措施应符合有关标准。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9.2.1.3施工方案报审表应按相应规范的要求填写。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9.2.1.4专业监理工程师应审查施工单位报送的新材料、新工艺、新技术、新设备的质量认证材料和相关验收标准的适用性，必要时，应要求施工单位组织专题论证，审查合格后报总监理工程师签认。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9.2.1.5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（1）施工单位测量人员的资格证书及测量设备检定证书。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（2）施工平面控制网、高程控制网和临时水准点的测量成果及控制桩的保护措施。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9.2.1.6施工控制测量成果报验表应按相应规范的要求填写。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9.2.1.7专业监理工程师应检查施工单位为工程提供服务的试验室。</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试验室的检查应包括下列内容：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（1）试验室的资质等级及试验范围。</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（2）法定计量部门对试验设备出具的计量检定证明。</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（3）试验室管理制度。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（4）试验人员资格证书。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9.2.1.8施工单位的试验室报审表应按相应规范的要求填写。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9.2.1.9项目监理机构应审查施工单位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9.2.1.10专业监理工程师应审查施工单位定期提交影响工程质量的计量设备的检查和检定报告。</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9.2.1.11项目监理机构应根据工程特点和施工单位报送的施工组织设计，确定旁站的关键部位、关键工序，安排监理人员进行旁站，并应及时记录旁站情况。旁站记录应按相应规范的要求填写。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9.2.1.12项目监理机构应安排监理人员对工程施工质量进行巡视。巡视应包括下列主要内容：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（1）施工单位是否按工程设计文件、工程建设标准和批准的施工组织设计、(专项)施工方案施工。</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（2）使用的工程材料、构配件和设备是否合格。</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（3）施工现场管理人员，特别是施工质量管理人员是否到位。</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（4）特种作业人员是否持证上岗。</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9.2.1.13项目监理机构应根据工程特点、专业要求，以及建设工程监理合同约定，对施工质量进行平行检验。</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9.2.1.14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9.2.1.15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9.2.1.16对需要返工处理或加固补强的质量缺陷，项目监理机构应要求施工单位报送经设计等相关单位认可的处理方案，并应对质量缺陷的处理过程进行跟踪检查，同时应对处理结果进行验收。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9.2.1.17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9.2.1.18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9.2.1.19工程竣工预验收合格后，项目监理机构应编写工程质量评估报告，并应经总监理工程师和工程监理单位技术负责人审核签字后报建设单位。</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9.2.1.20项目监理机构应参加由建设单位组织的竣工验收，对验收中提出的整改问题，应督促施工单位及时整改。工程质量符合要求的，总监理工程师应在工程竣工验收报告中签署意见。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9.2.1.21保修期满后，项目监理机构应参与保修期满质量复检，对复检中发现的问题提出整改意见并督促施工单位整改；整改合格后，总监理工程师在复检报告中签署意见。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9.2.1.22项目监理机构受招标人的委托对工程项目实施进行监督与管理，必须按照国家和广东省的有关施工技术规范及现行标准，保证工程达到合格标准，若因监理人原因，工程在竣工验收或分部工程验收时没有达到此标准，项目监理机构按监理按合同价款的5%向招标人返纳质量违约金，并无条件免费监理服务至工程质量达到合格止。</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9.2.2、工程造价控制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9.2.2.1项目监理机构应按下列程序进行工程计量和付款签证：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（1）专业监理工程师对施工单位在工程款支付报审表中提交的工程量和支付金额进行复核，确定实际完成的工程量，提出到期应支付给施工单位的金额，并提出相应的支持性材料。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（2）总监理工程师对专业监理工程师的审查意见进行审核，签认后报建设单位审批。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（3）总监理工程师根据建设单位的审批意见，向施工单位签发工程款支付证书。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工程款支付报审表及工程款支付证书应按相应规范的要求填写。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9.2.2.2项目监理机构应编制月完成工程量统计表，对实际完成量与计划完成量进行比较分析，发现偏差的，应提出调整建议，并应在监理月报中向建设单位报告。</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9.2.2.3项目监理机构应按下列程序进行竣工结算款审核：</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（1）专业监理工程师审查施工单位提交的竣工结算款支付申请，提出审查意见。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工程竣工结算款支付报审表及竣工结算款支付证书应按相应规范的要求填写。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9.2.2.4项目监理单位应按上述要求和有关规定控制本项目的工程造价，若由于项目监理单位的过失造成工程造价提高，招标人按所提高造价额的50%从监理服务费中扣除，扣除累计不超过监理服务费的70%。</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9.2.3、工程进度控制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9.2.3.1项目监理机构应审查施工单位报审的施工总进度计划和阶段性施工进度计划，提出审查意见，并应由总监理工程师审核后报建设单位。</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施工进度计划审查应包括下列基本内容：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（1）施工进度计划应符合施工合同中工期的约定。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（2）施工进度计划中主要工程项目无遗漏，应满足分批投入试运、分批动用的需要，阶段性施工进度计划应满足总进度控制目标的要求。</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（3）施工顺序的安排应符合施工工艺要求。</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（4）施工人员、工程材料、施工机械等资源供应计划应满足施工进度计划的需要。</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（5）施工进度计划应符合建设单位提供的资金、施工图纸、施工场地、物资等施工条件。</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施工进度计划报审表应按相应规范的要求填写。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9.2.3.2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9.2.3.3项目监理机构应比较分析工程施工实际进度与计划进度，预测实际进度对工程总工期的影响，并应在监理月报中向建设单位报告工程实际进展情况。</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9.2.4、工程安全生产管理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9.2.4.1项目监理机构应根据法律法规、工程建设强制性标准，履行建设工程安全生产管理的监理职责，并应将安全生产管理的监理工作内容、方法和措施纳入监理规划及监理实施细则。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9.2.4.2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9.2.4.3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专项施工方案审查应包括下列基本内容：</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（1）编审程序应符合相关规定。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（2）安全技术措施应符合工程建设强制性标准。</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专项施工方案报审表应按相应规范的要求填写。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9.2.4.4项目监理机构应巡视检查危险性较大的分部分项工程专项施工方案实施情况。发现未按专项施工方案实施时，应签发监理通知单，要求施工单位按专项施工方案实施。</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9.2.4.5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监理报告应按相应规范的要求填写。</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9.2.4.6项目监理机构应根据《危险性较大的分部分项工程安全管理规定》（住房城乡建设部令第37号）、《住房城乡建设部办公厅关于实施&lt;危险性较大的分部分项工程安全管理规定&gt;有关问题的通知》（建办质〔2018〕31号）、</w:t>
      </w:r>
      <w:r>
        <w:rPr>
          <w:rFonts w:hAnsi="宋体" w:cs="宋体"/>
          <w:snapToGrid w:val="0"/>
          <w:color w:val="auto"/>
          <w:kern w:val="0"/>
          <w:highlight w:val="none"/>
        </w:rPr>
        <w:t>《广东省住房和城乡建设厅关于房屋市政工程危险性较大的分部分项工程安全管理的实施细则的通知》(粤建规范〔2019〕2号)</w:t>
      </w:r>
      <w:r>
        <w:rPr>
          <w:rFonts w:hint="eastAsia" w:hAnsi="宋体" w:cs="宋体"/>
          <w:snapToGrid w:val="0"/>
          <w:color w:val="auto"/>
          <w:kern w:val="0"/>
          <w:highlight w:val="none"/>
        </w:rPr>
        <w:t>和《广东省安全生产委员会办公室广东省住房和</w:t>
      </w:r>
      <w:r>
        <w:rPr>
          <w:rFonts w:hAnsi="宋体" w:cs="宋体"/>
          <w:snapToGrid w:val="0"/>
          <w:color w:val="auto"/>
          <w:kern w:val="0"/>
          <w:highlight w:val="none"/>
        </w:rPr>
        <w:t>城乡建设厅关于</w:t>
      </w:r>
      <w:r>
        <w:rPr>
          <w:rFonts w:hint="eastAsia" w:hAnsi="宋体" w:cs="宋体"/>
          <w:snapToGrid w:val="0"/>
          <w:color w:val="auto"/>
          <w:kern w:val="0"/>
          <w:highlight w:val="none"/>
        </w:rPr>
        <w:t>&lt;</w:t>
      </w:r>
      <w:r>
        <w:rPr>
          <w:rFonts w:hAnsi="宋体" w:cs="宋体"/>
          <w:snapToGrid w:val="0"/>
          <w:color w:val="auto"/>
          <w:kern w:val="0"/>
          <w:highlight w:val="none"/>
        </w:rPr>
        <w:t>严格落实危险性较大的分部分项工程“六不施工”要求的通知</w:t>
      </w:r>
      <w:r>
        <w:rPr>
          <w:rFonts w:hint="eastAsia" w:hAnsi="宋体" w:cs="宋体"/>
          <w:snapToGrid w:val="0"/>
          <w:color w:val="auto"/>
          <w:kern w:val="0"/>
          <w:highlight w:val="none"/>
        </w:rPr>
        <w:t>&gt;》（粤安办〔2020〕151号）等有关危险性较大的分部分项工程的法规规定通知，履行建设工程安全生产管理的监理职责。</w:t>
      </w:r>
    </w:p>
    <w:bookmarkEnd w:id="114"/>
    <w:p>
      <w:pPr>
        <w:pStyle w:val="3"/>
        <w:tabs>
          <w:tab w:val="left" w:pos="885"/>
        </w:tabs>
        <w:wordWrap w:val="0"/>
        <w:autoSpaceDE/>
        <w:autoSpaceDN/>
        <w:snapToGrid w:val="0"/>
        <w:spacing w:line="240" w:lineRule="auto"/>
        <w:ind w:left="885" w:leftChars="200" w:hanging="405" w:hangingChars="168"/>
        <w:jc w:val="both"/>
        <w:rPr>
          <w:rFonts w:hAnsi="宋体" w:cs="宋体"/>
          <w:b/>
          <w:bCs/>
          <w:snapToGrid w:val="0"/>
          <w:color w:val="auto"/>
          <w:sz w:val="24"/>
          <w:highlight w:val="none"/>
        </w:rPr>
      </w:pPr>
      <w:bookmarkStart w:id="161" w:name="_Toc471"/>
      <w:bookmarkStart w:id="162" w:name="_Toc14535"/>
      <w:bookmarkStart w:id="163" w:name="_Hlt69698796"/>
      <w:bookmarkStart w:id="164" w:name="_Toc21669"/>
      <w:r>
        <w:rPr>
          <w:rFonts w:hint="eastAsia" w:hAnsi="宋体" w:cs="宋体"/>
          <w:b/>
          <w:bCs/>
          <w:snapToGrid w:val="0"/>
          <w:color w:val="auto"/>
          <w:sz w:val="24"/>
          <w:highlight w:val="none"/>
        </w:rPr>
        <w:t>9.3监理人违约及违约责任</w:t>
      </w:r>
      <w:bookmarkEnd w:id="161"/>
      <w:bookmarkEnd w:id="162"/>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通常情况下，监理人不能按合同履行其义务和职责，因工作过失或渎职而造成了工程的经济和工期损失，为监理人违约，监理人应当向委托人赔偿经济损失，并承担相关的行政、法律责任。在本监理合同中，双方约定将监理人违约范围适当扩大，增加两种视为监理人违约的情况，一是监理人未按约定履行其义务工作时，即使未造成损失，视为监理人违约；二是监理目标未能达标，无论主要原因是什么，视为监理人违约。监理人违约分为监理不良行为、监理过失、监理渎职及监理不达标四大情形造成的违约，这五种违约情形及违约责任的承担作如下规定：</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9.3.</w:t>
      </w:r>
      <w:r>
        <w:rPr>
          <w:rFonts w:hint="eastAsia" w:hAnsi="宋体" w:cs="宋体"/>
          <w:b/>
          <w:bCs/>
          <w:snapToGrid w:val="0"/>
          <w:color w:val="auto"/>
          <w:kern w:val="0"/>
          <w:highlight w:val="none"/>
          <w:lang w:val="en-US" w:eastAsia="zh-CN"/>
        </w:rPr>
        <w:t>1</w:t>
      </w:r>
      <w:r>
        <w:rPr>
          <w:rFonts w:hint="eastAsia" w:hAnsi="宋体" w:cs="宋体"/>
          <w:b/>
          <w:bCs/>
          <w:snapToGrid w:val="0"/>
          <w:color w:val="auto"/>
          <w:kern w:val="0"/>
          <w:highlight w:val="none"/>
        </w:rPr>
        <w:t>、监理过失事件违约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1</w:t>
      </w:r>
      <w:r>
        <w:rPr>
          <w:rFonts w:hint="eastAsia" w:hAnsi="宋体" w:cs="宋体"/>
          <w:snapToGrid w:val="0"/>
          <w:color w:val="auto"/>
          <w:kern w:val="0"/>
          <w:highlight w:val="none"/>
        </w:rPr>
        <w:t>.1、监理过失事件违约的认定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工程建设过程中，如发生以下情况：①委托人发现勘察（或设计或施工）中存在问题，而监理单位未发现的；②监理单位发现勘察（或设计或施工）中存在的问题，但未督促勘察（或设计或施工）单位整改或整改不到位的（以监理单位发出的整改通知和勘察（或设计或施工）单位回复及监理复查意见为准）；③监理单位三次及以上发出整改通知勘察（或设计或施工）单位未能给予响应的，但监理单位未能采取果断措施的；以上三种情况一旦委托人向监理单位发出整改通知，即认定为监理人监理过失事件违约，每发出一份整改通知即认定为监理过失事件违约一次。并由委托人管理人员在“监理行为记录档案”作记录。</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1</w:t>
      </w:r>
      <w:r>
        <w:rPr>
          <w:rFonts w:hint="eastAsia" w:hAnsi="宋体" w:cs="宋体"/>
          <w:snapToGrid w:val="0"/>
          <w:color w:val="auto"/>
          <w:kern w:val="0"/>
          <w:highlight w:val="none"/>
        </w:rPr>
        <w:t>.2、监理过失事件违约的责任承担</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1</w:t>
      </w:r>
      <w:r>
        <w:rPr>
          <w:rFonts w:hint="eastAsia" w:hAnsi="宋体" w:cs="宋体"/>
          <w:snapToGrid w:val="0"/>
          <w:color w:val="auto"/>
          <w:kern w:val="0"/>
          <w:highlight w:val="none"/>
        </w:rPr>
        <w:t>.2.1、监理人发生监理过失事件违约一次，承担严重违约责任一次，监理人向委托人交纳违约金¥</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000元。</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9.3.</w:t>
      </w:r>
      <w:r>
        <w:rPr>
          <w:rFonts w:hint="eastAsia" w:hAnsi="宋体" w:cs="宋体"/>
          <w:b/>
          <w:bCs/>
          <w:snapToGrid w:val="0"/>
          <w:color w:val="auto"/>
          <w:kern w:val="0"/>
          <w:highlight w:val="none"/>
          <w:lang w:val="en-US" w:eastAsia="zh-CN"/>
        </w:rPr>
        <w:t>2</w:t>
      </w:r>
      <w:r>
        <w:rPr>
          <w:rFonts w:hint="eastAsia" w:hAnsi="宋体" w:cs="宋体"/>
          <w:b/>
          <w:bCs/>
          <w:snapToGrid w:val="0"/>
          <w:color w:val="auto"/>
          <w:kern w:val="0"/>
          <w:highlight w:val="none"/>
        </w:rPr>
        <w:t>、监理不达标造成的违约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.1、监理不达标违约的认定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工程竣工结算后，监理协议书第三项监理目标的任何一项目标的不达标，均视为监理人的监理目标违约。</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.2、监理目标违约的责任承担</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.2.1、质量控制不达标：工程竣工验收质量未达到施工合同等级要求的，不管任何原因，结算扣减监理合同价款的5％，同时不免除追究当事人和监理人的法律责任。</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.2.2、投资控制不达标：如监理人原因造成工程建安费结算价突破投资控制值的，每突破1％，结算扣减监理合同价款的1％。</w:t>
      </w:r>
    </w:p>
    <w:p>
      <w:pPr>
        <w:wordWrap w:val="0"/>
        <w:adjustRightInd w:val="0"/>
        <w:snapToGrid w:val="0"/>
        <w:spacing w:line="240" w:lineRule="auto"/>
        <w:ind w:firstLine="482" w:firstLineChars="200"/>
        <w:rPr>
          <w:rFonts w:hAnsi="宋体" w:cs="宋体"/>
          <w:b/>
          <w:bCs/>
          <w:snapToGrid w:val="0"/>
          <w:color w:val="auto"/>
          <w:kern w:val="0"/>
          <w:highlight w:val="none"/>
        </w:rPr>
      </w:pPr>
      <w:r>
        <w:rPr>
          <w:rFonts w:hint="eastAsia" w:hAnsi="宋体" w:cs="宋体"/>
          <w:b/>
          <w:bCs/>
          <w:snapToGrid w:val="0"/>
          <w:color w:val="auto"/>
          <w:kern w:val="0"/>
          <w:highlight w:val="none"/>
        </w:rPr>
        <w:t>9.3.</w:t>
      </w:r>
      <w:r>
        <w:rPr>
          <w:rFonts w:hint="eastAsia" w:hAnsi="宋体" w:cs="宋体"/>
          <w:b/>
          <w:bCs/>
          <w:snapToGrid w:val="0"/>
          <w:color w:val="auto"/>
          <w:kern w:val="0"/>
          <w:highlight w:val="none"/>
          <w:lang w:val="en-US" w:eastAsia="zh-CN"/>
        </w:rPr>
        <w:t>3</w:t>
      </w:r>
      <w:r>
        <w:rPr>
          <w:rFonts w:hint="eastAsia" w:hAnsi="宋体" w:cs="宋体"/>
          <w:b/>
          <w:bCs/>
          <w:snapToGrid w:val="0"/>
          <w:color w:val="auto"/>
          <w:kern w:val="0"/>
          <w:highlight w:val="none"/>
        </w:rPr>
        <w:t>、监理违约的处理程序</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.1、由委托人管理人员在“监理行为记录档案”中将监理人的具体违约情况记录，并将记录内容书面告知监理人。</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.2、委托人不定期将有关监理人的违约情况以记录、通知、会议纪要等书面形式通知监理人，指明其未能履约的内容和委托人要求其承担违约责任的等级。</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3、监理人收到书面处理通知后，如有足够证据证明不应由其承担违约责任的，应在收到违约处理决定后3天内以书面形式向委托人提出异议并附上有关证据，委托人在收到监理人的异议后15天内审核完毕且作出书面决定并通知监理人。否则书面通知则作为处理决定。</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4、委托人将进一步将监理人执行国家强制性规范、标准和履行合同、招投标文件义务的情况（包括但不限于由委托人组织的考核、考评通报、违约责任处理决定等）再报当地建设行政主管部门并在媒体上公开披露。</w:t>
      </w:r>
    </w:p>
    <w:p>
      <w:pPr>
        <w:wordWrap w:val="0"/>
        <w:adjustRightInd w:val="0"/>
        <w:snapToGrid w:val="0"/>
        <w:spacing w:line="240" w:lineRule="auto"/>
        <w:ind w:firstLine="480" w:firstLineChars="200"/>
        <w:rPr>
          <w:rFonts w:hAnsi="宋体" w:cs="宋体"/>
          <w:snapToGrid w:val="0"/>
          <w:color w:val="auto"/>
          <w:kern w:val="0"/>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5、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wordWrap w:val="0"/>
        <w:adjustRightInd w:val="0"/>
        <w:snapToGrid w:val="0"/>
        <w:spacing w:line="240" w:lineRule="auto"/>
        <w:ind w:firstLine="480" w:firstLineChars="200"/>
        <w:rPr>
          <w:color w:val="auto"/>
          <w:highlight w:val="none"/>
        </w:rPr>
      </w:pPr>
      <w:r>
        <w:rPr>
          <w:rFonts w:hint="eastAsia" w:hAnsi="宋体" w:cs="宋体"/>
          <w:snapToGrid w:val="0"/>
          <w:color w:val="auto"/>
          <w:kern w:val="0"/>
          <w:highlight w:val="none"/>
        </w:rPr>
        <w:t>9.3.</w:t>
      </w:r>
      <w:r>
        <w:rPr>
          <w:rFonts w:hint="eastAsia" w:hAnsi="宋体" w:cs="宋体"/>
          <w:snapToGrid w:val="0"/>
          <w:color w:val="auto"/>
          <w:kern w:val="0"/>
          <w:highlight w:val="none"/>
          <w:lang w:val="en-US" w:eastAsia="zh-CN"/>
        </w:rPr>
        <w:t>3</w:t>
      </w:r>
      <w:r>
        <w:rPr>
          <w:rFonts w:hint="eastAsia" w:hAnsi="宋体" w:cs="宋体"/>
          <w:snapToGrid w:val="0"/>
          <w:color w:val="auto"/>
          <w:kern w:val="0"/>
          <w:highlight w:val="none"/>
        </w:rPr>
        <w:t>.6、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wordWrap w:val="0"/>
        <w:adjustRightInd w:val="0"/>
        <w:snapToGrid w:val="0"/>
        <w:spacing w:line="240" w:lineRule="auto"/>
        <w:ind w:firstLine="480" w:firstLineChars="200"/>
        <w:rPr>
          <w:rFonts w:hAnsi="宋体" w:cs="宋体"/>
          <w:snapToGrid w:val="0"/>
          <w:color w:val="auto"/>
          <w:kern w:val="0"/>
          <w:highlight w:val="none"/>
        </w:rPr>
      </w:pPr>
    </w:p>
    <w:p>
      <w:pPr>
        <w:rPr>
          <w:rFonts w:hAnsi="宋体" w:cs="宋体"/>
          <w:b/>
          <w:snapToGrid w:val="0"/>
          <w:color w:val="auto"/>
          <w:highlight w:val="none"/>
        </w:rPr>
      </w:pPr>
      <w:bookmarkStart w:id="165" w:name="_Toc21882"/>
      <w:bookmarkStart w:id="166" w:name="_Toc7859"/>
      <w:r>
        <w:rPr>
          <w:rFonts w:hint="eastAsia" w:hAnsi="宋体" w:cs="宋体"/>
          <w:b/>
          <w:snapToGrid w:val="0"/>
          <w:color w:val="auto"/>
          <w:highlight w:val="none"/>
        </w:rPr>
        <w:br w:type="page"/>
      </w:r>
    </w:p>
    <w:p>
      <w:pPr>
        <w:pStyle w:val="3"/>
        <w:tabs>
          <w:tab w:val="left" w:pos="885"/>
        </w:tabs>
        <w:wordWrap w:val="0"/>
        <w:autoSpaceDE/>
        <w:autoSpaceDN/>
        <w:snapToGrid w:val="0"/>
        <w:ind w:left="885" w:hanging="885"/>
        <w:jc w:val="center"/>
        <w:rPr>
          <w:rFonts w:hAnsi="宋体" w:cs="宋体"/>
          <w:color w:val="auto"/>
          <w:highlight w:val="none"/>
        </w:rPr>
      </w:pPr>
      <w:r>
        <w:rPr>
          <w:rFonts w:hint="eastAsia" w:hAnsi="宋体" w:cs="宋体"/>
          <w:b/>
          <w:snapToGrid w:val="0"/>
          <w:color w:val="auto"/>
          <w:sz w:val="24"/>
          <w:highlight w:val="none"/>
        </w:rPr>
        <w:t>第四章</w:t>
      </w:r>
      <w:bookmarkStart w:id="167" w:name="_Hlt87793853"/>
      <w:bookmarkEnd w:id="167"/>
      <w:r>
        <w:rPr>
          <w:rFonts w:hint="eastAsia" w:hAnsi="宋体" w:cs="宋体"/>
          <w:b/>
          <w:snapToGrid w:val="0"/>
          <w:color w:val="auto"/>
          <w:sz w:val="24"/>
          <w:highlight w:val="none"/>
        </w:rPr>
        <w:t xml:space="preserve">   技术要求</w:t>
      </w:r>
      <w:bookmarkEnd w:id="163"/>
      <w:bookmarkEnd w:id="164"/>
      <w:bookmarkEnd w:id="165"/>
      <w:bookmarkEnd w:id="166"/>
      <w:bookmarkStart w:id="168" w:name="_Hlt69116854"/>
      <w:bookmarkEnd w:id="168"/>
      <w:bookmarkStart w:id="169" w:name="_Hlt69265216"/>
      <w:bookmarkEnd w:id="169"/>
      <w:bookmarkStart w:id="170" w:name="_Hlt66104926"/>
      <w:bookmarkEnd w:id="170"/>
      <w:bookmarkStart w:id="171" w:name="_Hlt69357851"/>
      <w:bookmarkEnd w:id="171"/>
      <w:bookmarkStart w:id="172" w:name="_Hlt69359335"/>
      <w:bookmarkEnd w:id="172"/>
      <w:bookmarkStart w:id="173" w:name="_Hlt68774758"/>
      <w:bookmarkEnd w:id="173"/>
      <w:bookmarkStart w:id="174" w:name="_Hlt80411122"/>
      <w:bookmarkEnd w:id="174"/>
      <w:bookmarkStart w:id="175" w:name="_Hlt75685840"/>
      <w:bookmarkEnd w:id="175"/>
      <w:bookmarkStart w:id="176" w:name="_Hlt87793370"/>
      <w:bookmarkEnd w:id="176"/>
      <w:bookmarkStart w:id="177" w:name="_Hlt87793346"/>
      <w:bookmarkEnd w:id="177"/>
      <w:bookmarkStart w:id="178" w:name="_Hlt69358207"/>
      <w:bookmarkEnd w:id="178"/>
    </w:p>
    <w:p>
      <w:pPr>
        <w:wordWrap w:val="0"/>
        <w:adjustRightInd w:val="0"/>
        <w:snapToGrid w:val="0"/>
        <w:spacing w:line="420" w:lineRule="exact"/>
        <w:ind w:firstLine="482" w:firstLineChars="200"/>
        <w:outlineLvl w:val="1"/>
        <w:rPr>
          <w:rFonts w:hAnsi="宋体" w:cs="宋体"/>
          <w:b/>
          <w:snapToGrid w:val="0"/>
          <w:color w:val="auto"/>
          <w:kern w:val="0"/>
          <w:highlight w:val="none"/>
        </w:rPr>
      </w:pPr>
      <w:bookmarkStart w:id="179" w:name="_Toc32505"/>
      <w:r>
        <w:rPr>
          <w:rFonts w:hint="eastAsia" w:hAnsi="宋体" w:cs="宋体"/>
          <w:b/>
          <w:snapToGrid w:val="0"/>
          <w:color w:val="auto"/>
          <w:kern w:val="0"/>
          <w:highlight w:val="none"/>
        </w:rPr>
        <w:t>1．房屋建筑工程建设项目</w:t>
      </w:r>
      <w:bookmarkEnd w:id="179"/>
    </w:p>
    <w:p>
      <w:pPr>
        <w:wordWrap w:val="0"/>
        <w:adjustRightInd w:val="0"/>
        <w:snapToGrid w:val="0"/>
        <w:spacing w:line="420" w:lineRule="exact"/>
        <w:ind w:firstLine="480" w:firstLineChars="200"/>
        <w:rPr>
          <w:rFonts w:hAnsi="宋体" w:cs="宋体"/>
          <w:bCs/>
          <w:snapToGrid w:val="0"/>
          <w:color w:val="auto"/>
          <w:kern w:val="0"/>
          <w:highlight w:val="none"/>
        </w:rPr>
      </w:pPr>
      <w:bookmarkStart w:id="180" w:name="_Hlt69359086"/>
      <w:bookmarkEnd w:id="180"/>
      <w:bookmarkStart w:id="181" w:name="_Hlt69359243"/>
      <w:bookmarkEnd w:id="181"/>
      <w:bookmarkStart w:id="182" w:name="_Hlt69358458"/>
      <w:bookmarkEnd w:id="182"/>
      <w:bookmarkStart w:id="183" w:name="_Hlt78709799"/>
      <w:bookmarkEnd w:id="183"/>
      <w:bookmarkStart w:id="184" w:name="_Hlt69359245"/>
      <w:bookmarkEnd w:id="184"/>
      <w:bookmarkStart w:id="185" w:name="_Hlt69116858"/>
      <w:bookmarkEnd w:id="185"/>
      <w:bookmarkStart w:id="186" w:name="_Hlt69635252"/>
      <w:bookmarkEnd w:id="186"/>
      <w:r>
        <w:rPr>
          <w:rFonts w:hint="eastAsia" w:hAnsi="宋体" w:cs="宋体"/>
          <w:bCs/>
          <w:snapToGrid w:val="0"/>
          <w:color w:val="auto"/>
          <w:kern w:val="0"/>
          <w:highlight w:val="none"/>
        </w:rPr>
        <w:t>房屋建筑工程建设项目必须执行的现行技术规范，包括且不限于：</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（1）《建筑工程施工质量验收统一标准》；</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（2）《建筑地基基础工程施工质量验收规范》；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（3）《砌体工程施工质量验收规范》；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（4）《混凝土结构工程施工质量验收规范》；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（5）《屋面工程质量验收规范》；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（6）《地下防水工程质量验收规范》；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（7）</w:t>
      </w:r>
      <w:bookmarkStart w:id="187" w:name="_Hlt78795211"/>
      <w:bookmarkEnd w:id="187"/>
      <w:r>
        <w:rPr>
          <w:rFonts w:hint="eastAsia" w:hAnsi="宋体" w:cs="宋体"/>
          <w:bCs/>
          <w:snapToGrid w:val="0"/>
          <w:color w:val="auto"/>
          <w:kern w:val="0"/>
          <w:highlight w:val="none"/>
        </w:rPr>
        <w:t>《建筑地面工程施工质量验收规范》；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（8）《建筑装饰装修工程施工质量验收规范》；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（9）《建筑给排水及采暖工程施工质量验收规范》；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（10）《建筑电气工程施工质量验收规范》；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（11）《广东省住房和城乡建设厅绿色施工导则》；</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（12）《广东省建筑工程绿色施工评价标准》；</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（13）其他现行国家、广东省关于房建工程的施工及验收规范、规程、标准。</w:t>
      </w:r>
    </w:p>
    <w:p>
      <w:pPr>
        <w:wordWrap w:val="0"/>
        <w:adjustRightInd w:val="0"/>
        <w:snapToGrid w:val="0"/>
        <w:spacing w:line="420" w:lineRule="exact"/>
        <w:ind w:firstLine="482" w:firstLineChars="200"/>
        <w:outlineLvl w:val="1"/>
        <w:rPr>
          <w:rFonts w:hAnsi="宋体" w:cs="宋体"/>
          <w:bCs/>
          <w:snapToGrid w:val="0"/>
          <w:color w:val="auto"/>
          <w:kern w:val="0"/>
          <w:highlight w:val="none"/>
        </w:rPr>
      </w:pPr>
      <w:bookmarkStart w:id="188" w:name="_Toc16646"/>
      <w:r>
        <w:rPr>
          <w:rFonts w:hint="eastAsia" w:hAnsi="宋体" w:cs="宋体"/>
          <w:b/>
          <w:snapToGrid w:val="0"/>
          <w:color w:val="auto"/>
          <w:kern w:val="0"/>
          <w:highlight w:val="none"/>
        </w:rPr>
        <w:t>2．市政基础设施工程建设项目</w:t>
      </w:r>
      <w:bookmarkEnd w:id="188"/>
    </w:p>
    <w:p>
      <w:pPr>
        <w:wordWrap w:val="0"/>
        <w:adjustRightInd w:val="0"/>
        <w:snapToGrid w:val="0"/>
        <w:spacing w:line="420" w:lineRule="exact"/>
        <w:ind w:firstLine="480" w:firstLineChars="200"/>
        <w:rPr>
          <w:rFonts w:hAnsi="宋体" w:cs="宋体"/>
          <w:bCs/>
          <w:snapToGrid w:val="0"/>
          <w:color w:val="auto"/>
          <w:kern w:val="0"/>
          <w:szCs w:val="28"/>
          <w:highlight w:val="none"/>
        </w:rPr>
      </w:pPr>
      <w:r>
        <w:rPr>
          <w:rFonts w:hint="eastAsia" w:hAnsi="宋体" w:cs="宋体"/>
          <w:bCs/>
          <w:snapToGrid w:val="0"/>
          <w:color w:val="auto"/>
          <w:kern w:val="0"/>
          <w:highlight w:val="none"/>
        </w:rPr>
        <w:t>市政基础设施工程建设项目必须执行的现行技术规范，包括且不限于：</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szCs w:val="28"/>
          <w:highlight w:val="none"/>
        </w:rPr>
        <w:t>（1）《公路路基施工技术规范》</w:t>
      </w:r>
      <w:r>
        <w:rPr>
          <w:rFonts w:hint="eastAsia" w:hAnsi="宋体" w:cs="宋体"/>
          <w:bCs/>
          <w:snapToGrid w:val="0"/>
          <w:color w:val="auto"/>
          <w:kern w:val="0"/>
          <w:highlight w:val="none"/>
        </w:rPr>
        <w:t>；</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（2）《市政道路工程质量检验评定标准》；</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（3）《市政排水管渠工程质量检验评定标准》；</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（4）《给水排水管道工程施工及验收规范》；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（5）《城市道路路基工程施工及验收规范》；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（6）《水泥砼路面施工及验收规范》；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（7）《公路水泥砼路面施工技术规范》；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（8）《埋地硬聚氯乙烯排水管道工程技术规程》；</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（9）《沥青路面施工及验收规范》；</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（10）《广东省市政工程施工质量技术资料统一用表》。</w:t>
      </w:r>
    </w:p>
    <w:p>
      <w:pPr>
        <w:wordWrap w:val="0"/>
        <w:adjustRightInd w:val="0"/>
        <w:snapToGrid w:val="0"/>
        <w:spacing w:line="420" w:lineRule="exact"/>
        <w:ind w:firstLine="480" w:firstLineChars="200"/>
        <w:rPr>
          <w:rFonts w:hAnsi="宋体" w:cs="宋体"/>
          <w:bCs/>
          <w:snapToGrid w:val="0"/>
          <w:color w:val="auto"/>
          <w:kern w:val="0"/>
          <w:highlight w:val="none"/>
        </w:rPr>
      </w:pPr>
      <w:r>
        <w:rPr>
          <w:rFonts w:hint="eastAsia" w:hAnsi="宋体" w:cs="宋体"/>
          <w:bCs/>
          <w:snapToGrid w:val="0"/>
          <w:color w:val="auto"/>
          <w:kern w:val="0"/>
          <w:highlight w:val="none"/>
        </w:rPr>
        <w:t>（11）其他现行国家、广东省关于市政工程的技术及验收规范、规程、标准。</w:t>
      </w:r>
    </w:p>
    <w:p>
      <w:pPr>
        <w:wordWrap w:val="0"/>
        <w:adjustRightInd w:val="0"/>
        <w:snapToGrid w:val="0"/>
        <w:spacing w:line="420" w:lineRule="exact"/>
        <w:ind w:firstLine="560"/>
        <w:outlineLvl w:val="1"/>
        <w:rPr>
          <w:rFonts w:hAnsi="宋体" w:cs="宋体"/>
          <w:strike/>
          <w:snapToGrid w:val="0"/>
          <w:color w:val="auto"/>
          <w:kern w:val="0"/>
          <w:highlight w:val="none"/>
        </w:rPr>
      </w:pPr>
      <w:bookmarkStart w:id="189" w:name="_Toc31731"/>
      <w:r>
        <w:rPr>
          <w:rFonts w:hint="eastAsia" w:hAnsi="宋体" w:cs="宋体"/>
          <w:b/>
          <w:snapToGrid w:val="0"/>
          <w:color w:val="auto"/>
          <w:kern w:val="0"/>
          <w:highlight w:val="none"/>
        </w:rPr>
        <w:t>3．备查要求</w:t>
      </w:r>
      <w:bookmarkEnd w:id="189"/>
    </w:p>
    <w:p>
      <w:pPr>
        <w:wordWrap w:val="0"/>
        <w:adjustRightInd w:val="0"/>
        <w:snapToGrid w:val="0"/>
        <w:spacing w:line="420" w:lineRule="exact"/>
        <w:ind w:firstLine="560"/>
        <w:rPr>
          <w:rFonts w:hAnsi="宋体" w:cs="宋体"/>
          <w:bCs/>
          <w:snapToGrid w:val="0"/>
          <w:color w:val="auto"/>
          <w:kern w:val="0"/>
          <w:highlight w:val="none"/>
        </w:rPr>
      </w:pPr>
      <w:r>
        <w:rPr>
          <w:rFonts w:hint="eastAsia" w:hAnsi="宋体" w:cs="宋体"/>
          <w:snapToGrid w:val="0"/>
          <w:color w:val="auto"/>
          <w:kern w:val="0"/>
          <w:highlight w:val="none"/>
        </w:rPr>
        <w:t>监理人</w:t>
      </w:r>
      <w:r>
        <w:rPr>
          <w:rFonts w:hint="eastAsia" w:hAnsi="宋体" w:cs="宋体"/>
          <w:bCs/>
          <w:snapToGrid w:val="0"/>
          <w:color w:val="auto"/>
          <w:kern w:val="0"/>
          <w:highlight w:val="none"/>
        </w:rPr>
        <w:t>必须在施工现场准备至少一套上述规范，委托人可随时检查监理人的上述规范，并监督监理人按规范要求执行。</w:t>
      </w:r>
      <w:bookmarkStart w:id="190" w:name="_Hlt69670335"/>
      <w:bookmarkEnd w:id="190"/>
    </w:p>
    <w:p>
      <w:pPr>
        <w:pStyle w:val="7"/>
        <w:spacing w:line="360" w:lineRule="auto"/>
        <w:rPr>
          <w:rFonts w:hAnsi="宋体" w:cs="宋体"/>
          <w:bCs/>
          <w:snapToGrid w:val="0"/>
          <w:color w:val="auto"/>
          <w:highlight w:val="none"/>
        </w:rPr>
      </w:pPr>
    </w:p>
    <w:p>
      <w:pPr>
        <w:pStyle w:val="3"/>
        <w:wordWrap w:val="0"/>
        <w:autoSpaceDE/>
        <w:autoSpaceDN/>
        <w:snapToGrid w:val="0"/>
        <w:jc w:val="center"/>
        <w:rPr>
          <w:rFonts w:hAnsi="宋体" w:cs="宋体"/>
          <w:color w:val="auto"/>
          <w:highlight w:val="none"/>
        </w:rPr>
      </w:pPr>
      <w:bookmarkStart w:id="191" w:name="_Hlt69338190"/>
      <w:bookmarkEnd w:id="191"/>
      <w:bookmarkStart w:id="192" w:name="_Hlt69265207"/>
      <w:bookmarkEnd w:id="192"/>
      <w:bookmarkStart w:id="193" w:name="_Hlt69116863"/>
      <w:bookmarkEnd w:id="193"/>
      <w:bookmarkStart w:id="194" w:name="_Hlt66848640"/>
      <w:bookmarkEnd w:id="194"/>
      <w:bookmarkStart w:id="195" w:name="_Hlt69358336"/>
      <w:bookmarkEnd w:id="195"/>
      <w:bookmarkStart w:id="196" w:name="_Hlt69635247"/>
      <w:bookmarkEnd w:id="196"/>
      <w:bookmarkStart w:id="197" w:name="_Toc2783"/>
      <w:bookmarkStart w:id="198" w:name="_Toc19577"/>
      <w:bookmarkStart w:id="199" w:name="_Hlt69698785"/>
      <w:r>
        <w:rPr>
          <w:rFonts w:hint="eastAsia" w:hAnsi="宋体" w:cs="宋体"/>
          <w:b/>
          <w:snapToGrid w:val="0"/>
          <w:color w:val="auto"/>
          <w:sz w:val="24"/>
          <w:highlight w:val="none"/>
        </w:rPr>
        <w:t>第五章</w:t>
      </w:r>
      <w:bookmarkStart w:id="200" w:name="_Hlt75747044"/>
      <w:bookmarkEnd w:id="200"/>
      <w:r>
        <w:rPr>
          <w:rFonts w:hint="eastAsia" w:hAnsi="宋体" w:cs="宋体"/>
          <w:b/>
          <w:snapToGrid w:val="0"/>
          <w:color w:val="auto"/>
          <w:sz w:val="24"/>
          <w:highlight w:val="none"/>
        </w:rPr>
        <w:t xml:space="preserve">   投标文件格式</w:t>
      </w:r>
      <w:bookmarkEnd w:id="197"/>
      <w:bookmarkEnd w:id="198"/>
      <w:bookmarkEnd w:id="199"/>
      <w:bookmarkStart w:id="201" w:name="_附件二：工期承诺书"/>
      <w:bookmarkEnd w:id="201"/>
      <w:bookmarkStart w:id="202" w:name="_附件一：对招标文件条款自愿接受承诺书"/>
      <w:bookmarkEnd w:id="202"/>
      <w:bookmarkStart w:id="203" w:name="_附件一：投标函"/>
      <w:bookmarkEnd w:id="203"/>
      <w:bookmarkStart w:id="204" w:name="_附件四：工期承诺书"/>
      <w:bookmarkEnd w:id="204"/>
      <w:bookmarkStart w:id="205" w:name="_附件二：近三年度主要施工项目（竣工及在建）一览表"/>
      <w:bookmarkEnd w:id="205"/>
      <w:bookmarkStart w:id="206" w:name="_附件五：综合评审合理低价法"/>
      <w:bookmarkEnd w:id="206"/>
      <w:bookmarkStart w:id="207" w:name="_Toc137621693"/>
      <w:bookmarkStart w:id="208" w:name="_Toc200338097"/>
      <w:bookmarkStart w:id="209" w:name="_Hlt66847557"/>
      <w:bookmarkStart w:id="210" w:name="_Toc66849200"/>
    </w:p>
    <w:p>
      <w:pPr>
        <w:pStyle w:val="39"/>
        <w:keepNext w:val="0"/>
        <w:keepLines w:val="0"/>
        <w:widowControl w:val="0"/>
        <w:wordWrap w:val="0"/>
        <w:adjustRightInd w:val="0"/>
        <w:snapToGrid w:val="0"/>
        <w:ind w:left="3640" w:leftChars="15" w:hanging="3604" w:hangingChars="1496"/>
        <w:jc w:val="both"/>
        <w:outlineLvl w:val="1"/>
        <w:rPr>
          <w:rFonts w:hAnsi="宋体" w:cs="宋体"/>
          <w:color w:val="auto"/>
          <w:highlight w:val="none"/>
        </w:rPr>
      </w:pPr>
      <w:bookmarkStart w:id="211" w:name="_Toc29986"/>
      <w:bookmarkStart w:id="212" w:name="_Toc5679"/>
      <w:r>
        <w:rPr>
          <w:rFonts w:hint="eastAsia" w:hAnsi="宋体" w:cs="宋体"/>
          <w:b/>
          <w:snapToGrid w:val="0"/>
          <w:color w:val="auto"/>
          <w:highlight w:val="none"/>
        </w:rPr>
        <w:t>格式一   封面</w:t>
      </w:r>
      <w:bookmarkEnd w:id="211"/>
      <w:bookmarkEnd w:id="212"/>
    </w:p>
    <w:p>
      <w:pPr>
        <w:pStyle w:val="40"/>
        <w:widowControl w:val="0"/>
        <w:wordWrap w:val="0"/>
        <w:adjustRightInd w:val="0"/>
        <w:snapToGrid w:val="0"/>
        <w:jc w:val="right"/>
        <w:rPr>
          <w:rFonts w:hAnsi="宋体" w:cs="宋体"/>
          <w:b/>
          <w:snapToGrid w:val="0"/>
          <w:color w:val="auto"/>
          <w:sz w:val="24"/>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pStyle w:val="40"/>
        <w:widowControl w:val="0"/>
        <w:wordWrap w:val="0"/>
        <w:adjustRightInd w:val="0"/>
        <w:snapToGrid w:val="0"/>
        <w:ind w:firstLine="0"/>
        <w:jc w:val="center"/>
        <w:rPr>
          <w:rFonts w:hAnsi="宋体" w:cs="宋体"/>
          <w:b/>
          <w:snapToGrid w:val="0"/>
          <w:color w:val="auto"/>
          <w:sz w:val="48"/>
          <w:szCs w:val="48"/>
          <w:highlight w:val="none"/>
        </w:rPr>
      </w:pPr>
      <w:r>
        <w:rPr>
          <w:rFonts w:hint="eastAsia" w:hAnsi="宋体" w:cs="宋体"/>
          <w:bCs/>
          <w:snapToGrid w:val="0"/>
          <w:color w:val="auto"/>
          <w:sz w:val="48"/>
          <w:szCs w:val="48"/>
          <w:highlight w:val="none"/>
          <w:u w:val="single"/>
        </w:rPr>
        <w:t xml:space="preserve">             </w:t>
      </w:r>
      <w:r>
        <w:rPr>
          <w:rFonts w:hint="eastAsia" w:hAnsi="宋体" w:cs="宋体"/>
          <w:b/>
          <w:snapToGrid w:val="0"/>
          <w:color w:val="auto"/>
          <w:sz w:val="48"/>
          <w:szCs w:val="48"/>
          <w:highlight w:val="none"/>
        </w:rPr>
        <w:t>（项目名称）招标</w:t>
      </w:r>
    </w:p>
    <w:p>
      <w:pPr>
        <w:rPr>
          <w:rFonts w:hAnsi="宋体" w:cs="宋体"/>
          <w:color w:val="auto"/>
          <w:highlight w:val="none"/>
        </w:rPr>
      </w:pPr>
    </w:p>
    <w:p>
      <w:pPr>
        <w:pStyle w:val="40"/>
        <w:widowControl w:val="0"/>
        <w:wordWrap w:val="0"/>
        <w:adjustRightInd w:val="0"/>
        <w:snapToGrid w:val="0"/>
        <w:ind w:firstLine="0"/>
        <w:jc w:val="center"/>
        <w:rPr>
          <w:rFonts w:hAnsi="宋体" w:cs="宋体"/>
          <w:b/>
          <w:snapToGrid w:val="0"/>
          <w:color w:val="auto"/>
          <w:sz w:val="72"/>
          <w:highlight w:val="none"/>
        </w:rPr>
      </w:pPr>
      <w:r>
        <w:rPr>
          <w:rFonts w:hint="eastAsia" w:hAnsi="宋体" w:cs="宋体"/>
          <w:b/>
          <w:snapToGrid w:val="0"/>
          <w:color w:val="auto"/>
          <w:sz w:val="72"/>
          <w:highlight w:val="none"/>
        </w:rPr>
        <w:t>投  标  文  件</w:t>
      </w:r>
    </w:p>
    <w:p>
      <w:pPr>
        <w:rPr>
          <w:rFonts w:hAnsi="宋体" w:cs="宋体"/>
          <w:color w:val="auto"/>
          <w:highlight w:val="none"/>
        </w:rPr>
      </w:pPr>
    </w:p>
    <w:p>
      <w:pPr>
        <w:pStyle w:val="40"/>
        <w:widowControl w:val="0"/>
        <w:wordWrap w:val="0"/>
        <w:adjustRightInd w:val="0"/>
        <w:snapToGrid w:val="0"/>
        <w:ind w:firstLine="0"/>
        <w:jc w:val="center"/>
        <w:rPr>
          <w:rFonts w:hAnsi="宋体" w:cs="宋体"/>
          <w:b/>
          <w:snapToGrid w:val="0"/>
          <w:color w:val="auto"/>
          <w:sz w:val="48"/>
          <w:szCs w:val="48"/>
          <w:highlight w:val="none"/>
        </w:rPr>
      </w:pPr>
      <w:r>
        <w:rPr>
          <w:rFonts w:hint="eastAsia" w:hAnsi="宋体" w:cs="宋体"/>
          <w:b/>
          <w:snapToGrid w:val="0"/>
          <w:color w:val="auto"/>
          <w:sz w:val="48"/>
          <w:szCs w:val="48"/>
          <w:highlight w:val="none"/>
        </w:rPr>
        <w:t>（商务标书／监理大纲）</w: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pStyle w:val="40"/>
        <w:widowControl w:val="0"/>
        <w:wordWrap w:val="0"/>
        <w:adjustRightInd w:val="0"/>
        <w:snapToGrid w:val="0"/>
        <w:ind w:firstLine="0"/>
        <w:jc w:val="center"/>
        <w:rPr>
          <w:rFonts w:hAnsi="宋体" w:cs="宋体"/>
          <w:color w:val="auto"/>
          <w:highlight w:val="none"/>
        </w:rPr>
      </w:pPr>
      <w:r>
        <w:rPr>
          <w:rFonts w:hint="eastAsia" w:hAnsi="宋体" w:cs="宋体"/>
          <w:bCs/>
          <w:snapToGrid w:val="0"/>
          <w:color w:val="auto"/>
          <w:sz w:val="32"/>
          <w:highlight w:val="none"/>
        </w:rPr>
        <w:t>投标人：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（盖单位章）</w:t>
      </w:r>
    </w:p>
    <w:p>
      <w:pPr>
        <w:rPr>
          <w:rFonts w:hAnsi="宋体" w:cs="宋体"/>
          <w:color w:val="auto"/>
          <w:highlight w:val="none"/>
        </w:rPr>
      </w:pPr>
    </w:p>
    <w:p>
      <w:pPr>
        <w:pStyle w:val="40"/>
        <w:widowControl w:val="0"/>
        <w:wordWrap w:val="0"/>
        <w:adjustRightInd w:val="0"/>
        <w:snapToGrid w:val="0"/>
        <w:ind w:firstLine="0"/>
        <w:jc w:val="center"/>
        <w:rPr>
          <w:rFonts w:hAnsi="宋体" w:cs="宋体"/>
          <w:color w:val="auto"/>
          <w:highlight w:val="none"/>
        </w:rPr>
      </w:pPr>
      <w:r>
        <w:rPr>
          <w:rFonts w:hint="eastAsia" w:hAnsi="宋体" w:cs="宋体"/>
          <w:bCs/>
          <w:snapToGrid w:val="0"/>
          <w:color w:val="auto"/>
          <w:sz w:val="32"/>
          <w:highlight w:val="none"/>
        </w:rPr>
        <w:t>法定代表人或其委托代理人：</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（签字或盖章）</w:t>
      </w:r>
    </w:p>
    <w:p>
      <w:pPr>
        <w:rPr>
          <w:rFonts w:hAnsi="宋体" w:cs="宋体"/>
          <w:color w:val="auto"/>
          <w:highlight w:val="none"/>
        </w:rPr>
      </w:pPr>
    </w:p>
    <w:p>
      <w:pPr>
        <w:pStyle w:val="40"/>
        <w:widowControl w:val="0"/>
        <w:wordWrap w:val="0"/>
        <w:adjustRightInd w:val="0"/>
        <w:snapToGrid w:val="0"/>
        <w:ind w:firstLine="0"/>
        <w:jc w:val="center"/>
        <w:rPr>
          <w:rFonts w:hAnsi="宋体" w:cs="宋体"/>
          <w:bCs/>
          <w:snapToGrid w:val="0"/>
          <w:color w:val="auto"/>
          <w:sz w:val="32"/>
          <w:highlight w:val="none"/>
        </w:rPr>
      </w:pP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年</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月</w:t>
      </w:r>
      <w:r>
        <w:rPr>
          <w:rFonts w:hint="eastAsia" w:hAnsi="宋体" w:cs="宋体"/>
          <w:bCs/>
          <w:snapToGrid w:val="0"/>
          <w:color w:val="auto"/>
          <w:sz w:val="32"/>
          <w:highlight w:val="none"/>
          <w:u w:val="single"/>
        </w:rPr>
        <w:t xml:space="preserve">      </w:t>
      </w:r>
      <w:r>
        <w:rPr>
          <w:rFonts w:hint="eastAsia" w:hAnsi="宋体" w:cs="宋体"/>
          <w:bCs/>
          <w:snapToGrid w:val="0"/>
          <w:color w:val="auto"/>
          <w:sz w:val="32"/>
          <w:highlight w:val="none"/>
        </w:rPr>
        <w:t>日</w:t>
      </w:r>
    </w:p>
    <w:p>
      <w:pPr>
        <w:pStyle w:val="40"/>
        <w:widowControl w:val="0"/>
        <w:wordWrap w:val="0"/>
        <w:adjustRightInd w:val="0"/>
        <w:snapToGrid w:val="0"/>
        <w:ind w:firstLine="0"/>
        <w:jc w:val="center"/>
        <w:rPr>
          <w:rFonts w:hAnsi="宋体" w:cs="宋体"/>
          <w:bCs/>
          <w:snapToGrid w:val="0"/>
          <w:color w:val="auto"/>
          <w:sz w:val="32"/>
          <w:highlight w:val="none"/>
        </w:rPr>
      </w:pPr>
    </w:p>
    <w:p>
      <w:pPr>
        <w:pStyle w:val="5"/>
        <w:keepNext w:val="0"/>
        <w:keepLines w:val="0"/>
        <w:widowControl w:val="0"/>
        <w:wordWrap w:val="0"/>
        <w:adjustRightInd w:val="0"/>
        <w:snapToGrid w:val="0"/>
        <w:ind w:firstLine="0"/>
        <w:jc w:val="left"/>
        <w:rPr>
          <w:rFonts w:hAnsi="宋体" w:cs="宋体"/>
          <w:b/>
          <w:snapToGrid w:val="0"/>
          <w:color w:val="auto"/>
          <w:highlight w:val="none"/>
        </w:rPr>
      </w:pPr>
      <w:bookmarkStart w:id="213" w:name="_Toc104711098"/>
      <w:bookmarkStart w:id="214" w:name="_Toc106418843"/>
      <w:r>
        <w:rPr>
          <w:rFonts w:hint="eastAsia" w:hAnsi="宋体" w:cs="宋体"/>
          <w:b/>
          <w:snapToGrid w:val="0"/>
          <w:color w:val="auto"/>
          <w:highlight w:val="none"/>
        </w:rPr>
        <w:br w:type="page"/>
      </w:r>
    </w:p>
    <w:p>
      <w:pPr>
        <w:pStyle w:val="4"/>
        <w:wordWrap w:val="0"/>
        <w:snapToGrid w:val="0"/>
        <w:rPr>
          <w:rFonts w:hAnsi="宋体" w:cs="宋体"/>
          <w:b/>
          <w:snapToGrid w:val="0"/>
          <w:color w:val="auto"/>
          <w:highlight w:val="none"/>
        </w:rPr>
      </w:pPr>
      <w:bookmarkStart w:id="215" w:name="_Toc9843"/>
      <w:bookmarkStart w:id="216" w:name="_Toc13156"/>
      <w:r>
        <w:rPr>
          <w:rFonts w:hint="eastAsia" w:hAnsi="宋体" w:cs="宋体"/>
          <w:b/>
          <w:snapToGrid w:val="0"/>
          <w:color w:val="auto"/>
          <w:highlight w:val="none"/>
        </w:rPr>
        <w:t>格式</w:t>
      </w:r>
      <w:bookmarkStart w:id="217" w:name="_Hlt97526007"/>
      <w:bookmarkEnd w:id="217"/>
      <w:r>
        <w:rPr>
          <w:rFonts w:hint="eastAsia" w:hAnsi="宋体" w:cs="宋体"/>
          <w:b/>
          <w:snapToGrid w:val="0"/>
          <w:color w:val="auto"/>
          <w:highlight w:val="none"/>
        </w:rPr>
        <w:t>二（1）   投标函</w:t>
      </w:r>
      <w:bookmarkEnd w:id="215"/>
      <w:bookmarkEnd w:id="216"/>
    </w:p>
    <w:p>
      <w:pPr>
        <w:jc w:val="center"/>
        <w:rPr>
          <w:rFonts w:hAnsi="宋体" w:cs="宋体"/>
          <w:b/>
          <w:bCs/>
          <w:color w:val="auto"/>
          <w:sz w:val="28"/>
          <w:szCs w:val="21"/>
          <w:highlight w:val="none"/>
        </w:rPr>
      </w:pPr>
      <w:r>
        <w:rPr>
          <w:rFonts w:hint="eastAsia" w:hAnsi="宋体" w:cs="宋体"/>
          <w:b/>
          <w:bCs/>
          <w:color w:val="auto"/>
          <w:sz w:val="28"/>
          <w:szCs w:val="21"/>
          <w:highlight w:val="none"/>
        </w:rPr>
        <w:t>投  标  函</w:t>
      </w:r>
      <w:bookmarkEnd w:id="213"/>
      <w:bookmarkEnd w:id="214"/>
    </w:p>
    <w:p>
      <w:pPr>
        <w:wordWrap w:val="0"/>
        <w:adjustRightInd w:val="0"/>
        <w:snapToGrid w:val="0"/>
        <w:rPr>
          <w:rFonts w:hAnsi="宋体" w:cs="宋体"/>
          <w:snapToGrid w:val="0"/>
          <w:color w:val="auto"/>
          <w:kern w:val="0"/>
          <w:highlight w:val="none"/>
        </w:rPr>
      </w:pPr>
      <w:r>
        <w:rPr>
          <w:rFonts w:hint="eastAsia" w:hAnsi="宋体" w:cs="宋体"/>
          <w:snapToGrid w:val="0"/>
          <w:color w:val="auto"/>
          <w:kern w:val="0"/>
          <w:highlight w:val="none"/>
        </w:rPr>
        <w:t>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（招标人名称）</w:t>
      </w:r>
    </w:p>
    <w:p>
      <w:pPr>
        <w:wordWrap w:val="0"/>
        <w:adjustRightInd w:val="0"/>
        <w:snapToGrid w:val="0"/>
        <w:ind w:firstLine="570"/>
        <w:rPr>
          <w:rFonts w:hAnsi="宋体" w:cs="宋体"/>
          <w:snapToGrid w:val="0"/>
          <w:color w:val="auto"/>
          <w:kern w:val="0"/>
          <w:highlight w:val="none"/>
          <w:u w:val="single"/>
        </w:rPr>
      </w:pPr>
      <w:r>
        <w:rPr>
          <w:rFonts w:hint="eastAsia" w:hAnsi="宋体" w:cs="宋体"/>
          <w:snapToGrid w:val="0"/>
          <w:color w:val="auto"/>
          <w:kern w:val="0"/>
          <w:highlight w:val="none"/>
        </w:rPr>
        <w:t xml:space="preserve">1. </w:t>
      </w:r>
      <w:r>
        <w:rPr>
          <w:rFonts w:hint="eastAsia" w:hAnsi="宋体" w:cs="宋体"/>
          <w:snapToGrid w:val="0"/>
          <w:color w:val="auto"/>
          <w:kern w:val="0"/>
          <w:szCs w:val="22"/>
          <w:highlight w:val="none"/>
        </w:rPr>
        <w:t>我方在</w:t>
      </w:r>
      <w:r>
        <w:rPr>
          <w:rFonts w:hint="eastAsia" w:hAnsi="宋体" w:cs="宋体"/>
          <w:snapToGrid w:val="0"/>
          <w:color w:val="auto"/>
          <w:kern w:val="0"/>
          <w:highlight w:val="none"/>
        </w:rPr>
        <w:t>仔细研究</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（项目名称）（以下简称“本项目”）招标文件的全部内容后，结合自身资质、能力和特点，愿意接受招标文件的全部内容和条件。兹以人民币（大写）：</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w:t>
      </w:r>
      <w:r>
        <w:rPr>
          <w:rFonts w:hint="eastAsia" w:hAnsi="宋体" w:cs="宋体"/>
          <w:snapToGrid w:val="0"/>
          <w:color w:val="auto"/>
          <w:kern w:val="0"/>
          <w:szCs w:val="22"/>
          <w:highlight w:val="none"/>
        </w:rPr>
        <w:t>的投标总价（其中，增值税税率为</w:t>
      </w:r>
      <w:r>
        <w:rPr>
          <w:rFonts w:hint="eastAsia" w:hAnsi="宋体" w:cs="宋体"/>
          <w:snapToGrid w:val="0"/>
          <w:color w:val="auto"/>
          <w:kern w:val="0"/>
          <w:szCs w:val="22"/>
          <w:highlight w:val="none"/>
          <w:u w:val="single"/>
        </w:rPr>
        <w:t xml:space="preserve">    </w:t>
      </w:r>
      <w:r>
        <w:rPr>
          <w:rFonts w:hint="eastAsia" w:hAnsi="宋体" w:cs="宋体"/>
          <w:snapToGrid w:val="0"/>
          <w:color w:val="auto"/>
          <w:kern w:val="0"/>
          <w:szCs w:val="22"/>
          <w:highlight w:val="none"/>
        </w:rPr>
        <w:t>）</w:t>
      </w:r>
      <w:r>
        <w:rPr>
          <w:rFonts w:hint="eastAsia" w:hAnsi="宋体" w:cs="宋体"/>
          <w:snapToGrid w:val="0"/>
          <w:color w:val="auto"/>
          <w:kern w:val="0"/>
          <w:highlight w:val="none"/>
        </w:rPr>
        <w:t>竞投本项目</w:t>
      </w:r>
      <w:r>
        <w:rPr>
          <w:rFonts w:hint="eastAsia" w:hAnsi="宋体" w:cs="宋体"/>
          <w:snapToGrid w:val="0"/>
          <w:color w:val="auto"/>
          <w:kern w:val="0"/>
          <w:highlight w:val="none"/>
          <w:u w:val="single"/>
        </w:rPr>
        <w:t>监理及相关服务</w:t>
      </w:r>
      <w:r>
        <w:rPr>
          <w:rFonts w:hint="eastAsia" w:hAnsi="宋体" w:cs="宋体"/>
          <w:snapToGrid w:val="0"/>
          <w:color w:val="auto"/>
          <w:kern w:val="0"/>
          <w:highlight w:val="none"/>
        </w:rPr>
        <w:t>，投标取费费率为</w:t>
      </w:r>
      <w:r>
        <w:rPr>
          <w:rFonts w:hint="eastAsia" w:hAnsi="宋体" w:cs="宋体"/>
          <w:snapToGrid w:val="0"/>
          <w:color w:val="auto"/>
          <w:kern w:val="0"/>
          <w:highlight w:val="none"/>
          <w:u w:val="single"/>
        </w:rPr>
        <w:t xml:space="preserve">     % </w:t>
      </w:r>
      <w:r>
        <w:rPr>
          <w:rFonts w:hint="eastAsia" w:hAnsi="宋体" w:cs="宋体"/>
          <w:snapToGrid w:val="0"/>
          <w:color w:val="auto"/>
          <w:kern w:val="0"/>
          <w:highlight w:val="none"/>
        </w:rPr>
        <w:t>。</w:t>
      </w:r>
    </w:p>
    <w:p>
      <w:pPr>
        <w:wordWrap w:val="0"/>
        <w:adjustRightInd w:val="0"/>
        <w:snapToGrid w:val="0"/>
        <w:ind w:firstLine="570"/>
        <w:rPr>
          <w:rFonts w:hAnsi="宋体" w:cs="宋体"/>
          <w:snapToGrid w:val="0"/>
          <w:color w:val="auto"/>
          <w:kern w:val="0"/>
          <w:highlight w:val="none"/>
        </w:rPr>
      </w:pPr>
      <w:r>
        <w:rPr>
          <w:rFonts w:hint="eastAsia" w:hAnsi="宋体" w:cs="宋体"/>
          <w:snapToGrid w:val="0"/>
          <w:color w:val="auto"/>
          <w:kern w:val="0"/>
          <w:highlight w:val="none"/>
        </w:rPr>
        <w:t>2. 如果我方中标，我方保证按照委托人发出的开始监理通知中写明的日期开始本项目的</w:t>
      </w:r>
      <w:r>
        <w:rPr>
          <w:rFonts w:hint="eastAsia" w:hAnsi="宋体" w:cs="宋体"/>
          <w:snapToGrid w:val="0"/>
          <w:color w:val="auto"/>
          <w:kern w:val="0"/>
          <w:highlight w:val="none"/>
          <w:u w:val="single"/>
        </w:rPr>
        <w:t>监理及相关服务</w:t>
      </w:r>
      <w:r>
        <w:rPr>
          <w:rFonts w:hint="eastAsia" w:hAnsi="宋体" w:cs="宋体"/>
          <w:snapToGrid w:val="0"/>
          <w:color w:val="auto"/>
          <w:kern w:val="0"/>
          <w:highlight w:val="none"/>
        </w:rPr>
        <w:t>，并在合同约定的服务期限内完成合同规定的全部义务。</w:t>
      </w:r>
    </w:p>
    <w:p>
      <w:pPr>
        <w:wordWrap w:val="0"/>
        <w:adjustRightInd w:val="0"/>
        <w:snapToGrid w:val="0"/>
        <w:ind w:firstLine="570"/>
        <w:rPr>
          <w:rFonts w:hAnsi="宋体" w:cs="宋体"/>
          <w:snapToGrid w:val="0"/>
          <w:color w:val="auto"/>
          <w:kern w:val="0"/>
          <w:highlight w:val="none"/>
        </w:rPr>
      </w:pPr>
      <w:r>
        <w:rPr>
          <w:rFonts w:hint="eastAsia" w:hAnsi="宋体" w:cs="宋体"/>
          <w:snapToGrid w:val="0"/>
          <w:color w:val="auto"/>
          <w:kern w:val="0"/>
          <w:highlight w:val="none"/>
        </w:rPr>
        <w:t>3. 本投标函在你方接收我方递交的投标文件之日起、到招标文件规定的投标有效期期满前对我方具有约束力。我方随时准备接受你方发出的中标通知书。</w:t>
      </w:r>
    </w:p>
    <w:p>
      <w:pPr>
        <w:wordWrap w:val="0"/>
        <w:adjustRightInd w:val="0"/>
        <w:snapToGrid w:val="0"/>
        <w:ind w:firstLine="570"/>
        <w:rPr>
          <w:rFonts w:hAnsi="宋体" w:cs="宋体"/>
          <w:snapToGrid w:val="0"/>
          <w:color w:val="auto"/>
          <w:kern w:val="0"/>
          <w:highlight w:val="none"/>
        </w:rPr>
      </w:pPr>
      <w:r>
        <w:rPr>
          <w:rFonts w:hint="eastAsia" w:hAnsi="宋体" w:cs="宋体"/>
          <w:snapToGrid w:val="0"/>
          <w:color w:val="auto"/>
          <w:kern w:val="0"/>
          <w:highlight w:val="none"/>
        </w:rPr>
        <w:t>4．我方在此声明，我方不存在本项目招标文件第一章第三节第</w:t>
      </w:r>
      <w:r>
        <w:rPr>
          <w:rFonts w:hint="eastAsia" w:hAnsi="宋体" w:cs="宋体"/>
          <w:b/>
          <w:bCs/>
          <w:snapToGrid w:val="0"/>
          <w:color w:val="auto"/>
          <w:kern w:val="0"/>
          <w:highlight w:val="none"/>
        </w:rPr>
        <w:t>2.4</w:t>
      </w:r>
      <w:r>
        <w:rPr>
          <w:rFonts w:hint="eastAsia" w:hAnsi="宋体" w:cs="宋体"/>
          <w:snapToGrid w:val="0"/>
          <w:color w:val="auto"/>
          <w:kern w:val="0"/>
          <w:highlight w:val="none"/>
        </w:rPr>
        <w:t>条“禁止投标条款”所列出的任何一种情形，并愿意承担因我方就此弄虚作假所引起的一切法律后果。</w:t>
      </w:r>
    </w:p>
    <w:p>
      <w:pPr>
        <w:wordWrap w:val="0"/>
        <w:adjustRightInd w:val="0"/>
        <w:snapToGrid w:val="0"/>
        <w:ind w:firstLine="570"/>
        <w:rPr>
          <w:rFonts w:hAnsi="宋体" w:cs="宋体"/>
          <w:snapToGrid w:val="0"/>
          <w:color w:val="auto"/>
          <w:kern w:val="0"/>
          <w:highlight w:val="none"/>
        </w:rPr>
      </w:pPr>
      <w:r>
        <w:rPr>
          <w:rFonts w:hint="eastAsia" w:hAnsi="宋体" w:cs="宋体"/>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ind w:firstLine="570"/>
        <w:rPr>
          <w:rFonts w:hAnsi="宋体" w:cs="宋体"/>
          <w:color w:val="auto"/>
          <w:highlight w:val="none"/>
        </w:rPr>
      </w:pPr>
      <w:bookmarkStart w:id="218" w:name="_Hlt68771070"/>
      <w:bookmarkEnd w:id="218"/>
      <w:r>
        <w:rPr>
          <w:rFonts w:hint="eastAsia" w:hAnsi="宋体" w:cs="宋体"/>
          <w:snapToGrid w:val="0"/>
          <w:color w:val="auto"/>
          <w:kern w:val="0"/>
          <w:highlight w:val="none"/>
        </w:rPr>
        <w:t>6. 我方理解你方不一定要接纳收到的最低投标总价或任何投标总价的投标人中标，也不要求你方解释我方是否中标的原因。</w:t>
      </w:r>
    </w:p>
    <w:p>
      <w:pPr>
        <w:rPr>
          <w:rFonts w:hAnsi="宋体" w:cs="宋体"/>
          <w:color w:val="auto"/>
          <w:highlight w:val="none"/>
        </w:rPr>
      </w:pPr>
    </w:p>
    <w:p>
      <w:pPr>
        <w:wordWrap w:val="0"/>
        <w:adjustRightInd w:val="0"/>
        <w:snapToGrid w:val="0"/>
        <w:jc w:val="right"/>
        <w:rPr>
          <w:rFonts w:hAnsi="宋体" w:cs="宋体"/>
          <w:snapToGrid w:val="0"/>
          <w:color w:val="auto"/>
          <w:kern w:val="0"/>
          <w:highlight w:val="none"/>
        </w:rPr>
      </w:pPr>
      <w:r>
        <w:rPr>
          <w:rFonts w:hint="eastAsia" w:hAnsi="宋体" w:cs="宋体"/>
          <w:snapToGrid w:val="0"/>
          <w:color w:val="auto"/>
          <w:kern w:val="0"/>
          <w:highlight w:val="none"/>
        </w:rPr>
        <w:t xml:space="preserve">    投标人：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（盖单位章）</w:t>
      </w:r>
    </w:p>
    <w:p>
      <w:pPr>
        <w:rPr>
          <w:rFonts w:hAnsi="宋体" w:cs="宋体"/>
          <w:color w:val="auto"/>
          <w:highlight w:val="none"/>
        </w:rPr>
      </w:pPr>
    </w:p>
    <w:p>
      <w:pPr>
        <w:wordWrap w:val="0"/>
        <w:adjustRightInd w:val="0"/>
        <w:snapToGrid w:val="0"/>
        <w:ind w:firstLine="480" w:firstLineChars="200"/>
        <w:jc w:val="right"/>
        <w:rPr>
          <w:rFonts w:hAnsi="宋体" w:cs="宋体"/>
          <w:snapToGrid w:val="0"/>
          <w:color w:val="auto"/>
          <w:kern w:val="0"/>
          <w:highlight w:val="none"/>
        </w:rPr>
      </w:pPr>
      <w:r>
        <w:rPr>
          <w:rFonts w:hint="eastAsia" w:hAnsi="宋体" w:cs="宋体"/>
          <w:snapToGrid w:val="0"/>
          <w:color w:val="auto"/>
          <w:kern w:val="0"/>
          <w:highlight w:val="none"/>
        </w:rPr>
        <w:t>法定代表人或其委托代理人：</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（签字或盖章）</w:t>
      </w:r>
    </w:p>
    <w:p>
      <w:pPr>
        <w:rPr>
          <w:rFonts w:hAnsi="宋体" w:cs="宋体"/>
          <w:color w:val="auto"/>
          <w:highlight w:val="none"/>
        </w:rPr>
      </w:pPr>
    </w:p>
    <w:p>
      <w:pPr>
        <w:wordWrap w:val="0"/>
        <w:adjustRightInd w:val="0"/>
        <w:snapToGrid w:val="0"/>
        <w:jc w:val="left"/>
        <w:rPr>
          <w:rFonts w:hAnsi="宋体" w:cs="宋体"/>
          <w:snapToGrid w:val="0"/>
          <w:color w:val="auto"/>
          <w:kern w:val="0"/>
          <w:highlight w:val="none"/>
        </w:rPr>
      </w:pPr>
      <w:r>
        <w:rPr>
          <w:rFonts w:hint="eastAsia" w:hAnsi="宋体" w:cs="宋体"/>
          <w:snapToGrid w:val="0"/>
          <w:color w:val="auto"/>
          <w:kern w:val="0"/>
          <w:highlight w:val="none"/>
        </w:rPr>
        <w:t xml:space="preserve">                                       </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年</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月</w:t>
      </w:r>
      <w:r>
        <w:rPr>
          <w:rFonts w:hint="eastAsia" w:hAnsi="宋体" w:cs="宋体"/>
          <w:snapToGrid w:val="0"/>
          <w:color w:val="auto"/>
          <w:kern w:val="0"/>
          <w:highlight w:val="none"/>
          <w:u w:val="single"/>
        </w:rPr>
        <w:t xml:space="preserve">     </w:t>
      </w:r>
      <w:r>
        <w:rPr>
          <w:rFonts w:hint="eastAsia" w:hAnsi="宋体" w:cs="宋体"/>
          <w:snapToGrid w:val="0"/>
          <w:color w:val="auto"/>
          <w:kern w:val="0"/>
          <w:highlight w:val="none"/>
        </w:rPr>
        <w:t>日</w:t>
      </w:r>
    </w:p>
    <w:p>
      <w:pPr>
        <w:pStyle w:val="7"/>
        <w:spacing w:line="360" w:lineRule="auto"/>
        <w:rPr>
          <w:rFonts w:hAnsi="宋体" w:cs="宋体"/>
          <w:snapToGrid w:val="0"/>
          <w:color w:val="auto"/>
          <w:highlight w:val="none"/>
        </w:rPr>
      </w:pPr>
    </w:p>
    <w:p>
      <w:pPr>
        <w:pStyle w:val="39"/>
        <w:keepNext w:val="0"/>
        <w:keepLines w:val="0"/>
        <w:widowControl w:val="0"/>
        <w:wordWrap w:val="0"/>
        <w:adjustRightInd w:val="0"/>
        <w:snapToGrid w:val="0"/>
        <w:ind w:left="3640" w:leftChars="15" w:hanging="3604" w:hangingChars="1496"/>
        <w:jc w:val="both"/>
        <w:outlineLvl w:val="9"/>
        <w:rPr>
          <w:rFonts w:hAnsi="宋体" w:cs="宋体"/>
          <w:b/>
          <w:snapToGrid w:val="0"/>
          <w:color w:val="auto"/>
          <w:highlight w:val="none"/>
        </w:rPr>
      </w:pPr>
      <w:bookmarkStart w:id="219" w:name="_Toc278443732"/>
      <w:bookmarkStart w:id="220" w:name="_Toc8672"/>
      <w:r>
        <w:rPr>
          <w:rFonts w:hint="eastAsia" w:hAnsi="宋体" w:cs="宋体"/>
          <w:b/>
          <w:snapToGrid w:val="0"/>
          <w:color w:val="auto"/>
          <w:highlight w:val="none"/>
        </w:rPr>
        <w:br w:type="page"/>
      </w:r>
    </w:p>
    <w:p>
      <w:pPr>
        <w:pStyle w:val="39"/>
        <w:keepNext w:val="0"/>
        <w:keepLines w:val="0"/>
        <w:widowControl w:val="0"/>
        <w:wordWrap w:val="0"/>
        <w:adjustRightInd w:val="0"/>
        <w:snapToGrid w:val="0"/>
        <w:ind w:left="3640" w:leftChars="15" w:hanging="3604" w:hangingChars="1496"/>
        <w:jc w:val="both"/>
        <w:outlineLvl w:val="1"/>
        <w:rPr>
          <w:rFonts w:hAnsi="宋体" w:cs="宋体"/>
          <w:b/>
          <w:snapToGrid w:val="0"/>
          <w:color w:val="auto"/>
          <w:highlight w:val="none"/>
        </w:rPr>
      </w:pPr>
      <w:bookmarkStart w:id="221" w:name="_Toc4027"/>
      <w:bookmarkStart w:id="222" w:name="_Toc27737"/>
      <w:r>
        <w:rPr>
          <w:rFonts w:hint="eastAsia" w:hAnsi="宋体" w:cs="宋体"/>
          <w:b/>
          <w:snapToGrid w:val="0"/>
          <w:color w:val="auto"/>
          <w:highlight w:val="none"/>
        </w:rPr>
        <w:t>格式二（2）   投标书附表</w:t>
      </w:r>
      <w:bookmarkEnd w:id="219"/>
      <w:bookmarkEnd w:id="220"/>
      <w:bookmarkEnd w:id="221"/>
      <w:bookmarkEnd w:id="222"/>
    </w:p>
    <w:p>
      <w:pPr>
        <w:jc w:val="center"/>
        <w:rPr>
          <w:rFonts w:hAnsi="宋体" w:cs="宋体"/>
          <w:b/>
          <w:bCs/>
          <w:color w:val="auto"/>
          <w:sz w:val="28"/>
          <w:szCs w:val="21"/>
          <w:highlight w:val="none"/>
        </w:rPr>
      </w:pPr>
      <w:r>
        <w:rPr>
          <w:rFonts w:hint="eastAsia" w:hAnsi="宋体" w:cs="宋体"/>
          <w:b/>
          <w:bCs/>
          <w:color w:val="auto"/>
          <w:sz w:val="28"/>
          <w:szCs w:val="21"/>
          <w:highlight w:val="none"/>
        </w:rPr>
        <w:t>投标书附表</w:t>
      </w:r>
    </w:p>
    <w:tbl>
      <w:tblPr>
        <w:tblStyle w:val="1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2235"/>
        <w:gridCol w:w="63"/>
        <w:gridCol w:w="198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投标单位</w:t>
            </w:r>
          </w:p>
        </w:tc>
        <w:tc>
          <w:tcPr>
            <w:tcW w:w="2235" w:type="dxa"/>
            <w:vAlign w:val="center"/>
          </w:tcPr>
          <w:p>
            <w:pPr>
              <w:jc w:val="center"/>
              <w:rPr>
                <w:rFonts w:hAnsi="宋体" w:cs="宋体"/>
                <w:color w:val="auto"/>
                <w:highlight w:val="none"/>
              </w:rPr>
            </w:pPr>
          </w:p>
        </w:tc>
        <w:tc>
          <w:tcPr>
            <w:tcW w:w="2043" w:type="dxa"/>
            <w:gridSpan w:val="2"/>
            <w:vAlign w:val="center"/>
          </w:tcPr>
          <w:p>
            <w:pPr>
              <w:jc w:val="center"/>
              <w:rPr>
                <w:rFonts w:hAnsi="宋体" w:cs="宋体"/>
                <w:color w:val="auto"/>
                <w:highlight w:val="none"/>
              </w:rPr>
            </w:pPr>
            <w:r>
              <w:rPr>
                <w:rFonts w:hint="eastAsia" w:hAnsi="宋体" w:cs="宋体"/>
                <w:color w:val="auto"/>
                <w:highlight w:val="none"/>
              </w:rPr>
              <w:t>地址、电话</w:t>
            </w:r>
          </w:p>
        </w:tc>
        <w:tc>
          <w:tcPr>
            <w:tcW w:w="2966" w:type="dxa"/>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法人营业</w:t>
            </w:r>
          </w:p>
          <w:p>
            <w:pPr>
              <w:jc w:val="center"/>
              <w:rPr>
                <w:rFonts w:hAnsi="宋体" w:cs="宋体"/>
                <w:color w:val="auto"/>
                <w:highlight w:val="none"/>
              </w:rPr>
            </w:pPr>
            <w:r>
              <w:rPr>
                <w:rFonts w:hint="eastAsia" w:hAnsi="宋体" w:cs="宋体"/>
                <w:color w:val="auto"/>
                <w:highlight w:val="none"/>
              </w:rPr>
              <w:t>执照证号</w:t>
            </w:r>
          </w:p>
        </w:tc>
        <w:tc>
          <w:tcPr>
            <w:tcW w:w="2235" w:type="dxa"/>
            <w:vAlign w:val="center"/>
          </w:tcPr>
          <w:p>
            <w:pPr>
              <w:jc w:val="center"/>
              <w:rPr>
                <w:rFonts w:hAnsi="宋体" w:cs="宋体"/>
                <w:color w:val="auto"/>
                <w:highlight w:val="none"/>
              </w:rPr>
            </w:pPr>
          </w:p>
        </w:tc>
        <w:tc>
          <w:tcPr>
            <w:tcW w:w="2043" w:type="dxa"/>
            <w:gridSpan w:val="2"/>
            <w:vAlign w:val="center"/>
          </w:tcPr>
          <w:p>
            <w:pPr>
              <w:jc w:val="center"/>
              <w:rPr>
                <w:rFonts w:hAnsi="宋体" w:cs="宋体"/>
                <w:color w:val="auto"/>
                <w:highlight w:val="none"/>
              </w:rPr>
            </w:pPr>
            <w:r>
              <w:rPr>
                <w:rFonts w:hint="eastAsia" w:hAnsi="宋体" w:cs="宋体"/>
                <w:color w:val="auto"/>
                <w:highlight w:val="none"/>
              </w:rPr>
              <w:t>资质等级</w:t>
            </w:r>
          </w:p>
          <w:p>
            <w:pPr>
              <w:jc w:val="center"/>
              <w:rPr>
                <w:rFonts w:hAnsi="宋体" w:cs="宋体"/>
                <w:color w:val="auto"/>
                <w:highlight w:val="none"/>
              </w:rPr>
            </w:pPr>
            <w:r>
              <w:rPr>
                <w:rFonts w:hint="eastAsia" w:hAnsi="宋体" w:cs="宋体"/>
                <w:color w:val="auto"/>
                <w:highlight w:val="none"/>
              </w:rPr>
              <w:t>及证书号</w:t>
            </w:r>
          </w:p>
        </w:tc>
        <w:tc>
          <w:tcPr>
            <w:tcW w:w="2966" w:type="dxa"/>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投标项目暂定概算/预算投资额</w:t>
            </w:r>
          </w:p>
        </w:tc>
        <w:tc>
          <w:tcPr>
            <w:tcW w:w="2235" w:type="dxa"/>
            <w:vAlign w:val="center"/>
          </w:tcPr>
          <w:p>
            <w:pPr>
              <w:jc w:val="center"/>
              <w:rPr>
                <w:rFonts w:hAnsi="宋体" w:cs="宋体"/>
                <w:color w:val="auto"/>
                <w:highlight w:val="none"/>
              </w:rPr>
            </w:pPr>
            <w:r>
              <w:rPr>
                <w:rFonts w:hint="eastAsia" w:hAnsi="宋体" w:cs="宋体"/>
                <w:b/>
                <w:bCs/>
                <w:snapToGrid w:val="0"/>
                <w:color w:val="auto"/>
                <w:kern w:val="0"/>
                <w:highlight w:val="none"/>
                <w:lang w:val="en-US" w:eastAsia="zh-CN"/>
              </w:rPr>
              <w:t>725</w:t>
            </w:r>
            <w:r>
              <w:rPr>
                <w:rFonts w:hint="eastAsia" w:hAnsi="宋体" w:cs="宋体"/>
                <w:b/>
                <w:bCs/>
                <w:snapToGrid w:val="0"/>
                <w:color w:val="auto"/>
                <w:kern w:val="0"/>
                <w:highlight w:val="none"/>
              </w:rPr>
              <w:t>万元</w:t>
            </w:r>
          </w:p>
        </w:tc>
        <w:tc>
          <w:tcPr>
            <w:tcW w:w="2043" w:type="dxa"/>
            <w:gridSpan w:val="2"/>
            <w:vAlign w:val="center"/>
          </w:tcPr>
          <w:p>
            <w:pPr>
              <w:jc w:val="center"/>
              <w:rPr>
                <w:rFonts w:hAnsi="宋体" w:cs="宋体"/>
                <w:color w:val="auto"/>
                <w:highlight w:val="none"/>
              </w:rPr>
            </w:pPr>
            <w:r>
              <w:rPr>
                <w:rFonts w:hint="eastAsia" w:hAnsi="宋体" w:cs="宋体"/>
                <w:color w:val="auto"/>
                <w:highlight w:val="none"/>
              </w:rPr>
              <w:t>监理费投标报价：</w:t>
            </w:r>
          </w:p>
          <w:p>
            <w:pPr>
              <w:pStyle w:val="7"/>
              <w:spacing w:line="360" w:lineRule="auto"/>
              <w:rPr>
                <w:rFonts w:hAnsi="宋体" w:cs="宋体"/>
                <w:color w:val="auto"/>
                <w:highlight w:val="none"/>
              </w:rPr>
            </w:pPr>
            <w:r>
              <w:rPr>
                <w:rFonts w:hint="eastAsia" w:hAnsi="宋体" w:cs="宋体"/>
                <w:color w:val="auto"/>
                <w:highlight w:val="none"/>
              </w:rPr>
              <w:t>投标取费费率：</w:t>
            </w:r>
          </w:p>
        </w:tc>
        <w:tc>
          <w:tcPr>
            <w:tcW w:w="2966" w:type="dxa"/>
            <w:vAlign w:val="center"/>
          </w:tcPr>
          <w:p>
            <w:pPr>
              <w:rPr>
                <w:rFonts w:hAnsi="宋体" w:cs="宋体"/>
                <w:color w:val="auto"/>
                <w:highlight w:val="none"/>
              </w:rPr>
            </w:pPr>
            <w:r>
              <w:rPr>
                <w:rFonts w:hint="eastAsia" w:hAnsi="宋体" w:cs="宋体"/>
                <w:color w:val="auto"/>
                <w:highlight w:val="none"/>
              </w:rPr>
              <w:t>投标报价：      元</w:t>
            </w:r>
          </w:p>
          <w:p>
            <w:pPr>
              <w:rPr>
                <w:rFonts w:hAnsi="宋体" w:cs="宋体"/>
                <w:color w:val="auto"/>
                <w:highlight w:val="none"/>
              </w:rPr>
            </w:pPr>
            <w:r>
              <w:rPr>
                <w:rFonts w:hint="eastAsia" w:hAnsi="宋体" w:cs="宋体"/>
                <w:color w:val="auto"/>
                <w:highlight w:val="none"/>
              </w:rPr>
              <w:t>投标取费费率：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监理工期</w:t>
            </w:r>
          </w:p>
          <w:p>
            <w:pPr>
              <w:jc w:val="center"/>
              <w:rPr>
                <w:rFonts w:hAnsi="宋体" w:cs="宋体"/>
                <w:color w:val="auto"/>
                <w:highlight w:val="none"/>
              </w:rPr>
            </w:pPr>
          </w:p>
        </w:tc>
        <w:tc>
          <w:tcPr>
            <w:tcW w:w="2235" w:type="dxa"/>
            <w:vAlign w:val="center"/>
          </w:tcPr>
          <w:p>
            <w:pPr>
              <w:jc w:val="center"/>
              <w:rPr>
                <w:rFonts w:hAnsi="宋体" w:cs="宋体"/>
                <w:color w:val="auto"/>
                <w:highlight w:val="none"/>
              </w:rPr>
            </w:pPr>
          </w:p>
        </w:tc>
        <w:tc>
          <w:tcPr>
            <w:tcW w:w="2043" w:type="dxa"/>
            <w:gridSpan w:val="2"/>
            <w:vAlign w:val="center"/>
          </w:tcPr>
          <w:p>
            <w:pPr>
              <w:jc w:val="center"/>
              <w:rPr>
                <w:rFonts w:hAnsi="宋体" w:cs="宋体"/>
                <w:color w:val="auto"/>
                <w:highlight w:val="none"/>
              </w:rPr>
            </w:pPr>
            <w:r>
              <w:rPr>
                <w:rFonts w:hint="eastAsia" w:hAnsi="宋体" w:cs="宋体"/>
                <w:color w:val="auto"/>
                <w:highlight w:val="none"/>
              </w:rPr>
              <w:t>监理质量</w:t>
            </w:r>
          </w:p>
          <w:p>
            <w:pPr>
              <w:jc w:val="center"/>
              <w:rPr>
                <w:rFonts w:hAnsi="宋体" w:cs="宋体"/>
                <w:color w:val="auto"/>
                <w:highlight w:val="none"/>
              </w:rPr>
            </w:pPr>
            <w:r>
              <w:rPr>
                <w:rFonts w:hint="eastAsia" w:hAnsi="宋体" w:cs="宋体"/>
                <w:color w:val="auto"/>
                <w:highlight w:val="none"/>
              </w:rPr>
              <w:t>目    标</w:t>
            </w:r>
          </w:p>
        </w:tc>
        <w:tc>
          <w:tcPr>
            <w:tcW w:w="2966" w:type="dxa"/>
            <w:vAlign w:val="center"/>
          </w:tcPr>
          <w:p>
            <w:pPr>
              <w:jc w:val="center"/>
              <w:rPr>
                <w:rFonts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驻场监理</w:t>
            </w:r>
          </w:p>
          <w:p>
            <w:pPr>
              <w:jc w:val="center"/>
              <w:rPr>
                <w:rFonts w:hAnsi="宋体" w:cs="宋体"/>
                <w:color w:val="auto"/>
                <w:highlight w:val="none"/>
              </w:rPr>
            </w:pPr>
            <w:r>
              <w:rPr>
                <w:rFonts w:hint="eastAsia" w:hAnsi="宋体" w:cs="宋体"/>
                <w:color w:val="auto"/>
                <w:highlight w:val="none"/>
              </w:rPr>
              <w:t>机构人数</w:t>
            </w:r>
          </w:p>
          <w:p>
            <w:pPr>
              <w:jc w:val="center"/>
              <w:rPr>
                <w:rFonts w:hAnsi="宋体" w:cs="宋体"/>
                <w:color w:val="auto"/>
                <w:highlight w:val="none"/>
              </w:rPr>
            </w:pPr>
            <w:r>
              <w:rPr>
                <w:rFonts w:hint="eastAsia" w:hAnsi="宋体" w:cs="宋体"/>
                <w:color w:val="auto"/>
                <w:highlight w:val="none"/>
              </w:rPr>
              <w:t>（人）</w:t>
            </w:r>
          </w:p>
        </w:tc>
        <w:tc>
          <w:tcPr>
            <w:tcW w:w="2235" w:type="dxa"/>
            <w:vAlign w:val="center"/>
          </w:tcPr>
          <w:p>
            <w:pPr>
              <w:jc w:val="center"/>
              <w:rPr>
                <w:rFonts w:hAnsi="宋体" w:cs="宋体"/>
                <w:color w:val="auto"/>
                <w:highlight w:val="none"/>
              </w:rPr>
            </w:pPr>
          </w:p>
        </w:tc>
        <w:tc>
          <w:tcPr>
            <w:tcW w:w="2043" w:type="dxa"/>
            <w:gridSpan w:val="2"/>
            <w:vAlign w:val="center"/>
          </w:tcPr>
          <w:p>
            <w:pPr>
              <w:jc w:val="center"/>
              <w:rPr>
                <w:rFonts w:hAnsi="宋体" w:cs="宋体"/>
                <w:color w:val="auto"/>
                <w:highlight w:val="none"/>
              </w:rPr>
            </w:pPr>
            <w:r>
              <w:rPr>
                <w:rFonts w:hint="eastAsia" w:hAnsi="宋体" w:cs="宋体"/>
                <w:color w:val="auto"/>
                <w:highlight w:val="none"/>
              </w:rPr>
              <w:t>驻场注册监理工程师人数</w:t>
            </w:r>
          </w:p>
          <w:p>
            <w:pPr>
              <w:jc w:val="center"/>
              <w:rPr>
                <w:rFonts w:hAnsi="宋体" w:cs="宋体"/>
                <w:color w:val="auto"/>
                <w:highlight w:val="none"/>
              </w:rPr>
            </w:pPr>
            <w:r>
              <w:rPr>
                <w:rFonts w:hint="eastAsia" w:hAnsi="宋体" w:cs="宋体"/>
                <w:color w:val="auto"/>
                <w:highlight w:val="none"/>
              </w:rPr>
              <w:t>（人）</w:t>
            </w:r>
          </w:p>
        </w:tc>
        <w:tc>
          <w:tcPr>
            <w:tcW w:w="2966" w:type="dxa"/>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82" w:type="dxa"/>
            <w:vMerge w:val="restart"/>
            <w:vAlign w:val="center"/>
          </w:tcPr>
          <w:p>
            <w:pPr>
              <w:jc w:val="center"/>
              <w:rPr>
                <w:rFonts w:hAnsi="宋体" w:cs="宋体"/>
                <w:color w:val="auto"/>
                <w:highlight w:val="none"/>
              </w:rPr>
            </w:pPr>
            <w:r>
              <w:rPr>
                <w:rFonts w:hint="eastAsia" w:hAnsi="宋体" w:cs="宋体"/>
                <w:color w:val="auto"/>
                <w:highlight w:val="none"/>
              </w:rPr>
              <w:t>拟委派的项目</w:t>
            </w:r>
          </w:p>
          <w:p>
            <w:pPr>
              <w:jc w:val="center"/>
              <w:rPr>
                <w:rFonts w:hAnsi="宋体" w:cs="宋体"/>
                <w:color w:val="auto"/>
                <w:highlight w:val="none"/>
              </w:rPr>
            </w:pPr>
            <w:r>
              <w:rPr>
                <w:rFonts w:hint="eastAsia" w:hAnsi="宋体" w:cs="宋体"/>
                <w:color w:val="auto"/>
                <w:highlight w:val="none"/>
              </w:rPr>
              <w:t>总监理工程师</w:t>
            </w:r>
          </w:p>
        </w:tc>
        <w:tc>
          <w:tcPr>
            <w:tcW w:w="2235" w:type="dxa"/>
            <w:vAlign w:val="center"/>
          </w:tcPr>
          <w:p>
            <w:pPr>
              <w:jc w:val="center"/>
              <w:rPr>
                <w:rFonts w:hAnsi="宋体" w:cs="宋体"/>
                <w:color w:val="auto"/>
                <w:highlight w:val="none"/>
              </w:rPr>
            </w:pPr>
            <w:r>
              <w:rPr>
                <w:rFonts w:hint="eastAsia" w:hAnsi="宋体" w:cs="宋体"/>
                <w:color w:val="auto"/>
                <w:highlight w:val="none"/>
              </w:rPr>
              <w:t>姓   名</w:t>
            </w:r>
          </w:p>
        </w:tc>
        <w:tc>
          <w:tcPr>
            <w:tcW w:w="5009" w:type="dxa"/>
            <w:gridSpan w:val="3"/>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82" w:type="dxa"/>
            <w:vMerge w:val="continue"/>
            <w:vAlign w:val="center"/>
          </w:tcPr>
          <w:p>
            <w:pPr>
              <w:jc w:val="center"/>
              <w:rPr>
                <w:rFonts w:hAnsi="宋体" w:cs="宋体"/>
                <w:color w:val="auto"/>
                <w:highlight w:val="none"/>
              </w:rPr>
            </w:pPr>
          </w:p>
        </w:tc>
        <w:tc>
          <w:tcPr>
            <w:tcW w:w="2235" w:type="dxa"/>
            <w:vAlign w:val="center"/>
          </w:tcPr>
          <w:p>
            <w:pPr>
              <w:jc w:val="center"/>
              <w:rPr>
                <w:rFonts w:hAnsi="宋体" w:cs="宋体"/>
                <w:color w:val="auto"/>
                <w:highlight w:val="none"/>
              </w:rPr>
            </w:pPr>
            <w:r>
              <w:rPr>
                <w:rFonts w:hint="eastAsia" w:hAnsi="宋体" w:cs="宋体"/>
                <w:color w:val="auto"/>
                <w:highlight w:val="none"/>
              </w:rPr>
              <w:t>技术职称</w:t>
            </w:r>
          </w:p>
        </w:tc>
        <w:tc>
          <w:tcPr>
            <w:tcW w:w="5009" w:type="dxa"/>
            <w:gridSpan w:val="3"/>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382" w:type="dxa"/>
            <w:vMerge w:val="continue"/>
            <w:vAlign w:val="center"/>
          </w:tcPr>
          <w:p>
            <w:pPr>
              <w:jc w:val="center"/>
              <w:rPr>
                <w:rFonts w:hAnsi="宋体" w:cs="宋体"/>
                <w:color w:val="auto"/>
                <w:highlight w:val="none"/>
              </w:rPr>
            </w:pPr>
          </w:p>
        </w:tc>
        <w:tc>
          <w:tcPr>
            <w:tcW w:w="2235" w:type="dxa"/>
            <w:vAlign w:val="center"/>
          </w:tcPr>
          <w:p>
            <w:pPr>
              <w:jc w:val="center"/>
              <w:rPr>
                <w:rFonts w:hAnsi="宋体" w:cs="宋体"/>
                <w:color w:val="auto"/>
                <w:highlight w:val="none"/>
              </w:rPr>
            </w:pPr>
            <w:r>
              <w:rPr>
                <w:rFonts w:hint="eastAsia" w:hAnsi="宋体" w:cs="宋体"/>
                <w:color w:val="auto"/>
                <w:highlight w:val="none"/>
              </w:rPr>
              <w:t>注册证书号</w:t>
            </w:r>
          </w:p>
        </w:tc>
        <w:tc>
          <w:tcPr>
            <w:tcW w:w="5009" w:type="dxa"/>
            <w:gridSpan w:val="3"/>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需要建设单位提供的配合条件</w:t>
            </w:r>
          </w:p>
        </w:tc>
        <w:tc>
          <w:tcPr>
            <w:tcW w:w="7244" w:type="dxa"/>
            <w:gridSpan w:val="4"/>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382" w:type="dxa"/>
            <w:vAlign w:val="center"/>
          </w:tcPr>
          <w:p>
            <w:pPr>
              <w:jc w:val="center"/>
              <w:rPr>
                <w:rFonts w:hAnsi="宋体" w:cs="宋体"/>
                <w:color w:val="auto"/>
                <w:highlight w:val="none"/>
              </w:rPr>
            </w:pPr>
            <w:r>
              <w:rPr>
                <w:rFonts w:hint="eastAsia" w:hAnsi="宋体" w:cs="宋体"/>
                <w:color w:val="auto"/>
                <w:highlight w:val="none"/>
              </w:rPr>
              <w:t>投标单位</w:t>
            </w:r>
          </w:p>
          <w:p>
            <w:pPr>
              <w:jc w:val="center"/>
              <w:rPr>
                <w:rFonts w:hAnsi="宋体" w:cs="宋体"/>
                <w:color w:val="auto"/>
                <w:highlight w:val="none"/>
              </w:rPr>
            </w:pPr>
            <w:r>
              <w:rPr>
                <w:rFonts w:hint="eastAsia" w:hAnsi="宋体" w:cs="宋体"/>
                <w:color w:val="auto"/>
                <w:highlight w:val="none"/>
              </w:rPr>
              <w:t>法定代表人</w:t>
            </w:r>
          </w:p>
          <w:p>
            <w:pPr>
              <w:jc w:val="center"/>
              <w:rPr>
                <w:rFonts w:hAnsi="宋体" w:cs="宋体"/>
                <w:color w:val="auto"/>
                <w:highlight w:val="none"/>
              </w:rPr>
            </w:pPr>
            <w:r>
              <w:rPr>
                <w:rFonts w:hint="eastAsia" w:hAnsi="宋体" w:cs="宋体"/>
                <w:color w:val="auto"/>
                <w:highlight w:val="none"/>
              </w:rPr>
              <w:t>（签名或盖章）</w:t>
            </w:r>
          </w:p>
        </w:tc>
        <w:tc>
          <w:tcPr>
            <w:tcW w:w="2298" w:type="dxa"/>
            <w:gridSpan w:val="2"/>
            <w:vAlign w:val="center"/>
          </w:tcPr>
          <w:p>
            <w:pPr>
              <w:jc w:val="center"/>
              <w:rPr>
                <w:rFonts w:hAnsi="宋体" w:cs="宋体"/>
                <w:color w:val="auto"/>
                <w:highlight w:val="none"/>
              </w:rPr>
            </w:pPr>
          </w:p>
        </w:tc>
        <w:tc>
          <w:tcPr>
            <w:tcW w:w="1980" w:type="dxa"/>
            <w:vAlign w:val="center"/>
          </w:tcPr>
          <w:p>
            <w:pPr>
              <w:jc w:val="center"/>
              <w:rPr>
                <w:rFonts w:hAnsi="宋体" w:cs="宋体"/>
                <w:color w:val="auto"/>
                <w:highlight w:val="none"/>
              </w:rPr>
            </w:pPr>
            <w:r>
              <w:rPr>
                <w:rFonts w:hint="eastAsia" w:hAnsi="宋体" w:cs="宋体"/>
                <w:color w:val="auto"/>
                <w:highlight w:val="none"/>
              </w:rPr>
              <w:t>本项目的法人</w:t>
            </w:r>
          </w:p>
          <w:p>
            <w:pPr>
              <w:jc w:val="center"/>
              <w:rPr>
                <w:rFonts w:hAnsi="宋体" w:cs="宋体"/>
                <w:color w:val="auto"/>
                <w:highlight w:val="none"/>
              </w:rPr>
            </w:pPr>
            <w:r>
              <w:rPr>
                <w:rFonts w:hint="eastAsia" w:hAnsi="宋体" w:cs="宋体"/>
                <w:color w:val="auto"/>
                <w:highlight w:val="none"/>
              </w:rPr>
              <w:t>授权的代理人</w:t>
            </w:r>
          </w:p>
          <w:p>
            <w:pPr>
              <w:jc w:val="center"/>
              <w:rPr>
                <w:rFonts w:hAnsi="宋体" w:cs="宋体"/>
                <w:color w:val="auto"/>
                <w:highlight w:val="none"/>
              </w:rPr>
            </w:pPr>
            <w:r>
              <w:rPr>
                <w:rFonts w:hint="eastAsia" w:hAnsi="宋体" w:cs="宋体"/>
                <w:color w:val="auto"/>
                <w:highlight w:val="none"/>
              </w:rPr>
              <w:t>（签名或盖章）</w:t>
            </w:r>
          </w:p>
        </w:tc>
        <w:tc>
          <w:tcPr>
            <w:tcW w:w="2966" w:type="dxa"/>
            <w:vAlign w:val="center"/>
          </w:tcPr>
          <w:p>
            <w:pPr>
              <w:jc w:val="center"/>
              <w:rPr>
                <w:rFonts w:hAnsi="宋体" w:cs="宋体"/>
                <w:color w:val="auto"/>
                <w:highlight w:val="none"/>
              </w:rPr>
            </w:pPr>
          </w:p>
        </w:tc>
      </w:tr>
    </w:tbl>
    <w:p>
      <w:pPr>
        <w:ind w:right="-391" w:firstLine="570"/>
        <w:rPr>
          <w:rFonts w:hAnsi="宋体" w:cs="宋体"/>
          <w:bCs/>
          <w:color w:val="auto"/>
          <w:highlight w:val="none"/>
        </w:rPr>
      </w:pPr>
      <w:r>
        <w:rPr>
          <w:rFonts w:hint="eastAsia" w:hAnsi="宋体" w:cs="宋体"/>
          <w:bCs/>
          <w:color w:val="auto"/>
          <w:highlight w:val="none"/>
        </w:rPr>
        <w:t>注：投标取费费率保留小数点后三位（例如1.000%），投标报价保留小数点后二位。</w:t>
      </w:r>
    </w:p>
    <w:p>
      <w:pPr>
        <w:pStyle w:val="40"/>
        <w:widowControl w:val="0"/>
        <w:wordWrap w:val="0"/>
        <w:adjustRightInd w:val="0"/>
        <w:snapToGrid w:val="0"/>
        <w:ind w:firstLine="0"/>
        <w:rPr>
          <w:rFonts w:hAnsi="宋体" w:cs="宋体"/>
          <w:b/>
          <w:snapToGrid w:val="0"/>
          <w:color w:val="auto"/>
          <w:sz w:val="24"/>
          <w:highlight w:val="none"/>
        </w:rPr>
      </w:pPr>
    </w:p>
    <w:p>
      <w:pPr>
        <w:pStyle w:val="40"/>
        <w:widowControl w:val="0"/>
        <w:wordWrap w:val="0"/>
        <w:adjustRightInd w:val="0"/>
        <w:snapToGrid w:val="0"/>
        <w:ind w:firstLine="0"/>
        <w:rPr>
          <w:rFonts w:hAnsi="宋体" w:cs="宋体"/>
          <w:b/>
          <w:snapToGrid w:val="0"/>
          <w:color w:val="auto"/>
          <w:sz w:val="24"/>
          <w:highlight w:val="none"/>
        </w:rPr>
      </w:pPr>
    </w:p>
    <w:p>
      <w:pPr>
        <w:pStyle w:val="39"/>
        <w:keepNext w:val="0"/>
        <w:keepLines w:val="0"/>
        <w:widowControl w:val="0"/>
        <w:wordWrap w:val="0"/>
        <w:adjustRightInd w:val="0"/>
        <w:snapToGrid w:val="0"/>
        <w:ind w:left="3640" w:leftChars="15" w:hanging="3604" w:hangingChars="1496"/>
        <w:jc w:val="both"/>
        <w:outlineLvl w:val="1"/>
        <w:rPr>
          <w:rFonts w:hAnsi="宋体" w:cs="宋体"/>
          <w:b/>
          <w:snapToGrid w:val="0"/>
          <w:color w:val="auto"/>
          <w:highlight w:val="none"/>
        </w:rPr>
      </w:pPr>
      <w:bookmarkStart w:id="223" w:name="_Toc13211"/>
      <w:bookmarkStart w:id="224" w:name="_Toc20729"/>
      <w:r>
        <w:rPr>
          <w:rFonts w:hint="eastAsia" w:hAnsi="宋体" w:cs="宋体"/>
          <w:b/>
          <w:snapToGrid w:val="0"/>
          <w:color w:val="auto"/>
          <w:highlight w:val="none"/>
        </w:rPr>
        <w:t>格式二（3）监理及相关服务报酬清单</w:t>
      </w:r>
      <w:bookmarkEnd w:id="223"/>
      <w:bookmarkEnd w:id="224"/>
    </w:p>
    <w:p>
      <w:pPr>
        <w:pStyle w:val="40"/>
        <w:widowControl w:val="0"/>
        <w:wordWrap w:val="0"/>
        <w:adjustRightInd w:val="0"/>
        <w:snapToGrid w:val="0"/>
        <w:spacing w:before="260" w:after="260" w:line="440" w:lineRule="exact"/>
        <w:ind w:firstLine="0"/>
        <w:jc w:val="center"/>
        <w:rPr>
          <w:rFonts w:ascii="Times New Roman"/>
          <w:b/>
          <w:bCs/>
          <w:snapToGrid w:val="0"/>
          <w:color w:val="auto"/>
          <w:sz w:val="30"/>
          <w:highlight w:val="none"/>
        </w:rPr>
      </w:pPr>
      <w:r>
        <w:rPr>
          <w:rFonts w:hint="eastAsia" w:ascii="Times New Roman"/>
          <w:b/>
          <w:bCs/>
          <w:snapToGrid w:val="0"/>
          <w:color w:val="auto"/>
          <w:sz w:val="30"/>
          <w:highlight w:val="none"/>
        </w:rPr>
        <w:t>监理及相关服务报酬清单</w:t>
      </w:r>
    </w:p>
    <w:p>
      <w:pPr>
        <w:pStyle w:val="40"/>
        <w:widowControl w:val="0"/>
        <w:wordWrap w:val="0"/>
        <w:adjustRightInd w:val="0"/>
        <w:snapToGrid w:val="0"/>
        <w:spacing w:line="440" w:lineRule="exact"/>
        <w:ind w:firstLine="0"/>
        <w:outlineLvl w:val="1"/>
        <w:rPr>
          <w:rFonts w:ascii="Times New Roman"/>
          <w:snapToGrid w:val="0"/>
          <w:color w:val="auto"/>
          <w:sz w:val="24"/>
          <w:highlight w:val="none"/>
        </w:rPr>
      </w:pPr>
      <w:bookmarkStart w:id="225" w:name="_Toc24324"/>
      <w:r>
        <w:rPr>
          <w:rFonts w:hint="eastAsia" w:ascii="Times New Roman"/>
          <w:snapToGrid w:val="0"/>
          <w:color w:val="auto"/>
          <w:sz w:val="24"/>
          <w:highlight w:val="none"/>
        </w:rPr>
        <w:t>1．监理及相关服务报酬清单说明</w:t>
      </w:r>
      <w:bookmarkEnd w:id="225"/>
    </w:p>
    <w:p>
      <w:pPr>
        <w:pStyle w:val="40"/>
        <w:widowControl w:val="0"/>
        <w:wordWrap w:val="0"/>
        <w:adjustRightInd w:val="0"/>
        <w:snapToGrid w:val="0"/>
        <w:spacing w:line="440" w:lineRule="exact"/>
        <w:ind w:firstLine="0"/>
        <w:rPr>
          <w:rFonts w:ascii="Times New Roman"/>
          <w:snapToGrid w:val="0"/>
          <w:color w:val="auto"/>
          <w:sz w:val="24"/>
          <w:highlight w:val="none"/>
        </w:rPr>
      </w:pPr>
      <w:r>
        <w:rPr>
          <w:rFonts w:hint="eastAsia" w:ascii="Times New Roman"/>
          <w:snapToGrid w:val="0"/>
          <w:color w:val="auto"/>
          <w:sz w:val="24"/>
          <w:highlight w:val="none"/>
        </w:rPr>
        <w:t>……</w:t>
      </w:r>
    </w:p>
    <w:p>
      <w:pPr>
        <w:pStyle w:val="40"/>
        <w:widowControl w:val="0"/>
        <w:wordWrap w:val="0"/>
        <w:adjustRightInd w:val="0"/>
        <w:snapToGrid w:val="0"/>
        <w:spacing w:line="440" w:lineRule="exact"/>
        <w:ind w:firstLine="0"/>
        <w:outlineLvl w:val="1"/>
        <w:rPr>
          <w:rFonts w:ascii="Times New Roman"/>
          <w:snapToGrid w:val="0"/>
          <w:color w:val="auto"/>
          <w:sz w:val="24"/>
          <w:highlight w:val="none"/>
        </w:rPr>
      </w:pPr>
      <w:bookmarkStart w:id="226" w:name="_Toc13597"/>
      <w:r>
        <w:rPr>
          <w:rFonts w:hint="eastAsia" w:ascii="Times New Roman"/>
          <w:snapToGrid w:val="0"/>
          <w:color w:val="auto"/>
          <w:sz w:val="24"/>
          <w:highlight w:val="none"/>
        </w:rPr>
        <w:t>2．监理及相关服务报酬清单</w:t>
      </w:r>
      <w:bookmarkEnd w:id="226"/>
    </w:p>
    <w:p>
      <w:pPr>
        <w:pStyle w:val="40"/>
        <w:widowControl w:val="0"/>
        <w:wordWrap w:val="0"/>
        <w:adjustRightInd w:val="0"/>
        <w:snapToGrid w:val="0"/>
        <w:spacing w:line="440" w:lineRule="exact"/>
        <w:ind w:firstLine="0"/>
        <w:jc w:val="center"/>
        <w:rPr>
          <w:rFonts w:ascii="Times New Roman"/>
          <w:snapToGrid w:val="0"/>
          <w:color w:val="auto"/>
          <w:sz w:val="24"/>
          <w:highlight w:val="none"/>
        </w:rPr>
      </w:pPr>
      <w:r>
        <w:rPr>
          <w:rFonts w:hint="eastAsia" w:ascii="Times New Roman"/>
          <w:snapToGrid w:val="0"/>
          <w:color w:val="auto"/>
          <w:sz w:val="24"/>
          <w:highlight w:val="none"/>
        </w:rPr>
        <w:t xml:space="preserve">                                                          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vAlign w:val="center"/>
          </w:tcPr>
          <w:p>
            <w:pPr>
              <w:pStyle w:val="40"/>
              <w:widowControl w:val="0"/>
              <w:wordWrap w:val="0"/>
              <w:adjustRightInd w:val="0"/>
              <w:snapToGrid w:val="0"/>
              <w:spacing w:line="240" w:lineRule="auto"/>
              <w:ind w:firstLine="0"/>
              <w:jc w:val="center"/>
              <w:rPr>
                <w:rFonts w:ascii="黑体" w:hAnsi="黑体" w:eastAsia="黑体"/>
                <w:snapToGrid w:val="0"/>
                <w:color w:val="auto"/>
                <w:sz w:val="21"/>
                <w:highlight w:val="none"/>
              </w:rPr>
            </w:pPr>
            <w:r>
              <w:rPr>
                <w:rFonts w:hint="eastAsia" w:ascii="黑体" w:hAnsi="黑体" w:eastAsia="黑体"/>
                <w:snapToGrid w:val="0"/>
                <w:color w:val="auto"/>
                <w:sz w:val="21"/>
                <w:highlight w:val="none"/>
              </w:rPr>
              <w:t>序号</w:t>
            </w:r>
          </w:p>
        </w:tc>
        <w:tc>
          <w:tcPr>
            <w:tcW w:w="2783" w:type="dxa"/>
            <w:gridSpan w:val="3"/>
            <w:vAlign w:val="center"/>
          </w:tcPr>
          <w:p>
            <w:pPr>
              <w:pStyle w:val="40"/>
              <w:widowControl w:val="0"/>
              <w:wordWrap w:val="0"/>
              <w:adjustRightInd w:val="0"/>
              <w:snapToGrid w:val="0"/>
              <w:spacing w:line="240" w:lineRule="auto"/>
              <w:ind w:firstLine="0"/>
              <w:jc w:val="center"/>
              <w:rPr>
                <w:rFonts w:ascii="黑体" w:hAnsi="黑体" w:eastAsia="黑体"/>
                <w:snapToGrid w:val="0"/>
                <w:color w:val="auto"/>
                <w:sz w:val="21"/>
                <w:highlight w:val="none"/>
              </w:rPr>
            </w:pPr>
            <w:r>
              <w:rPr>
                <w:rFonts w:hint="eastAsia" w:ascii="黑体" w:hAnsi="黑体" w:eastAsia="黑体"/>
                <w:snapToGrid w:val="0"/>
                <w:color w:val="auto"/>
                <w:sz w:val="21"/>
                <w:highlight w:val="none"/>
              </w:rPr>
              <w:t>分项名称</w:t>
            </w:r>
          </w:p>
        </w:tc>
        <w:tc>
          <w:tcPr>
            <w:tcW w:w="2340" w:type="dxa"/>
            <w:vAlign w:val="center"/>
          </w:tcPr>
          <w:p>
            <w:pPr>
              <w:pStyle w:val="40"/>
              <w:widowControl w:val="0"/>
              <w:wordWrap w:val="0"/>
              <w:adjustRightInd w:val="0"/>
              <w:snapToGrid w:val="0"/>
              <w:spacing w:line="240" w:lineRule="auto"/>
              <w:ind w:firstLine="0"/>
              <w:jc w:val="center"/>
              <w:rPr>
                <w:rFonts w:ascii="黑体" w:hAnsi="黑体" w:eastAsia="黑体"/>
                <w:snapToGrid w:val="0"/>
                <w:color w:val="auto"/>
                <w:sz w:val="21"/>
                <w:highlight w:val="none"/>
              </w:rPr>
            </w:pPr>
            <w:r>
              <w:rPr>
                <w:rFonts w:hint="eastAsia" w:ascii="黑体" w:hAnsi="黑体" w:eastAsia="黑体"/>
                <w:snapToGrid w:val="0"/>
                <w:color w:val="auto"/>
                <w:sz w:val="21"/>
                <w:highlight w:val="none"/>
              </w:rPr>
              <w:t>计算公式</w:t>
            </w:r>
          </w:p>
        </w:tc>
        <w:tc>
          <w:tcPr>
            <w:tcW w:w="1252" w:type="dxa"/>
            <w:vAlign w:val="center"/>
          </w:tcPr>
          <w:p>
            <w:pPr>
              <w:pStyle w:val="40"/>
              <w:widowControl w:val="0"/>
              <w:wordWrap w:val="0"/>
              <w:adjustRightInd w:val="0"/>
              <w:snapToGrid w:val="0"/>
              <w:spacing w:line="240" w:lineRule="auto"/>
              <w:ind w:firstLine="0"/>
              <w:jc w:val="center"/>
              <w:rPr>
                <w:rFonts w:ascii="黑体" w:hAnsi="黑体" w:eastAsia="黑体"/>
                <w:snapToGrid w:val="0"/>
                <w:color w:val="auto"/>
                <w:sz w:val="21"/>
                <w:highlight w:val="none"/>
              </w:rPr>
            </w:pPr>
            <w:r>
              <w:rPr>
                <w:rFonts w:hint="eastAsia" w:ascii="黑体" w:hAnsi="黑体" w:eastAsia="黑体"/>
                <w:snapToGrid w:val="0"/>
                <w:color w:val="auto"/>
                <w:sz w:val="21"/>
                <w:highlight w:val="none"/>
              </w:rPr>
              <w:t>金额</w:t>
            </w:r>
          </w:p>
        </w:tc>
        <w:tc>
          <w:tcPr>
            <w:tcW w:w="2328" w:type="dxa"/>
            <w:vAlign w:val="center"/>
          </w:tcPr>
          <w:p>
            <w:pPr>
              <w:pStyle w:val="40"/>
              <w:widowControl w:val="0"/>
              <w:wordWrap w:val="0"/>
              <w:adjustRightInd w:val="0"/>
              <w:snapToGrid w:val="0"/>
              <w:spacing w:line="240" w:lineRule="auto"/>
              <w:ind w:firstLine="0"/>
              <w:jc w:val="center"/>
              <w:rPr>
                <w:rFonts w:ascii="黑体" w:hAnsi="黑体" w:eastAsia="黑体"/>
                <w:snapToGrid w:val="0"/>
                <w:color w:val="auto"/>
                <w:sz w:val="21"/>
                <w:highlight w:val="none"/>
              </w:rPr>
            </w:pPr>
            <w:r>
              <w:rPr>
                <w:rFonts w:hint="eastAsia" w:ascii="黑体" w:hAnsi="黑体" w:eastAsia="黑体"/>
                <w:snapToGrid w:val="0"/>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1</w:t>
            </w:r>
          </w:p>
        </w:tc>
        <w:tc>
          <w:tcPr>
            <w:tcW w:w="480"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直接成本</w:t>
            </w:r>
          </w:p>
        </w:tc>
        <w:tc>
          <w:tcPr>
            <w:tcW w:w="503"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人员费用</w:t>
            </w: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总监理工程师</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Merge w:val="restart"/>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r>
              <w:rPr>
                <w:rFonts w:hint="eastAsia" w:ascii="Times New Roman"/>
                <w:snapToGrid w:val="0"/>
                <w:color w:val="auto"/>
                <w:sz w:val="21"/>
                <w:highlight w:val="none"/>
              </w:rPr>
              <w:t>含监理、相关服务人员的工资以及一切津贴、补贴、奖金等。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专业监理工程师</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Merge w:val="continue"/>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监理员</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Merge w:val="continue"/>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Merge w:val="continue"/>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专项费用</w:t>
            </w: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现场办公费</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r>
              <w:rPr>
                <w:rFonts w:hint="eastAsia" w:ascii="Times New Roman"/>
                <w:snapToGrid w:val="0"/>
                <w:color w:val="auto"/>
                <w:sz w:val="21"/>
                <w:highlight w:val="none"/>
              </w:rPr>
              <w:t>含现场办公所需各种办公用品摊销折旧费用。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交通差旅住宿费</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其他费用</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r>
              <w:rPr>
                <w:rFonts w:hint="eastAsia" w:ascii="Times New Roman"/>
                <w:snapToGrid w:val="0"/>
                <w:color w:val="auto"/>
                <w:sz w:val="21"/>
                <w:highlight w:val="none"/>
              </w:rPr>
              <w:t>含加班费等各种可预见和不可预见费用。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503" w:type="dxa"/>
            <w:vMerge w:val="continue"/>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80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2</w:t>
            </w:r>
          </w:p>
        </w:tc>
        <w:tc>
          <w:tcPr>
            <w:tcW w:w="2783" w:type="dxa"/>
            <w:gridSpan w:val="3"/>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企业管理费</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357"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3</w:t>
            </w:r>
          </w:p>
        </w:tc>
        <w:tc>
          <w:tcPr>
            <w:tcW w:w="2783" w:type="dxa"/>
            <w:gridSpan w:val="3"/>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利润</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4</w:t>
            </w:r>
          </w:p>
        </w:tc>
        <w:tc>
          <w:tcPr>
            <w:tcW w:w="480" w:type="dxa"/>
            <w:vMerge w:val="restart"/>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税金</w:t>
            </w:r>
          </w:p>
        </w:tc>
        <w:tc>
          <w:tcPr>
            <w:tcW w:w="2303" w:type="dxa"/>
            <w:gridSpan w:val="2"/>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增值税</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2303" w:type="dxa"/>
            <w:gridSpan w:val="2"/>
            <w:vAlign w:val="center"/>
          </w:tcPr>
          <w:p>
            <w:pPr>
              <w:pStyle w:val="40"/>
              <w:widowControl w:val="0"/>
              <w:wordWrap w:val="0"/>
              <w:adjustRightInd w:val="0"/>
              <w:snapToGrid w:val="0"/>
              <w:spacing w:line="240" w:lineRule="auto"/>
              <w:ind w:firstLine="0"/>
              <w:jc w:val="center"/>
              <w:rPr>
                <w:color w:val="auto"/>
                <w:sz w:val="21"/>
                <w:highlight w:val="none"/>
              </w:rPr>
            </w:pPr>
            <w:r>
              <w:rPr>
                <w:rFonts w:hint="eastAsia"/>
                <w:color w:val="auto"/>
                <w:sz w:val="21"/>
                <w:highlight w:val="none"/>
              </w:rPr>
              <w:t>所得税</w:t>
            </w:r>
          </w:p>
        </w:tc>
        <w:tc>
          <w:tcPr>
            <w:tcW w:w="2340"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2303" w:type="dxa"/>
            <w:gridSpan w:val="2"/>
            <w:vAlign w:val="center"/>
          </w:tcPr>
          <w:p>
            <w:pPr>
              <w:pStyle w:val="40"/>
              <w:widowControl w:val="0"/>
              <w:wordWrap w:val="0"/>
              <w:adjustRightInd w:val="0"/>
              <w:snapToGrid w:val="0"/>
              <w:spacing w:line="240" w:lineRule="auto"/>
              <w:ind w:firstLine="0"/>
              <w:jc w:val="center"/>
              <w:rPr>
                <w:color w:val="auto"/>
                <w:sz w:val="21"/>
                <w:highlight w:val="none"/>
              </w:rPr>
            </w:pPr>
            <w:r>
              <w:rPr>
                <w:rFonts w:hint="eastAsia"/>
                <w:color w:val="auto"/>
                <w:sz w:val="21"/>
                <w:highlight w:val="none"/>
              </w:rPr>
              <w:t>其他附加税</w:t>
            </w:r>
          </w:p>
        </w:tc>
        <w:tc>
          <w:tcPr>
            <w:tcW w:w="2340"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480" w:type="dxa"/>
            <w:vMerge w:val="continue"/>
            <w:vAlign w:val="center"/>
          </w:tcPr>
          <w:p>
            <w:pPr>
              <w:pStyle w:val="40"/>
              <w:widowControl w:val="0"/>
              <w:wordWrap w:val="0"/>
              <w:adjustRightInd w:val="0"/>
              <w:snapToGrid w:val="0"/>
              <w:spacing w:line="240" w:lineRule="auto"/>
              <w:ind w:firstLine="0"/>
              <w:jc w:val="center"/>
              <w:rPr>
                <w:color w:val="auto"/>
                <w:sz w:val="21"/>
                <w:highlight w:val="none"/>
              </w:rPr>
            </w:pPr>
          </w:p>
        </w:tc>
        <w:tc>
          <w:tcPr>
            <w:tcW w:w="2303" w:type="dxa"/>
            <w:gridSpan w:val="2"/>
            <w:vAlign w:val="center"/>
          </w:tcPr>
          <w:p>
            <w:pPr>
              <w:pStyle w:val="40"/>
              <w:widowControl w:val="0"/>
              <w:wordWrap w:val="0"/>
              <w:adjustRightInd w:val="0"/>
              <w:snapToGrid w:val="0"/>
              <w:spacing w:line="240" w:lineRule="auto"/>
              <w:ind w:firstLine="0"/>
              <w:jc w:val="center"/>
              <w:rPr>
                <w:color w:val="auto"/>
                <w:sz w:val="21"/>
                <w:highlight w:val="none"/>
              </w:rPr>
            </w:pPr>
            <w:r>
              <w:rPr>
                <w:rFonts w:hint="eastAsia" w:ascii="Times New Roman"/>
                <w:snapToGrid w:val="0"/>
                <w:color w:val="auto"/>
                <w:sz w:val="21"/>
                <w:highlight w:val="none"/>
              </w:rPr>
              <w:t>……</w:t>
            </w:r>
          </w:p>
        </w:tc>
        <w:tc>
          <w:tcPr>
            <w:tcW w:w="2340"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w:t>
            </w:r>
          </w:p>
        </w:tc>
        <w:tc>
          <w:tcPr>
            <w:tcW w:w="2783" w:type="dxa"/>
            <w:gridSpan w:val="3"/>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w:t>
            </w:r>
          </w:p>
        </w:tc>
        <w:tc>
          <w:tcPr>
            <w:tcW w:w="2340"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5480" w:type="dxa"/>
            <w:gridSpan w:val="5"/>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r>
              <w:rPr>
                <w:rFonts w:hint="eastAsia" w:ascii="Times New Roman"/>
                <w:snapToGrid w:val="0"/>
                <w:color w:val="auto"/>
                <w:sz w:val="21"/>
                <w:highlight w:val="none"/>
              </w:rPr>
              <w:t>合计报价</w:t>
            </w:r>
          </w:p>
        </w:tc>
        <w:tc>
          <w:tcPr>
            <w:tcW w:w="1252" w:type="dxa"/>
            <w:vAlign w:val="center"/>
          </w:tcPr>
          <w:p>
            <w:pPr>
              <w:pStyle w:val="40"/>
              <w:widowControl w:val="0"/>
              <w:wordWrap w:val="0"/>
              <w:adjustRightInd w:val="0"/>
              <w:snapToGrid w:val="0"/>
              <w:spacing w:line="240" w:lineRule="auto"/>
              <w:ind w:firstLine="0"/>
              <w:jc w:val="center"/>
              <w:rPr>
                <w:rFonts w:ascii="Times New Roman"/>
                <w:snapToGrid w:val="0"/>
                <w:color w:val="auto"/>
                <w:sz w:val="21"/>
                <w:highlight w:val="none"/>
              </w:rPr>
            </w:pPr>
          </w:p>
        </w:tc>
        <w:tc>
          <w:tcPr>
            <w:tcW w:w="2328" w:type="dxa"/>
            <w:vAlign w:val="center"/>
          </w:tcPr>
          <w:p>
            <w:pPr>
              <w:pStyle w:val="40"/>
              <w:widowControl w:val="0"/>
              <w:wordWrap w:val="0"/>
              <w:adjustRightInd w:val="0"/>
              <w:snapToGrid w:val="0"/>
              <w:spacing w:line="240" w:lineRule="auto"/>
              <w:ind w:firstLine="0"/>
              <w:jc w:val="both"/>
              <w:rPr>
                <w:rFonts w:ascii="Times New Roman"/>
                <w:snapToGrid w:val="0"/>
                <w:color w:val="auto"/>
                <w:sz w:val="21"/>
                <w:highlight w:val="none"/>
              </w:rPr>
            </w:pPr>
          </w:p>
        </w:tc>
      </w:tr>
    </w:tbl>
    <w:p>
      <w:pPr>
        <w:pStyle w:val="7"/>
        <w:spacing w:line="360" w:lineRule="auto"/>
        <w:rPr>
          <w:rFonts w:hAnsi="宋体" w:cs="宋体"/>
          <w:snapToGrid w:val="0"/>
          <w:color w:val="auto"/>
          <w:highlight w:val="none"/>
        </w:rPr>
      </w:pPr>
      <w:r>
        <w:rPr>
          <w:rFonts w:hint="eastAsia" w:ascii="Times New Roman"/>
          <w:snapToGrid w:val="0"/>
          <w:color w:val="auto"/>
          <w:sz w:val="21"/>
          <w:highlight w:val="none"/>
        </w:rPr>
        <w:t>说明：表中“分项名称”栏目中的内容仅供参考，投标人可结合企业实际情况以及招标文件要求自行填写。</w:t>
      </w:r>
    </w:p>
    <w:p>
      <w:pPr>
        <w:rPr>
          <w:rFonts w:hAnsi="宋体" w:cs="宋体"/>
          <w:snapToGrid w:val="0"/>
          <w:color w:val="auto"/>
          <w:highlight w:val="none"/>
        </w:rPr>
      </w:pPr>
    </w:p>
    <w:p>
      <w:pPr>
        <w:pStyle w:val="39"/>
        <w:keepNext w:val="0"/>
        <w:keepLines w:val="0"/>
        <w:widowControl w:val="0"/>
        <w:wordWrap w:val="0"/>
        <w:adjustRightInd w:val="0"/>
        <w:snapToGrid w:val="0"/>
        <w:ind w:left="3640" w:leftChars="15" w:hanging="3604" w:hangingChars="1496"/>
        <w:jc w:val="both"/>
        <w:rPr>
          <w:rFonts w:hAnsi="宋体" w:cs="宋体"/>
          <w:b/>
          <w:snapToGrid w:val="0"/>
          <w:color w:val="auto"/>
          <w:highlight w:val="none"/>
        </w:rPr>
      </w:pPr>
      <w:bookmarkStart w:id="227" w:name="_Toc29835"/>
      <w:bookmarkStart w:id="228" w:name="_Toc4481"/>
      <w:r>
        <w:rPr>
          <w:rFonts w:hint="eastAsia" w:hAnsi="宋体" w:cs="宋体"/>
          <w:b/>
          <w:snapToGrid w:val="0"/>
          <w:color w:val="auto"/>
          <w:highlight w:val="none"/>
        </w:rPr>
        <w:t>格式三   各项承诺一览表</w:t>
      </w:r>
      <w:bookmarkEnd w:id="227"/>
      <w:bookmarkEnd w:id="228"/>
    </w:p>
    <w:p>
      <w:pPr>
        <w:jc w:val="center"/>
        <w:rPr>
          <w:rFonts w:hAnsi="宋体" w:cs="宋体"/>
          <w:b/>
          <w:bCs/>
          <w:color w:val="auto"/>
          <w:sz w:val="28"/>
          <w:szCs w:val="21"/>
          <w:highlight w:val="none"/>
        </w:rPr>
      </w:pPr>
      <w:r>
        <w:rPr>
          <w:rFonts w:hint="eastAsia" w:hAnsi="宋体" w:cs="宋体"/>
          <w:b/>
          <w:bCs/>
          <w:color w:val="auto"/>
          <w:sz w:val="28"/>
          <w:szCs w:val="21"/>
          <w:highlight w:val="none"/>
        </w:rPr>
        <w:t>各项承诺一览表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vAlign w:val="center"/>
          </w:tcPr>
          <w:p>
            <w:pPr>
              <w:pStyle w:val="41"/>
              <w:wordWrap w:val="0"/>
              <w:adjustRightInd w:val="0"/>
              <w:snapToGrid w:val="0"/>
              <w:jc w:val="center"/>
              <w:rPr>
                <w:rFonts w:hAnsi="宋体" w:cs="宋体"/>
                <w:bCs/>
                <w:snapToGrid w:val="0"/>
                <w:color w:val="auto"/>
                <w:kern w:val="0"/>
                <w:sz w:val="21"/>
                <w:szCs w:val="21"/>
                <w:highlight w:val="none"/>
              </w:rPr>
            </w:pPr>
            <w:r>
              <w:rPr>
                <w:rFonts w:hint="eastAsia" w:hAnsi="宋体" w:cs="宋体"/>
                <w:bCs/>
                <w:snapToGrid w:val="0"/>
                <w:color w:val="auto"/>
                <w:kern w:val="0"/>
                <w:sz w:val="21"/>
                <w:szCs w:val="21"/>
                <w:highlight w:val="none"/>
              </w:rPr>
              <w:t>序号</w:t>
            </w:r>
          </w:p>
        </w:tc>
        <w:tc>
          <w:tcPr>
            <w:tcW w:w="1573" w:type="dxa"/>
            <w:vAlign w:val="center"/>
          </w:tcPr>
          <w:p>
            <w:pPr>
              <w:pStyle w:val="41"/>
              <w:wordWrap w:val="0"/>
              <w:adjustRightInd w:val="0"/>
              <w:snapToGrid w:val="0"/>
              <w:jc w:val="center"/>
              <w:rPr>
                <w:rFonts w:hAnsi="宋体" w:cs="宋体"/>
                <w:bCs/>
                <w:snapToGrid w:val="0"/>
                <w:color w:val="auto"/>
                <w:kern w:val="0"/>
                <w:sz w:val="21"/>
                <w:szCs w:val="21"/>
                <w:highlight w:val="none"/>
              </w:rPr>
            </w:pPr>
            <w:r>
              <w:rPr>
                <w:rFonts w:hint="eastAsia" w:hAnsi="宋体" w:cs="宋体"/>
                <w:bCs/>
                <w:snapToGrid w:val="0"/>
                <w:color w:val="auto"/>
                <w:kern w:val="0"/>
                <w:sz w:val="21"/>
                <w:szCs w:val="21"/>
                <w:highlight w:val="none"/>
              </w:rPr>
              <w:t>承诺事项</w:t>
            </w:r>
          </w:p>
        </w:tc>
        <w:tc>
          <w:tcPr>
            <w:tcW w:w="2923" w:type="dxa"/>
            <w:vAlign w:val="center"/>
          </w:tcPr>
          <w:p>
            <w:pPr>
              <w:pStyle w:val="41"/>
              <w:wordWrap w:val="0"/>
              <w:adjustRightInd w:val="0"/>
              <w:snapToGrid w:val="0"/>
              <w:jc w:val="center"/>
              <w:rPr>
                <w:rFonts w:hAnsi="宋体" w:cs="宋体"/>
                <w:bCs/>
                <w:snapToGrid w:val="0"/>
                <w:color w:val="auto"/>
                <w:kern w:val="0"/>
                <w:sz w:val="21"/>
                <w:szCs w:val="21"/>
                <w:highlight w:val="none"/>
              </w:rPr>
            </w:pPr>
            <w:r>
              <w:rPr>
                <w:rFonts w:hint="eastAsia" w:hAnsi="宋体" w:cs="宋体"/>
                <w:bCs/>
                <w:snapToGrid w:val="0"/>
                <w:color w:val="auto"/>
                <w:kern w:val="0"/>
                <w:sz w:val="21"/>
                <w:szCs w:val="21"/>
                <w:highlight w:val="none"/>
              </w:rPr>
              <w:t>承诺内容</w:t>
            </w:r>
          </w:p>
        </w:tc>
        <w:tc>
          <w:tcPr>
            <w:tcW w:w="4376" w:type="dxa"/>
            <w:vAlign w:val="center"/>
          </w:tcPr>
          <w:p>
            <w:pPr>
              <w:pStyle w:val="41"/>
              <w:wordWrap w:val="0"/>
              <w:adjustRightInd w:val="0"/>
              <w:snapToGrid w:val="0"/>
              <w:jc w:val="center"/>
              <w:rPr>
                <w:rFonts w:hAnsi="宋体" w:cs="宋体"/>
                <w:bCs/>
                <w:snapToGrid w:val="0"/>
                <w:color w:val="auto"/>
                <w:kern w:val="0"/>
                <w:sz w:val="21"/>
                <w:szCs w:val="21"/>
                <w:highlight w:val="none"/>
              </w:rPr>
            </w:pPr>
            <w:r>
              <w:rPr>
                <w:rFonts w:hint="eastAsia" w:hAnsi="宋体" w:cs="宋体"/>
                <w:bCs/>
                <w:snapToGrid w:val="0"/>
                <w:color w:val="auto"/>
                <w:kern w:val="0"/>
                <w:sz w:val="21"/>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1</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自愿接受招标</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文件条款的承诺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我方自愿接受招标文件的所有条款，所递交的投标文件已经充分响应招标文件的实质性要求。</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2</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无禁止投标</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情形的承诺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我方不存在招标文件第一章第三节第</w:t>
            </w:r>
            <w:r>
              <w:rPr>
                <w:rFonts w:hint="eastAsia" w:hAnsi="宋体" w:cs="宋体"/>
                <w:b/>
                <w:bCs/>
                <w:snapToGrid w:val="0"/>
                <w:color w:val="auto"/>
                <w:kern w:val="0"/>
                <w:sz w:val="21"/>
                <w:szCs w:val="21"/>
                <w:highlight w:val="none"/>
              </w:rPr>
              <w:t>2.4</w:t>
            </w:r>
            <w:r>
              <w:rPr>
                <w:rFonts w:hint="eastAsia" w:hAnsi="宋体" w:cs="宋体"/>
                <w:snapToGrid w:val="0"/>
                <w:color w:val="auto"/>
                <w:kern w:val="0"/>
                <w:sz w:val="21"/>
                <w:szCs w:val="21"/>
                <w:highlight w:val="none"/>
              </w:rPr>
              <w:t>条“禁止投标条款”规定的任何一种情形。</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如果我方有招标文件第一章第三节第</w:t>
            </w:r>
            <w:r>
              <w:rPr>
                <w:rFonts w:hint="eastAsia" w:hAnsi="宋体" w:cs="宋体"/>
                <w:b/>
                <w:bCs/>
                <w:snapToGrid w:val="0"/>
                <w:color w:val="auto"/>
                <w:kern w:val="0"/>
                <w:sz w:val="21"/>
                <w:szCs w:val="21"/>
                <w:highlight w:val="none"/>
              </w:rPr>
              <w:t>2.4</w:t>
            </w:r>
            <w:r>
              <w:rPr>
                <w:rFonts w:hint="eastAsia" w:hAnsi="宋体" w:cs="宋体"/>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3</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自觉抵制围标</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串标和弄虚</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作假行为的承诺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我方合法正当、诚实守信地参与投标，不组织、不参加围标串标违法行为，不通过弄虚作假行为骗取中标。</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4</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总监理工程师</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任职承诺</w:t>
            </w:r>
          </w:p>
        </w:tc>
        <w:tc>
          <w:tcPr>
            <w:tcW w:w="2923" w:type="dxa"/>
            <w:vAlign w:val="center"/>
          </w:tcPr>
          <w:p>
            <w:pPr>
              <w:pStyle w:val="42"/>
              <w:wordWrap w:val="0"/>
              <w:adjustRightInd w:val="0"/>
              <w:snapToGrid w:val="0"/>
              <w:ind w:firstLine="0" w:firstLineChars="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我方拟派总监理工程师现阶段担任总监理工程师的在施（包括已中标未开工、已开工未竣工）建设工程项目不超过2个。</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拟派总监理工程师在本项目招标投标活动期间担任总监理工程师的在施（包括已中标未开工、已开工未竣工）建设工程项目超过2个，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5</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投标文件</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真实性承诺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我方所递交投标文件的全部内容均为真实、有效、准确的。</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6</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投标文件</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信息公开承诺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我方提供完整的、与纸质投标文件一致的电子文件。如果我方成为本招标项目中标候选人，我方同意并授权招标人在评标结果公示期内公开我方商务标书的全部内容。</w:t>
            </w:r>
          </w:p>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376" w:type="dxa"/>
            <w:vAlign w:val="center"/>
          </w:tcPr>
          <w:p>
            <w:pPr>
              <w:pStyle w:val="42"/>
              <w:wordWrap w:val="0"/>
              <w:adjustRightInd w:val="0"/>
              <w:snapToGrid w:val="0"/>
              <w:ind w:firstLine="0" w:firstLineChars="0"/>
              <w:jc w:val="left"/>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7</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按时提交履约</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保证的承诺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如果我方中标，我方保证在招标文件规定的时限内全额提交履约保证。</w:t>
            </w:r>
          </w:p>
        </w:tc>
        <w:tc>
          <w:tcPr>
            <w:tcW w:w="4376" w:type="dxa"/>
            <w:vAlign w:val="center"/>
          </w:tcPr>
          <w:p>
            <w:pPr>
              <w:pStyle w:val="42"/>
              <w:wordWrap w:val="0"/>
              <w:adjustRightInd w:val="0"/>
              <w:snapToGrid w:val="0"/>
              <w:ind w:firstLine="0" w:firstLineChars="0"/>
              <w:jc w:val="left"/>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vAlign w:val="center"/>
          </w:tcPr>
          <w:p>
            <w:pPr>
              <w:pStyle w:val="41"/>
              <w:wordWrap w:val="0"/>
              <w:adjustRightInd w:val="0"/>
              <w:snapToGrid w:val="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8</w:t>
            </w:r>
          </w:p>
        </w:tc>
        <w:tc>
          <w:tcPr>
            <w:tcW w:w="1573" w:type="dxa"/>
            <w:vAlign w:val="center"/>
          </w:tcPr>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按时签订合同</w:t>
            </w:r>
          </w:p>
          <w:p>
            <w:pPr>
              <w:pStyle w:val="42"/>
              <w:wordWrap w:val="0"/>
              <w:adjustRightInd w:val="0"/>
              <w:snapToGrid w:val="0"/>
              <w:ind w:firstLine="0" w:firstLineChars="0"/>
              <w:jc w:val="center"/>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的承诺</w:t>
            </w:r>
          </w:p>
        </w:tc>
        <w:tc>
          <w:tcPr>
            <w:tcW w:w="2923"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如果我方中标，我方保证在招标文件规定的时限内与招标人签订合同，不提出违背或超出招标文件、中标文件的要求。</w:t>
            </w:r>
          </w:p>
        </w:tc>
        <w:tc>
          <w:tcPr>
            <w:tcW w:w="4376" w:type="dxa"/>
            <w:vAlign w:val="center"/>
          </w:tcPr>
          <w:p>
            <w:pPr>
              <w:pStyle w:val="42"/>
              <w:wordWrap w:val="0"/>
              <w:adjustRightInd w:val="0"/>
              <w:snapToGrid w:val="0"/>
              <w:ind w:firstLine="420"/>
              <w:rPr>
                <w:rFonts w:hAnsi="宋体" w:cs="宋体"/>
                <w:snapToGrid w:val="0"/>
                <w:color w:val="auto"/>
                <w:kern w:val="0"/>
                <w:sz w:val="21"/>
                <w:szCs w:val="21"/>
                <w:highlight w:val="none"/>
              </w:rPr>
            </w:pPr>
            <w:r>
              <w:rPr>
                <w:rFonts w:hint="eastAsia" w:hAnsi="宋体" w:cs="宋体"/>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rPr>
          <w:rFonts w:hAnsi="宋体" w:cs="宋体"/>
          <w:color w:val="auto"/>
          <w:highlight w:val="none"/>
        </w:rPr>
      </w:pPr>
    </w:p>
    <w:p>
      <w:pPr>
        <w:pStyle w:val="13"/>
        <w:wordWrap w:val="0"/>
        <w:adjustRightInd w:val="0"/>
        <w:snapToGrid w:val="0"/>
        <w:spacing w:line="360" w:lineRule="auto"/>
        <w:ind w:firstLine="480" w:firstLineChars="200"/>
        <w:jc w:val="right"/>
        <w:rPr>
          <w:rFonts w:hAnsi="宋体" w:cs="宋体"/>
          <w:snapToGrid w:val="0"/>
          <w:color w:val="auto"/>
          <w:kern w:val="0"/>
          <w:szCs w:val="24"/>
          <w:highlight w:val="none"/>
        </w:rPr>
      </w:pPr>
      <w:r>
        <w:rPr>
          <w:rFonts w:hint="eastAsia" w:hAnsi="宋体" w:cs="宋体"/>
          <w:snapToGrid w:val="0"/>
          <w:color w:val="auto"/>
          <w:kern w:val="0"/>
          <w:szCs w:val="24"/>
          <w:highlight w:val="none"/>
        </w:rPr>
        <w:t>投标人：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（盖单位章）</w:t>
      </w:r>
    </w:p>
    <w:p>
      <w:pPr>
        <w:rPr>
          <w:rFonts w:hAnsi="宋体" w:cs="宋体"/>
          <w:color w:val="auto"/>
          <w:highlight w:val="none"/>
        </w:rPr>
      </w:pPr>
    </w:p>
    <w:p>
      <w:pPr>
        <w:pStyle w:val="13"/>
        <w:wordWrap w:val="0"/>
        <w:adjustRightInd w:val="0"/>
        <w:snapToGrid w:val="0"/>
        <w:spacing w:line="360" w:lineRule="auto"/>
        <w:ind w:firstLine="480" w:firstLineChars="200"/>
        <w:jc w:val="right"/>
        <w:rPr>
          <w:rFonts w:hAnsi="宋体" w:cs="宋体"/>
          <w:snapToGrid w:val="0"/>
          <w:color w:val="auto"/>
          <w:kern w:val="0"/>
          <w:szCs w:val="24"/>
          <w:highlight w:val="none"/>
        </w:rPr>
      </w:pPr>
      <w:r>
        <w:rPr>
          <w:rFonts w:hint="eastAsia" w:hAnsi="宋体" w:cs="宋体"/>
          <w:snapToGrid w:val="0"/>
          <w:color w:val="auto"/>
          <w:kern w:val="0"/>
          <w:szCs w:val="24"/>
          <w:highlight w:val="none"/>
        </w:rPr>
        <w:t>法定代表人或其委托代理人：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（签字或盖章）</w:t>
      </w:r>
    </w:p>
    <w:p>
      <w:pPr>
        <w:rPr>
          <w:rFonts w:hAnsi="宋体" w:cs="宋体"/>
          <w:color w:val="auto"/>
          <w:highlight w:val="none"/>
        </w:rPr>
      </w:pPr>
    </w:p>
    <w:p>
      <w:pPr>
        <w:pStyle w:val="13"/>
        <w:wordWrap w:val="0"/>
        <w:adjustRightInd w:val="0"/>
        <w:snapToGrid w:val="0"/>
        <w:spacing w:line="360" w:lineRule="auto"/>
        <w:ind w:firstLine="480" w:firstLineChars="200"/>
        <w:jc w:val="center"/>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                      </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日</w:t>
      </w:r>
    </w:p>
    <w:p>
      <w:pPr>
        <w:pStyle w:val="7"/>
        <w:spacing w:line="360" w:lineRule="auto"/>
        <w:rPr>
          <w:rFonts w:hAnsi="宋体" w:cs="宋体"/>
          <w:color w:val="auto"/>
          <w:highlight w:val="none"/>
        </w:rPr>
      </w:pPr>
    </w:p>
    <w:p>
      <w:pPr>
        <w:pStyle w:val="39"/>
        <w:keepNext w:val="0"/>
        <w:keepLines w:val="0"/>
        <w:widowControl w:val="0"/>
        <w:wordWrap w:val="0"/>
        <w:adjustRightInd w:val="0"/>
        <w:snapToGrid w:val="0"/>
        <w:ind w:left="3640" w:leftChars="15" w:hanging="3604" w:hangingChars="1496"/>
        <w:jc w:val="both"/>
        <w:outlineLvl w:val="9"/>
        <w:rPr>
          <w:rFonts w:hAnsi="宋体" w:cs="宋体"/>
          <w:b/>
          <w:bCs/>
          <w:snapToGrid w:val="0"/>
          <w:color w:val="auto"/>
          <w:szCs w:val="24"/>
          <w:highlight w:val="none"/>
        </w:rPr>
      </w:pPr>
      <w:r>
        <w:rPr>
          <w:rFonts w:hint="eastAsia" w:hAnsi="宋体" w:cs="宋体"/>
          <w:b/>
          <w:bCs/>
          <w:snapToGrid w:val="0"/>
          <w:color w:val="auto"/>
          <w:szCs w:val="24"/>
          <w:highlight w:val="none"/>
        </w:rPr>
        <w:br w:type="page"/>
      </w:r>
    </w:p>
    <w:p>
      <w:pPr>
        <w:pStyle w:val="39"/>
        <w:keepNext w:val="0"/>
        <w:keepLines w:val="0"/>
        <w:widowControl w:val="0"/>
        <w:wordWrap w:val="0"/>
        <w:adjustRightInd w:val="0"/>
        <w:snapToGrid w:val="0"/>
        <w:ind w:left="3640" w:leftChars="15" w:hanging="3604" w:hangingChars="1496"/>
        <w:jc w:val="both"/>
        <w:outlineLvl w:val="1"/>
        <w:rPr>
          <w:rFonts w:hAnsi="宋体" w:cs="宋体"/>
          <w:color w:val="auto"/>
          <w:highlight w:val="none"/>
        </w:rPr>
      </w:pPr>
      <w:bookmarkStart w:id="229" w:name="_Toc21936"/>
      <w:bookmarkStart w:id="230" w:name="_Toc26940"/>
      <w:r>
        <w:rPr>
          <w:rFonts w:hint="eastAsia" w:hAnsi="宋体" w:cs="宋体"/>
          <w:b/>
          <w:bCs/>
          <w:snapToGrid w:val="0"/>
          <w:color w:val="auto"/>
          <w:szCs w:val="24"/>
          <w:highlight w:val="none"/>
        </w:rPr>
        <w:t>格式四   授权委托书</w:t>
      </w:r>
      <w:bookmarkEnd w:id="229"/>
      <w:bookmarkEnd w:id="230"/>
    </w:p>
    <w:p>
      <w:pPr>
        <w:wordWrap w:val="0"/>
        <w:adjustRightInd w:val="0"/>
        <w:snapToGrid w:val="0"/>
        <w:spacing w:before="260" w:after="260"/>
        <w:jc w:val="center"/>
        <w:rPr>
          <w:rFonts w:hAnsi="宋体" w:cs="宋体"/>
          <w:snapToGrid w:val="0"/>
          <w:color w:val="auto"/>
          <w:kern w:val="0"/>
          <w:szCs w:val="28"/>
          <w:highlight w:val="none"/>
        </w:rPr>
      </w:pPr>
      <w:r>
        <w:rPr>
          <w:rFonts w:hint="eastAsia" w:hAnsi="宋体" w:cs="宋体"/>
          <w:b/>
          <w:snapToGrid w:val="0"/>
          <w:color w:val="auto"/>
          <w:kern w:val="0"/>
          <w:sz w:val="30"/>
          <w:highlight w:val="none"/>
        </w:rPr>
        <w:t>授权委托书</w:t>
      </w:r>
    </w:p>
    <w:p>
      <w:pPr>
        <w:wordWrap w:val="0"/>
        <w:adjustRightInd w:val="0"/>
        <w:snapToGrid w:val="0"/>
        <w:rPr>
          <w:rFonts w:hAnsi="宋体" w:cs="宋体"/>
          <w:snapToGrid w:val="0"/>
          <w:color w:val="auto"/>
          <w:kern w:val="0"/>
          <w:szCs w:val="21"/>
          <w:highlight w:val="none"/>
        </w:rPr>
      </w:pPr>
      <w:r>
        <w:rPr>
          <w:rFonts w:hint="eastAsia" w:hAnsi="宋体" w:cs="宋体"/>
          <w:snapToGrid w:val="0"/>
          <w:color w:val="auto"/>
          <w:kern w:val="0"/>
          <w:szCs w:val="21"/>
          <w:highlight w:val="none"/>
        </w:rPr>
        <w:t xml:space="preserve">    本人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（投标人名称）的法定代表人，现委托</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（姓名）为我方代理人。代理人根据授权，以我方名义签署、澄清、说明、补正、递交、撤回、修改</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（项目名称）投标文件、签订合同和处理有关事宜，其法律后果由我方承担。</w:t>
      </w:r>
    </w:p>
    <w:p>
      <w:pPr>
        <w:wordWrap w:val="0"/>
        <w:adjustRightInd w:val="0"/>
        <w:snapToGrid w:val="0"/>
        <w:ind w:firstLine="480" w:firstLineChars="200"/>
        <w:rPr>
          <w:rFonts w:hAnsi="宋体" w:cs="宋体"/>
          <w:snapToGrid w:val="0"/>
          <w:color w:val="auto"/>
          <w:kern w:val="0"/>
          <w:szCs w:val="21"/>
          <w:highlight w:val="none"/>
        </w:rPr>
      </w:pPr>
      <w:r>
        <w:rPr>
          <w:rFonts w:hint="eastAsia" w:hAnsi="宋体" w:cs="宋体"/>
          <w:snapToGrid w:val="0"/>
          <w:color w:val="auto"/>
          <w:kern w:val="0"/>
          <w:szCs w:val="21"/>
          <w:highlight w:val="none"/>
        </w:rPr>
        <w:t>委托期限：至</w:t>
      </w:r>
      <w:r>
        <w:rPr>
          <w:rFonts w:hint="eastAsia" w:hAnsi="宋体" w:cs="宋体"/>
          <w:snapToGrid w:val="0"/>
          <w:color w:val="auto"/>
          <w:kern w:val="0"/>
          <w:szCs w:val="21"/>
          <w:highlight w:val="none"/>
          <w:u w:val="single"/>
        </w:rPr>
        <w:t xml:space="preserve">     年   月   日</w:t>
      </w:r>
      <w:r>
        <w:rPr>
          <w:rFonts w:hint="eastAsia" w:hAnsi="宋体" w:cs="宋体"/>
          <w:i/>
          <w:iCs/>
          <w:snapToGrid w:val="0"/>
          <w:color w:val="auto"/>
          <w:kern w:val="0"/>
          <w:szCs w:val="21"/>
          <w:highlight w:val="none"/>
          <w:u w:val="single"/>
        </w:rPr>
        <w:t>（不得短于招标文件规定的投标有效期）</w:t>
      </w:r>
      <w:r>
        <w:rPr>
          <w:rFonts w:hint="eastAsia" w:hAnsi="宋体" w:cs="宋体"/>
          <w:snapToGrid w:val="0"/>
          <w:color w:val="auto"/>
          <w:kern w:val="0"/>
          <w:szCs w:val="21"/>
          <w:highlight w:val="none"/>
        </w:rPr>
        <w:t xml:space="preserve"> 。</w:t>
      </w:r>
    </w:p>
    <w:p>
      <w:pPr>
        <w:wordWrap w:val="0"/>
        <w:adjustRightInd w:val="0"/>
        <w:snapToGrid w:val="0"/>
        <w:rPr>
          <w:rFonts w:hAnsi="宋体" w:cs="宋体"/>
          <w:snapToGrid w:val="0"/>
          <w:color w:val="auto"/>
          <w:kern w:val="0"/>
          <w:szCs w:val="21"/>
          <w:highlight w:val="none"/>
        </w:rPr>
      </w:pPr>
      <w:r>
        <w:rPr>
          <w:rFonts w:hint="eastAsia" w:hAnsi="宋体" w:cs="宋体"/>
          <w:snapToGrid w:val="0"/>
          <w:color w:val="auto"/>
          <w:kern w:val="0"/>
          <w:szCs w:val="21"/>
          <w:highlight w:val="none"/>
        </w:rPr>
        <w:t xml:space="preserve">    代理人无转委托权。</w:t>
      </w:r>
    </w:p>
    <w:p>
      <w:pPr>
        <w:rPr>
          <w:rFonts w:hAnsi="宋体" w:cs="宋体"/>
          <w:color w:val="auto"/>
          <w:highlight w:val="none"/>
        </w:rPr>
      </w:pPr>
    </w:p>
    <w:p>
      <w:pPr>
        <w:wordWrap w:val="0"/>
        <w:adjustRightInd w:val="0"/>
        <w:snapToGrid w:val="0"/>
        <w:ind w:firstLine="480" w:firstLineChars="200"/>
        <w:rPr>
          <w:rFonts w:hAnsi="宋体" w:cs="宋体"/>
          <w:color w:val="auto"/>
          <w:highlight w:val="none"/>
        </w:rPr>
      </w:pPr>
      <w:r>
        <w:rPr>
          <w:rFonts w:hint="eastAsia" w:hAnsi="宋体" w:cs="宋体"/>
          <w:snapToGrid w:val="0"/>
          <w:color w:val="auto"/>
          <w:kern w:val="0"/>
          <w:szCs w:val="21"/>
          <w:highlight w:val="none"/>
        </w:rPr>
        <w:t>　　　　　　　　　　　投  标  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pPr>
        <w:rPr>
          <w:rFonts w:hAnsi="宋体" w:cs="宋体"/>
          <w:color w:val="auto"/>
          <w:highlight w:val="none"/>
        </w:rPr>
      </w:pPr>
    </w:p>
    <w:p>
      <w:pPr>
        <w:wordWrap w:val="0"/>
        <w:adjustRightInd w:val="0"/>
        <w:snapToGrid w:val="0"/>
        <w:ind w:firstLine="480" w:firstLineChars="200"/>
        <w:rPr>
          <w:rFonts w:hAnsi="宋体" w:cs="宋体"/>
          <w:color w:val="auto"/>
          <w:highlight w:val="none"/>
        </w:rPr>
      </w:pPr>
      <w:r>
        <w:rPr>
          <w:rFonts w:hint="eastAsia" w:hAnsi="宋体" w:cs="宋体"/>
          <w:snapToGrid w:val="0"/>
          <w:color w:val="auto"/>
          <w:kern w:val="0"/>
          <w:szCs w:val="21"/>
          <w:highlight w:val="none"/>
        </w:rPr>
        <w:t>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pStyle w:val="7"/>
        <w:spacing w:line="360" w:lineRule="auto"/>
        <w:rPr>
          <w:rFonts w:hAnsi="宋体" w:cs="宋体"/>
          <w:color w:val="auto"/>
          <w:highlight w:val="none"/>
        </w:rPr>
      </w:pPr>
    </w:p>
    <w:p>
      <w:pPr>
        <w:wordWrap w:val="0"/>
        <w:adjustRightInd w:val="0"/>
        <w:snapToGrid w:val="0"/>
        <w:ind w:firstLine="480" w:firstLineChars="200"/>
        <w:rPr>
          <w:rFonts w:hAnsi="宋体" w:cs="宋体"/>
          <w:color w:val="auto"/>
          <w:highlight w:val="none"/>
        </w:rPr>
      </w:pPr>
      <w:r>
        <w:rPr>
          <w:rFonts w:hint="eastAsia" w:hAnsi="宋体" w:cs="宋体"/>
          <w:snapToGrid w:val="0"/>
          <w:color w:val="auto"/>
          <w:kern w:val="0"/>
          <w:szCs w:val="21"/>
          <w:highlight w:val="none"/>
        </w:rPr>
        <w:t>　　　 　　　　　　　　　　 委托代理人：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pStyle w:val="7"/>
        <w:spacing w:line="360" w:lineRule="auto"/>
        <w:rPr>
          <w:rFonts w:hAnsi="宋体" w:cs="宋体"/>
          <w:color w:val="auto"/>
          <w:highlight w:val="none"/>
        </w:rPr>
      </w:pPr>
    </w:p>
    <w:p>
      <w:pPr>
        <w:wordWrap w:val="0"/>
        <w:adjustRightInd w:val="0"/>
        <w:snapToGrid w:val="0"/>
        <w:ind w:firstLine="480" w:firstLineChars="200"/>
        <w:rPr>
          <w:rFonts w:hAnsi="宋体" w:cs="宋体"/>
          <w:snapToGrid w:val="0"/>
          <w:color w:val="auto"/>
          <w:kern w:val="0"/>
          <w:szCs w:val="21"/>
          <w:highlight w:val="none"/>
        </w:rPr>
      </w:pPr>
      <w:r>
        <w:rPr>
          <w:rFonts w:hint="eastAsia" w:hAnsi="宋体" w:cs="宋体"/>
          <w:snapToGrid w:val="0"/>
          <w:color w:val="auto"/>
          <w:kern w:val="0"/>
          <w:szCs w:val="21"/>
          <w:highlight w:val="none"/>
        </w:rPr>
        <w:t>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日</w:t>
      </w:r>
    </w:p>
    <w:p>
      <w:pPr>
        <w:rPr>
          <w:rFonts w:hAnsi="宋体" w:cs="宋体"/>
          <w:color w:val="auto"/>
          <w:highlight w:val="none"/>
        </w:rPr>
      </w:pPr>
    </w:p>
    <w:p>
      <w:pPr>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委托代理人身份证扫描件正、反面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yfTrNgAAAAJAQAADwAAAAAAAAABACAAAAAiAAAAZHJzL2Rvd25yZXYueG1sUEsB&#10;AhQAFAAAAAgAh07iQDTJypMuAgAAXgQAAA4AAAAAAAAAAQAgAAAAJwEAAGRycy9lMm9Eb2MueG1s&#10;UEsFBgAAAAAGAAYAWQEAAMcFA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委托代理人身份证扫描件正、反面</w:t>
                      </w:r>
                    </w:p>
                  </w:txbxContent>
                </v:textbox>
              </v:shape>
            </w:pict>
          </mc:Fallback>
        </mc:AlternateConten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rPr>
          <w:rFonts w:hAnsi="宋体" w:cs="宋体"/>
          <w:color w:val="auto"/>
          <w:highlight w:val="none"/>
        </w:rPr>
      </w:pPr>
    </w:p>
    <w:p>
      <w:pPr>
        <w:pStyle w:val="39"/>
        <w:keepNext w:val="0"/>
        <w:keepLines w:val="0"/>
        <w:widowControl w:val="0"/>
        <w:wordWrap w:val="0"/>
        <w:adjustRightInd w:val="0"/>
        <w:snapToGrid w:val="0"/>
        <w:ind w:left="3640" w:leftChars="15" w:hanging="3604" w:hangingChars="1496"/>
        <w:jc w:val="both"/>
        <w:outlineLvl w:val="9"/>
        <w:rPr>
          <w:rFonts w:hAnsi="宋体" w:cs="宋体"/>
          <w:b/>
          <w:snapToGrid w:val="0"/>
          <w:color w:val="auto"/>
          <w:highlight w:val="none"/>
        </w:rPr>
      </w:pPr>
      <w:r>
        <w:rPr>
          <w:rFonts w:hint="eastAsia" w:hAnsi="宋体" w:cs="宋体"/>
          <w:b/>
          <w:snapToGrid w:val="0"/>
          <w:color w:val="auto"/>
          <w:highlight w:val="none"/>
        </w:rPr>
        <w:br w:type="page"/>
      </w:r>
    </w:p>
    <w:p>
      <w:pPr>
        <w:pStyle w:val="39"/>
        <w:keepNext w:val="0"/>
        <w:keepLines w:val="0"/>
        <w:widowControl w:val="0"/>
        <w:wordWrap w:val="0"/>
        <w:adjustRightInd w:val="0"/>
        <w:snapToGrid w:val="0"/>
        <w:ind w:left="3640" w:leftChars="15" w:hanging="3604" w:hangingChars="1496"/>
        <w:jc w:val="both"/>
        <w:outlineLvl w:val="1"/>
        <w:rPr>
          <w:rFonts w:hAnsi="宋体" w:cs="宋体"/>
          <w:color w:val="auto"/>
          <w:highlight w:val="none"/>
        </w:rPr>
      </w:pPr>
      <w:bookmarkStart w:id="231" w:name="_Toc20007"/>
      <w:bookmarkStart w:id="232" w:name="_Toc16516"/>
      <w:r>
        <w:rPr>
          <w:rFonts w:hint="eastAsia" w:hAnsi="宋体" w:cs="宋体"/>
          <w:b/>
          <w:snapToGrid w:val="0"/>
          <w:color w:val="auto"/>
          <w:highlight w:val="none"/>
        </w:rPr>
        <w:t>格式五   法定代表人身份证明</w:t>
      </w:r>
      <w:bookmarkEnd w:id="231"/>
      <w:bookmarkEnd w:id="232"/>
    </w:p>
    <w:p>
      <w:pPr>
        <w:wordWrap w:val="0"/>
        <w:adjustRightInd w:val="0"/>
        <w:snapToGrid w:val="0"/>
        <w:spacing w:before="260" w:after="260"/>
        <w:jc w:val="center"/>
        <w:rPr>
          <w:rFonts w:hAnsi="宋体" w:cs="宋体"/>
          <w:b/>
          <w:snapToGrid w:val="0"/>
          <w:color w:val="auto"/>
          <w:kern w:val="0"/>
          <w:highlight w:val="none"/>
        </w:rPr>
      </w:pPr>
      <w:r>
        <w:rPr>
          <w:rFonts w:hint="eastAsia" w:hAnsi="宋体" w:cs="宋体"/>
          <w:b/>
          <w:snapToGrid w:val="0"/>
          <w:color w:val="auto"/>
          <w:kern w:val="0"/>
          <w:sz w:val="30"/>
          <w:highlight w:val="none"/>
        </w:rPr>
        <w:t>法定代表人身份证明</w:t>
      </w:r>
    </w:p>
    <w:p>
      <w:pPr>
        <w:rPr>
          <w:rFonts w:hAnsi="宋体" w:cs="宋体"/>
          <w:color w:val="auto"/>
          <w:highlight w:val="none"/>
        </w:rPr>
      </w:pPr>
    </w:p>
    <w:p>
      <w:pPr>
        <w:wordWrap w:val="0"/>
        <w:adjustRightInd w:val="0"/>
        <w:snapToGrid w:val="0"/>
        <w:rPr>
          <w:rFonts w:hAnsi="宋体" w:cs="宋体"/>
          <w:snapToGrid w:val="0"/>
          <w:color w:val="auto"/>
          <w:kern w:val="0"/>
          <w:szCs w:val="21"/>
          <w:highlight w:val="none"/>
          <w:u w:val="single"/>
        </w:rPr>
      </w:pPr>
      <w:r>
        <w:rPr>
          <w:rFonts w:hint="eastAsia" w:hAnsi="宋体" w:cs="宋体"/>
          <w:snapToGrid w:val="0"/>
          <w:color w:val="auto"/>
          <w:kern w:val="0"/>
          <w:szCs w:val="21"/>
          <w:highlight w:val="none"/>
        </w:rPr>
        <w:t>投标人名称：</w:t>
      </w:r>
      <w:r>
        <w:rPr>
          <w:rFonts w:hint="eastAsia" w:hAnsi="宋体" w:cs="宋体"/>
          <w:snapToGrid w:val="0"/>
          <w:color w:val="auto"/>
          <w:kern w:val="0"/>
          <w:szCs w:val="21"/>
          <w:highlight w:val="none"/>
          <w:u w:val="single"/>
        </w:rPr>
        <w:t xml:space="preserve">                  </w:t>
      </w:r>
    </w:p>
    <w:p>
      <w:pPr>
        <w:wordWrap w:val="0"/>
        <w:adjustRightInd w:val="0"/>
        <w:snapToGrid w:val="0"/>
        <w:rPr>
          <w:rFonts w:hAnsi="宋体" w:cs="宋体"/>
          <w:snapToGrid w:val="0"/>
          <w:color w:val="auto"/>
          <w:kern w:val="0"/>
          <w:szCs w:val="21"/>
          <w:highlight w:val="none"/>
          <w:u w:val="single"/>
        </w:rPr>
      </w:pPr>
      <w:r>
        <w:rPr>
          <w:rFonts w:hint="eastAsia" w:hAnsi="宋体" w:cs="宋体"/>
          <w:snapToGrid w:val="0"/>
          <w:color w:val="auto"/>
          <w:kern w:val="0"/>
          <w:szCs w:val="21"/>
          <w:highlight w:val="none"/>
        </w:rPr>
        <w:t>姓名：</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性别：</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年龄：</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职务：</w:t>
      </w:r>
      <w:r>
        <w:rPr>
          <w:rFonts w:hint="eastAsia" w:hAnsi="宋体" w:cs="宋体"/>
          <w:snapToGrid w:val="0"/>
          <w:color w:val="auto"/>
          <w:kern w:val="0"/>
          <w:szCs w:val="21"/>
          <w:highlight w:val="none"/>
          <w:u w:val="single"/>
        </w:rPr>
        <w:t xml:space="preserve">           </w:t>
      </w:r>
    </w:p>
    <w:p>
      <w:pPr>
        <w:wordWrap w:val="0"/>
        <w:adjustRightInd w:val="0"/>
        <w:snapToGrid w:val="0"/>
        <w:rPr>
          <w:rFonts w:hAnsi="宋体" w:cs="宋体"/>
          <w:snapToGrid w:val="0"/>
          <w:color w:val="auto"/>
          <w:kern w:val="0"/>
          <w:szCs w:val="21"/>
          <w:highlight w:val="none"/>
        </w:rPr>
      </w:pPr>
      <w:r>
        <w:rPr>
          <w:rFonts w:hint="eastAsia" w:hAnsi="宋体" w:cs="宋体"/>
          <w:snapToGrid w:val="0"/>
          <w:color w:val="auto"/>
          <w:kern w:val="0"/>
          <w:szCs w:val="21"/>
          <w:highlight w:val="none"/>
        </w:rPr>
        <w:t>系</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（投标人名称）的法定代表人。</w:t>
      </w:r>
    </w:p>
    <w:p>
      <w:pPr>
        <w:wordWrap w:val="0"/>
        <w:adjustRightInd w:val="0"/>
        <w:snapToGrid w:val="0"/>
        <w:rPr>
          <w:rFonts w:hAnsi="宋体" w:cs="宋体"/>
          <w:snapToGrid w:val="0"/>
          <w:color w:val="auto"/>
          <w:kern w:val="0"/>
          <w:szCs w:val="21"/>
          <w:highlight w:val="none"/>
        </w:rPr>
      </w:pPr>
      <w:r>
        <w:rPr>
          <w:rFonts w:hint="eastAsia" w:hAnsi="宋体" w:cs="宋体"/>
          <w:snapToGrid w:val="0"/>
          <w:color w:val="auto"/>
          <w:kern w:val="0"/>
          <w:szCs w:val="21"/>
          <w:highlight w:val="none"/>
        </w:rPr>
        <w:t xml:space="preserve">    特此证明。</w:t>
      </w:r>
    </w:p>
    <w:p>
      <w:pPr>
        <w:rPr>
          <w:rFonts w:hAnsi="宋体" w:cs="宋体"/>
          <w:color w:val="auto"/>
          <w:highlight w:val="none"/>
        </w:rPr>
      </w:pPr>
    </w:p>
    <w:p>
      <w:pPr>
        <w:rPr>
          <w:rFonts w:hAnsi="宋体" w:cs="宋体"/>
          <w:color w:val="auto"/>
          <w:highlight w:val="none"/>
        </w:rPr>
      </w:pPr>
    </w:p>
    <w:p>
      <w:pPr>
        <w:wordWrap w:val="0"/>
        <w:adjustRightInd w:val="0"/>
        <w:snapToGrid w:val="0"/>
        <w:jc w:val="right"/>
        <w:rPr>
          <w:rFonts w:hAnsi="宋体" w:cs="宋体"/>
          <w:snapToGrid w:val="0"/>
          <w:color w:val="auto"/>
          <w:kern w:val="0"/>
          <w:szCs w:val="21"/>
          <w:highlight w:val="none"/>
        </w:rPr>
      </w:pPr>
      <w:r>
        <w:rPr>
          <w:rFonts w:hint="eastAsia" w:hAnsi="宋体" w:cs="宋体"/>
          <w:snapToGrid w:val="0"/>
          <w:color w:val="auto"/>
          <w:kern w:val="0"/>
          <w:szCs w:val="21"/>
          <w:highlight w:val="none"/>
        </w:rPr>
        <w:t>投标人：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（盖单位章）</w:t>
      </w:r>
    </w:p>
    <w:p>
      <w:pPr>
        <w:rPr>
          <w:rFonts w:hAnsi="宋体" w:cs="宋体"/>
          <w:color w:val="auto"/>
          <w:highlight w:val="none"/>
        </w:rPr>
      </w:pPr>
    </w:p>
    <w:p>
      <w:pPr>
        <w:rPr>
          <w:rFonts w:hAnsi="宋体" w:cs="宋体"/>
          <w:color w:val="auto"/>
          <w:highlight w:val="none"/>
        </w:rPr>
      </w:pPr>
    </w:p>
    <w:p>
      <w:pPr>
        <w:wordWrap w:val="0"/>
        <w:adjustRightInd w:val="0"/>
        <w:snapToGrid w:val="0"/>
        <w:jc w:val="right"/>
        <w:rPr>
          <w:rFonts w:hAnsi="宋体" w:cs="宋体"/>
          <w:snapToGrid w:val="0"/>
          <w:color w:val="auto"/>
          <w:kern w:val="0"/>
          <w:szCs w:val="21"/>
          <w:highlight w:val="none"/>
        </w:rPr>
      </w:pPr>
      <w:r>
        <w:rPr>
          <w:rFonts w:hint="eastAsia" w:hAnsi="宋体" w:cs="宋体"/>
          <w:snapToGrid w:val="0"/>
          <w:color w:val="auto"/>
          <w:kern w:val="0"/>
          <w:szCs w:val="21"/>
          <w:highlight w:val="none"/>
        </w:rPr>
        <w:t xml:space="preserve">                           法定代表人：</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（签字或盖章）</w:t>
      </w:r>
    </w:p>
    <w:p>
      <w:pPr>
        <w:rPr>
          <w:rFonts w:hAnsi="宋体" w:cs="宋体"/>
          <w:color w:val="auto"/>
          <w:highlight w:val="none"/>
        </w:rPr>
      </w:pPr>
    </w:p>
    <w:p>
      <w:pPr>
        <w:wordWrap w:val="0"/>
        <w:adjustRightInd w:val="0"/>
        <w:snapToGrid w:val="0"/>
        <w:jc w:val="center"/>
        <w:rPr>
          <w:rFonts w:hAnsi="宋体" w:cs="宋体"/>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年</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月</w:t>
      </w:r>
      <w:r>
        <w:rPr>
          <w:rFonts w:hint="eastAsia"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rPr>
        <w:t xml:space="preserve">日       </w: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法定代表人身份证扫描件正、反面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FdSm2AAAAAkBAAAPAAAAAAAAAAEAIAAAACIAAABkcnMvZG93bnJldi54bWxQSwEC&#10;FAAUAAAACACHTuJADbRHxy0CAABeBAAADgAAAAAAAAABACAAAAAnAQAAZHJzL2Uyb0RvYy54bWxQ&#10;SwUGAAAAAAYABgBZAQAAx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法定代表人身份证扫描件正、反面</w:t>
                      </w:r>
                    </w:p>
                  </w:txbxContent>
                </v:textbox>
              </v:shape>
            </w:pict>
          </mc:Fallback>
        </mc:AlternateContent>
      </w: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snapToGrid w:val="0"/>
          <w:color w:val="auto"/>
          <w:sz w:val="28"/>
          <w:szCs w:val="28"/>
          <w:highlight w:val="none"/>
        </w:rPr>
      </w:pPr>
    </w:p>
    <w:p>
      <w:pPr>
        <w:pStyle w:val="7"/>
        <w:spacing w:line="360" w:lineRule="auto"/>
        <w:rPr>
          <w:rFonts w:hAnsi="宋体" w:cs="宋体"/>
          <w:snapToGrid w:val="0"/>
          <w:color w:val="auto"/>
          <w:sz w:val="28"/>
          <w:szCs w:val="28"/>
          <w:highlight w:val="none"/>
        </w:rPr>
      </w:pPr>
    </w:p>
    <w:p>
      <w:pPr>
        <w:pStyle w:val="39"/>
        <w:keepNext w:val="0"/>
        <w:keepLines w:val="0"/>
        <w:widowControl w:val="0"/>
        <w:wordWrap w:val="0"/>
        <w:adjustRightInd w:val="0"/>
        <w:snapToGrid w:val="0"/>
        <w:ind w:left="3640" w:leftChars="15" w:hanging="3604" w:hangingChars="1496"/>
        <w:jc w:val="both"/>
        <w:outlineLvl w:val="9"/>
        <w:rPr>
          <w:rFonts w:hAnsi="宋体" w:cs="宋体"/>
          <w:b/>
          <w:bCs/>
          <w:snapToGrid w:val="0"/>
          <w:color w:val="auto"/>
          <w:szCs w:val="24"/>
          <w:highlight w:val="none"/>
        </w:rPr>
      </w:pPr>
      <w:r>
        <w:rPr>
          <w:rFonts w:hint="eastAsia" w:hAnsi="宋体" w:cs="宋体"/>
          <w:b/>
          <w:bCs/>
          <w:snapToGrid w:val="0"/>
          <w:color w:val="auto"/>
          <w:szCs w:val="24"/>
          <w:highlight w:val="none"/>
        </w:rPr>
        <w:br w:type="page"/>
      </w:r>
    </w:p>
    <w:p>
      <w:pPr>
        <w:pStyle w:val="39"/>
        <w:keepNext w:val="0"/>
        <w:keepLines w:val="0"/>
        <w:widowControl w:val="0"/>
        <w:wordWrap w:val="0"/>
        <w:adjustRightInd w:val="0"/>
        <w:snapToGrid w:val="0"/>
        <w:ind w:left="3640" w:leftChars="15" w:hanging="3604" w:hangingChars="1496"/>
        <w:jc w:val="both"/>
        <w:outlineLvl w:val="1"/>
        <w:rPr>
          <w:rFonts w:hAnsi="宋体" w:cs="宋体"/>
          <w:b/>
          <w:bCs/>
          <w:snapToGrid w:val="0"/>
          <w:color w:val="auto"/>
          <w:szCs w:val="24"/>
          <w:highlight w:val="none"/>
        </w:rPr>
      </w:pPr>
      <w:bookmarkStart w:id="233" w:name="_Toc28593"/>
      <w:bookmarkStart w:id="234" w:name="_Toc21187"/>
      <w:r>
        <w:rPr>
          <w:rFonts w:hint="eastAsia" w:hAnsi="宋体" w:cs="宋体"/>
          <w:b/>
          <w:bCs/>
          <w:snapToGrid w:val="0"/>
          <w:color w:val="auto"/>
          <w:szCs w:val="24"/>
          <w:highlight w:val="none"/>
        </w:rPr>
        <w:t>格式六   联合体协议书</w:t>
      </w:r>
      <w:r>
        <w:rPr>
          <w:rFonts w:hint="eastAsia" w:ascii="Times New Roman"/>
          <w:b/>
          <w:bCs/>
          <w:snapToGrid w:val="0"/>
          <w:color w:val="auto"/>
          <w:szCs w:val="24"/>
          <w:highlight w:val="none"/>
        </w:rPr>
        <w:t>（本次招标不适用）</w:t>
      </w:r>
      <w:bookmarkEnd w:id="233"/>
      <w:bookmarkEnd w:id="234"/>
    </w:p>
    <w:p>
      <w:pPr>
        <w:pStyle w:val="40"/>
        <w:widowControl w:val="0"/>
        <w:wordWrap w:val="0"/>
        <w:adjustRightInd w:val="0"/>
        <w:snapToGrid w:val="0"/>
        <w:spacing w:before="240" w:after="240"/>
        <w:ind w:firstLine="0"/>
        <w:jc w:val="center"/>
        <w:rPr>
          <w:rFonts w:hAnsi="宋体" w:cs="宋体"/>
          <w:snapToGrid w:val="0"/>
          <w:color w:val="auto"/>
          <w:sz w:val="24"/>
          <w:szCs w:val="24"/>
          <w:highlight w:val="none"/>
        </w:rPr>
      </w:pPr>
      <w:r>
        <w:rPr>
          <w:rFonts w:hint="eastAsia" w:hAnsi="宋体" w:cs="宋体"/>
          <w:b/>
          <w:snapToGrid w:val="0"/>
          <w:color w:val="auto"/>
          <w:sz w:val="30"/>
          <w:highlight w:val="none"/>
        </w:rPr>
        <w:t>联合体协议书</w:t>
      </w:r>
    </w:p>
    <w:p>
      <w:pPr>
        <w:pStyle w:val="40"/>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牵头人名称：</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法定住所：</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rPr>
      </w:pPr>
    </w:p>
    <w:p>
      <w:pPr>
        <w:pStyle w:val="40"/>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成员二名称：</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法定代表人：</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u w:val="single"/>
        </w:rPr>
      </w:pPr>
      <w:r>
        <w:rPr>
          <w:rFonts w:hint="eastAsia" w:hAnsi="宋体" w:cs="宋体"/>
          <w:snapToGrid w:val="0"/>
          <w:color w:val="auto"/>
          <w:sz w:val="24"/>
          <w:szCs w:val="24"/>
          <w:highlight w:val="none"/>
        </w:rPr>
        <w:t>法定住所：</w:t>
      </w:r>
      <w:r>
        <w:rPr>
          <w:rFonts w:hint="eastAsia" w:hAnsi="宋体" w:cs="宋体"/>
          <w:snapToGrid w:val="0"/>
          <w:color w:val="auto"/>
          <w:sz w:val="24"/>
          <w:szCs w:val="24"/>
          <w:highlight w:val="none"/>
          <w:u w:val="single"/>
        </w:rPr>
        <w:t xml:space="preserve">                                                    </w:t>
      </w:r>
    </w:p>
    <w:p>
      <w:pPr>
        <w:pStyle w:val="40"/>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w:t>
      </w:r>
    </w:p>
    <w:p>
      <w:pPr>
        <w:pStyle w:val="40"/>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上述各成员单位经过友好协商，自愿组成联合体，共同参加</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（项目名称）</w:t>
      </w:r>
      <w:r>
        <w:rPr>
          <w:rFonts w:hint="eastAsia" w:hAnsi="宋体" w:cs="宋体"/>
          <w:snapToGrid w:val="0"/>
          <w:color w:val="auto"/>
          <w:sz w:val="24"/>
          <w:szCs w:val="28"/>
          <w:highlight w:val="none"/>
        </w:rPr>
        <w:t>（以下简称“本项目”）</w:t>
      </w:r>
      <w:r>
        <w:rPr>
          <w:rFonts w:hint="eastAsia" w:hAnsi="宋体" w:cs="宋体"/>
          <w:snapToGrid w:val="0"/>
          <w:color w:val="auto"/>
          <w:sz w:val="24"/>
          <w:szCs w:val="24"/>
          <w:highlight w:val="none"/>
        </w:rPr>
        <w:t>的投标并争取赢得本项目监理委托合同（以下简称合同）。现就联合体投标事宜订立如下协议：</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1．</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（某成员单位名称）为联合体牵头人。</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4．联合体各成员单位内部的职责分工如下：</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。按照本条上述分工，联合体成员单位各自所承担的合同工作量比例如下：</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5．投标工作和联合体在中标后监理实施过程中的有关费用按各自承担的工作量分摊。</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6．联合体中标后，本联合体协议是合同的附件，对联合体各成员单位有合同约束力。</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7．本协议书自签署之日起生效，联合体未中标或者中标时合同履行完毕后自动失效。</w:t>
      </w:r>
    </w:p>
    <w:p>
      <w:pPr>
        <w:pStyle w:val="40"/>
        <w:widowControl w:val="0"/>
        <w:wordWrap w:val="0"/>
        <w:adjustRightInd w:val="0"/>
        <w:snapToGrid w:val="0"/>
        <w:ind w:firstLine="0"/>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8．本协议书一式</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份，联合体成员和招标人各执一份。</w:t>
      </w:r>
    </w:p>
    <w:p>
      <w:pPr>
        <w:pStyle w:val="40"/>
        <w:widowControl w:val="0"/>
        <w:wordWrap w:val="0"/>
        <w:adjustRightInd w:val="0"/>
        <w:snapToGrid w:val="0"/>
        <w:rPr>
          <w:rFonts w:hAnsi="宋体" w:cs="宋体"/>
          <w:snapToGrid w:val="0"/>
          <w:color w:val="auto"/>
          <w:sz w:val="24"/>
          <w:szCs w:val="24"/>
          <w:highlight w:val="none"/>
        </w:rPr>
      </w:pPr>
    </w:p>
    <w:p>
      <w:pPr>
        <w:pStyle w:val="40"/>
        <w:widowControl w:val="0"/>
        <w:wordWrap w:val="0"/>
        <w:adjustRightInd w:val="0"/>
        <w:snapToGrid w:val="0"/>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牵头人名称：</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（盖单位章）</w:t>
      </w: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        法定代表人或其委托代理人：</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（签字或盖章）</w:t>
      </w: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成员二名称：</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（盖单位章）</w:t>
      </w: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p>
    <w:p>
      <w:pPr>
        <w:pStyle w:val="40"/>
        <w:widowControl w:val="0"/>
        <w:wordWrap w:val="0"/>
        <w:adjustRightInd w:val="0"/>
        <w:snapToGrid w:val="0"/>
        <w:jc w:val="right"/>
        <w:rPr>
          <w:rFonts w:hAnsi="宋体" w:cs="宋体"/>
          <w:snapToGrid w:val="0"/>
          <w:color w:val="auto"/>
          <w:sz w:val="24"/>
          <w:szCs w:val="24"/>
          <w:highlight w:val="none"/>
        </w:rPr>
      </w:pPr>
      <w:r>
        <w:rPr>
          <w:rFonts w:hint="eastAsia" w:hAnsi="宋体" w:cs="宋体"/>
          <w:snapToGrid w:val="0"/>
          <w:color w:val="auto"/>
          <w:sz w:val="24"/>
          <w:szCs w:val="24"/>
          <w:highlight w:val="none"/>
        </w:rPr>
        <w:t>　　　　　法定代表人或其委托代理人：</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（签字或盖章）</w:t>
      </w:r>
    </w:p>
    <w:p>
      <w:pPr>
        <w:pStyle w:val="40"/>
        <w:widowControl w:val="0"/>
        <w:wordWrap w:val="0"/>
        <w:adjustRightInd w:val="0"/>
        <w:snapToGrid w:val="0"/>
        <w:rPr>
          <w:rFonts w:hAnsi="宋体" w:cs="宋体"/>
          <w:snapToGrid w:val="0"/>
          <w:color w:val="auto"/>
          <w:sz w:val="24"/>
          <w:szCs w:val="24"/>
          <w:highlight w:val="none"/>
        </w:rPr>
      </w:pPr>
      <w:r>
        <w:rPr>
          <w:rFonts w:hint="eastAsia" w:hAnsi="宋体" w:cs="宋体"/>
          <w:snapToGrid w:val="0"/>
          <w:color w:val="auto"/>
          <w:sz w:val="24"/>
          <w:szCs w:val="24"/>
          <w:highlight w:val="none"/>
        </w:rPr>
        <w:t>　　　　　　      ……</w:t>
      </w:r>
    </w:p>
    <w:p>
      <w:pPr>
        <w:pStyle w:val="40"/>
        <w:widowControl w:val="0"/>
        <w:wordWrap w:val="0"/>
        <w:adjustRightInd w:val="0"/>
        <w:snapToGrid w:val="0"/>
        <w:rPr>
          <w:rFonts w:hAnsi="宋体" w:cs="宋体"/>
          <w:snapToGrid w:val="0"/>
          <w:color w:val="auto"/>
          <w:sz w:val="24"/>
          <w:szCs w:val="24"/>
          <w:highlight w:val="none"/>
        </w:rPr>
      </w:pPr>
    </w:p>
    <w:p>
      <w:pPr>
        <w:pStyle w:val="40"/>
        <w:widowControl w:val="0"/>
        <w:wordWrap w:val="0"/>
        <w:adjustRightInd w:val="0"/>
        <w:snapToGrid w:val="0"/>
        <w:jc w:val="center"/>
        <w:rPr>
          <w:rFonts w:hAnsi="宋体" w:cs="宋体"/>
          <w:color w:val="auto"/>
          <w:highlight w:val="none"/>
        </w:rPr>
      </w:pPr>
      <w:r>
        <w:rPr>
          <w:rFonts w:hint="eastAsia" w:hAnsi="宋体" w:cs="宋体"/>
          <w:snapToGrid w:val="0"/>
          <w:color w:val="auto"/>
          <w:sz w:val="24"/>
          <w:szCs w:val="24"/>
          <w:highlight w:val="none"/>
        </w:rPr>
        <w:t xml:space="preserve">                                 </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年</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月</w:t>
      </w:r>
      <w:r>
        <w:rPr>
          <w:rFonts w:hint="eastAsia" w:hAnsi="宋体" w:cs="宋体"/>
          <w:snapToGrid w:val="0"/>
          <w:color w:val="auto"/>
          <w:sz w:val="24"/>
          <w:szCs w:val="24"/>
          <w:highlight w:val="none"/>
          <w:u w:val="single"/>
        </w:rPr>
        <w:t xml:space="preserve">     </w:t>
      </w:r>
      <w:r>
        <w:rPr>
          <w:rFonts w:hint="eastAsia" w:hAnsi="宋体" w:cs="宋体"/>
          <w:snapToGrid w:val="0"/>
          <w:color w:val="auto"/>
          <w:sz w:val="24"/>
          <w:szCs w:val="24"/>
          <w:highlight w:val="none"/>
        </w:rPr>
        <w:t>日</w:t>
      </w:r>
    </w:p>
    <w:p>
      <w:pPr>
        <w:pStyle w:val="40"/>
        <w:widowControl w:val="0"/>
        <w:wordWrap w:val="0"/>
        <w:adjustRightInd w:val="0"/>
        <w:snapToGrid w:val="0"/>
        <w:rPr>
          <w:rFonts w:hAnsi="宋体" w:cs="宋体"/>
          <w:snapToGrid w:val="0"/>
          <w:color w:val="auto"/>
          <w:sz w:val="21"/>
          <w:szCs w:val="21"/>
          <w:highlight w:val="none"/>
        </w:rPr>
      </w:pPr>
      <w:r>
        <w:rPr>
          <w:rFonts w:hint="eastAsia" w:hAnsi="宋体" w:cs="宋体"/>
          <w:snapToGrid w:val="0"/>
          <w:color w:val="auto"/>
          <w:sz w:val="21"/>
          <w:szCs w:val="21"/>
          <w:highlight w:val="none"/>
        </w:rPr>
        <w:t>说明：《联合体协议书》由委托代理人签字或盖章的，应附法定代表人签字或盖章的授权委托书。</w:t>
      </w:r>
    </w:p>
    <w:p>
      <w:pPr>
        <w:pStyle w:val="39"/>
        <w:keepNext w:val="0"/>
        <w:keepLines w:val="0"/>
        <w:widowControl w:val="0"/>
        <w:wordWrap w:val="0"/>
        <w:adjustRightInd w:val="0"/>
        <w:snapToGrid w:val="0"/>
        <w:ind w:left="3640" w:leftChars="15" w:hanging="3604" w:hangingChars="1496"/>
        <w:jc w:val="both"/>
        <w:outlineLvl w:val="9"/>
        <w:rPr>
          <w:rFonts w:hAnsi="宋体" w:cs="宋体"/>
          <w:b/>
          <w:bCs/>
          <w:snapToGrid w:val="0"/>
          <w:color w:val="auto"/>
          <w:szCs w:val="24"/>
          <w:highlight w:val="none"/>
        </w:rPr>
      </w:pPr>
      <w:r>
        <w:rPr>
          <w:rFonts w:hint="eastAsia" w:hAnsi="宋体" w:cs="宋体"/>
          <w:b/>
          <w:bCs/>
          <w:snapToGrid w:val="0"/>
          <w:color w:val="auto"/>
          <w:szCs w:val="24"/>
          <w:highlight w:val="none"/>
        </w:rPr>
        <w:br w:type="page"/>
      </w:r>
    </w:p>
    <w:p>
      <w:pPr>
        <w:pStyle w:val="39"/>
        <w:keepNext w:val="0"/>
        <w:keepLines w:val="0"/>
        <w:widowControl w:val="0"/>
        <w:wordWrap w:val="0"/>
        <w:adjustRightInd w:val="0"/>
        <w:snapToGrid w:val="0"/>
        <w:ind w:left="3640" w:leftChars="15" w:hanging="3604" w:hangingChars="1496"/>
        <w:jc w:val="both"/>
        <w:outlineLvl w:val="1"/>
        <w:rPr>
          <w:rFonts w:hAnsi="宋体" w:cs="宋体"/>
          <w:b/>
          <w:bCs/>
          <w:snapToGrid w:val="0"/>
          <w:color w:val="auto"/>
          <w:szCs w:val="24"/>
          <w:highlight w:val="none"/>
        </w:rPr>
      </w:pPr>
      <w:bookmarkStart w:id="235" w:name="_Toc4559"/>
      <w:bookmarkStart w:id="236" w:name="_Toc30168"/>
      <w:r>
        <w:rPr>
          <w:rFonts w:hint="eastAsia" w:hAnsi="宋体" w:cs="宋体"/>
          <w:b/>
          <w:bCs/>
          <w:snapToGrid w:val="0"/>
          <w:color w:val="auto"/>
          <w:szCs w:val="24"/>
          <w:highlight w:val="none"/>
        </w:rPr>
        <w:t>格式七   投标人基本情况表</w:t>
      </w:r>
      <w:bookmarkEnd w:id="235"/>
      <w:bookmarkEnd w:id="236"/>
    </w:p>
    <w:p>
      <w:pPr>
        <w:pStyle w:val="40"/>
        <w:widowControl w:val="0"/>
        <w:wordWrap w:val="0"/>
        <w:adjustRightInd w:val="0"/>
        <w:snapToGrid w:val="0"/>
        <w:spacing w:before="260" w:after="260"/>
        <w:ind w:firstLine="0"/>
        <w:jc w:val="center"/>
        <w:rPr>
          <w:rFonts w:hAnsi="宋体" w:cs="宋体"/>
          <w:snapToGrid w:val="0"/>
          <w:color w:val="auto"/>
          <w:sz w:val="24"/>
          <w:highlight w:val="none"/>
        </w:rPr>
      </w:pPr>
      <w:r>
        <w:rPr>
          <w:rFonts w:hint="eastAsia" w:hAnsi="宋体" w:cs="宋体"/>
          <w:b/>
          <w:snapToGrid w:val="0"/>
          <w:color w:val="auto"/>
          <w:sz w:val="30"/>
          <w:highlight w:val="none"/>
        </w:rPr>
        <w:t>投标人基本情况表</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020" w:type="dxa"/>
            <w:gridSpan w:val="8"/>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38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24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385"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897"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492"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24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385"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897"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492"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24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385"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897"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709"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技术负责人</w:t>
            </w:r>
          </w:p>
        </w:tc>
        <w:tc>
          <w:tcPr>
            <w:tcW w:w="897"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89"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0"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709"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成立日期</w:t>
            </w:r>
          </w:p>
        </w:tc>
        <w:tc>
          <w:tcPr>
            <w:tcW w:w="258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4434" w:type="dxa"/>
            <w:gridSpan w:val="6"/>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85" w:type="dxa"/>
            <w:vAlign w:val="center"/>
          </w:tcPr>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w:t>
            </w:r>
          </w:p>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类型和等级</w:t>
            </w:r>
          </w:p>
        </w:tc>
        <w:tc>
          <w:tcPr>
            <w:tcW w:w="2586" w:type="dxa"/>
            <w:gridSpan w:val="2"/>
            <w:vAlign w:val="center"/>
          </w:tcPr>
          <w:p>
            <w:pPr>
              <w:pStyle w:val="43"/>
              <w:wordWrap w:val="0"/>
              <w:adjustRightInd w:val="0"/>
              <w:snapToGrid w:val="0"/>
              <w:spacing w:line="360" w:lineRule="auto"/>
              <w:jc w:val="left"/>
              <w:rPr>
                <w:rFonts w:ascii="宋体" w:hAnsi="宋体" w:cs="宋体"/>
                <w:snapToGrid w:val="0"/>
                <w:color w:val="auto"/>
                <w:kern w:val="0"/>
                <w:szCs w:val="21"/>
                <w:highlight w:val="none"/>
              </w:rPr>
            </w:pPr>
          </w:p>
        </w:tc>
        <w:tc>
          <w:tcPr>
            <w:tcW w:w="1089" w:type="dxa"/>
            <w:gridSpan w:val="2"/>
            <w:vMerge w:val="restart"/>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2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各类注册人员</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58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Merge w:val="continue"/>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92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58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Merge w:val="continue"/>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92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485" w:type="dxa"/>
            <w:vAlign w:val="center"/>
          </w:tcPr>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58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Merge w:val="continue"/>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92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485" w:type="dxa"/>
            <w:vAlign w:val="center"/>
          </w:tcPr>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pPr>
              <w:pStyle w:val="43"/>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银行账号</w:t>
            </w:r>
          </w:p>
        </w:tc>
        <w:tc>
          <w:tcPr>
            <w:tcW w:w="2586" w:type="dxa"/>
            <w:gridSpan w:val="2"/>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089" w:type="dxa"/>
            <w:gridSpan w:val="2"/>
            <w:vMerge w:val="continue"/>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c>
          <w:tcPr>
            <w:tcW w:w="1929" w:type="dxa"/>
            <w:gridSpan w:val="3"/>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16"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020" w:type="dxa"/>
            <w:gridSpan w:val="8"/>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020" w:type="dxa"/>
            <w:gridSpan w:val="8"/>
            <w:vAlign w:val="center"/>
          </w:tcPr>
          <w:p>
            <w:pPr>
              <w:pStyle w:val="43"/>
              <w:wordWrap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pPr>
              <w:pStyle w:val="43"/>
              <w:wordWrap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pPr>
              <w:pStyle w:val="43"/>
              <w:wordWrap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pPr>
              <w:pStyle w:val="43"/>
              <w:wordWrap w:val="0"/>
              <w:adjustRightInd w:val="0"/>
              <w:snapToGrid w:val="0"/>
              <w:spacing w:line="360" w:lineRule="auto"/>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485" w:type="dxa"/>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020" w:type="dxa"/>
            <w:gridSpan w:val="8"/>
            <w:vAlign w:val="center"/>
          </w:tcPr>
          <w:p>
            <w:pPr>
              <w:pStyle w:val="43"/>
              <w:wordWrap w:val="0"/>
              <w:adjustRightInd w:val="0"/>
              <w:snapToGrid w:val="0"/>
              <w:spacing w:line="360" w:lineRule="auto"/>
              <w:jc w:val="center"/>
              <w:rPr>
                <w:rFonts w:ascii="宋体" w:hAnsi="宋体" w:cs="宋体"/>
                <w:snapToGrid w:val="0"/>
                <w:color w:val="auto"/>
                <w:kern w:val="0"/>
                <w:szCs w:val="21"/>
                <w:highlight w:val="none"/>
              </w:rPr>
            </w:pPr>
          </w:p>
        </w:tc>
      </w:tr>
    </w:tbl>
    <w:p>
      <w:pPr>
        <w:pStyle w:val="43"/>
        <w:wordWrap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说明：1．《投标人基本情况表》后应附以下资料：</w:t>
      </w:r>
    </w:p>
    <w:p>
      <w:pPr>
        <w:pStyle w:val="43"/>
        <w:wordWrap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（1）企业营业执照、资质证书彩色扫描件；</w:t>
      </w:r>
    </w:p>
    <w:p>
      <w:pPr>
        <w:pStyle w:val="43"/>
        <w:wordWrap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“进粤企业和人员诚信信息登记平台”企业信息情况。（适用于省外企业）</w:t>
      </w:r>
      <w:r>
        <w:rPr>
          <w:rFonts w:hint="eastAsia" w:ascii="宋体" w:hAnsi="宋体" w:cs="宋体"/>
          <w:snapToGrid w:val="0"/>
          <w:color w:val="auto"/>
          <w:kern w:val="0"/>
          <w:szCs w:val="21"/>
          <w:highlight w:val="none"/>
        </w:rPr>
        <w:t>；</w:t>
      </w:r>
    </w:p>
    <w:p>
      <w:pPr>
        <w:pStyle w:val="43"/>
        <w:wordWrap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（3）投标人在《</w:t>
      </w:r>
      <w:r>
        <w:rPr>
          <w:rFonts w:hint="eastAsia" w:ascii="宋体" w:hAnsi="宋体" w:cs="宋体"/>
          <w:snapToGrid w:val="0"/>
          <w:color w:val="auto"/>
          <w:kern w:val="0"/>
          <w:highlight w:val="none"/>
        </w:rPr>
        <w:t>法人和非法人组织公共信用信息报告</w:t>
      </w:r>
      <w:r>
        <w:rPr>
          <w:rFonts w:hint="eastAsia" w:ascii="宋体" w:hAnsi="宋体" w:cs="宋体"/>
          <w:snapToGrid w:val="0"/>
          <w:color w:val="auto"/>
          <w:kern w:val="0"/>
          <w:szCs w:val="21"/>
          <w:highlight w:val="none"/>
        </w:rPr>
        <w:t>》（在“信用中国”网站企业查询界面中下载）。</w:t>
      </w:r>
    </w:p>
    <w:p>
      <w:pPr>
        <w:wordWrap w:val="0"/>
        <w:adjustRightInd w:val="0"/>
        <w:snapToGrid w:val="0"/>
        <w:spacing w:line="440" w:lineRule="exact"/>
        <w:jc w:val="left"/>
        <w:outlineLvl w:val="1"/>
        <w:rPr>
          <w:rFonts w:ascii="Times New Roman"/>
          <w:b/>
          <w:snapToGrid w:val="0"/>
          <w:color w:val="auto"/>
          <w:kern w:val="0"/>
          <w:highlight w:val="none"/>
        </w:rPr>
      </w:pPr>
      <w:bookmarkStart w:id="237" w:name="_Toc28792"/>
      <w:r>
        <w:rPr>
          <w:rFonts w:hint="eastAsia" w:ascii="Times New Roman"/>
          <w:b/>
          <w:snapToGrid w:val="0"/>
          <w:color w:val="auto"/>
          <w:kern w:val="0"/>
          <w:highlight w:val="none"/>
        </w:rPr>
        <w:t>格式八 总监理工程师任职声明（适用于无任职项目）</w:t>
      </w:r>
      <w:bookmarkEnd w:id="237"/>
    </w:p>
    <w:p>
      <w:pPr>
        <w:wordWrap w:val="0"/>
        <w:adjustRightInd w:val="0"/>
        <w:snapToGrid w:val="0"/>
        <w:spacing w:line="440" w:lineRule="exact"/>
        <w:jc w:val="left"/>
        <w:rPr>
          <w:rFonts w:ascii="Times New Roman"/>
          <w:b/>
          <w:snapToGrid w:val="0"/>
          <w:color w:val="auto"/>
          <w:kern w:val="0"/>
          <w:highlight w:val="none"/>
        </w:rPr>
      </w:pPr>
    </w:p>
    <w:p>
      <w:pPr>
        <w:wordWrap w:val="0"/>
        <w:adjustRightInd w:val="0"/>
        <w:snapToGrid w:val="0"/>
        <w:spacing w:before="260" w:after="260" w:line="440" w:lineRule="exact"/>
        <w:jc w:val="center"/>
        <w:rPr>
          <w:rFonts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pPr>
        <w:wordWrap w:val="0"/>
        <w:adjustRightInd w:val="0"/>
        <w:snapToGrid w:val="0"/>
        <w:spacing w:line="440" w:lineRule="exact"/>
        <w:jc w:val="center"/>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致：（招标人名称）：</w:t>
      </w:r>
    </w:p>
    <w:p>
      <w:pPr>
        <w:wordWrap w:val="0"/>
        <w:adjustRightInd w:val="0"/>
        <w:snapToGrid w:val="0"/>
        <w:spacing w:line="440" w:lineRule="exact"/>
        <w:ind w:firstLine="480" w:firstLineChars="200"/>
        <w:rPr>
          <w:rFonts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u w:val="single"/>
          <w:lang w:eastAsia="zh-CN"/>
        </w:rPr>
        <w:t>（</w:t>
      </w:r>
      <w:r>
        <w:rPr>
          <w:rFonts w:hint="eastAsia" w:ascii="Times New Roman"/>
          <w:snapToGrid w:val="0"/>
          <w:color w:val="auto"/>
          <w:kern w:val="0"/>
          <w:szCs w:val="28"/>
          <w:highlight w:val="none"/>
          <w:u w:val="single"/>
          <w:lang w:val="en-US" w:eastAsia="zh-CN"/>
        </w:rPr>
        <w:t>项目名称</w:t>
      </w:r>
      <w:r>
        <w:rPr>
          <w:rFonts w:hint="eastAsia" w:ascii="Times New Roman"/>
          <w:snapToGrid w:val="0"/>
          <w:color w:val="auto"/>
          <w:kern w:val="0"/>
          <w:szCs w:val="28"/>
          <w:highlight w:val="none"/>
          <w:u w:val="single"/>
          <w:lang w:eastAsia="zh-CN"/>
        </w:rPr>
        <w:t>）</w:t>
      </w:r>
      <w:r>
        <w:rPr>
          <w:rFonts w:hint="eastAsia" w:ascii="Times New Roman"/>
          <w:snapToGrid w:val="0"/>
          <w:color w:val="auto"/>
          <w:kern w:val="0"/>
          <w:szCs w:val="28"/>
          <w:highlight w:val="none"/>
        </w:rPr>
        <w:t>的总监理工程师</w:t>
      </w:r>
      <w:r>
        <w:rPr>
          <w:rFonts w:hint="eastAsia" w:ascii="Times New Roman"/>
          <w:snapToGrid w:val="0"/>
          <w:color w:val="auto"/>
          <w:kern w:val="0"/>
          <w:szCs w:val="28"/>
          <w:highlight w:val="none"/>
          <w:u w:val="single"/>
          <w:lang w:val="en-US" w:eastAsia="zh-CN"/>
        </w:rPr>
        <w:t xml:space="preserve">    </w:t>
      </w:r>
      <w:r>
        <w:rPr>
          <w:rFonts w:hint="eastAsia" w:ascii="Times New Roman"/>
          <w:snapToGrid w:val="0"/>
          <w:color w:val="auto"/>
          <w:kern w:val="0"/>
          <w:szCs w:val="28"/>
          <w:highlight w:val="none"/>
          <w:lang w:val="en-US" w:eastAsia="zh-CN"/>
        </w:rPr>
        <w:t xml:space="preserve"> </w:t>
      </w:r>
      <w:r>
        <w:rPr>
          <w:rFonts w:hint="eastAsia" w:ascii="Times New Roman"/>
          <w:snapToGrid w:val="0"/>
          <w:color w:val="auto"/>
          <w:kern w:val="0"/>
          <w:szCs w:val="28"/>
          <w:highlight w:val="none"/>
          <w:u w:val="single"/>
        </w:rPr>
        <w:t>（总监理工程师姓名）</w:t>
      </w:r>
      <w:r>
        <w:rPr>
          <w:rFonts w:hint="eastAsia" w:ascii="Times New Roman"/>
          <w:snapToGrid w:val="0"/>
          <w:color w:val="auto"/>
          <w:kern w:val="0"/>
          <w:szCs w:val="28"/>
          <w:highlight w:val="none"/>
        </w:rPr>
        <w:t>现阶段未担任任何在施（包括已中标未开工、已开工未竣工）建设工程项目的总监理工程师。</w:t>
      </w:r>
    </w:p>
    <w:p>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特此承诺　　</w:t>
      </w: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w:t>
      </w:r>
    </w:p>
    <w:p>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投标人：（盖单位章）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法定代表人或其委托代理人：（签字或盖章）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center"/>
        <w:rPr>
          <w:rFonts w:ascii="Times New Roman"/>
          <w:snapToGrid w:val="0"/>
          <w:color w:val="auto"/>
          <w:kern w:val="0"/>
          <w:szCs w:val="28"/>
          <w:highlight w:val="none"/>
        </w:rPr>
      </w:pPr>
      <w:r>
        <w:rPr>
          <w:rFonts w:hint="eastAsia" w:ascii="Times New Roman"/>
          <w:snapToGrid w:val="0"/>
          <w:color w:val="auto"/>
          <w:kern w:val="0"/>
          <w:szCs w:val="28"/>
          <w:highlight w:val="none"/>
        </w:rPr>
        <w:t>年月日</w:t>
      </w:r>
    </w:p>
    <w:p>
      <w:pPr>
        <w:wordWrap w:val="0"/>
        <w:adjustRightInd w:val="0"/>
        <w:snapToGrid w:val="0"/>
        <w:spacing w:line="400" w:lineRule="exact"/>
        <w:ind w:firstLine="420"/>
        <w:rPr>
          <w:rFonts w:ascii="Times New Roman"/>
          <w:snapToGrid w:val="0"/>
          <w:color w:val="auto"/>
          <w:kern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jc w:val="left"/>
        <w:outlineLvl w:val="1"/>
        <w:rPr>
          <w:rFonts w:ascii="Times New Roman"/>
          <w:b/>
          <w:snapToGrid w:val="0"/>
          <w:color w:val="auto"/>
          <w:kern w:val="0"/>
          <w:highlight w:val="none"/>
        </w:rPr>
      </w:pPr>
      <w:bookmarkStart w:id="238" w:name="_Toc18850"/>
      <w:r>
        <w:rPr>
          <w:rFonts w:hint="eastAsia" w:ascii="Times New Roman"/>
          <w:b/>
          <w:snapToGrid w:val="0"/>
          <w:color w:val="auto"/>
          <w:kern w:val="0"/>
          <w:highlight w:val="none"/>
        </w:rPr>
        <w:t>格式九 总监理工程师任职声明（适用于有任职项目）</w:t>
      </w:r>
      <w:bookmarkEnd w:id="238"/>
    </w:p>
    <w:p>
      <w:pPr>
        <w:wordWrap w:val="0"/>
        <w:adjustRightInd w:val="0"/>
        <w:snapToGrid w:val="0"/>
        <w:spacing w:line="440" w:lineRule="exact"/>
        <w:jc w:val="left"/>
        <w:rPr>
          <w:rFonts w:ascii="Times New Roman"/>
          <w:b/>
          <w:snapToGrid w:val="0"/>
          <w:color w:val="auto"/>
          <w:kern w:val="0"/>
          <w:highlight w:val="none"/>
        </w:rPr>
      </w:pPr>
    </w:p>
    <w:p>
      <w:pPr>
        <w:wordWrap w:val="0"/>
        <w:adjustRightInd w:val="0"/>
        <w:snapToGrid w:val="0"/>
        <w:spacing w:before="260" w:after="260" w:line="440" w:lineRule="exact"/>
        <w:jc w:val="center"/>
        <w:rPr>
          <w:rFonts w:ascii="Times New Roman"/>
          <w:snapToGrid w:val="0"/>
          <w:color w:val="auto"/>
          <w:kern w:val="0"/>
          <w:szCs w:val="28"/>
          <w:highlight w:val="none"/>
        </w:rPr>
      </w:pPr>
      <w:r>
        <w:rPr>
          <w:rFonts w:hint="eastAsia" w:ascii="Times New Roman"/>
          <w:b/>
          <w:snapToGrid w:val="0"/>
          <w:color w:val="auto"/>
          <w:kern w:val="0"/>
          <w:sz w:val="30"/>
          <w:highlight w:val="none"/>
        </w:rPr>
        <w:t>总监理工程师任职声明</w:t>
      </w:r>
    </w:p>
    <w:p>
      <w:pPr>
        <w:wordWrap w:val="0"/>
        <w:adjustRightInd w:val="0"/>
        <w:snapToGrid w:val="0"/>
        <w:spacing w:line="440" w:lineRule="exact"/>
        <w:jc w:val="center"/>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致：（招标人名称）：</w:t>
      </w:r>
    </w:p>
    <w:p>
      <w:pPr>
        <w:wordWrap w:val="0"/>
        <w:adjustRightInd w:val="0"/>
        <w:snapToGrid w:val="0"/>
        <w:spacing w:line="440" w:lineRule="exact"/>
        <w:ind w:firstLine="480" w:firstLineChars="200"/>
        <w:rPr>
          <w:rFonts w:ascii="Times New Roman"/>
          <w:snapToGrid w:val="0"/>
          <w:color w:val="auto"/>
          <w:kern w:val="0"/>
          <w:szCs w:val="28"/>
          <w:highlight w:val="none"/>
        </w:rPr>
      </w:pPr>
      <w:r>
        <w:rPr>
          <w:rFonts w:hint="eastAsia" w:ascii="Times New Roman"/>
          <w:snapToGrid w:val="0"/>
          <w:color w:val="auto"/>
          <w:kern w:val="0"/>
          <w:szCs w:val="28"/>
          <w:highlight w:val="none"/>
        </w:rPr>
        <w:t>我方在此声明，我方拟派往</w:t>
      </w:r>
      <w:r>
        <w:rPr>
          <w:rFonts w:hint="eastAsia" w:ascii="Times New Roman"/>
          <w:snapToGrid w:val="0"/>
          <w:color w:val="auto"/>
          <w:kern w:val="0"/>
          <w:szCs w:val="28"/>
          <w:highlight w:val="none"/>
          <w:u w:val="single"/>
        </w:rPr>
        <w:t xml:space="preserve">         </w:t>
      </w:r>
      <w:r>
        <w:rPr>
          <w:rFonts w:hint="eastAsia" w:ascii="Times New Roman"/>
          <w:snapToGrid w:val="0"/>
          <w:color w:val="auto"/>
          <w:kern w:val="0"/>
          <w:szCs w:val="28"/>
          <w:highlight w:val="none"/>
          <w:u w:val="single"/>
          <w:lang w:eastAsia="zh-CN"/>
        </w:rPr>
        <w:t>（</w:t>
      </w:r>
      <w:r>
        <w:rPr>
          <w:rFonts w:hint="eastAsia" w:ascii="Times New Roman"/>
          <w:snapToGrid w:val="0"/>
          <w:color w:val="auto"/>
          <w:kern w:val="0"/>
          <w:szCs w:val="28"/>
          <w:highlight w:val="none"/>
          <w:u w:val="single"/>
          <w:lang w:val="en-US" w:eastAsia="zh-CN"/>
        </w:rPr>
        <w:t>项目名称</w:t>
      </w:r>
      <w:r>
        <w:rPr>
          <w:rFonts w:hint="eastAsia" w:ascii="Times New Roman"/>
          <w:snapToGrid w:val="0"/>
          <w:color w:val="auto"/>
          <w:kern w:val="0"/>
          <w:szCs w:val="28"/>
          <w:highlight w:val="none"/>
          <w:u w:val="single"/>
          <w:lang w:eastAsia="zh-CN"/>
        </w:rPr>
        <w:t>）</w:t>
      </w:r>
      <w:r>
        <w:rPr>
          <w:rFonts w:hint="eastAsia" w:ascii="Times New Roman"/>
          <w:snapToGrid w:val="0"/>
          <w:color w:val="auto"/>
          <w:kern w:val="0"/>
          <w:szCs w:val="28"/>
          <w:highlight w:val="none"/>
        </w:rPr>
        <w:t>的总监理工程师</w:t>
      </w:r>
      <w:r>
        <w:rPr>
          <w:rFonts w:hint="eastAsia" w:ascii="Times New Roman"/>
          <w:snapToGrid w:val="0"/>
          <w:color w:val="auto"/>
          <w:kern w:val="0"/>
          <w:szCs w:val="28"/>
          <w:highlight w:val="none"/>
          <w:u w:val="single"/>
          <w:lang w:val="en-US" w:eastAsia="zh-CN"/>
        </w:rPr>
        <w:t xml:space="preserve">    </w:t>
      </w:r>
      <w:r>
        <w:rPr>
          <w:rFonts w:hint="eastAsia" w:ascii="Times New Roman"/>
          <w:snapToGrid w:val="0"/>
          <w:color w:val="auto"/>
          <w:kern w:val="0"/>
          <w:szCs w:val="28"/>
          <w:highlight w:val="none"/>
          <w:u w:val="single"/>
        </w:rPr>
        <w:t>（总监理工程师姓名）</w:t>
      </w:r>
      <w:r>
        <w:rPr>
          <w:rFonts w:hint="eastAsia" w:ascii="Times New Roman"/>
          <w:snapToGrid w:val="0"/>
          <w:color w:val="auto"/>
          <w:kern w:val="0"/>
          <w:szCs w:val="28"/>
          <w:highlight w:val="none"/>
        </w:rPr>
        <w:t>现阶段正在担任</w:t>
      </w:r>
      <w:r>
        <w:rPr>
          <w:rFonts w:hint="eastAsia" w:ascii="Times New Roman"/>
          <w:snapToGrid w:val="0"/>
          <w:color w:val="auto"/>
          <w:kern w:val="0"/>
          <w:szCs w:val="28"/>
          <w:highlight w:val="none"/>
          <w:u w:val="single"/>
          <w:lang w:val="en-US" w:eastAsia="zh-CN"/>
        </w:rPr>
        <w:t xml:space="preserve">    </w:t>
      </w:r>
      <w:r>
        <w:rPr>
          <w:rFonts w:hint="eastAsia" w:ascii="Times New Roman"/>
          <w:snapToGrid w:val="0"/>
          <w:color w:val="auto"/>
          <w:kern w:val="0"/>
          <w:szCs w:val="28"/>
          <w:highlight w:val="none"/>
        </w:rPr>
        <w:t>个在施（包括已中标未开工、已开工未竣工）建设工程项目的总监理工程师，具体情况详见《总监理工程师任职项目情况表》。</w:t>
      </w:r>
    </w:p>
    <w:p>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　　</w:t>
      </w:r>
    </w:p>
    <w:p>
      <w:pPr>
        <w:wordWrap w:val="0"/>
        <w:adjustRightInd w:val="0"/>
        <w:snapToGrid w:val="0"/>
        <w:spacing w:line="440" w:lineRule="exact"/>
        <w:ind w:firstLine="480"/>
        <w:rPr>
          <w:rFonts w:ascii="Times New Roman"/>
          <w:snapToGrid w:val="0"/>
          <w:color w:val="auto"/>
          <w:kern w:val="0"/>
          <w:szCs w:val="28"/>
          <w:highlight w:val="none"/>
        </w:rPr>
      </w:pPr>
      <w:r>
        <w:rPr>
          <w:rFonts w:hint="eastAsia" w:ascii="Times New Roman"/>
          <w:snapToGrid w:val="0"/>
          <w:color w:val="auto"/>
          <w:kern w:val="0"/>
          <w:szCs w:val="28"/>
          <w:highlight w:val="none"/>
        </w:rPr>
        <w:t>特此承诺</w:t>
      </w:r>
    </w:p>
    <w:p>
      <w:pPr>
        <w:wordWrap w:val="0"/>
        <w:adjustRightInd w:val="0"/>
        <w:snapToGrid w:val="0"/>
        <w:spacing w:line="440" w:lineRule="exact"/>
        <w:ind w:firstLine="480"/>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8"/>
          <w:highlight w:val="none"/>
        </w:rPr>
      </w:pPr>
      <w:r>
        <w:rPr>
          <w:rFonts w:hint="eastAsia" w:ascii="Times New Roman"/>
          <w:snapToGrid w:val="0"/>
          <w:color w:val="auto"/>
          <w:kern w:val="0"/>
          <w:szCs w:val="28"/>
          <w:highlight w:val="none"/>
        </w:rPr>
        <w:t>　　</w:t>
      </w:r>
    </w:p>
    <w:p>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投标人：（盖单位章）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r>
        <w:rPr>
          <w:rFonts w:hint="eastAsia" w:ascii="Times New Roman"/>
          <w:snapToGrid w:val="0"/>
          <w:color w:val="auto"/>
          <w:kern w:val="0"/>
          <w:szCs w:val="28"/>
          <w:highlight w:val="none"/>
        </w:rPr>
        <w:t>法定代表人或其委托代理人：（签字或盖章）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center"/>
        <w:rPr>
          <w:rFonts w:ascii="Times New Roman"/>
          <w:snapToGrid w:val="0"/>
          <w:color w:val="auto"/>
          <w:kern w:val="0"/>
          <w:szCs w:val="28"/>
          <w:highlight w:val="none"/>
        </w:rPr>
      </w:pPr>
      <w:r>
        <w:rPr>
          <w:rFonts w:hint="eastAsia" w:ascii="Times New Roman"/>
          <w:snapToGrid w:val="0"/>
          <w:color w:val="auto"/>
          <w:kern w:val="0"/>
          <w:szCs w:val="28"/>
          <w:highlight w:val="none"/>
        </w:rPr>
        <w:t>年月日</w:t>
      </w:r>
    </w:p>
    <w:p>
      <w:pPr>
        <w:wordWrap w:val="0"/>
        <w:adjustRightInd w:val="0"/>
        <w:snapToGrid w:val="0"/>
        <w:spacing w:line="440" w:lineRule="exact"/>
        <w:jc w:val="center"/>
        <w:rPr>
          <w:rFonts w:ascii="Times New Roman"/>
          <w:snapToGrid w:val="0"/>
          <w:color w:val="auto"/>
          <w:kern w:val="0"/>
          <w:szCs w:val="28"/>
          <w:highlight w:val="none"/>
        </w:rPr>
      </w:pPr>
    </w:p>
    <w:p>
      <w:pPr>
        <w:wordWrap w:val="0"/>
        <w:adjustRightInd w:val="0"/>
        <w:snapToGrid w:val="0"/>
        <w:spacing w:line="400" w:lineRule="exact"/>
        <w:ind w:firstLine="420"/>
        <w:rPr>
          <w:rFonts w:ascii="Times New Roman"/>
          <w:snapToGrid w:val="0"/>
          <w:color w:val="auto"/>
          <w:kern w:val="0"/>
          <w:sz w:val="21"/>
          <w:szCs w:val="28"/>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outlineLvl w:val="1"/>
        <w:rPr>
          <w:rFonts w:ascii="Times New Roman"/>
          <w:b/>
          <w:bCs/>
          <w:snapToGrid w:val="0"/>
          <w:color w:val="auto"/>
          <w:kern w:val="0"/>
          <w:szCs w:val="24"/>
          <w:highlight w:val="none"/>
        </w:rPr>
      </w:pPr>
      <w:bookmarkStart w:id="239" w:name="_Toc21027"/>
      <w:r>
        <w:rPr>
          <w:rFonts w:hint="eastAsia" w:ascii="Times New Roman"/>
          <w:b/>
          <w:bCs/>
          <w:snapToGrid w:val="0"/>
          <w:color w:val="auto"/>
          <w:kern w:val="0"/>
          <w:szCs w:val="24"/>
          <w:highlight w:val="none"/>
        </w:rPr>
        <w:t>格式十 总监理工程师任职项目情况表</w:t>
      </w:r>
      <w:bookmarkEnd w:id="239"/>
    </w:p>
    <w:p>
      <w:pPr>
        <w:wordWrap w:val="0"/>
        <w:adjustRightInd w:val="0"/>
        <w:snapToGrid w:val="0"/>
        <w:spacing w:line="440" w:lineRule="exact"/>
        <w:rPr>
          <w:rFonts w:ascii="Times New Roman"/>
          <w:b/>
          <w:bCs/>
          <w:snapToGrid w:val="0"/>
          <w:color w:val="auto"/>
          <w:kern w:val="0"/>
          <w:szCs w:val="24"/>
          <w:highlight w:val="none"/>
        </w:rPr>
      </w:pPr>
    </w:p>
    <w:p>
      <w:pPr>
        <w:pStyle w:val="40"/>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 xml:space="preserve"> 总监理工程师任职项目情况表（）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w:t>
            </w:r>
            <w:r>
              <w:rPr>
                <w:snapToGrid w:val="0"/>
                <w:color w:val="auto"/>
                <w:kern w:val="0"/>
                <w:szCs w:val="21"/>
                <w:highlight w:val="none"/>
              </w:rPr>
              <w:t>名称</w:t>
            </w:r>
          </w:p>
        </w:tc>
        <w:tc>
          <w:tcPr>
            <w:tcW w:w="2771" w:type="dxa"/>
            <w:noWrap/>
            <w:vAlign w:val="center"/>
          </w:tcPr>
          <w:p>
            <w:pPr>
              <w:pStyle w:val="43"/>
              <w:wordWrap w:val="0"/>
              <w:adjustRightInd w:val="0"/>
              <w:snapToGrid w:val="0"/>
              <w:jc w:val="center"/>
              <w:rPr>
                <w:snapToGrid w:val="0"/>
                <w:color w:val="auto"/>
                <w:kern w:val="0"/>
                <w:szCs w:val="21"/>
                <w:highlight w:val="none"/>
              </w:rPr>
            </w:pPr>
          </w:p>
        </w:tc>
        <w:tc>
          <w:tcPr>
            <w:tcW w:w="163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项目所在地</w:t>
            </w:r>
          </w:p>
        </w:tc>
        <w:tc>
          <w:tcPr>
            <w:tcW w:w="2594" w:type="dxa"/>
            <w:noWrap/>
            <w:vAlign w:val="center"/>
          </w:tcPr>
          <w:p>
            <w:pPr>
              <w:pStyle w:val="43"/>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委托人名称</w:t>
            </w:r>
          </w:p>
        </w:tc>
        <w:tc>
          <w:tcPr>
            <w:tcW w:w="2771" w:type="dxa"/>
            <w:noWrap/>
            <w:vAlign w:val="center"/>
          </w:tcPr>
          <w:p>
            <w:pPr>
              <w:pStyle w:val="43"/>
              <w:wordWrap w:val="0"/>
              <w:adjustRightInd w:val="0"/>
              <w:snapToGrid w:val="0"/>
              <w:jc w:val="center"/>
              <w:rPr>
                <w:snapToGrid w:val="0"/>
                <w:color w:val="auto"/>
                <w:kern w:val="0"/>
                <w:szCs w:val="21"/>
                <w:highlight w:val="none"/>
              </w:rPr>
            </w:pPr>
          </w:p>
        </w:tc>
        <w:tc>
          <w:tcPr>
            <w:tcW w:w="163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委托人地址</w:t>
            </w:r>
          </w:p>
        </w:tc>
        <w:tc>
          <w:tcPr>
            <w:tcW w:w="2594" w:type="dxa"/>
            <w:noWrap/>
            <w:vAlign w:val="center"/>
          </w:tcPr>
          <w:p>
            <w:pPr>
              <w:pStyle w:val="43"/>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委托人电话</w:t>
            </w:r>
          </w:p>
        </w:tc>
        <w:tc>
          <w:tcPr>
            <w:tcW w:w="2771" w:type="dxa"/>
            <w:noWrap/>
            <w:vAlign w:val="center"/>
          </w:tcPr>
          <w:p>
            <w:pPr>
              <w:pStyle w:val="43"/>
              <w:wordWrap w:val="0"/>
              <w:adjustRightInd w:val="0"/>
              <w:snapToGrid w:val="0"/>
              <w:jc w:val="center"/>
              <w:rPr>
                <w:snapToGrid w:val="0"/>
                <w:color w:val="auto"/>
                <w:kern w:val="0"/>
                <w:szCs w:val="21"/>
                <w:highlight w:val="none"/>
              </w:rPr>
            </w:pPr>
          </w:p>
        </w:tc>
        <w:tc>
          <w:tcPr>
            <w:tcW w:w="163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总监理工程师</w:t>
            </w:r>
          </w:p>
        </w:tc>
        <w:tc>
          <w:tcPr>
            <w:tcW w:w="2594" w:type="dxa"/>
            <w:noWrap/>
            <w:vAlign w:val="center"/>
          </w:tcPr>
          <w:p>
            <w:pPr>
              <w:pStyle w:val="43"/>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监理服务期限</w:t>
            </w:r>
          </w:p>
        </w:tc>
        <w:tc>
          <w:tcPr>
            <w:tcW w:w="2771" w:type="dxa"/>
            <w:noWrap/>
            <w:vAlign w:val="center"/>
          </w:tcPr>
          <w:p>
            <w:pPr>
              <w:pStyle w:val="43"/>
              <w:wordWrap w:val="0"/>
              <w:adjustRightInd w:val="0"/>
              <w:snapToGrid w:val="0"/>
              <w:jc w:val="center"/>
              <w:rPr>
                <w:snapToGrid w:val="0"/>
                <w:color w:val="auto"/>
                <w:kern w:val="0"/>
                <w:szCs w:val="21"/>
                <w:highlight w:val="none"/>
              </w:rPr>
            </w:pPr>
          </w:p>
        </w:tc>
        <w:tc>
          <w:tcPr>
            <w:tcW w:w="163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监理内容</w:t>
            </w:r>
          </w:p>
        </w:tc>
        <w:tc>
          <w:tcPr>
            <w:tcW w:w="2594" w:type="dxa"/>
            <w:noWrap/>
            <w:vAlign w:val="center"/>
          </w:tcPr>
          <w:p>
            <w:pPr>
              <w:pStyle w:val="43"/>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项目描述</w:t>
            </w:r>
          </w:p>
        </w:tc>
        <w:tc>
          <w:tcPr>
            <w:tcW w:w="7000" w:type="dxa"/>
            <w:gridSpan w:val="3"/>
            <w:noWrap/>
            <w:vAlign w:val="center"/>
          </w:tcPr>
          <w:p>
            <w:pPr>
              <w:pStyle w:val="43"/>
              <w:wordWrap w:val="0"/>
              <w:adjustRightInd w:val="0"/>
              <w:snapToGrid w:val="0"/>
              <w:jc w:val="left"/>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ign w:val="center"/>
          </w:tcPr>
          <w:p>
            <w:pPr>
              <w:pStyle w:val="43"/>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委托人声明</w:t>
            </w:r>
          </w:p>
        </w:tc>
        <w:tc>
          <w:tcPr>
            <w:tcW w:w="7000" w:type="dxa"/>
            <w:gridSpan w:val="3"/>
            <w:noWrap/>
            <w:vAlign w:val="center"/>
          </w:tcPr>
          <w:p>
            <w:pPr>
              <w:pStyle w:val="43"/>
              <w:adjustRightInd w:val="0"/>
              <w:snapToGrid w:val="0"/>
              <w:spacing w:line="360" w:lineRule="auto"/>
              <w:rPr>
                <w:snapToGrid w:val="0"/>
                <w:color w:val="auto"/>
                <w:kern w:val="0"/>
                <w:szCs w:val="21"/>
                <w:highlight w:val="none"/>
              </w:rPr>
            </w:pPr>
          </w:p>
          <w:p>
            <w:pPr>
              <w:pStyle w:val="43"/>
              <w:adjustRightInd w:val="0"/>
              <w:snapToGrid w:val="0"/>
              <w:spacing w:line="360" w:lineRule="auto"/>
              <w:rPr>
                <w:snapToGrid w:val="0"/>
                <w:color w:val="auto"/>
                <w:kern w:val="0"/>
                <w:szCs w:val="21"/>
                <w:highlight w:val="none"/>
              </w:rPr>
            </w:pPr>
            <w:r>
              <w:rPr>
                <w:rFonts w:hint="eastAsia"/>
                <w:snapToGrid w:val="0"/>
                <w:color w:val="auto"/>
                <w:kern w:val="0"/>
                <w:szCs w:val="21"/>
                <w:highlight w:val="none"/>
              </w:rPr>
              <w:t>致：</w:t>
            </w:r>
            <w:r>
              <w:rPr>
                <w:rFonts w:hint="eastAsia"/>
                <w:snapToGrid w:val="0"/>
                <w:color w:val="auto"/>
                <w:kern w:val="0"/>
                <w:szCs w:val="21"/>
                <w:highlight w:val="none"/>
                <w:u w:val="single"/>
              </w:rPr>
              <w:t>（本招标项目招标人名称）</w:t>
            </w:r>
          </w:p>
          <w:p>
            <w:pPr>
              <w:pStyle w:val="43"/>
              <w:adjustRightInd w:val="0"/>
              <w:snapToGrid w:val="0"/>
              <w:spacing w:line="360" w:lineRule="auto"/>
              <w:rPr>
                <w:snapToGrid w:val="0"/>
                <w:color w:val="auto"/>
                <w:kern w:val="0"/>
                <w:szCs w:val="21"/>
                <w:highlight w:val="none"/>
              </w:rPr>
            </w:pPr>
            <w:r>
              <w:rPr>
                <w:rFonts w:hint="eastAsia"/>
                <w:snapToGrid w:val="0"/>
                <w:color w:val="auto"/>
                <w:kern w:val="0"/>
                <w:szCs w:val="21"/>
                <w:highlight w:val="none"/>
              </w:rPr>
              <w:t xml:space="preserve">    我方在此声明：</w:t>
            </w:r>
          </w:p>
          <w:p>
            <w:pPr>
              <w:pStyle w:val="43"/>
              <w:adjustRightInd w:val="0"/>
              <w:snapToGrid w:val="0"/>
              <w:spacing w:line="360" w:lineRule="auto"/>
              <w:rPr>
                <w:snapToGrid w:val="0"/>
                <w:color w:val="auto"/>
                <w:kern w:val="0"/>
                <w:szCs w:val="21"/>
                <w:highlight w:val="none"/>
              </w:rPr>
            </w:pPr>
            <w:r>
              <w:rPr>
                <w:rFonts w:hint="eastAsia"/>
                <w:snapToGrid w:val="0"/>
                <w:color w:val="auto"/>
                <w:kern w:val="0"/>
                <w:szCs w:val="21"/>
                <w:highlight w:val="none"/>
              </w:rPr>
              <w:t xml:space="preserve">    一、在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同志任我方在施项目总监理工程师期间，如果</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中标你方招标项目监理业务，在</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同志目前担任总监理工程师职务的项目总数不超过两个（含我方在施项目）的前提下，我方同意其同时担任你方招标项目的总监理工程师；如果未中标，以上声明自动失效。</w:t>
            </w:r>
          </w:p>
          <w:p>
            <w:pPr>
              <w:pStyle w:val="43"/>
              <w:adjustRightInd w:val="0"/>
              <w:snapToGrid w:val="0"/>
              <w:spacing w:line="360" w:lineRule="auto"/>
              <w:rPr>
                <w:snapToGrid w:val="0"/>
                <w:color w:val="auto"/>
                <w:kern w:val="0"/>
                <w:szCs w:val="21"/>
                <w:highlight w:val="none"/>
              </w:rPr>
            </w:pPr>
            <w:r>
              <w:rPr>
                <w:rFonts w:hint="eastAsia"/>
                <w:snapToGrid w:val="0"/>
                <w:color w:val="auto"/>
                <w:kern w:val="0"/>
                <w:szCs w:val="21"/>
                <w:highlight w:val="none"/>
              </w:rPr>
              <w:t xml:space="preserve">    二、无论</w:t>
            </w:r>
            <w:r>
              <w:rPr>
                <w:rFonts w:hint="eastAsia"/>
                <w:snapToGrid w:val="0"/>
                <w:color w:val="auto"/>
                <w:kern w:val="0"/>
                <w:szCs w:val="21"/>
                <w:highlight w:val="none"/>
                <w:u w:val="single"/>
              </w:rPr>
              <w:t xml:space="preserve"> （拟派总监姓名） </w:t>
            </w:r>
            <w:r>
              <w:rPr>
                <w:rFonts w:hint="eastAsia"/>
                <w:snapToGrid w:val="0"/>
                <w:color w:val="auto"/>
                <w:kern w:val="0"/>
                <w:szCs w:val="21"/>
                <w:highlight w:val="none"/>
              </w:rPr>
              <w:t>同志是否担任其他建设项目的总监理工程师，</w:t>
            </w:r>
            <w:r>
              <w:rPr>
                <w:rFonts w:hint="eastAsia"/>
                <w:snapToGrid w:val="0"/>
                <w:color w:val="auto"/>
                <w:kern w:val="0"/>
                <w:szCs w:val="21"/>
                <w:highlight w:val="none"/>
                <w:u w:val="single"/>
              </w:rPr>
              <w:t xml:space="preserve"> （投标人名称） </w:t>
            </w:r>
            <w:r>
              <w:rPr>
                <w:rFonts w:hint="eastAsia"/>
                <w:snapToGrid w:val="0"/>
                <w:color w:val="auto"/>
                <w:kern w:val="0"/>
                <w:szCs w:val="21"/>
                <w:highlight w:val="none"/>
              </w:rPr>
              <w:t>都必须完全、严格履行我方在施项目监理合同中约定的所有义务，并确保服务内容、服务质量不得有任何减少或降低。</w:t>
            </w:r>
          </w:p>
          <w:p>
            <w:pPr>
              <w:pStyle w:val="43"/>
              <w:adjustRightInd w:val="0"/>
              <w:snapToGrid w:val="0"/>
              <w:spacing w:line="360" w:lineRule="auto"/>
              <w:rPr>
                <w:snapToGrid w:val="0"/>
                <w:color w:val="auto"/>
                <w:kern w:val="0"/>
                <w:szCs w:val="21"/>
                <w:highlight w:val="none"/>
              </w:rPr>
            </w:pPr>
          </w:p>
          <w:p>
            <w:pPr>
              <w:pStyle w:val="43"/>
              <w:adjustRightInd w:val="0"/>
              <w:snapToGrid w:val="0"/>
              <w:spacing w:line="360" w:lineRule="auto"/>
              <w:rPr>
                <w:snapToGrid w:val="0"/>
                <w:color w:val="auto"/>
                <w:kern w:val="0"/>
                <w:szCs w:val="21"/>
                <w:highlight w:val="none"/>
              </w:rPr>
            </w:pPr>
          </w:p>
          <w:p>
            <w:pPr>
              <w:pStyle w:val="43"/>
              <w:adjustRightInd w:val="0"/>
              <w:snapToGrid w:val="0"/>
              <w:spacing w:line="360" w:lineRule="auto"/>
              <w:jc w:val="right"/>
              <w:rPr>
                <w:snapToGrid w:val="0"/>
                <w:color w:val="auto"/>
                <w:kern w:val="0"/>
                <w:szCs w:val="21"/>
                <w:highlight w:val="none"/>
              </w:rPr>
            </w:pPr>
            <w:r>
              <w:rPr>
                <w:rFonts w:hint="eastAsia"/>
                <w:snapToGrid w:val="0"/>
                <w:color w:val="auto"/>
                <w:kern w:val="0"/>
                <w:szCs w:val="21"/>
                <w:highlight w:val="none"/>
              </w:rPr>
              <w:t>建设单位名称：（盖单位章）</w:t>
            </w:r>
          </w:p>
          <w:p>
            <w:pPr>
              <w:pStyle w:val="43"/>
              <w:adjustRightInd w:val="0"/>
              <w:snapToGrid w:val="0"/>
              <w:spacing w:line="360" w:lineRule="auto"/>
              <w:jc w:val="right"/>
              <w:rPr>
                <w:snapToGrid w:val="0"/>
                <w:color w:val="auto"/>
                <w:kern w:val="0"/>
                <w:szCs w:val="21"/>
                <w:highlight w:val="none"/>
              </w:rPr>
            </w:pPr>
          </w:p>
          <w:p>
            <w:pPr>
              <w:pStyle w:val="43"/>
              <w:adjustRightInd w:val="0"/>
              <w:snapToGrid w:val="0"/>
              <w:spacing w:line="360" w:lineRule="auto"/>
              <w:jc w:val="center"/>
              <w:rPr>
                <w:snapToGrid w:val="0"/>
                <w:color w:val="auto"/>
                <w:kern w:val="0"/>
                <w:szCs w:val="21"/>
                <w:highlight w:val="none"/>
              </w:rPr>
            </w:pPr>
            <w:r>
              <w:rPr>
                <w:rFonts w:hint="eastAsia"/>
                <w:snapToGrid w:val="0"/>
                <w:color w:val="auto"/>
                <w:kern w:val="0"/>
                <w:szCs w:val="21"/>
                <w:highlight w:val="none"/>
              </w:rPr>
              <w:t xml:space="preserve">                            XXXX年XX月XX日</w:t>
            </w:r>
          </w:p>
        </w:tc>
      </w:tr>
    </w:tbl>
    <w:p>
      <w:pPr>
        <w:pStyle w:val="43"/>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pPr>
        <w:pStyle w:val="43"/>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w:t>
      </w:r>
      <w:r>
        <w:rPr>
          <w:rFonts w:hint="eastAsia"/>
          <w:snapToGrid w:val="0"/>
          <w:color w:val="auto"/>
          <w:kern w:val="0"/>
          <w:szCs w:val="28"/>
          <w:highlight w:val="none"/>
        </w:rPr>
        <w:t>．</w:t>
      </w:r>
      <w:r>
        <w:rPr>
          <w:rFonts w:hint="eastAsia"/>
          <w:snapToGrid w:val="0"/>
          <w:color w:val="auto"/>
          <w:kern w:val="0"/>
          <w:szCs w:val="21"/>
          <w:highlight w:val="none"/>
        </w:rPr>
        <w:t>“任职项目”指拟派总监理工程师正在担任总监理工程师职务的在施（包括已中标未开工、已开工未竣工）建设工程项目。任职项目多于一宗的，一项目一表，并标明序号。</w:t>
      </w:r>
    </w:p>
    <w:p>
      <w:pPr>
        <w:pStyle w:val="43"/>
        <w:wordWrap w:val="0"/>
        <w:adjustRightInd w:val="0"/>
        <w:snapToGrid w:val="0"/>
        <w:spacing w:line="400" w:lineRule="exact"/>
        <w:ind w:firstLine="420" w:firstLineChars="200"/>
        <w:outlineLvl w:val="1"/>
        <w:rPr>
          <w:snapToGrid w:val="0"/>
          <w:color w:val="auto"/>
          <w:kern w:val="0"/>
          <w:szCs w:val="21"/>
          <w:highlight w:val="none"/>
        </w:rPr>
      </w:pPr>
      <w:bookmarkStart w:id="240" w:name="_Toc25176"/>
      <w:r>
        <w:rPr>
          <w:rFonts w:hint="eastAsia"/>
          <w:snapToGrid w:val="0"/>
          <w:color w:val="auto"/>
          <w:kern w:val="0"/>
          <w:szCs w:val="21"/>
          <w:highlight w:val="none"/>
        </w:rPr>
        <w:t>2</w:t>
      </w:r>
      <w:r>
        <w:rPr>
          <w:rFonts w:hint="eastAsia"/>
          <w:snapToGrid w:val="0"/>
          <w:color w:val="auto"/>
          <w:kern w:val="0"/>
          <w:szCs w:val="28"/>
          <w:highlight w:val="none"/>
        </w:rPr>
        <w:t>．</w:t>
      </w:r>
      <w:r>
        <w:rPr>
          <w:rFonts w:hint="eastAsia"/>
          <w:snapToGrid w:val="0"/>
          <w:color w:val="auto"/>
          <w:kern w:val="0"/>
          <w:szCs w:val="21"/>
          <w:highlight w:val="none"/>
        </w:rPr>
        <w:t>每份情况表后应附该项目的合同协议书</w:t>
      </w:r>
      <w:r>
        <w:rPr>
          <w:rFonts w:hint="eastAsia" w:ascii="宋体" w:hAnsi="宋体" w:cs="宋体"/>
          <w:snapToGrid w:val="0"/>
          <w:color w:val="auto"/>
          <w:kern w:val="0"/>
          <w:szCs w:val="21"/>
          <w:highlight w:val="none"/>
        </w:rPr>
        <w:t>彩色扫描件</w:t>
      </w:r>
      <w:r>
        <w:rPr>
          <w:rFonts w:hint="eastAsia"/>
          <w:snapToGrid w:val="0"/>
          <w:color w:val="auto"/>
          <w:kern w:val="0"/>
          <w:szCs w:val="21"/>
          <w:highlight w:val="none"/>
        </w:rPr>
        <w:t>。</w:t>
      </w:r>
      <w:bookmarkEnd w:id="240"/>
    </w:p>
    <w:p>
      <w:pPr>
        <w:pStyle w:val="43"/>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3</w:t>
      </w:r>
      <w:r>
        <w:rPr>
          <w:rFonts w:hint="eastAsia"/>
          <w:snapToGrid w:val="0"/>
          <w:color w:val="auto"/>
          <w:kern w:val="0"/>
          <w:szCs w:val="28"/>
          <w:highlight w:val="none"/>
        </w:rPr>
        <w:t>．投标人填写本</w:t>
      </w:r>
      <w:r>
        <w:rPr>
          <w:rFonts w:hint="eastAsia"/>
          <w:snapToGrid w:val="0"/>
          <w:color w:val="auto"/>
          <w:kern w:val="0"/>
          <w:szCs w:val="21"/>
          <w:highlight w:val="none"/>
        </w:rPr>
        <w:t>表后交任职项目建设单位审核同意后盖章。任职项目建设单位另行出具书面同意意见的，投标人应将该书面意见附在本表后，同时在“委托人声明”栏目注明“另附”即可。</w:t>
      </w:r>
    </w:p>
    <w:p>
      <w:pPr>
        <w:rPr>
          <w:rFonts w:ascii="Times New Roman"/>
          <w:snapToGrid w:val="0"/>
          <w:color w:val="auto"/>
          <w:kern w:val="0"/>
          <w:sz w:val="21"/>
          <w:szCs w:val="21"/>
          <w:highlight w:val="none"/>
        </w:rPr>
      </w:pPr>
      <w:r>
        <w:rPr>
          <w:rFonts w:ascii="Times New Roman"/>
          <w:snapToGrid w:val="0"/>
          <w:color w:val="auto"/>
          <w:kern w:val="0"/>
          <w:sz w:val="21"/>
          <w:szCs w:val="21"/>
          <w:highlight w:val="none"/>
        </w:rPr>
        <w:br w:type="page"/>
      </w:r>
    </w:p>
    <w:p>
      <w:pPr>
        <w:pStyle w:val="31"/>
        <w:rPr>
          <w:color w:val="auto"/>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ind w:left="2609" w:leftChars="15" w:hanging="2573" w:hangingChars="1068"/>
        <w:outlineLvl w:val="2"/>
        <w:rPr>
          <w:rFonts w:ascii="Times New Roman"/>
          <w:b/>
          <w:bCs/>
          <w:snapToGrid w:val="0"/>
          <w:color w:val="auto"/>
          <w:kern w:val="0"/>
          <w:szCs w:val="24"/>
          <w:highlight w:val="none"/>
        </w:rPr>
      </w:pPr>
      <w:bookmarkStart w:id="241" w:name="_Toc17284"/>
      <w:bookmarkStart w:id="242" w:name="_Toc200338098"/>
      <w:bookmarkStart w:id="243" w:name="_Toc8264"/>
      <w:r>
        <w:rPr>
          <w:rFonts w:hint="eastAsia" w:ascii="Times New Roman"/>
          <w:b/>
          <w:snapToGrid w:val="0"/>
          <w:color w:val="auto"/>
          <w:kern w:val="0"/>
          <w:highlight w:val="none"/>
        </w:rPr>
        <w:t>格式</w:t>
      </w:r>
      <w:bookmarkStart w:id="244" w:name="_Hlt287950384"/>
      <w:bookmarkEnd w:id="244"/>
      <w:r>
        <w:rPr>
          <w:rFonts w:hint="eastAsia" w:ascii="Times New Roman"/>
          <w:b/>
          <w:bCs/>
          <w:snapToGrid w:val="0"/>
          <w:color w:val="auto"/>
          <w:kern w:val="0"/>
          <w:szCs w:val="24"/>
          <w:highlight w:val="none"/>
        </w:rPr>
        <w:t>十一 项目监理机构组成人员汇总表</w:t>
      </w:r>
      <w:bookmarkEnd w:id="241"/>
    </w:p>
    <w:p>
      <w:pPr>
        <w:wordWrap w:val="0"/>
        <w:adjustRightInd w:val="0"/>
        <w:snapToGrid w:val="0"/>
        <w:spacing w:before="260" w:after="260" w:line="440" w:lineRule="exact"/>
        <w:jc w:val="center"/>
        <w:rPr>
          <w:rFonts w:ascii="Times New Roman"/>
          <w:b/>
          <w:snapToGrid w:val="0"/>
          <w:color w:val="auto"/>
          <w:kern w:val="0"/>
          <w:highlight w:val="none"/>
        </w:rPr>
      </w:pPr>
      <w:r>
        <w:rPr>
          <w:rFonts w:hint="eastAsia" w:ascii="Times New Roman"/>
          <w:b/>
          <w:snapToGrid w:val="0"/>
          <w:color w:val="auto"/>
          <w:kern w:val="0"/>
          <w:sz w:val="30"/>
          <w:highlight w:val="none"/>
        </w:rPr>
        <w:t xml:space="preserve"> 项目监理机构组成人员汇总表</w:t>
      </w:r>
    </w:p>
    <w:tbl>
      <w:tblPr>
        <w:tblStyle w:val="19"/>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813"/>
        <w:gridCol w:w="840"/>
        <w:gridCol w:w="927"/>
        <w:gridCol w:w="583"/>
        <w:gridCol w:w="800"/>
        <w:gridCol w:w="900"/>
        <w:gridCol w:w="717"/>
        <w:gridCol w:w="683"/>
        <w:gridCol w:w="1083"/>
        <w:gridCol w:w="645"/>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序号</w:t>
            </w:r>
          </w:p>
        </w:tc>
        <w:tc>
          <w:tcPr>
            <w:tcW w:w="813" w:type="dxa"/>
            <w:vMerge w:val="restart"/>
            <w:tcBorders>
              <w:top w:val="single" w:color="auto" w:sz="6" w:space="0"/>
              <w:left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拟担任职务</w:t>
            </w:r>
          </w:p>
        </w:tc>
        <w:tc>
          <w:tcPr>
            <w:tcW w:w="840" w:type="dxa"/>
            <w:vMerge w:val="restart"/>
            <w:tcBorders>
              <w:top w:val="single" w:color="auto" w:sz="6" w:space="0"/>
              <w:left w:val="single" w:color="auto" w:sz="6"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姓  名</w:t>
            </w:r>
          </w:p>
        </w:tc>
        <w:tc>
          <w:tcPr>
            <w:tcW w:w="2310" w:type="dxa"/>
            <w:gridSpan w:val="3"/>
            <w:tcBorders>
              <w:top w:val="single" w:color="auto" w:sz="4" w:space="0"/>
              <w:left w:val="single" w:color="auto" w:sz="4" w:space="0"/>
              <w:bottom w:val="single" w:color="auto" w:sz="4"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职称证书</w:t>
            </w:r>
          </w:p>
        </w:tc>
        <w:tc>
          <w:tcPr>
            <w:tcW w:w="2300" w:type="dxa"/>
            <w:gridSpan w:val="3"/>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注册证书</w:t>
            </w:r>
          </w:p>
        </w:tc>
        <w:tc>
          <w:tcPr>
            <w:tcW w:w="3133"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岗位证书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p>
        </w:tc>
        <w:tc>
          <w:tcPr>
            <w:tcW w:w="813" w:type="dxa"/>
            <w:vMerge w:val="continue"/>
            <w:tcBorders>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p>
        </w:tc>
        <w:tc>
          <w:tcPr>
            <w:tcW w:w="840" w:type="dxa"/>
            <w:vMerge w:val="continue"/>
            <w:tcBorders>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专业名称</w:t>
            </w:r>
          </w:p>
        </w:tc>
        <w:tc>
          <w:tcPr>
            <w:tcW w:w="583" w:type="dxa"/>
            <w:tcBorders>
              <w:top w:val="single" w:color="auto" w:sz="4" w:space="0"/>
              <w:left w:val="single" w:color="auto" w:sz="4" w:space="0"/>
              <w:bottom w:val="single" w:color="auto" w:sz="4"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800" w:type="dxa"/>
            <w:tcBorders>
              <w:top w:val="single" w:color="auto" w:sz="4" w:space="0"/>
              <w:left w:val="single" w:color="auto" w:sz="4" w:space="0"/>
              <w:bottom w:val="single" w:color="auto" w:sz="4" w:space="0"/>
              <w:right w:val="single" w:color="auto" w:sz="4"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c>
          <w:tcPr>
            <w:tcW w:w="900" w:type="dxa"/>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资格名称</w:t>
            </w: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岗位名称</w:t>
            </w: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级别</w:t>
            </w: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hint="eastAsia" w:ascii="Times New Roman" w:eastAsia="黑体"/>
                <w:snapToGrid w:val="0"/>
                <w:color w:val="auto"/>
                <w:kern w:val="0"/>
                <w:sz w:val="21"/>
                <w:szCs w:val="21"/>
                <w:highlight w:val="none"/>
              </w:rPr>
              <w:t>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4"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4"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4"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bookmarkStart w:id="245" w:name="_Hlt68774664"/>
        <w:bookmarkStart w:id="246" w:name="_附件二十五：综合评审合理低价法"/>
        <w:bookmarkStart w:id="247" w:name="_附件二十四：技术标提问单"/>
        <w:bookmarkStart w:id="248" w:name="_Hlt69116778"/>
        <w:bookmarkStart w:id="249" w:name="_附件十：单项工程费汇总表"/>
      </w:tr>
      <w:bookmarkEnd w:id="242"/>
      <w:bookmarkEnd w:id="243"/>
      <w:bookmarkEnd w:id="245"/>
      <w:bookmarkEnd w:id="246"/>
      <w:bookmarkEnd w:id="247"/>
      <w:bookmarkEnd w:id="248"/>
      <w:bookmarkEnd w:id="24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2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5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64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05"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pStyle w:val="40"/>
        <w:widowControl w:val="0"/>
        <w:wordWrap w:val="0"/>
        <w:adjustRightInd w:val="0"/>
        <w:snapToGrid w:val="0"/>
        <w:spacing w:line="400" w:lineRule="exact"/>
        <w:rPr>
          <w:rFonts w:ascii="Times New Roman"/>
          <w:snapToGrid w:val="0"/>
          <w:color w:val="auto"/>
          <w:sz w:val="21"/>
          <w:highlight w:val="none"/>
        </w:rPr>
      </w:pPr>
      <w:r>
        <w:rPr>
          <w:rFonts w:hint="eastAsia" w:ascii="Times New Roman"/>
          <w:snapToGrid w:val="0"/>
          <w:color w:val="auto"/>
          <w:sz w:val="21"/>
          <w:highlight w:val="none"/>
        </w:rPr>
        <w:t>说明：</w:t>
      </w:r>
    </w:p>
    <w:p>
      <w:pPr>
        <w:pStyle w:val="40"/>
        <w:widowControl w:val="0"/>
        <w:wordWrap w:val="0"/>
        <w:adjustRightInd w:val="0"/>
        <w:snapToGrid w:val="0"/>
        <w:spacing w:line="400" w:lineRule="exact"/>
        <w:outlineLvl w:val="1"/>
        <w:rPr>
          <w:rFonts w:ascii="Times New Roman"/>
          <w:snapToGrid w:val="0"/>
          <w:color w:val="auto"/>
          <w:sz w:val="21"/>
          <w:highlight w:val="none"/>
        </w:rPr>
      </w:pPr>
      <w:bookmarkStart w:id="250" w:name="_Toc32206"/>
      <w:r>
        <w:rPr>
          <w:rFonts w:hint="eastAsia" w:ascii="Times New Roman"/>
          <w:snapToGrid w:val="0"/>
          <w:color w:val="auto"/>
          <w:sz w:val="21"/>
          <w:highlight w:val="none"/>
        </w:rPr>
        <w:t>1</w:t>
      </w:r>
      <w:r>
        <w:rPr>
          <w:rFonts w:hint="eastAsia" w:ascii="Times New Roman"/>
          <w:snapToGrid w:val="0"/>
          <w:color w:val="auto"/>
          <w:sz w:val="21"/>
          <w:szCs w:val="28"/>
          <w:highlight w:val="none"/>
        </w:rPr>
        <w:t>．表中没有或无法填写的栏目，用</w:t>
      </w:r>
      <w:r>
        <w:rPr>
          <w:rFonts w:hint="eastAsia" w:ascii="Times New Roman"/>
          <w:snapToGrid w:val="0"/>
          <w:color w:val="auto"/>
          <w:sz w:val="21"/>
          <w:highlight w:val="none"/>
        </w:rPr>
        <w:t>“/”示意。</w:t>
      </w:r>
      <w:bookmarkEnd w:id="250"/>
    </w:p>
    <w:p>
      <w:pPr>
        <w:rPr>
          <w:rFonts w:ascii="Times New Roman"/>
          <w:snapToGrid w:val="0"/>
          <w:color w:val="auto"/>
          <w:sz w:val="21"/>
          <w:highlight w:val="none"/>
        </w:rPr>
      </w:pPr>
      <w:r>
        <w:rPr>
          <w:rFonts w:hint="eastAsia" w:ascii="Times New Roman"/>
          <w:snapToGrid w:val="0"/>
          <w:color w:val="auto"/>
          <w:sz w:val="21"/>
          <w:highlight w:val="none"/>
        </w:rPr>
        <w:br w:type="page"/>
      </w:r>
    </w:p>
    <w:p>
      <w:pPr>
        <w:wordWrap w:val="0"/>
        <w:adjustRightInd w:val="0"/>
        <w:snapToGrid w:val="0"/>
        <w:spacing w:line="440" w:lineRule="exact"/>
        <w:jc w:val="left"/>
        <w:outlineLvl w:val="2"/>
        <w:rPr>
          <w:rFonts w:ascii="Times New Roman"/>
          <w:b/>
          <w:bCs/>
          <w:snapToGrid w:val="0"/>
          <w:color w:val="auto"/>
          <w:kern w:val="0"/>
          <w:szCs w:val="24"/>
          <w:highlight w:val="none"/>
        </w:rPr>
      </w:pPr>
      <w:bookmarkStart w:id="251" w:name="_Toc15346"/>
      <w:r>
        <w:rPr>
          <w:rFonts w:hint="eastAsia" w:ascii="Times New Roman"/>
          <w:b/>
          <w:snapToGrid w:val="0"/>
          <w:color w:val="auto"/>
          <w:kern w:val="0"/>
          <w:highlight w:val="none"/>
        </w:rPr>
        <w:t>格式十二 总监理工程师简历表</w:t>
      </w:r>
      <w:bookmarkEnd w:id="251"/>
    </w:p>
    <w:p>
      <w:pPr>
        <w:wordWrap w:val="0"/>
        <w:adjustRightInd w:val="0"/>
        <w:snapToGrid w:val="0"/>
        <w:spacing w:line="440" w:lineRule="exact"/>
        <w:jc w:val="left"/>
        <w:rPr>
          <w:rFonts w:ascii="Times New Roman"/>
          <w:b/>
          <w:bCs/>
          <w:snapToGrid w:val="0"/>
          <w:color w:val="auto"/>
          <w:kern w:val="0"/>
          <w:szCs w:val="24"/>
          <w:highlight w:val="none"/>
        </w:rPr>
      </w:pPr>
    </w:p>
    <w:tbl>
      <w:tblPr>
        <w:tblStyle w:val="19"/>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姓名</w:t>
            </w:r>
          </w:p>
        </w:tc>
        <w:tc>
          <w:tcPr>
            <w:tcW w:w="135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性别</w:t>
            </w:r>
          </w:p>
        </w:tc>
        <w:tc>
          <w:tcPr>
            <w:tcW w:w="12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学  历</w:t>
            </w:r>
          </w:p>
        </w:tc>
        <w:tc>
          <w:tcPr>
            <w:tcW w:w="12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3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注册证书</w:t>
            </w:r>
          </w:p>
        </w:tc>
        <w:tc>
          <w:tcPr>
            <w:tcW w:w="7657" w:type="dxa"/>
            <w:gridSpan w:val="8"/>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名称：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wordWrap w:val="0"/>
        <w:adjustRightInd w:val="0"/>
        <w:snapToGrid w:val="0"/>
        <w:spacing w:line="440" w:lineRule="exact"/>
        <w:jc w:val="center"/>
        <w:outlineLvl w:val="1"/>
        <w:rPr>
          <w:rFonts w:ascii="Times New Roman"/>
          <w:b/>
          <w:bCs/>
          <w:snapToGrid w:val="0"/>
          <w:color w:val="auto"/>
          <w:kern w:val="0"/>
          <w:szCs w:val="24"/>
          <w:highlight w:val="none"/>
        </w:rPr>
      </w:pPr>
      <w:bookmarkStart w:id="252" w:name="_Toc26413"/>
      <w:r>
        <w:rPr>
          <w:rFonts w:hint="eastAsia" w:ascii="Times New Roman"/>
          <w:b/>
          <w:snapToGrid w:val="0"/>
          <w:color w:val="auto"/>
          <w:kern w:val="0"/>
          <w:sz w:val="30"/>
          <w:highlight w:val="none"/>
        </w:rPr>
        <w:t>总监理工程师简历表</w:t>
      </w:r>
      <w:bookmarkEnd w:id="252"/>
    </w:p>
    <w:p>
      <w:pPr>
        <w:wordWrap w:val="0"/>
        <w:adjustRightInd w:val="0"/>
        <w:snapToGrid w:val="0"/>
        <w:spacing w:line="440" w:lineRule="exact"/>
        <w:ind w:firstLine="570"/>
        <w:rPr>
          <w:rFonts w:ascii="Times New Roman"/>
          <w:snapToGrid w:val="0"/>
          <w:color w:val="auto"/>
          <w:kern w:val="0"/>
          <w:szCs w:val="28"/>
          <w:highlight w:val="none"/>
        </w:rPr>
      </w:pPr>
    </w:p>
    <w:p>
      <w:pPr>
        <w:pStyle w:val="41"/>
        <w:wordWrap w:val="0"/>
        <w:adjustRightInd w:val="0"/>
        <w:snapToGrid w:val="0"/>
        <w:spacing w:line="440" w:lineRule="exact"/>
        <w:jc w:val="right"/>
        <w:rPr>
          <w:rFonts w:ascii="Times New Roman"/>
          <w:snapToGrid w:val="0"/>
          <w:color w:val="auto"/>
          <w:kern w:val="0"/>
          <w:highlight w:val="none"/>
        </w:rPr>
      </w:pPr>
    </w:p>
    <w:p>
      <w:pPr>
        <w:pStyle w:val="41"/>
        <w:wordWrap w:val="0"/>
        <w:adjustRightInd w:val="0"/>
        <w:snapToGrid w:val="0"/>
        <w:spacing w:line="440" w:lineRule="exact"/>
        <w:jc w:val="right"/>
        <w:rPr>
          <w:rFonts w:ascii="Times New Roman"/>
          <w:snapToGrid w:val="0"/>
          <w:color w:val="auto"/>
          <w:kern w:val="0"/>
          <w:highlight w:val="none"/>
        </w:rPr>
      </w:pPr>
      <w:r>
        <w:rPr>
          <w:rFonts w:hint="eastAsia" w:ascii="Times New Roman"/>
          <w:snapToGrid w:val="0"/>
          <w:color w:val="auto"/>
          <w:kern w:val="0"/>
          <w:highlight w:val="none"/>
        </w:rPr>
        <w:t>总监理工程师：（签字）</w:t>
      </w:r>
    </w:p>
    <w:p>
      <w:pPr>
        <w:pStyle w:val="41"/>
        <w:wordWrap w:val="0"/>
        <w:adjustRightInd w:val="0"/>
        <w:snapToGrid w:val="0"/>
        <w:spacing w:line="440" w:lineRule="exact"/>
        <w:jc w:val="right"/>
        <w:rPr>
          <w:rFonts w:ascii="Times New Roman"/>
          <w:snapToGrid w:val="0"/>
          <w:color w:val="auto"/>
          <w:kern w:val="0"/>
          <w:highlight w:val="none"/>
        </w:rPr>
      </w:pPr>
    </w:p>
    <w:p>
      <w:pPr>
        <w:pStyle w:val="41"/>
        <w:wordWrap w:val="0"/>
        <w:adjustRightInd w:val="0"/>
        <w:snapToGrid w:val="0"/>
        <w:spacing w:line="440" w:lineRule="exact"/>
        <w:jc w:val="center"/>
        <w:rPr>
          <w:rFonts w:ascii="Times New Roman"/>
          <w:snapToGrid w:val="0"/>
          <w:color w:val="auto"/>
          <w:kern w:val="0"/>
          <w:highlight w:val="none"/>
        </w:rPr>
      </w:pPr>
      <w:r>
        <w:rPr>
          <w:rFonts w:hint="eastAsia" w:ascii="Times New Roman"/>
          <w:snapToGrid w:val="0"/>
          <w:color w:val="auto"/>
          <w:kern w:val="0"/>
          <w:highlight w:val="none"/>
        </w:rPr>
        <w:t>年月日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说明：《总监理工程师简历表》后应附拟派总监理工程师以下资料：</w:t>
      </w:r>
    </w:p>
    <w:p>
      <w:pPr>
        <w:wordWrap w:val="0"/>
        <w:adjustRightInd w:val="0"/>
        <w:snapToGrid w:val="0"/>
        <w:spacing w:line="400" w:lineRule="exact"/>
        <w:ind w:firstLine="420"/>
        <w:outlineLvl w:val="1"/>
        <w:rPr>
          <w:rFonts w:ascii="Times New Roman"/>
          <w:snapToGrid w:val="0"/>
          <w:color w:val="auto"/>
          <w:kern w:val="0"/>
          <w:sz w:val="21"/>
          <w:szCs w:val="28"/>
          <w:highlight w:val="none"/>
        </w:rPr>
      </w:pPr>
      <w:bookmarkStart w:id="253" w:name="_Toc28281"/>
      <w:r>
        <w:rPr>
          <w:rFonts w:hint="eastAsia" w:ascii="Times New Roman"/>
          <w:snapToGrid w:val="0"/>
          <w:color w:val="auto"/>
          <w:kern w:val="0"/>
          <w:sz w:val="21"/>
          <w:szCs w:val="28"/>
          <w:highlight w:val="none"/>
        </w:rPr>
        <w:t>1．身份证</w:t>
      </w:r>
      <w:r>
        <w:rPr>
          <w:rFonts w:hint="eastAsia" w:hAnsi="宋体" w:cs="宋体"/>
          <w:snapToGrid w:val="0"/>
          <w:color w:val="auto"/>
          <w:kern w:val="0"/>
          <w:sz w:val="21"/>
          <w:szCs w:val="21"/>
          <w:highlight w:val="none"/>
        </w:rPr>
        <w:t>彩色扫描件</w:t>
      </w:r>
      <w:r>
        <w:rPr>
          <w:rFonts w:hint="eastAsia" w:ascii="Times New Roman"/>
          <w:snapToGrid w:val="0"/>
          <w:color w:val="auto"/>
          <w:kern w:val="0"/>
          <w:sz w:val="21"/>
          <w:szCs w:val="28"/>
          <w:highlight w:val="none"/>
        </w:rPr>
        <w:t>；</w:t>
      </w:r>
      <w:bookmarkEnd w:id="253"/>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2．监理工程师注册证书</w:t>
      </w:r>
      <w:r>
        <w:rPr>
          <w:rFonts w:hint="eastAsia" w:hAnsi="宋体" w:cs="宋体"/>
          <w:snapToGrid w:val="0"/>
          <w:color w:val="auto"/>
          <w:kern w:val="0"/>
          <w:sz w:val="21"/>
          <w:szCs w:val="21"/>
          <w:highlight w:val="none"/>
        </w:rPr>
        <w:t>彩色扫描件</w:t>
      </w:r>
      <w:r>
        <w:rPr>
          <w:rFonts w:hint="eastAsia" w:ascii="Times New Roman"/>
          <w:snapToGrid w:val="0"/>
          <w:color w:val="auto"/>
          <w:kern w:val="0"/>
          <w:sz w:val="21"/>
          <w:szCs w:val="28"/>
          <w:highlight w:val="none"/>
        </w:rPr>
        <w:t>（须至变更注册栏）；</w:t>
      </w: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3．本单位缴纳社保的证明（至少一个月，其中必须有202</w:t>
      </w:r>
      <w:r>
        <w:rPr>
          <w:rFonts w:hint="eastAsia" w:ascii="Times New Roman"/>
          <w:snapToGrid w:val="0"/>
          <w:color w:val="auto"/>
          <w:kern w:val="0"/>
          <w:sz w:val="21"/>
          <w:szCs w:val="28"/>
          <w:highlight w:val="none"/>
          <w:lang w:val="en-US" w:eastAsia="zh-CN"/>
        </w:rPr>
        <w:t>4</w:t>
      </w:r>
      <w:r>
        <w:rPr>
          <w:rFonts w:hint="eastAsia" w:ascii="Times New Roman"/>
          <w:snapToGrid w:val="0"/>
          <w:color w:val="auto"/>
          <w:kern w:val="0"/>
          <w:sz w:val="21"/>
          <w:szCs w:val="28"/>
          <w:highlight w:val="none"/>
        </w:rPr>
        <w:t>年</w:t>
      </w:r>
      <w:r>
        <w:rPr>
          <w:rFonts w:hint="eastAsia" w:ascii="Times New Roman"/>
          <w:snapToGrid w:val="0"/>
          <w:color w:val="auto"/>
          <w:kern w:val="0"/>
          <w:sz w:val="21"/>
          <w:szCs w:val="28"/>
          <w:highlight w:val="none"/>
          <w:lang w:val="en-US" w:eastAsia="zh-CN"/>
        </w:rPr>
        <w:t>3</w:t>
      </w:r>
      <w:r>
        <w:rPr>
          <w:rFonts w:hint="eastAsia" w:ascii="Times New Roman"/>
          <w:snapToGrid w:val="0"/>
          <w:color w:val="auto"/>
          <w:kern w:val="0"/>
          <w:sz w:val="21"/>
          <w:szCs w:val="28"/>
          <w:highlight w:val="none"/>
        </w:rPr>
        <w:t>月）彩色扫描件。拟派人员为退休返聘人员无法提供社保证明的，提供退休证明和劳动合同（或返聘协议）彩色扫描件。</w:t>
      </w:r>
    </w:p>
    <w:p>
      <w:pPr>
        <w:wordWrap w:val="0"/>
        <w:adjustRightInd w:val="0"/>
        <w:snapToGrid w:val="0"/>
        <w:ind w:firstLine="420"/>
        <w:rPr>
          <w:rFonts w:hAnsi="宋体" w:cs="宋体"/>
          <w:snapToGrid w:val="0"/>
          <w:color w:val="auto"/>
          <w:kern w:val="0"/>
          <w:sz w:val="21"/>
          <w:highlight w:val="none"/>
        </w:rPr>
      </w:pPr>
    </w:p>
    <w:p>
      <w:pPr>
        <w:pStyle w:val="7"/>
        <w:spacing w:line="360" w:lineRule="auto"/>
        <w:rPr>
          <w:rFonts w:hAnsi="宋体" w:cs="宋体"/>
          <w:snapToGrid w:val="0"/>
          <w:color w:val="auto"/>
          <w:sz w:val="21"/>
          <w:highlight w:val="none"/>
        </w:rPr>
      </w:pPr>
    </w:p>
    <w:bookmarkEnd w:id="207"/>
    <w:bookmarkEnd w:id="208"/>
    <w:p>
      <w:pPr>
        <w:rPr>
          <w:rFonts w:hAnsi="宋体" w:cs="宋体"/>
          <w:color w:val="auto"/>
          <w:highlight w:val="none"/>
        </w:rPr>
      </w:pPr>
    </w:p>
    <w:p>
      <w:pPr>
        <w:pStyle w:val="22"/>
        <w:rPr>
          <w:rFonts w:ascii="宋体" w:hAnsi="宋体" w:cs="宋体"/>
          <w:color w:val="auto"/>
          <w:highlight w:val="none"/>
        </w:rPr>
      </w:pPr>
    </w:p>
    <w:p>
      <w:pPr>
        <w:pStyle w:val="22"/>
        <w:rPr>
          <w:rFonts w:ascii="宋体" w:hAnsi="宋体" w:cs="宋体"/>
          <w:color w:val="auto"/>
          <w:highlight w:val="none"/>
        </w:rPr>
      </w:pPr>
    </w:p>
    <w:p>
      <w:pPr>
        <w:pStyle w:val="22"/>
        <w:rPr>
          <w:rFonts w:ascii="宋体" w:hAnsi="宋体" w:cs="宋体"/>
          <w:color w:val="auto"/>
          <w:highlight w:val="none"/>
        </w:rPr>
      </w:pPr>
    </w:p>
    <w:p>
      <w:pPr>
        <w:wordWrap w:val="0"/>
        <w:adjustRightInd w:val="0"/>
        <w:snapToGrid w:val="0"/>
        <w:spacing w:line="440" w:lineRule="exact"/>
        <w:jc w:val="left"/>
        <w:outlineLvl w:val="2"/>
        <w:rPr>
          <w:rFonts w:ascii="Times New Roman"/>
          <w:b/>
          <w:bCs/>
          <w:snapToGrid w:val="0"/>
          <w:color w:val="auto"/>
          <w:kern w:val="0"/>
          <w:szCs w:val="24"/>
          <w:highlight w:val="none"/>
        </w:rPr>
      </w:pPr>
      <w:bookmarkStart w:id="254" w:name="_Toc20426"/>
      <w:r>
        <w:rPr>
          <w:rFonts w:hint="eastAsia" w:ascii="Times New Roman"/>
          <w:b/>
          <w:snapToGrid w:val="0"/>
          <w:color w:val="auto"/>
          <w:kern w:val="0"/>
          <w:highlight w:val="none"/>
        </w:rPr>
        <w:t>格式十三 其他拟派人员简历表</w:t>
      </w:r>
      <w:bookmarkEnd w:id="254"/>
    </w:p>
    <w:p>
      <w:pPr>
        <w:wordWrap w:val="0"/>
        <w:adjustRightInd w:val="0"/>
        <w:snapToGrid w:val="0"/>
        <w:spacing w:line="440" w:lineRule="exact"/>
        <w:jc w:val="left"/>
        <w:rPr>
          <w:rFonts w:ascii="Times New Roman"/>
          <w:b/>
          <w:bCs/>
          <w:snapToGrid w:val="0"/>
          <w:color w:val="auto"/>
          <w:kern w:val="0"/>
          <w:szCs w:val="24"/>
          <w:highlight w:val="none"/>
        </w:rPr>
      </w:pPr>
    </w:p>
    <w:tbl>
      <w:tblPr>
        <w:tblStyle w:val="19"/>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姓名</w:t>
            </w:r>
          </w:p>
        </w:tc>
        <w:tc>
          <w:tcPr>
            <w:tcW w:w="135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性别</w:t>
            </w:r>
          </w:p>
        </w:tc>
        <w:tc>
          <w:tcPr>
            <w:tcW w:w="1328"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年  龄</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职  称</w:t>
            </w:r>
          </w:p>
        </w:tc>
        <w:tc>
          <w:tcPr>
            <w:tcW w:w="135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467"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学  历</w:t>
            </w:r>
          </w:p>
        </w:tc>
        <w:tc>
          <w:tcPr>
            <w:tcW w:w="1328"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7"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拟在本项目任职</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参加工作时间</w:t>
            </w:r>
          </w:p>
        </w:tc>
        <w:tc>
          <w:tcPr>
            <w:tcW w:w="2824"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035" w:type="dxa"/>
            <w:gridSpan w:val="4"/>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从事监理工作年限</w:t>
            </w:r>
          </w:p>
        </w:tc>
        <w:tc>
          <w:tcPr>
            <w:tcW w:w="1798" w:type="dxa"/>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持证情况</w:t>
            </w:r>
          </w:p>
        </w:tc>
        <w:tc>
          <w:tcPr>
            <w:tcW w:w="7657" w:type="dxa"/>
            <w:gridSpan w:val="8"/>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r>
              <w:rPr>
                <w:rFonts w:hint="eastAsia" w:ascii="Times New Roman"/>
                <w:snapToGrid w:val="0"/>
                <w:color w:val="auto"/>
                <w:kern w:val="0"/>
                <w:sz w:val="21"/>
                <w:szCs w:val="28"/>
                <w:highlight w:val="none"/>
              </w:rPr>
              <w:t>．</w:t>
            </w:r>
            <w:r>
              <w:rPr>
                <w:rFonts w:hint="eastAsia" w:ascii="Times New Roman"/>
                <w:snapToGrid w:val="0"/>
                <w:color w:val="auto"/>
                <w:kern w:val="0"/>
                <w:sz w:val="21"/>
                <w:szCs w:val="21"/>
                <w:highlight w:val="none"/>
              </w:rPr>
              <w:t>名称：                               证书号：</w:t>
            </w:r>
          </w:p>
          <w:p>
            <w:pPr>
              <w:wordWrap w:val="0"/>
              <w:adjustRightInd w:val="0"/>
              <w:snapToGrid w:val="0"/>
              <w:spacing w:line="240" w:lineRule="auto"/>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r>
              <w:rPr>
                <w:rFonts w:hint="eastAsia" w:ascii="Times New Roman"/>
                <w:snapToGrid w:val="0"/>
                <w:color w:val="auto"/>
                <w:kern w:val="0"/>
                <w:sz w:val="21"/>
                <w:szCs w:val="28"/>
                <w:highlight w:val="none"/>
              </w:rPr>
              <w:t>．</w:t>
            </w:r>
            <w:r>
              <w:rPr>
                <w:rFonts w:hint="eastAsia" w:ascii="Times New Roman"/>
                <w:snapToGrid w:val="0"/>
                <w:color w:val="auto"/>
                <w:kern w:val="0"/>
                <w:sz w:val="21"/>
                <w:szCs w:val="21"/>
                <w:highlight w:val="none"/>
              </w:rPr>
              <w:t>名称：                               证书号：</w:t>
            </w:r>
          </w:p>
          <w:p>
            <w:pPr>
              <w:wordWrap w:val="0"/>
              <w:adjustRightInd w:val="0"/>
              <w:snapToGrid w:val="0"/>
              <w:spacing w:line="240" w:lineRule="auto"/>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r>
              <w:rPr>
                <w:rFonts w:hint="eastAsia" w:ascii="Times New Roman"/>
                <w:snapToGrid w:val="0"/>
                <w:color w:val="auto"/>
                <w:kern w:val="0"/>
                <w:sz w:val="21"/>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序号</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项目名称</w:t>
            </w: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委托人</w:t>
            </w: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担任职务</w:t>
            </w: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w:t>
            </w:r>
          </w:p>
        </w:tc>
        <w:tc>
          <w:tcPr>
            <w:tcW w:w="2100" w:type="dxa"/>
            <w:gridSpan w:val="2"/>
            <w:tcBorders>
              <w:top w:val="single" w:color="auto" w:sz="6" w:space="0"/>
              <w:left w:val="single" w:color="auto" w:sz="4"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82" w:type="dxa"/>
            <w:gridSpan w:val="3"/>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800"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2345" w:type="dxa"/>
            <w:gridSpan w:val="2"/>
            <w:tcBorders>
              <w:top w:val="single" w:color="auto" w:sz="6" w:space="0"/>
              <w:left w:val="single" w:color="auto" w:sz="6" w:space="0"/>
              <w:bottom w:val="single" w:color="auto" w:sz="6" w:space="0"/>
              <w:right w:val="single" w:color="auto" w:sz="6" w:space="0"/>
            </w:tcBorders>
            <w:noWrap/>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wordWrap w:val="0"/>
        <w:adjustRightInd w:val="0"/>
        <w:snapToGrid w:val="0"/>
        <w:spacing w:line="440" w:lineRule="exact"/>
        <w:jc w:val="center"/>
        <w:outlineLvl w:val="1"/>
        <w:rPr>
          <w:rFonts w:ascii="Times New Roman"/>
          <w:b/>
          <w:bCs/>
          <w:snapToGrid w:val="0"/>
          <w:color w:val="auto"/>
          <w:kern w:val="0"/>
          <w:szCs w:val="24"/>
          <w:highlight w:val="none"/>
        </w:rPr>
      </w:pPr>
      <w:bookmarkStart w:id="255" w:name="_Toc20397"/>
      <w:r>
        <w:rPr>
          <w:rFonts w:hint="eastAsia" w:ascii="Times New Roman"/>
          <w:b/>
          <w:snapToGrid w:val="0"/>
          <w:color w:val="auto"/>
          <w:kern w:val="0"/>
          <w:sz w:val="30"/>
          <w:highlight w:val="none"/>
        </w:rPr>
        <w:t>其他拟派人员简历表（）</w:t>
      </w:r>
      <w:bookmarkEnd w:id="255"/>
    </w:p>
    <w:p>
      <w:pPr>
        <w:pStyle w:val="41"/>
        <w:wordWrap w:val="0"/>
        <w:adjustRightInd w:val="0"/>
        <w:snapToGrid w:val="0"/>
        <w:spacing w:line="440" w:lineRule="exact"/>
        <w:jc w:val="right"/>
        <w:rPr>
          <w:rFonts w:ascii="Times New Roman"/>
          <w:snapToGrid w:val="0"/>
          <w:color w:val="auto"/>
          <w:kern w:val="0"/>
          <w:highlight w:val="none"/>
        </w:rPr>
      </w:pP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说明：</w:t>
      </w:r>
    </w:p>
    <w:p>
      <w:pPr>
        <w:wordWrap w:val="0"/>
        <w:adjustRightInd w:val="0"/>
        <w:snapToGrid w:val="0"/>
        <w:spacing w:line="40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8"/>
          <w:highlight w:val="none"/>
        </w:rPr>
        <w:t>1．“其他拟派人员”指项目监理机构中除总监理工程师以外的拟派人员，包括专业监理工程师、监理员、相关服务人员等。以上拟派人员一人一表，</w:t>
      </w:r>
      <w:r>
        <w:rPr>
          <w:rFonts w:hint="eastAsia" w:ascii="Times New Roman"/>
          <w:snapToGrid w:val="0"/>
          <w:color w:val="auto"/>
          <w:kern w:val="0"/>
          <w:sz w:val="21"/>
          <w:szCs w:val="21"/>
          <w:highlight w:val="none"/>
        </w:rPr>
        <w:t>并标明序号。</w:t>
      </w:r>
    </w:p>
    <w:p>
      <w:pPr>
        <w:wordWrap w:val="0"/>
        <w:adjustRightInd w:val="0"/>
        <w:snapToGrid w:val="0"/>
        <w:spacing w:line="400" w:lineRule="exact"/>
        <w:ind w:firstLine="420"/>
        <w:outlineLvl w:val="1"/>
        <w:rPr>
          <w:rFonts w:ascii="Times New Roman"/>
          <w:snapToGrid w:val="0"/>
          <w:color w:val="auto"/>
          <w:kern w:val="0"/>
          <w:sz w:val="21"/>
          <w:szCs w:val="28"/>
          <w:highlight w:val="none"/>
        </w:rPr>
      </w:pPr>
      <w:bookmarkStart w:id="256" w:name="_Toc2100"/>
      <w:r>
        <w:rPr>
          <w:rFonts w:hint="eastAsia" w:ascii="Times New Roman"/>
          <w:snapToGrid w:val="0"/>
          <w:color w:val="auto"/>
          <w:kern w:val="0"/>
          <w:sz w:val="21"/>
          <w:szCs w:val="28"/>
          <w:highlight w:val="none"/>
        </w:rPr>
        <w:t>2．每份简历表后应附该拟派人员以下资料：</w:t>
      </w:r>
      <w:bookmarkEnd w:id="256"/>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（1）身份证</w:t>
      </w:r>
      <w:r>
        <w:rPr>
          <w:rFonts w:hint="eastAsia" w:hAnsi="宋体" w:cs="宋体"/>
          <w:snapToGrid w:val="0"/>
          <w:color w:val="auto"/>
          <w:kern w:val="0"/>
          <w:sz w:val="21"/>
          <w:szCs w:val="21"/>
          <w:highlight w:val="none"/>
        </w:rPr>
        <w:t>彩色扫描件</w:t>
      </w:r>
      <w:r>
        <w:rPr>
          <w:rFonts w:hint="eastAsia" w:ascii="Times New Roman"/>
          <w:snapToGrid w:val="0"/>
          <w:color w:val="auto"/>
          <w:kern w:val="0"/>
          <w:sz w:val="21"/>
          <w:szCs w:val="28"/>
          <w:highlight w:val="none"/>
        </w:rPr>
        <w:t>；</w:t>
      </w:r>
    </w:p>
    <w:p>
      <w:pPr>
        <w:wordWrap w:val="0"/>
        <w:adjustRightInd w:val="0"/>
        <w:snapToGrid w:val="0"/>
        <w:spacing w:line="400" w:lineRule="exact"/>
        <w:ind w:firstLine="420"/>
        <w:rPr>
          <w:rFonts w:ascii="Times New Roman"/>
          <w:snapToGrid w:val="0"/>
          <w:color w:val="auto"/>
          <w:kern w:val="0"/>
          <w:sz w:val="21"/>
          <w:szCs w:val="21"/>
          <w:highlight w:val="none"/>
        </w:rPr>
      </w:pPr>
      <w:r>
        <w:rPr>
          <w:rFonts w:hint="eastAsia" w:ascii="Times New Roman"/>
          <w:snapToGrid w:val="0"/>
          <w:color w:val="auto"/>
          <w:kern w:val="0"/>
          <w:sz w:val="21"/>
          <w:szCs w:val="28"/>
          <w:highlight w:val="none"/>
        </w:rPr>
        <w:t>（2）相关证书（具体要求详见招标文件第一章第三节第</w:t>
      </w:r>
      <w:r>
        <w:rPr>
          <w:rFonts w:hint="eastAsia" w:ascii="Times New Roman"/>
          <w:b/>
          <w:bCs/>
          <w:snapToGrid w:val="0"/>
          <w:color w:val="auto"/>
          <w:kern w:val="0"/>
          <w:sz w:val="21"/>
          <w:szCs w:val="28"/>
          <w:highlight w:val="none"/>
        </w:rPr>
        <w:t>15.5</w:t>
      </w:r>
      <w:r>
        <w:rPr>
          <w:rFonts w:hint="eastAsia" w:ascii="Times New Roman"/>
          <w:snapToGrid w:val="0"/>
          <w:color w:val="auto"/>
          <w:kern w:val="0"/>
          <w:sz w:val="21"/>
          <w:szCs w:val="28"/>
          <w:highlight w:val="none"/>
        </w:rPr>
        <w:t>条表</w:t>
      </w:r>
      <w:r>
        <w:rPr>
          <w:rFonts w:hint="eastAsia" w:ascii="Times New Roman"/>
          <w:b/>
          <w:bCs/>
          <w:snapToGrid w:val="0"/>
          <w:color w:val="auto"/>
          <w:kern w:val="0"/>
          <w:sz w:val="21"/>
          <w:szCs w:val="28"/>
          <w:highlight w:val="none"/>
        </w:rPr>
        <w:t>2</w:t>
      </w:r>
      <w:r>
        <w:rPr>
          <w:rFonts w:hint="eastAsia" w:ascii="Times New Roman"/>
          <w:snapToGrid w:val="0"/>
          <w:color w:val="auto"/>
          <w:kern w:val="0"/>
          <w:sz w:val="21"/>
          <w:szCs w:val="28"/>
          <w:highlight w:val="none"/>
        </w:rPr>
        <w:t>《项目监理机构其他人员需求表》“持证要求”栏目）</w:t>
      </w:r>
      <w:r>
        <w:rPr>
          <w:rFonts w:hint="eastAsia" w:hAnsi="宋体" w:cs="宋体"/>
          <w:snapToGrid w:val="0"/>
          <w:color w:val="auto"/>
          <w:kern w:val="0"/>
          <w:sz w:val="21"/>
          <w:szCs w:val="21"/>
          <w:highlight w:val="none"/>
        </w:rPr>
        <w:t>彩色扫描件</w:t>
      </w:r>
      <w:r>
        <w:rPr>
          <w:rFonts w:hint="eastAsia" w:ascii="Times New Roman"/>
          <w:snapToGrid w:val="0"/>
          <w:color w:val="auto"/>
          <w:kern w:val="0"/>
          <w:sz w:val="21"/>
          <w:szCs w:val="28"/>
          <w:highlight w:val="none"/>
        </w:rPr>
        <w:t>，其中注册证书须提供变更注册栏</w:t>
      </w:r>
      <w:r>
        <w:rPr>
          <w:rFonts w:hint="eastAsia" w:ascii="Times New Roman"/>
          <w:snapToGrid w:val="0"/>
          <w:color w:val="auto"/>
          <w:kern w:val="0"/>
          <w:sz w:val="21"/>
          <w:szCs w:val="21"/>
          <w:highlight w:val="none"/>
        </w:rPr>
        <w:t>；</w:t>
      </w: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（3）本单位缴纳社保的证明（至少一个月，其中必须有202</w:t>
      </w:r>
      <w:r>
        <w:rPr>
          <w:rFonts w:hint="eastAsia" w:ascii="Times New Roman"/>
          <w:snapToGrid w:val="0"/>
          <w:color w:val="auto"/>
          <w:kern w:val="0"/>
          <w:sz w:val="21"/>
          <w:szCs w:val="28"/>
          <w:highlight w:val="none"/>
          <w:lang w:val="en-US" w:eastAsia="zh-CN"/>
        </w:rPr>
        <w:t>4</w:t>
      </w:r>
      <w:r>
        <w:rPr>
          <w:rFonts w:hint="eastAsia" w:ascii="Times New Roman"/>
          <w:snapToGrid w:val="0"/>
          <w:color w:val="auto"/>
          <w:kern w:val="0"/>
          <w:sz w:val="21"/>
          <w:szCs w:val="28"/>
          <w:highlight w:val="none"/>
        </w:rPr>
        <w:t>年</w:t>
      </w:r>
      <w:r>
        <w:rPr>
          <w:rFonts w:hint="eastAsia" w:ascii="Times New Roman"/>
          <w:snapToGrid w:val="0"/>
          <w:color w:val="auto"/>
          <w:kern w:val="0"/>
          <w:sz w:val="21"/>
          <w:szCs w:val="28"/>
          <w:highlight w:val="none"/>
          <w:lang w:val="en-US" w:eastAsia="zh-CN"/>
        </w:rPr>
        <w:t>3</w:t>
      </w:r>
      <w:r>
        <w:rPr>
          <w:rFonts w:hint="eastAsia" w:ascii="Times New Roman"/>
          <w:snapToGrid w:val="0"/>
          <w:color w:val="auto"/>
          <w:kern w:val="0"/>
          <w:sz w:val="21"/>
          <w:szCs w:val="28"/>
          <w:highlight w:val="none"/>
        </w:rPr>
        <w:t>月）彩色扫描件。拟派人员为退休返聘人员无法提供社保证明的，提供退休证明和劳动合同（或返聘协议）彩色扫描件。</w:t>
      </w:r>
    </w:p>
    <w:bookmarkEnd w:id="12"/>
    <w:bookmarkEnd w:id="209"/>
    <w:bookmarkEnd w:id="210"/>
    <w:p>
      <w:pPr>
        <w:pStyle w:val="3"/>
        <w:wordWrap w:val="0"/>
        <w:autoSpaceDE/>
        <w:autoSpaceDN/>
        <w:snapToGrid w:val="0"/>
        <w:jc w:val="center"/>
        <w:rPr>
          <w:rFonts w:hAnsi="宋体" w:cs="宋体"/>
          <w:b/>
          <w:snapToGrid w:val="0"/>
          <w:color w:val="auto"/>
          <w:sz w:val="24"/>
          <w:highlight w:val="none"/>
        </w:rPr>
      </w:pPr>
      <w:bookmarkStart w:id="257" w:name="_附件二十一：土建工程、电气工程、给排水工程工程清单项目费汇总表"/>
      <w:bookmarkEnd w:id="257"/>
      <w:bookmarkStart w:id="258" w:name="_Hlt87793582"/>
      <w:bookmarkEnd w:id="258"/>
      <w:bookmarkStart w:id="259" w:name="_附件十六：措施项目清单计价表"/>
      <w:bookmarkEnd w:id="259"/>
      <w:bookmarkStart w:id="260" w:name="_Hlt87783244"/>
      <w:bookmarkEnd w:id="260"/>
      <w:bookmarkStart w:id="261" w:name="_Toc133160683"/>
      <w:bookmarkStart w:id="262" w:name="_Toc142468134"/>
      <w:bookmarkStart w:id="263" w:name="_Toc13722"/>
      <w:bookmarkStart w:id="264" w:name="_Toc137444778"/>
      <w:bookmarkStart w:id="265" w:name="_Toc132687128"/>
      <w:bookmarkStart w:id="266" w:name="_Toc133815902"/>
      <w:bookmarkStart w:id="267" w:name="_Toc78794873"/>
    </w:p>
    <w:p>
      <w:pPr>
        <w:rPr>
          <w:rFonts w:hAnsi="宋体" w:cs="宋体"/>
          <w:b/>
          <w:snapToGrid w:val="0"/>
          <w:color w:val="auto"/>
          <w:highlight w:val="none"/>
        </w:rPr>
      </w:pPr>
      <w:bookmarkStart w:id="268" w:name="_Toc2812"/>
      <w:bookmarkStart w:id="269" w:name="_Toc18698"/>
      <w:r>
        <w:rPr>
          <w:rFonts w:hint="eastAsia" w:hAnsi="宋体" w:cs="宋体"/>
          <w:b/>
          <w:snapToGrid w:val="0"/>
          <w:color w:val="auto"/>
          <w:highlight w:val="none"/>
        </w:rPr>
        <w:br w:type="page"/>
      </w:r>
    </w:p>
    <w:p>
      <w:pPr>
        <w:pStyle w:val="3"/>
        <w:wordWrap w:val="0"/>
        <w:autoSpaceDE/>
        <w:autoSpaceDN/>
        <w:snapToGrid w:val="0"/>
        <w:jc w:val="center"/>
        <w:rPr>
          <w:rFonts w:hAnsi="宋体" w:cs="宋体"/>
          <w:snapToGrid w:val="0"/>
          <w:color w:val="auto"/>
          <w:highlight w:val="none"/>
        </w:rPr>
      </w:pPr>
      <w:r>
        <w:rPr>
          <w:rFonts w:hint="eastAsia" w:hAnsi="宋体" w:cs="宋体"/>
          <w:b/>
          <w:snapToGrid w:val="0"/>
          <w:color w:val="auto"/>
          <w:sz w:val="24"/>
          <w:highlight w:val="none"/>
        </w:rPr>
        <w:t>第六章   建设工程监理合同</w:t>
      </w:r>
      <w:bookmarkEnd w:id="261"/>
      <w:bookmarkEnd w:id="262"/>
      <w:bookmarkEnd w:id="263"/>
      <w:bookmarkEnd w:id="264"/>
      <w:bookmarkEnd w:id="265"/>
      <w:r>
        <w:rPr>
          <w:rFonts w:hint="eastAsia" w:hAnsi="宋体" w:cs="宋体"/>
          <w:b/>
          <w:snapToGrid w:val="0"/>
          <w:color w:val="auto"/>
          <w:sz w:val="24"/>
          <w:highlight w:val="none"/>
        </w:rPr>
        <w:t>和廉政合同</w:t>
      </w:r>
      <w:bookmarkEnd w:id="268"/>
      <w:bookmarkEnd w:id="269"/>
    </w:p>
    <w:p>
      <w:pPr>
        <w:wordWrap w:val="0"/>
        <w:adjustRightInd w:val="0"/>
        <w:snapToGrid w:val="0"/>
        <w:rPr>
          <w:rFonts w:hAnsi="宋体" w:cs="宋体"/>
          <w:snapToGrid w:val="0"/>
          <w:color w:val="auto"/>
          <w:kern w:val="0"/>
          <w:highlight w:val="none"/>
        </w:rPr>
      </w:pPr>
      <w:r>
        <w:rPr>
          <w:rFonts w:hint="eastAsia" w:hAnsi="宋体" w:cs="宋体"/>
          <w:snapToGrid w:val="0"/>
          <w:color w:val="auto"/>
          <w:kern w:val="0"/>
          <w:highlight w:val="none"/>
        </w:rPr>
        <w:t xml:space="preserve">    </w:t>
      </w:r>
      <w:bookmarkEnd w:id="266"/>
      <w:bookmarkEnd w:id="267"/>
    </w:p>
    <w:p>
      <w:pPr>
        <w:jc w:val="center"/>
        <w:outlineLvl w:val="1"/>
        <w:rPr>
          <w:rFonts w:hAnsi="宋体" w:cs="宋体"/>
          <w:b/>
          <w:bCs/>
          <w:color w:val="auto"/>
          <w:sz w:val="72"/>
          <w:highlight w:val="none"/>
        </w:rPr>
      </w:pPr>
      <w:bookmarkStart w:id="270" w:name="_Toc16057"/>
      <w:r>
        <w:rPr>
          <w:rFonts w:hint="eastAsia" w:hAnsi="宋体" w:cs="宋体"/>
          <w:b/>
          <w:bCs/>
          <w:color w:val="auto"/>
          <w:sz w:val="72"/>
          <w:highlight w:val="none"/>
        </w:rPr>
        <w:t>建设工程委托监理合同</w:t>
      </w:r>
      <w:bookmarkEnd w:id="270"/>
    </w:p>
    <w:p>
      <w:pPr>
        <w:jc w:val="center"/>
        <w:rPr>
          <w:rFonts w:hAnsi="宋体" w:cs="宋体"/>
          <w:b/>
          <w:bCs/>
          <w:color w:val="auto"/>
          <w:sz w:val="48"/>
          <w:szCs w:val="48"/>
          <w:highlight w:val="none"/>
        </w:rPr>
      </w:pPr>
    </w:p>
    <w:p>
      <w:pPr>
        <w:jc w:val="center"/>
        <w:rPr>
          <w:rFonts w:hAnsi="宋体" w:cs="宋体"/>
          <w:b/>
          <w:bCs/>
          <w:color w:val="auto"/>
          <w:sz w:val="48"/>
          <w:szCs w:val="48"/>
          <w:highlight w:val="none"/>
        </w:rPr>
      </w:pPr>
    </w:p>
    <w:p>
      <w:pPr>
        <w:jc w:val="center"/>
        <w:rPr>
          <w:rFonts w:hAnsi="宋体" w:cs="宋体"/>
          <w:b/>
          <w:bCs/>
          <w:color w:val="auto"/>
          <w:sz w:val="84"/>
          <w:szCs w:val="84"/>
          <w:highlight w:val="none"/>
        </w:rPr>
      </w:pPr>
    </w:p>
    <w:p>
      <w:pPr>
        <w:ind w:firstLine="1042" w:firstLineChars="346"/>
        <w:rPr>
          <w:rFonts w:hAnsi="宋体" w:cs="宋体"/>
          <w:b/>
          <w:bCs/>
          <w:color w:val="auto"/>
          <w:sz w:val="30"/>
          <w:szCs w:val="30"/>
          <w:highlight w:val="none"/>
        </w:rPr>
      </w:pPr>
    </w:p>
    <w:p>
      <w:pPr>
        <w:ind w:left="3127" w:leftChars="492" w:hanging="1946" w:hangingChars="646"/>
        <w:rPr>
          <w:rFonts w:hAnsi="宋体" w:cs="宋体"/>
          <w:b/>
          <w:bCs/>
          <w:color w:val="auto"/>
          <w:sz w:val="30"/>
          <w:szCs w:val="30"/>
          <w:highlight w:val="none"/>
        </w:rPr>
      </w:pPr>
      <w:r>
        <w:rPr>
          <w:rFonts w:hint="eastAsia" w:hAnsi="宋体" w:cs="宋体"/>
          <w:b/>
          <w:bCs/>
          <w:color w:val="auto"/>
          <w:sz w:val="30"/>
          <w:szCs w:val="30"/>
          <w:highlight w:val="none"/>
        </w:rPr>
        <w:t>工 程 名 称：</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 xml:space="preserve"> </w:t>
      </w:r>
    </w:p>
    <w:p>
      <w:pPr>
        <w:ind w:left="3127" w:leftChars="492" w:hanging="1946" w:hangingChars="646"/>
        <w:rPr>
          <w:rFonts w:hint="default" w:hAnsi="宋体" w:eastAsia="宋体" w:cs="宋体"/>
          <w:b/>
          <w:bCs/>
          <w:color w:val="auto"/>
          <w:sz w:val="30"/>
          <w:szCs w:val="30"/>
          <w:highlight w:val="none"/>
          <w:lang w:val="en-US" w:eastAsia="zh-CN"/>
        </w:rPr>
      </w:pPr>
      <w:r>
        <w:rPr>
          <w:rFonts w:hint="eastAsia" w:hAnsi="宋体" w:cs="宋体"/>
          <w:b/>
          <w:bCs/>
          <w:color w:val="auto"/>
          <w:sz w:val="30"/>
          <w:szCs w:val="30"/>
          <w:highlight w:val="none"/>
        </w:rPr>
        <w:t>工 程 地 点：</w:t>
      </w:r>
      <w:r>
        <w:rPr>
          <w:rFonts w:hint="eastAsia" w:hAnsi="宋体" w:cs="宋体"/>
          <w:b/>
          <w:bCs/>
          <w:color w:val="auto"/>
          <w:sz w:val="30"/>
          <w:szCs w:val="30"/>
          <w:highlight w:val="none"/>
          <w:u w:val="single"/>
          <w:lang w:val="en-US" w:eastAsia="zh-CN"/>
        </w:rPr>
        <w:t xml:space="preserve">韶关市武江区惠民街道      </w:t>
      </w:r>
    </w:p>
    <w:p>
      <w:pPr>
        <w:ind w:left="3127" w:leftChars="492" w:hanging="1946" w:hangingChars="646"/>
        <w:rPr>
          <w:rFonts w:hAnsi="宋体" w:cs="宋体"/>
          <w:b/>
          <w:bCs/>
          <w:color w:val="auto"/>
          <w:sz w:val="30"/>
          <w:szCs w:val="30"/>
          <w:highlight w:val="none"/>
        </w:rPr>
      </w:pPr>
      <w:r>
        <w:rPr>
          <w:rFonts w:hint="eastAsia" w:hAnsi="宋体" w:cs="宋体"/>
          <w:b/>
          <w:bCs/>
          <w:color w:val="auto"/>
          <w:sz w:val="30"/>
          <w:szCs w:val="30"/>
          <w:highlight w:val="none"/>
        </w:rPr>
        <w:t>建设单位（全称）：</w:t>
      </w:r>
      <w:r>
        <w:rPr>
          <w:rFonts w:hint="eastAsia" w:hAnsi="宋体" w:cs="宋体"/>
          <w:b/>
          <w:bCs/>
          <w:color w:val="auto"/>
          <w:sz w:val="30"/>
          <w:szCs w:val="30"/>
          <w:highlight w:val="none"/>
          <w:u w:val="single"/>
        </w:rPr>
        <w:t xml:space="preserve">                   </w:t>
      </w:r>
      <w:r>
        <w:rPr>
          <w:rFonts w:hint="eastAsia" w:hAnsi="宋体" w:cs="宋体"/>
          <w:b/>
          <w:bCs/>
          <w:color w:val="auto"/>
          <w:sz w:val="30"/>
          <w:szCs w:val="30"/>
          <w:highlight w:val="none"/>
        </w:rPr>
        <w:t xml:space="preserve">                          </w:t>
      </w:r>
    </w:p>
    <w:p>
      <w:pPr>
        <w:ind w:firstLine="1042" w:firstLineChars="346"/>
        <w:rPr>
          <w:rFonts w:hAnsi="宋体" w:cs="宋体"/>
          <w:b/>
          <w:bCs/>
          <w:color w:val="auto"/>
          <w:sz w:val="30"/>
          <w:szCs w:val="30"/>
          <w:highlight w:val="none"/>
          <w:u w:val="single"/>
        </w:rPr>
      </w:pPr>
      <w:r>
        <w:rPr>
          <w:rFonts w:hint="eastAsia" w:hAnsi="宋体" w:cs="宋体"/>
          <w:b/>
          <w:bCs/>
          <w:color w:val="auto"/>
          <w:sz w:val="30"/>
          <w:szCs w:val="30"/>
          <w:highlight w:val="none"/>
        </w:rPr>
        <w:t>委   托  人：</w:t>
      </w:r>
      <w:r>
        <w:rPr>
          <w:rFonts w:hint="eastAsia" w:hAnsi="宋体" w:cs="宋体"/>
          <w:b/>
          <w:bCs/>
          <w:color w:val="auto"/>
          <w:sz w:val="30"/>
          <w:szCs w:val="30"/>
          <w:highlight w:val="none"/>
          <w:u w:val="single"/>
        </w:rPr>
        <w:t xml:space="preserve">                          </w:t>
      </w:r>
    </w:p>
    <w:p>
      <w:pPr>
        <w:ind w:firstLine="1042" w:firstLineChars="346"/>
        <w:rPr>
          <w:rFonts w:hAnsi="宋体" w:cs="宋体"/>
          <w:b/>
          <w:bCs/>
          <w:color w:val="auto"/>
          <w:sz w:val="30"/>
          <w:szCs w:val="30"/>
          <w:highlight w:val="none"/>
        </w:rPr>
      </w:pPr>
      <w:r>
        <w:rPr>
          <w:rFonts w:hint="eastAsia" w:hAnsi="宋体" w:cs="宋体"/>
          <w:b/>
          <w:bCs/>
          <w:color w:val="auto"/>
          <w:sz w:val="30"/>
          <w:szCs w:val="30"/>
          <w:highlight w:val="none"/>
        </w:rPr>
        <w:t>监   理  人：</w:t>
      </w:r>
      <w:r>
        <w:rPr>
          <w:rFonts w:hint="eastAsia" w:hAnsi="宋体" w:cs="宋体"/>
          <w:b/>
          <w:bCs/>
          <w:color w:val="auto"/>
          <w:sz w:val="32"/>
          <w:szCs w:val="32"/>
          <w:highlight w:val="none"/>
          <w:u w:val="single"/>
        </w:rPr>
        <w:t xml:space="preserve">                        </w:t>
      </w:r>
    </w:p>
    <w:p>
      <w:pPr>
        <w:tabs>
          <w:tab w:val="left" w:pos="1440"/>
        </w:tabs>
        <w:ind w:firstLine="1039" w:firstLineChars="345"/>
        <w:rPr>
          <w:rFonts w:hAnsi="宋体" w:cs="宋体"/>
          <w:b/>
          <w:bCs/>
          <w:color w:val="auto"/>
          <w:sz w:val="30"/>
          <w:szCs w:val="30"/>
          <w:highlight w:val="none"/>
        </w:rPr>
      </w:pPr>
      <w:r>
        <w:rPr>
          <w:rFonts w:hint="eastAsia" w:hAnsi="宋体" w:cs="宋体"/>
          <w:b/>
          <w:bCs/>
          <w:color w:val="auto"/>
          <w:sz w:val="30"/>
          <w:szCs w:val="30"/>
          <w:highlight w:val="none"/>
        </w:rPr>
        <w:t xml:space="preserve">签 订 日 期: </w:t>
      </w:r>
      <w:r>
        <w:rPr>
          <w:rFonts w:hint="eastAsia" w:hAnsi="宋体" w:cs="宋体"/>
          <w:b/>
          <w:bCs/>
          <w:color w:val="auto"/>
          <w:sz w:val="30"/>
          <w:szCs w:val="30"/>
          <w:highlight w:val="none"/>
          <w:u w:val="single"/>
        </w:rPr>
        <w:t xml:space="preserve">     年   月   日</w:t>
      </w:r>
    </w:p>
    <w:p>
      <w:pPr>
        <w:jc w:val="center"/>
        <w:rPr>
          <w:rFonts w:hAnsi="宋体" w:cs="宋体"/>
          <w:b/>
          <w:bCs/>
          <w:color w:val="auto"/>
          <w:sz w:val="84"/>
          <w:szCs w:val="84"/>
          <w:highlight w:val="none"/>
        </w:rPr>
      </w:pPr>
    </w:p>
    <w:p>
      <w:pPr>
        <w:jc w:val="center"/>
        <w:outlineLvl w:val="1"/>
        <w:rPr>
          <w:rFonts w:hAnsi="宋体" w:cs="宋体"/>
          <w:b/>
          <w:bCs/>
          <w:color w:val="auto"/>
          <w:szCs w:val="24"/>
          <w:highlight w:val="none"/>
        </w:rPr>
      </w:pPr>
      <w:r>
        <w:rPr>
          <w:rFonts w:hint="eastAsia" w:hAnsi="宋体" w:cs="宋体"/>
          <w:color w:val="auto"/>
          <w:sz w:val="36"/>
          <w:szCs w:val="36"/>
          <w:highlight w:val="none"/>
        </w:rPr>
        <w:br w:type="page"/>
      </w:r>
      <w:bookmarkStart w:id="271" w:name="_Toc27574"/>
      <w:bookmarkStart w:id="272" w:name="_Toc29368732"/>
      <w:r>
        <w:rPr>
          <w:rFonts w:hint="eastAsia" w:hAnsi="宋体" w:cs="宋体"/>
          <w:b/>
          <w:bCs/>
          <w:color w:val="auto"/>
          <w:szCs w:val="24"/>
          <w:highlight w:val="none"/>
        </w:rPr>
        <w:t>第一部分  协议书</w:t>
      </w:r>
      <w:bookmarkEnd w:id="271"/>
      <w:bookmarkEnd w:id="272"/>
    </w:p>
    <w:p>
      <w:pPr>
        <w:adjustRightInd w:val="0"/>
        <w:snapToGrid w:val="0"/>
        <w:ind w:firstLine="602" w:firstLineChars="250"/>
        <w:rPr>
          <w:rFonts w:hAnsi="宋体" w:cs="宋体"/>
          <w:b/>
          <w:color w:val="auto"/>
          <w:szCs w:val="24"/>
          <w:highlight w:val="none"/>
        </w:rPr>
      </w:pPr>
    </w:p>
    <w:p>
      <w:pPr>
        <w:adjustRightInd w:val="0"/>
        <w:snapToGrid w:val="0"/>
        <w:ind w:firstLine="480" w:firstLineChars="200"/>
        <w:rPr>
          <w:rFonts w:hAnsi="宋体" w:cs="宋体"/>
          <w:bCs/>
          <w:color w:val="auto"/>
          <w:szCs w:val="24"/>
          <w:highlight w:val="none"/>
        </w:rPr>
      </w:pPr>
      <w:r>
        <w:rPr>
          <w:rFonts w:hint="eastAsia" w:hAnsi="宋体" w:cs="宋体"/>
          <w:bCs/>
          <w:color w:val="auto"/>
          <w:szCs w:val="24"/>
          <w:highlight w:val="none"/>
        </w:rPr>
        <w:t>建设单位（全称）：</w:t>
      </w:r>
      <w:r>
        <w:rPr>
          <w:rFonts w:hint="eastAsia" w:hAnsi="宋体" w:cs="宋体"/>
          <w:bCs/>
          <w:color w:val="auto"/>
          <w:szCs w:val="24"/>
          <w:highlight w:val="none"/>
          <w:u w:val="single"/>
        </w:rPr>
        <w:t xml:space="preserve">                 </w:t>
      </w:r>
    </w:p>
    <w:p>
      <w:pPr>
        <w:adjustRightInd w:val="0"/>
        <w:snapToGrid w:val="0"/>
        <w:ind w:firstLine="480" w:firstLineChars="200"/>
        <w:rPr>
          <w:rFonts w:hAnsi="宋体" w:cs="宋体"/>
          <w:bCs/>
          <w:color w:val="auto"/>
          <w:szCs w:val="24"/>
          <w:highlight w:val="none"/>
          <w:u w:val="single"/>
        </w:rPr>
      </w:pPr>
      <w:r>
        <w:rPr>
          <w:rFonts w:hint="eastAsia" w:hAnsi="宋体" w:cs="宋体"/>
          <w:color w:val="auto"/>
          <w:szCs w:val="24"/>
          <w:highlight w:val="none"/>
        </w:rPr>
        <w:t>委托人（代建单位）</w:t>
      </w:r>
      <w:r>
        <w:rPr>
          <w:rFonts w:hint="eastAsia" w:hAnsi="宋体" w:cs="宋体"/>
          <w:bCs/>
          <w:color w:val="auto"/>
          <w:szCs w:val="24"/>
          <w:highlight w:val="none"/>
        </w:rPr>
        <w:t>（全称）：</w:t>
      </w:r>
      <w:r>
        <w:rPr>
          <w:rFonts w:hint="eastAsia" w:hAnsi="宋体" w:cs="宋体"/>
          <w:bCs/>
          <w:color w:val="auto"/>
          <w:szCs w:val="24"/>
          <w:highlight w:val="none"/>
          <w:u w:val="single"/>
        </w:rPr>
        <w:t xml:space="preserve">                   </w:t>
      </w:r>
    </w:p>
    <w:p>
      <w:pPr>
        <w:adjustRightInd w:val="0"/>
        <w:snapToGrid w:val="0"/>
        <w:ind w:firstLine="480" w:firstLineChars="200"/>
        <w:rPr>
          <w:rFonts w:hAnsi="宋体" w:cs="宋体"/>
          <w:bCs/>
          <w:color w:val="auto"/>
          <w:szCs w:val="24"/>
          <w:highlight w:val="none"/>
        </w:rPr>
      </w:pPr>
      <w:r>
        <w:rPr>
          <w:rFonts w:hint="eastAsia" w:hAnsi="宋体" w:cs="宋体"/>
          <w:bCs/>
          <w:color w:val="auto"/>
          <w:szCs w:val="24"/>
          <w:highlight w:val="none"/>
        </w:rPr>
        <w:t>监理人（全称）：</w:t>
      </w:r>
      <w:r>
        <w:rPr>
          <w:rFonts w:hint="eastAsia" w:hAnsi="宋体" w:cs="宋体"/>
          <w:bCs/>
          <w:color w:val="auto"/>
          <w:szCs w:val="24"/>
          <w:highlight w:val="none"/>
          <w:u w:val="single"/>
        </w:rPr>
        <w:t xml:space="preserve">                          </w:t>
      </w:r>
    </w:p>
    <w:p>
      <w:pPr>
        <w:adjustRightInd w:val="0"/>
        <w:snapToGrid w:val="0"/>
        <w:ind w:firstLine="480" w:firstLineChars="200"/>
        <w:rPr>
          <w:rFonts w:hAnsi="宋体" w:cs="宋体"/>
          <w:color w:val="auto"/>
          <w:szCs w:val="24"/>
          <w:highlight w:val="none"/>
          <w:u w:val="single"/>
        </w:rPr>
      </w:pPr>
      <w:r>
        <w:rPr>
          <w:rFonts w:hint="eastAsia" w:hAnsi="宋体" w:cs="宋体"/>
          <w:color w:val="auto"/>
          <w:szCs w:val="24"/>
          <w:highlight w:val="none"/>
        </w:rPr>
        <w:t>根据《中华人民共和国民法典》、《中华人民共和国建筑法》及其他有关法律、法规，遵循平等、自愿、公平和诚信的原则，双方就下述工程委托监理与相关服务事项协商一致，订立本合同。</w:t>
      </w:r>
    </w:p>
    <w:p>
      <w:pPr>
        <w:adjustRightInd w:val="0"/>
        <w:snapToGrid w:val="0"/>
        <w:ind w:firstLine="480" w:firstLineChars="200"/>
        <w:outlineLvl w:val="2"/>
        <w:rPr>
          <w:rFonts w:hAnsi="宋体" w:cs="宋体"/>
          <w:color w:val="auto"/>
          <w:szCs w:val="24"/>
          <w:highlight w:val="none"/>
        </w:rPr>
      </w:pPr>
      <w:bookmarkStart w:id="273" w:name="_Toc22231"/>
      <w:r>
        <w:rPr>
          <w:rFonts w:hint="eastAsia" w:hAnsi="宋体" w:cs="宋体"/>
          <w:color w:val="auto"/>
          <w:szCs w:val="24"/>
          <w:highlight w:val="none"/>
        </w:rPr>
        <w:t>一、工程概况</w:t>
      </w:r>
      <w:bookmarkEnd w:id="273"/>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1.工程名称：</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 xml:space="preserve">2.工程地点： </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 xml:space="preserve">3.工程规模： </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4.总 投 资：</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 xml:space="preserve">5.质量标准： </w:t>
      </w:r>
    </w:p>
    <w:p>
      <w:pPr>
        <w:adjustRightInd w:val="0"/>
        <w:snapToGrid w:val="0"/>
        <w:ind w:firstLine="480" w:firstLineChars="200"/>
        <w:outlineLvl w:val="2"/>
        <w:rPr>
          <w:rFonts w:hAnsi="宋体" w:cs="宋体"/>
          <w:color w:val="auto"/>
          <w:szCs w:val="24"/>
          <w:highlight w:val="none"/>
        </w:rPr>
      </w:pPr>
      <w:bookmarkStart w:id="274" w:name="_Toc7966"/>
      <w:r>
        <w:rPr>
          <w:rFonts w:hint="eastAsia" w:hAnsi="宋体" w:cs="宋体"/>
          <w:color w:val="auto"/>
          <w:szCs w:val="24"/>
          <w:highlight w:val="none"/>
        </w:rPr>
        <w:t>二、词语限定</w:t>
      </w:r>
      <w:bookmarkEnd w:id="274"/>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协议书中相关词语的含义与通用条件中的定义与解释相同。</w:t>
      </w:r>
    </w:p>
    <w:p>
      <w:pPr>
        <w:adjustRightInd w:val="0"/>
        <w:snapToGrid w:val="0"/>
        <w:ind w:firstLine="480" w:firstLineChars="200"/>
        <w:outlineLvl w:val="2"/>
        <w:rPr>
          <w:rFonts w:hAnsi="宋体" w:cs="宋体"/>
          <w:color w:val="auto"/>
          <w:szCs w:val="24"/>
          <w:highlight w:val="none"/>
        </w:rPr>
      </w:pPr>
      <w:bookmarkStart w:id="275" w:name="_Toc18809"/>
      <w:r>
        <w:rPr>
          <w:rFonts w:hint="eastAsia" w:hAnsi="宋体" w:cs="宋体"/>
          <w:color w:val="auto"/>
          <w:szCs w:val="24"/>
          <w:highlight w:val="none"/>
        </w:rPr>
        <w:t>三、组成本合同的文件</w:t>
      </w:r>
      <w:bookmarkEnd w:id="275"/>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1. 协议书；</w:t>
      </w:r>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2. 中标通知书；</w:t>
      </w:r>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3. 专用条件；</w:t>
      </w:r>
    </w:p>
    <w:p>
      <w:pPr>
        <w:adjustRightInd w:val="0"/>
        <w:snapToGrid w:val="0"/>
        <w:rPr>
          <w:rFonts w:hAnsi="宋体" w:cs="宋体"/>
          <w:color w:val="auto"/>
          <w:szCs w:val="24"/>
          <w:highlight w:val="none"/>
        </w:rPr>
      </w:pPr>
      <w:r>
        <w:rPr>
          <w:rFonts w:hint="eastAsia" w:hAnsi="宋体" w:cs="宋体"/>
          <w:color w:val="auto"/>
          <w:szCs w:val="24"/>
          <w:highlight w:val="none"/>
        </w:rPr>
        <w:t xml:space="preserve">    4. 通用条件；</w:t>
      </w:r>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5. 投标文件。</w:t>
      </w:r>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本合同签订后，双方依法签订的补充协议也是本合同文件的组成部分。双方签订的补充协议与其他文件发生矛盾或歧义时，属于同一类内容的文件，应以最新签署的为准。</w:t>
      </w:r>
    </w:p>
    <w:p>
      <w:pPr>
        <w:adjustRightInd w:val="0"/>
        <w:snapToGrid w:val="0"/>
        <w:ind w:firstLine="480" w:firstLineChars="200"/>
        <w:outlineLvl w:val="2"/>
        <w:rPr>
          <w:rFonts w:hAnsi="宋体" w:cs="宋体"/>
          <w:color w:val="auto"/>
          <w:szCs w:val="24"/>
          <w:highlight w:val="none"/>
        </w:rPr>
      </w:pPr>
      <w:bookmarkStart w:id="276" w:name="_Toc8262"/>
      <w:r>
        <w:rPr>
          <w:rFonts w:hint="eastAsia" w:hAnsi="宋体" w:cs="宋体"/>
          <w:color w:val="auto"/>
          <w:szCs w:val="24"/>
          <w:highlight w:val="none"/>
        </w:rPr>
        <w:t>四、总监理工程师</w:t>
      </w:r>
      <w:bookmarkEnd w:id="276"/>
    </w:p>
    <w:p>
      <w:pPr>
        <w:adjustRightInd w:val="0"/>
        <w:snapToGrid w:val="0"/>
        <w:ind w:firstLine="475" w:firstLineChars="198"/>
        <w:rPr>
          <w:rFonts w:hAnsi="宋体" w:cs="宋体"/>
          <w:color w:val="auto"/>
          <w:kern w:val="0"/>
          <w:szCs w:val="24"/>
          <w:highlight w:val="none"/>
        </w:rPr>
      </w:pPr>
      <w:r>
        <w:rPr>
          <w:rFonts w:hint="eastAsia" w:hAnsi="宋体" w:cs="宋体"/>
          <w:color w:val="auto"/>
          <w:kern w:val="0"/>
          <w:szCs w:val="24"/>
          <w:highlight w:val="none"/>
        </w:rPr>
        <w:t>总监理工程师姓名：</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，身份证号码：</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，注册号：</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w:t>
      </w:r>
    </w:p>
    <w:p>
      <w:pPr>
        <w:adjustRightInd w:val="0"/>
        <w:snapToGrid w:val="0"/>
        <w:ind w:firstLine="480" w:firstLineChars="200"/>
        <w:outlineLvl w:val="2"/>
        <w:rPr>
          <w:rFonts w:hAnsi="宋体" w:cs="宋体"/>
          <w:color w:val="auto"/>
          <w:szCs w:val="24"/>
          <w:highlight w:val="none"/>
        </w:rPr>
      </w:pPr>
      <w:bookmarkStart w:id="277" w:name="_Toc15353"/>
      <w:r>
        <w:rPr>
          <w:rFonts w:hint="eastAsia" w:hAnsi="宋体" w:cs="宋体"/>
          <w:color w:val="auto"/>
          <w:szCs w:val="24"/>
          <w:highlight w:val="none"/>
        </w:rPr>
        <w:t>五、签约酬金</w:t>
      </w:r>
      <w:bookmarkEnd w:id="277"/>
    </w:p>
    <w:p>
      <w:pPr>
        <w:pStyle w:val="1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监理服务费暂定合同价为</w:t>
      </w:r>
      <w:r>
        <w:rPr>
          <w:rFonts w:hint="eastAsia" w:hAnsi="宋体" w:cs="宋体"/>
          <w:b/>
          <w:bCs/>
          <w:color w:val="auto"/>
          <w:sz w:val="24"/>
          <w:szCs w:val="24"/>
          <w:highlight w:val="none"/>
          <w:u w:val="single"/>
        </w:rPr>
        <w:t xml:space="preserve">¥    </w:t>
      </w:r>
      <w:r>
        <w:rPr>
          <w:rFonts w:hint="eastAsia" w:hAnsi="宋体" w:cs="宋体"/>
          <w:color w:val="auto"/>
          <w:sz w:val="24"/>
          <w:szCs w:val="24"/>
          <w:highlight w:val="none"/>
        </w:rPr>
        <w:t>元（含增值税），投标取费费率为</w:t>
      </w:r>
      <w:r>
        <w:rPr>
          <w:rFonts w:hint="eastAsia" w:hAnsi="宋体" w:cs="宋体"/>
          <w:b/>
          <w:bCs/>
          <w:color w:val="auto"/>
          <w:sz w:val="24"/>
          <w:szCs w:val="24"/>
          <w:highlight w:val="none"/>
          <w:u w:val="single"/>
        </w:rPr>
        <w:t xml:space="preserve">   </w:t>
      </w:r>
      <w:r>
        <w:rPr>
          <w:rFonts w:hint="eastAsia" w:hAnsi="宋体" w:cs="宋体"/>
          <w:color w:val="auto"/>
          <w:sz w:val="24"/>
          <w:szCs w:val="24"/>
          <w:highlight w:val="none"/>
        </w:rPr>
        <w:t>%。</w:t>
      </w:r>
    </w:p>
    <w:p>
      <w:pPr>
        <w:adjustRightInd w:val="0"/>
        <w:snapToGrid w:val="0"/>
        <w:ind w:firstLine="480" w:firstLineChars="200"/>
        <w:outlineLvl w:val="2"/>
        <w:rPr>
          <w:rFonts w:hAnsi="宋体" w:cs="宋体"/>
          <w:color w:val="auto"/>
          <w:szCs w:val="24"/>
          <w:highlight w:val="none"/>
        </w:rPr>
      </w:pPr>
      <w:bookmarkStart w:id="278" w:name="_Toc25473"/>
      <w:r>
        <w:rPr>
          <w:rFonts w:hint="eastAsia" w:hAnsi="宋体" w:cs="宋体"/>
          <w:color w:val="auto"/>
          <w:szCs w:val="24"/>
          <w:highlight w:val="none"/>
        </w:rPr>
        <w:t>六、期限</w:t>
      </w:r>
      <w:bookmarkEnd w:id="278"/>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监理期限：</w:t>
      </w:r>
    </w:p>
    <w:p>
      <w:pPr>
        <w:adjustRightInd w:val="0"/>
        <w:snapToGrid w:val="0"/>
        <w:ind w:firstLine="480" w:firstLineChars="200"/>
        <w:outlineLvl w:val="2"/>
        <w:rPr>
          <w:rFonts w:hAnsi="宋体" w:cs="宋体"/>
          <w:color w:val="auto"/>
          <w:szCs w:val="24"/>
          <w:highlight w:val="none"/>
        </w:rPr>
      </w:pPr>
      <w:bookmarkStart w:id="279" w:name="_Toc11314"/>
      <w:r>
        <w:rPr>
          <w:rFonts w:hint="eastAsia" w:hAnsi="宋体" w:cs="宋体"/>
          <w:color w:val="auto"/>
          <w:szCs w:val="24"/>
          <w:highlight w:val="none"/>
        </w:rPr>
        <w:t>七、双方承诺</w:t>
      </w:r>
      <w:bookmarkEnd w:id="279"/>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1. 监理人向委托人承诺，按照本合同约定提供监理与相关服务。</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2. 委托人向监理人承诺，按照本合同约定派遣相应的人员，并按本合同约定支付酬金。</w:t>
      </w:r>
    </w:p>
    <w:p>
      <w:pPr>
        <w:adjustRightInd w:val="0"/>
        <w:snapToGrid w:val="0"/>
        <w:ind w:firstLine="480" w:firstLineChars="200"/>
        <w:outlineLvl w:val="2"/>
        <w:rPr>
          <w:rFonts w:hAnsi="宋体" w:cs="宋体"/>
          <w:color w:val="auto"/>
          <w:szCs w:val="24"/>
          <w:highlight w:val="none"/>
        </w:rPr>
      </w:pPr>
      <w:bookmarkStart w:id="280" w:name="_Toc18097"/>
      <w:r>
        <w:rPr>
          <w:rFonts w:hint="eastAsia" w:hAnsi="宋体" w:cs="宋体"/>
          <w:color w:val="auto"/>
          <w:szCs w:val="24"/>
          <w:highlight w:val="none"/>
        </w:rPr>
        <w:t>八、合同订立</w:t>
      </w:r>
      <w:bookmarkEnd w:id="280"/>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1. 订立时间：</w:t>
      </w:r>
      <w:r>
        <w:rPr>
          <w:rFonts w:hint="eastAsia" w:hAnsi="宋体" w:cs="宋体"/>
          <w:color w:val="auto"/>
          <w:szCs w:val="24"/>
          <w:highlight w:val="none"/>
          <w:u w:val="single"/>
        </w:rPr>
        <w:t xml:space="preserve">     </w:t>
      </w:r>
      <w:r>
        <w:rPr>
          <w:rFonts w:hint="eastAsia" w:hAnsi="宋体" w:cs="宋体"/>
          <w:color w:val="auto"/>
          <w:szCs w:val="24"/>
          <w:highlight w:val="none"/>
        </w:rPr>
        <w:t>年</w:t>
      </w:r>
      <w:r>
        <w:rPr>
          <w:rFonts w:hint="eastAsia" w:hAnsi="宋体" w:cs="宋体"/>
          <w:color w:val="auto"/>
          <w:szCs w:val="24"/>
          <w:highlight w:val="none"/>
          <w:u w:val="single"/>
        </w:rPr>
        <w:t xml:space="preserve">  </w:t>
      </w:r>
      <w:r>
        <w:rPr>
          <w:rFonts w:hint="eastAsia" w:hAnsi="宋体" w:cs="宋体"/>
          <w:color w:val="auto"/>
          <w:szCs w:val="24"/>
          <w:highlight w:val="none"/>
        </w:rPr>
        <w:t>月</w:t>
      </w:r>
      <w:r>
        <w:rPr>
          <w:rFonts w:hint="eastAsia" w:hAnsi="宋体" w:cs="宋体"/>
          <w:color w:val="auto"/>
          <w:szCs w:val="24"/>
          <w:highlight w:val="none"/>
          <w:u w:val="single"/>
        </w:rPr>
        <w:t xml:space="preserve">    </w:t>
      </w:r>
      <w:r>
        <w:rPr>
          <w:rFonts w:hint="eastAsia" w:hAnsi="宋体" w:cs="宋体"/>
          <w:color w:val="auto"/>
          <w:szCs w:val="24"/>
          <w:highlight w:val="none"/>
        </w:rPr>
        <w:t>日。</w:t>
      </w:r>
    </w:p>
    <w:p>
      <w:pPr>
        <w:adjustRightInd w:val="0"/>
        <w:snapToGrid w:val="0"/>
        <w:ind w:firstLine="475" w:firstLineChars="198"/>
        <w:rPr>
          <w:rFonts w:hAnsi="宋体" w:cs="宋体"/>
          <w:color w:val="auto"/>
          <w:szCs w:val="24"/>
          <w:highlight w:val="none"/>
        </w:rPr>
      </w:pPr>
      <w:r>
        <w:rPr>
          <w:rFonts w:hint="eastAsia" w:hAnsi="宋体" w:cs="宋体"/>
          <w:color w:val="auto"/>
          <w:szCs w:val="24"/>
          <w:highlight w:val="none"/>
        </w:rPr>
        <w:t>2. 订立地点：</w:t>
      </w:r>
      <w:r>
        <w:rPr>
          <w:rFonts w:hint="eastAsia" w:hAnsi="宋体" w:cs="宋体"/>
          <w:color w:val="auto"/>
          <w:szCs w:val="24"/>
          <w:highlight w:val="none"/>
          <w:u w:val="single"/>
        </w:rPr>
        <w:t xml:space="preserve">      </w:t>
      </w:r>
      <w:r>
        <w:rPr>
          <w:rFonts w:hint="eastAsia" w:hAnsi="宋体" w:cs="宋体"/>
          <w:color w:val="auto"/>
          <w:szCs w:val="24"/>
          <w:highlight w:val="none"/>
        </w:rPr>
        <w:t>。</w:t>
      </w:r>
    </w:p>
    <w:p>
      <w:pPr>
        <w:adjustRightInd w:val="0"/>
        <w:snapToGrid w:val="0"/>
        <w:ind w:firstLine="480" w:firstLineChars="200"/>
        <w:rPr>
          <w:rFonts w:hAnsi="宋体" w:cs="宋体"/>
          <w:color w:val="auto"/>
          <w:szCs w:val="24"/>
          <w:highlight w:val="none"/>
        </w:rPr>
      </w:pPr>
      <w:r>
        <w:rPr>
          <w:rFonts w:hint="eastAsia" w:hAnsi="宋体" w:cs="宋体"/>
          <w:color w:val="auto"/>
          <w:szCs w:val="24"/>
          <w:highlight w:val="none"/>
        </w:rPr>
        <w:t>3. 本合同一式</w:t>
      </w:r>
      <w:r>
        <w:rPr>
          <w:rFonts w:hint="eastAsia" w:hAnsi="宋体" w:cs="宋体"/>
          <w:color w:val="auto"/>
          <w:szCs w:val="24"/>
          <w:highlight w:val="none"/>
          <w:u w:val="single"/>
        </w:rPr>
        <w:t>十六</w:t>
      </w:r>
      <w:r>
        <w:rPr>
          <w:rFonts w:hint="eastAsia" w:hAnsi="宋体" w:cs="宋体"/>
          <w:color w:val="auto"/>
          <w:szCs w:val="24"/>
          <w:highlight w:val="none"/>
        </w:rPr>
        <w:t>份，具有同等法律效力，建设单位、委托人执</w:t>
      </w:r>
      <w:r>
        <w:rPr>
          <w:rFonts w:hint="eastAsia" w:hAnsi="宋体" w:cs="宋体"/>
          <w:color w:val="auto"/>
          <w:szCs w:val="24"/>
          <w:highlight w:val="none"/>
          <w:u w:val="single"/>
        </w:rPr>
        <w:t>十二</w:t>
      </w:r>
      <w:r>
        <w:rPr>
          <w:rFonts w:hint="eastAsia" w:hAnsi="宋体" w:cs="宋体"/>
          <w:color w:val="auto"/>
          <w:szCs w:val="24"/>
          <w:highlight w:val="none"/>
        </w:rPr>
        <w:t>份，监理人执</w:t>
      </w:r>
      <w:r>
        <w:rPr>
          <w:rFonts w:hint="eastAsia" w:hAnsi="宋体" w:cs="宋体"/>
          <w:color w:val="auto"/>
          <w:szCs w:val="24"/>
          <w:highlight w:val="none"/>
          <w:u w:val="single"/>
        </w:rPr>
        <w:t>四</w:t>
      </w:r>
      <w:r>
        <w:rPr>
          <w:rFonts w:hint="eastAsia" w:hAnsi="宋体" w:cs="宋体"/>
          <w:color w:val="auto"/>
          <w:szCs w:val="24"/>
          <w:highlight w:val="none"/>
        </w:rPr>
        <w:t>份。</w:t>
      </w:r>
    </w:p>
    <w:p>
      <w:pPr>
        <w:adjustRightInd w:val="0"/>
        <w:snapToGrid w:val="0"/>
        <w:ind w:left="722" w:leftChars="301"/>
        <w:rPr>
          <w:rFonts w:hAnsi="宋体" w:cs="宋体"/>
          <w:color w:val="auto"/>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建设单位：（公章）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委托人（代建单位）：（公章）</w:t>
            </w:r>
          </w:p>
          <w:p>
            <w:pPr>
              <w:pStyle w:val="15"/>
              <w:adjustRightInd w:val="0"/>
              <w:snapToGrid w:val="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住所：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住所：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法定代表人或其授权的代理人：</w:t>
            </w:r>
          </w:p>
          <w:p>
            <w:pPr>
              <w:pStyle w:val="15"/>
              <w:adjustRightInd w:val="0"/>
              <w:snapToGrid w:val="0"/>
              <w:ind w:firstLine="1440" w:firstLineChars="600"/>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 xml:space="preserve">（签字）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法定代表人或其授权的代理人：</w:t>
            </w:r>
          </w:p>
          <w:p>
            <w:pPr>
              <w:pStyle w:val="15"/>
              <w:adjustRightInd w:val="0"/>
              <w:snapToGrid w:val="0"/>
              <w:ind w:firstLine="1440" w:firstLineChars="600"/>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开户银行：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账号：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电话：                             </w:t>
            </w:r>
          </w:p>
        </w:tc>
        <w:tc>
          <w:tcPr>
            <w:tcW w:w="4927"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电话：                          </w:t>
            </w:r>
          </w:p>
        </w:tc>
      </w:tr>
    </w:tbl>
    <w:p>
      <w:pPr>
        <w:pStyle w:val="15"/>
        <w:adjustRightInd w:val="0"/>
        <w:snapToGrid w:val="0"/>
        <w:rPr>
          <w:rFonts w:hAnsi="宋体" w:cs="宋体"/>
          <w:color w:val="auto"/>
          <w:szCs w:val="24"/>
          <w:highlight w:val="none"/>
        </w:rPr>
      </w:pPr>
    </w:p>
    <w:p>
      <w:pPr>
        <w:rPr>
          <w:rFonts w:hAnsi="宋体" w:cs="宋体"/>
          <w:color w:val="auto"/>
          <w:szCs w:val="24"/>
          <w:highlight w:val="none"/>
        </w:rPr>
      </w:pPr>
      <w:r>
        <w:rPr>
          <w:rFonts w:hint="eastAsia" w:hAnsi="宋体" w:cs="宋体"/>
          <w:color w:val="auto"/>
          <w:szCs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vAlign w:val="center"/>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监理人：（公章）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vAlign w:val="center"/>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住所：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tcPr>
          <w:p>
            <w:pPr>
              <w:pStyle w:val="15"/>
              <w:adjustRightInd w:val="0"/>
              <w:snapToGrid w:val="0"/>
              <w:rPr>
                <w:rFonts w:hAnsi="宋体" w:cs="宋体"/>
                <w:color w:val="auto"/>
                <w:szCs w:val="24"/>
                <w:highlight w:val="none"/>
              </w:rPr>
            </w:pPr>
            <w:r>
              <w:rPr>
                <w:rFonts w:hint="eastAsia" w:hAnsi="宋体" w:cs="宋体"/>
                <w:color w:val="auto"/>
                <w:szCs w:val="24"/>
                <w:highlight w:val="none"/>
              </w:rPr>
              <w:t>法定代表人或其授权的代理人：</w:t>
            </w:r>
          </w:p>
          <w:p>
            <w:pPr>
              <w:pStyle w:val="15"/>
              <w:adjustRightInd w:val="0"/>
              <w:snapToGrid w:val="0"/>
              <w:ind w:firstLine="3120" w:firstLineChars="1300"/>
              <w:rPr>
                <w:rFonts w:hAnsi="宋体" w:cs="宋体"/>
                <w:color w:val="auto"/>
                <w:szCs w:val="24"/>
                <w:highlight w:val="none"/>
              </w:rPr>
            </w:pPr>
            <w:r>
              <w:rPr>
                <w:rFonts w:hint="eastAsia" w:hAnsi="宋体" w:cs="宋体"/>
                <w:color w:val="auto"/>
                <w:szCs w:val="24"/>
                <w:highlight w:val="none"/>
                <w:u w:val="single"/>
              </w:rPr>
              <w:t xml:space="preserve">                  </w:t>
            </w:r>
            <w:r>
              <w:rPr>
                <w:rFonts w:hint="eastAsia" w:hAnsi="宋体" w:cs="宋体"/>
                <w:color w:val="auto"/>
                <w:szCs w:val="24"/>
                <w:highlight w:val="none"/>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vAlign w:val="center"/>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vAlign w:val="center"/>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nil"/>
              <w:left w:val="nil"/>
              <w:bottom w:val="nil"/>
              <w:right w:val="nil"/>
            </w:tcBorders>
            <w:vAlign w:val="center"/>
          </w:tcPr>
          <w:p>
            <w:pPr>
              <w:pStyle w:val="15"/>
              <w:adjustRightInd w:val="0"/>
              <w:snapToGrid w:val="0"/>
              <w:rPr>
                <w:rFonts w:hAnsi="宋体" w:cs="宋体"/>
                <w:color w:val="auto"/>
                <w:szCs w:val="24"/>
                <w:highlight w:val="none"/>
              </w:rPr>
            </w:pPr>
            <w:r>
              <w:rPr>
                <w:rFonts w:hint="eastAsia" w:hAnsi="宋体" w:cs="宋体"/>
                <w:color w:val="auto"/>
                <w:szCs w:val="24"/>
                <w:highlight w:val="none"/>
              </w:rPr>
              <w:t xml:space="preserve">电话：                             </w:t>
            </w:r>
          </w:p>
        </w:tc>
      </w:tr>
    </w:tbl>
    <w:p>
      <w:pPr>
        <w:rPr>
          <w:rFonts w:hAnsi="宋体" w:cs="宋体"/>
          <w:color w:val="auto"/>
          <w:szCs w:val="24"/>
          <w:highlight w:val="none"/>
        </w:rPr>
      </w:pPr>
      <w:r>
        <w:rPr>
          <w:rFonts w:hint="eastAsia" w:hAnsi="宋体" w:cs="宋体"/>
          <w:color w:val="auto"/>
          <w:szCs w:val="24"/>
          <w:highlight w:val="none"/>
        </w:rPr>
        <w:t xml:space="preserve">                                </w:t>
      </w:r>
    </w:p>
    <w:p>
      <w:pPr>
        <w:pStyle w:val="23"/>
        <w:rPr>
          <w:rFonts w:ascii="宋体" w:hAnsi="宋体" w:cs="宋体"/>
          <w:color w:val="auto"/>
          <w:highlight w:val="none"/>
        </w:rPr>
      </w:pPr>
    </w:p>
    <w:p>
      <w:pPr>
        <w:rPr>
          <w:rFonts w:hAnsi="宋体" w:cs="宋体"/>
          <w:color w:val="auto"/>
          <w:szCs w:val="24"/>
          <w:highlight w:val="none"/>
        </w:rPr>
      </w:pPr>
    </w:p>
    <w:p>
      <w:pPr>
        <w:pStyle w:val="23"/>
        <w:rPr>
          <w:rFonts w:ascii="宋体" w:hAnsi="宋体" w:cs="宋体"/>
          <w:color w:val="auto"/>
          <w:highlight w:val="none"/>
        </w:rPr>
      </w:pPr>
    </w:p>
    <w:p>
      <w:pPr>
        <w:rPr>
          <w:rFonts w:hAnsi="宋体" w:cs="宋体"/>
          <w:color w:val="auto"/>
          <w:szCs w:val="24"/>
          <w:highlight w:val="none"/>
        </w:rPr>
      </w:pPr>
    </w:p>
    <w:p>
      <w:pPr>
        <w:pStyle w:val="23"/>
        <w:rPr>
          <w:rFonts w:ascii="宋体" w:hAnsi="宋体" w:cs="宋体"/>
          <w:color w:val="auto"/>
          <w:highlight w:val="none"/>
        </w:rPr>
      </w:pPr>
    </w:p>
    <w:p>
      <w:pPr>
        <w:rPr>
          <w:rFonts w:hAnsi="宋体" w:cs="宋体"/>
          <w:color w:val="auto"/>
          <w:szCs w:val="24"/>
          <w:highlight w:val="none"/>
        </w:rPr>
      </w:pPr>
    </w:p>
    <w:p>
      <w:pPr>
        <w:pStyle w:val="23"/>
        <w:rPr>
          <w:rFonts w:ascii="宋体" w:hAnsi="宋体" w:cs="宋体"/>
          <w:color w:val="auto"/>
          <w:highlight w:val="none"/>
        </w:rPr>
      </w:pPr>
    </w:p>
    <w:p>
      <w:pPr>
        <w:rPr>
          <w:color w:val="auto"/>
          <w:highlight w:val="none"/>
        </w:rPr>
      </w:pPr>
    </w:p>
    <w:p>
      <w:pPr>
        <w:pStyle w:val="4"/>
        <w:jc w:val="center"/>
        <w:rPr>
          <w:rFonts w:hAnsi="宋体" w:cs="宋体"/>
          <w:color w:val="auto"/>
          <w:szCs w:val="24"/>
          <w:highlight w:val="none"/>
        </w:rPr>
      </w:pPr>
    </w:p>
    <w:p>
      <w:pPr>
        <w:jc w:val="center"/>
        <w:outlineLvl w:val="1"/>
        <w:rPr>
          <w:rFonts w:hAnsi="宋体" w:cs="宋体"/>
          <w:b/>
          <w:bCs/>
          <w:color w:val="auto"/>
          <w:szCs w:val="24"/>
          <w:highlight w:val="none"/>
        </w:rPr>
      </w:pPr>
      <w:bookmarkStart w:id="281" w:name="_Toc16942"/>
      <w:bookmarkStart w:id="282" w:name="_Toc29368733"/>
      <w:r>
        <w:rPr>
          <w:rFonts w:hint="eastAsia" w:hAnsi="宋体" w:cs="宋体"/>
          <w:b/>
          <w:bCs/>
          <w:color w:val="auto"/>
          <w:szCs w:val="24"/>
          <w:highlight w:val="none"/>
        </w:rPr>
        <w:t>第二部分  通用条款</w:t>
      </w:r>
      <w:bookmarkEnd w:id="281"/>
      <w:bookmarkEnd w:id="282"/>
    </w:p>
    <w:p>
      <w:pPr>
        <w:wordWrap w:val="0"/>
        <w:adjustRightInd w:val="0"/>
        <w:snapToGrid w:val="0"/>
        <w:spacing w:line="440" w:lineRule="exact"/>
        <w:rPr>
          <w:rFonts w:hAnsi="宋体" w:cs="宋体"/>
          <w:b/>
          <w:bCs/>
          <w:snapToGrid w:val="0"/>
          <w:color w:val="auto"/>
          <w:kern w:val="0"/>
          <w:szCs w:val="24"/>
          <w:highlight w:val="none"/>
        </w:rPr>
      </w:pPr>
      <w:r>
        <w:rPr>
          <w:rFonts w:hint="eastAsia" w:hAnsi="宋体" w:cs="宋体"/>
          <w:b/>
          <w:bCs/>
          <w:snapToGrid w:val="0"/>
          <w:color w:val="auto"/>
          <w:kern w:val="0"/>
          <w:szCs w:val="24"/>
          <w:highlight w:val="none"/>
        </w:rPr>
        <w:t xml:space="preserve"> </w:t>
      </w:r>
    </w:p>
    <w:p>
      <w:pPr>
        <w:wordWrap w:val="0"/>
        <w:adjustRightInd w:val="0"/>
        <w:snapToGrid w:val="0"/>
        <w:spacing w:line="440" w:lineRule="exact"/>
        <w:rPr>
          <w:rFonts w:hAnsi="宋体" w:cs="宋体"/>
          <w:snapToGrid w:val="0"/>
          <w:color w:val="auto"/>
          <w:kern w:val="0"/>
          <w:szCs w:val="24"/>
          <w:highlight w:val="none"/>
        </w:rPr>
      </w:pPr>
      <w:r>
        <w:rPr>
          <w:rFonts w:hint="eastAsia" w:hAnsi="宋体" w:cs="宋体"/>
          <w:snapToGrid w:val="0"/>
          <w:color w:val="auto"/>
          <w:kern w:val="0"/>
          <w:szCs w:val="24"/>
          <w:highlight w:val="none"/>
        </w:rPr>
        <w:t xml:space="preserve">  （略），按照《建设工程监理合同（示范文本）》（GF—2012—0202）执行。</w:t>
      </w:r>
    </w:p>
    <w:p>
      <w:pPr>
        <w:jc w:val="center"/>
        <w:rPr>
          <w:rFonts w:hAnsi="宋体" w:cs="宋体"/>
          <w:color w:val="auto"/>
          <w:szCs w:val="24"/>
          <w:highlight w:val="none"/>
        </w:rPr>
      </w:pPr>
    </w:p>
    <w:p>
      <w:pPr>
        <w:jc w:val="center"/>
        <w:outlineLvl w:val="1"/>
        <w:rPr>
          <w:rFonts w:hAnsi="宋体" w:cs="宋体"/>
          <w:b/>
          <w:bCs/>
          <w:color w:val="auto"/>
          <w:szCs w:val="24"/>
          <w:highlight w:val="none"/>
        </w:rPr>
      </w:pPr>
      <w:bookmarkStart w:id="283" w:name="_Toc13501"/>
      <w:bookmarkStart w:id="284" w:name="_Toc29368734"/>
      <w:r>
        <w:rPr>
          <w:rFonts w:hint="eastAsia" w:hAnsi="宋体" w:cs="宋体"/>
          <w:b/>
          <w:bCs/>
          <w:color w:val="auto"/>
          <w:szCs w:val="24"/>
          <w:highlight w:val="none"/>
        </w:rPr>
        <w:t>第三部分  专用条件</w:t>
      </w:r>
      <w:bookmarkEnd w:id="283"/>
      <w:bookmarkEnd w:id="284"/>
    </w:p>
    <w:p>
      <w:pPr>
        <w:ind w:firstLine="240" w:firstLineChars="100"/>
        <w:outlineLvl w:val="2"/>
        <w:rPr>
          <w:rFonts w:hAnsi="宋体" w:cs="宋体"/>
          <w:color w:val="auto"/>
          <w:highlight w:val="none"/>
        </w:rPr>
      </w:pPr>
      <w:bookmarkStart w:id="285" w:name="_Toc7215"/>
      <w:r>
        <w:rPr>
          <w:rFonts w:hint="eastAsia" w:hAnsi="宋体" w:cs="宋体"/>
          <w:color w:val="auto"/>
          <w:highlight w:val="none"/>
        </w:rPr>
        <w:t>（</w:t>
      </w:r>
      <w:r>
        <w:rPr>
          <w:rFonts w:hint="eastAsia" w:hAnsi="宋体" w:cs="宋体"/>
          <w:snapToGrid w:val="0"/>
          <w:color w:val="auto"/>
          <w:kern w:val="0"/>
          <w:szCs w:val="24"/>
          <w:highlight w:val="none"/>
        </w:rPr>
        <w:t>略</w:t>
      </w:r>
      <w:r>
        <w:rPr>
          <w:rFonts w:hint="eastAsia" w:hAnsi="宋体" w:cs="宋体"/>
          <w:color w:val="auto"/>
          <w:highlight w:val="none"/>
        </w:rPr>
        <w:t>），详见“第三章   拟签订合同的主要条款”</w:t>
      </w:r>
      <w:bookmarkEnd w:id="285"/>
    </w:p>
    <w:p>
      <w:pPr>
        <w:rPr>
          <w:color w:val="auto"/>
          <w:highlight w:val="none"/>
        </w:rPr>
      </w:pPr>
    </w:p>
    <w:p>
      <w:pPr>
        <w:jc w:val="center"/>
        <w:outlineLvl w:val="1"/>
        <w:rPr>
          <w:rFonts w:hAnsi="宋体" w:cs="宋体"/>
          <w:b/>
          <w:bCs/>
          <w:color w:val="auto"/>
          <w:szCs w:val="24"/>
          <w:highlight w:val="none"/>
        </w:rPr>
      </w:pPr>
      <w:bookmarkStart w:id="286" w:name="_Toc7659"/>
      <w:r>
        <w:rPr>
          <w:rFonts w:hint="eastAsia" w:hAnsi="宋体" w:cs="宋体"/>
          <w:b/>
          <w:bCs/>
          <w:color w:val="auto"/>
          <w:szCs w:val="24"/>
          <w:highlight w:val="none"/>
        </w:rPr>
        <w:t>第四部分  中标通知书</w:t>
      </w:r>
      <w:bookmarkEnd w:id="286"/>
    </w:p>
    <w:p>
      <w:pPr>
        <w:pStyle w:val="31"/>
        <w:jc w:val="center"/>
        <w:rPr>
          <w:color w:val="auto"/>
          <w:highlight w:val="none"/>
        </w:rPr>
      </w:pPr>
      <w:r>
        <w:rPr>
          <w:rFonts w:hint="eastAsia"/>
          <w:color w:val="auto"/>
          <w:highlight w:val="none"/>
        </w:rPr>
        <w:t>（略）</w:t>
      </w: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jc w:val="center"/>
        <w:outlineLvl w:val="2"/>
        <w:rPr>
          <w:rFonts w:hAnsi="宋体" w:cs="宋体"/>
          <w:b/>
          <w:bCs/>
          <w:color w:val="auto"/>
          <w:sz w:val="36"/>
          <w:szCs w:val="36"/>
          <w:highlight w:val="none"/>
        </w:rPr>
      </w:pPr>
      <w:bookmarkStart w:id="287" w:name="_Toc20523"/>
      <w:r>
        <w:rPr>
          <w:rFonts w:hint="eastAsia" w:hAnsi="宋体" w:cs="宋体"/>
          <w:b/>
          <w:bCs/>
          <w:color w:val="auto"/>
          <w:sz w:val="36"/>
          <w:szCs w:val="36"/>
          <w:highlight w:val="none"/>
        </w:rPr>
        <w:t>工程监理廉政合同格式</w:t>
      </w:r>
      <w:bookmarkEnd w:id="287"/>
    </w:p>
    <w:p>
      <w:pPr>
        <w:jc w:val="center"/>
        <w:rPr>
          <w:rFonts w:hAnsi="宋体" w:cs="宋体"/>
          <w:color w:val="auto"/>
          <w:szCs w:val="24"/>
          <w:highlight w:val="none"/>
        </w:rPr>
      </w:pPr>
      <w:r>
        <w:rPr>
          <w:rFonts w:hint="eastAsia" w:hAnsi="宋体" w:cs="宋体"/>
          <w:color w:val="auto"/>
          <w:szCs w:val="24"/>
          <w:highlight w:val="none"/>
        </w:rPr>
        <w:t>工程监理廉政合同</w:t>
      </w:r>
    </w:p>
    <w:p>
      <w:pPr>
        <w:rPr>
          <w:rFonts w:hAnsi="宋体" w:cs="宋体"/>
          <w:color w:val="auto"/>
          <w:szCs w:val="24"/>
          <w:highlight w:val="none"/>
        </w:rPr>
      </w:pPr>
    </w:p>
    <w:p>
      <w:pPr>
        <w:spacing w:line="240" w:lineRule="auto"/>
        <w:rPr>
          <w:rFonts w:hAnsi="宋体" w:cs="宋体"/>
          <w:color w:val="auto"/>
          <w:szCs w:val="24"/>
          <w:highlight w:val="none"/>
        </w:rPr>
      </w:pPr>
      <w:r>
        <w:rPr>
          <w:rFonts w:hint="eastAsia" w:hAnsi="宋体" w:cs="宋体"/>
          <w:color w:val="auto"/>
          <w:szCs w:val="24"/>
          <w:highlight w:val="none"/>
        </w:rPr>
        <w:t xml:space="preserve">工程项目名称： </w:t>
      </w:r>
    </w:p>
    <w:p>
      <w:pPr>
        <w:spacing w:line="240" w:lineRule="auto"/>
        <w:rPr>
          <w:rFonts w:hAnsi="宋体" w:cs="宋体"/>
          <w:color w:val="auto"/>
          <w:szCs w:val="24"/>
          <w:highlight w:val="none"/>
        </w:rPr>
      </w:pPr>
      <w:r>
        <w:rPr>
          <w:rFonts w:hint="eastAsia" w:hAnsi="宋体" w:cs="宋体"/>
          <w:color w:val="auto"/>
          <w:szCs w:val="24"/>
          <w:highlight w:val="none"/>
        </w:rPr>
        <w:t xml:space="preserve">工程项目地址： </w:t>
      </w:r>
    </w:p>
    <w:p>
      <w:pPr>
        <w:spacing w:line="240" w:lineRule="auto"/>
        <w:rPr>
          <w:rFonts w:hAnsi="宋体" w:cs="宋体"/>
          <w:color w:val="auto"/>
          <w:szCs w:val="24"/>
          <w:highlight w:val="none"/>
        </w:rPr>
      </w:pPr>
      <w:r>
        <w:rPr>
          <w:rFonts w:hint="eastAsia" w:hAnsi="宋体" w:cs="宋体"/>
          <w:color w:val="auto"/>
          <w:szCs w:val="24"/>
          <w:highlight w:val="none"/>
        </w:rPr>
        <w:t>建设单位：</w:t>
      </w:r>
    </w:p>
    <w:p>
      <w:pPr>
        <w:spacing w:line="240" w:lineRule="auto"/>
        <w:rPr>
          <w:rFonts w:hAnsi="宋体" w:cs="宋体"/>
          <w:color w:val="auto"/>
          <w:szCs w:val="24"/>
          <w:highlight w:val="none"/>
          <w:u w:val="single"/>
        </w:rPr>
      </w:pPr>
      <w:r>
        <w:rPr>
          <w:rFonts w:hint="eastAsia" w:hAnsi="宋体" w:cs="宋体"/>
          <w:color w:val="auto"/>
          <w:szCs w:val="24"/>
          <w:highlight w:val="none"/>
        </w:rPr>
        <w:t>委托人：</w:t>
      </w:r>
    </w:p>
    <w:p>
      <w:pPr>
        <w:spacing w:line="240" w:lineRule="auto"/>
        <w:rPr>
          <w:rFonts w:hAnsi="宋体" w:cs="宋体"/>
          <w:color w:val="auto"/>
          <w:szCs w:val="24"/>
          <w:highlight w:val="none"/>
        </w:rPr>
      </w:pPr>
      <w:r>
        <w:rPr>
          <w:rFonts w:hint="eastAsia" w:hAnsi="宋体" w:cs="宋体"/>
          <w:color w:val="auto"/>
          <w:szCs w:val="24"/>
          <w:highlight w:val="none"/>
        </w:rPr>
        <w:t xml:space="preserve">监理人： </w:t>
      </w:r>
    </w:p>
    <w:p>
      <w:pPr>
        <w:spacing w:line="240" w:lineRule="auto"/>
        <w:ind w:firstLine="480" w:firstLineChars="200"/>
        <w:rPr>
          <w:rFonts w:hAnsi="宋体" w:cs="宋体"/>
          <w:color w:val="auto"/>
          <w:szCs w:val="24"/>
          <w:highlight w:val="none"/>
        </w:rPr>
      </w:pPr>
      <w:r>
        <w:rPr>
          <w:rFonts w:hint="eastAsia" w:hAnsi="宋体" w:cs="宋体"/>
          <w:color w:val="auto"/>
          <w:szCs w:val="24"/>
          <w:highlight w:val="none"/>
        </w:rPr>
        <w:t>为加强工程建设中的廉政建设，规范工程建设监理各项活动，防止发生各种谋取不正当利益的违法违纪行为，保护国家、集体和当事人的合法权益，根据国家有关工程建设的法律法规和廉政建设责任制规定，委托人与监理人就工程监理廉政特订立廉政合同。</w:t>
      </w:r>
    </w:p>
    <w:p>
      <w:pPr>
        <w:spacing w:line="240" w:lineRule="auto"/>
        <w:outlineLvl w:val="2"/>
        <w:rPr>
          <w:rFonts w:hAnsi="宋体" w:cs="宋体"/>
          <w:color w:val="auto"/>
          <w:szCs w:val="24"/>
          <w:highlight w:val="none"/>
        </w:rPr>
      </w:pPr>
      <w:bookmarkStart w:id="288" w:name="_Toc13313"/>
      <w:r>
        <w:rPr>
          <w:rFonts w:hint="eastAsia" w:hAnsi="宋体" w:cs="宋体"/>
          <w:color w:val="auto"/>
          <w:szCs w:val="24"/>
          <w:highlight w:val="none"/>
        </w:rPr>
        <w:t>第一条 双方的责任</w:t>
      </w:r>
      <w:bookmarkEnd w:id="288"/>
    </w:p>
    <w:p>
      <w:pPr>
        <w:spacing w:line="240" w:lineRule="auto"/>
        <w:rPr>
          <w:rFonts w:hAnsi="宋体" w:cs="宋体"/>
          <w:color w:val="auto"/>
          <w:szCs w:val="24"/>
          <w:highlight w:val="none"/>
        </w:rPr>
      </w:pPr>
      <w:r>
        <w:rPr>
          <w:rFonts w:hint="eastAsia" w:hAnsi="宋体" w:cs="宋体"/>
          <w:color w:val="auto"/>
          <w:szCs w:val="24"/>
          <w:highlight w:val="none"/>
        </w:rPr>
        <w:t>（一）应严格遵守国家关于市场准入、项目招标投标、工程建设、工程监理和市场活动的有关法律、法规，相关政策，以及廉政建设的各项规定。</w:t>
      </w:r>
    </w:p>
    <w:p>
      <w:pPr>
        <w:spacing w:line="240" w:lineRule="auto"/>
        <w:rPr>
          <w:rFonts w:hAnsi="宋体" w:cs="宋体"/>
          <w:color w:val="auto"/>
          <w:szCs w:val="24"/>
          <w:highlight w:val="none"/>
        </w:rPr>
      </w:pPr>
      <w:r>
        <w:rPr>
          <w:rFonts w:hint="eastAsia" w:hAnsi="宋体" w:cs="宋体"/>
          <w:color w:val="auto"/>
          <w:szCs w:val="24"/>
          <w:highlight w:val="none"/>
        </w:rPr>
        <w:t>（二）严格执行建设工程项目监理合同文件，自觉按合同办事。</w:t>
      </w:r>
    </w:p>
    <w:p>
      <w:pPr>
        <w:spacing w:line="240" w:lineRule="auto"/>
        <w:rPr>
          <w:rFonts w:hAnsi="宋体" w:cs="宋体"/>
          <w:color w:val="auto"/>
          <w:szCs w:val="24"/>
          <w:highlight w:val="none"/>
        </w:rPr>
      </w:pPr>
      <w:r>
        <w:rPr>
          <w:rFonts w:hint="eastAsia" w:hAnsi="宋体" w:cs="宋体"/>
          <w:color w:val="auto"/>
          <w:szCs w:val="24"/>
          <w:highlight w:val="none"/>
        </w:rPr>
        <w:t>（三）业务活动必须坚持公开、公平、公正、诚信、透明的原则（除法律法规另有规定者外），不得为获取不正当的利益，损害国家、集体和对方利益，不得违反工程建设管理、建设监理的规章制度。</w:t>
      </w:r>
    </w:p>
    <w:p>
      <w:pPr>
        <w:spacing w:line="240" w:lineRule="auto"/>
        <w:rPr>
          <w:rFonts w:hAnsi="宋体" w:cs="宋体"/>
          <w:color w:val="auto"/>
          <w:szCs w:val="24"/>
          <w:highlight w:val="none"/>
        </w:rPr>
      </w:pPr>
      <w:r>
        <w:rPr>
          <w:rFonts w:hint="eastAsia" w:hAnsi="宋体" w:cs="宋体"/>
          <w:color w:val="auto"/>
          <w:szCs w:val="24"/>
          <w:highlight w:val="none"/>
        </w:rPr>
        <w:t>（四）发现一方在业务活动中有违规、违纪、违法行为的，应及时提醒对方，情节严重的，应向其上级主管部门或纪检监察、司法等有关机关举报。</w:t>
      </w:r>
    </w:p>
    <w:p>
      <w:pPr>
        <w:spacing w:line="240" w:lineRule="auto"/>
        <w:outlineLvl w:val="2"/>
        <w:rPr>
          <w:rFonts w:hAnsi="宋体" w:cs="宋体"/>
          <w:color w:val="auto"/>
          <w:szCs w:val="24"/>
          <w:highlight w:val="none"/>
        </w:rPr>
      </w:pPr>
      <w:bookmarkStart w:id="289" w:name="_Toc30189"/>
      <w:r>
        <w:rPr>
          <w:rFonts w:hint="eastAsia" w:hAnsi="宋体" w:cs="宋体"/>
          <w:color w:val="auto"/>
          <w:szCs w:val="24"/>
          <w:highlight w:val="none"/>
        </w:rPr>
        <w:t>第二条  委托人的责任</w:t>
      </w:r>
      <w:bookmarkEnd w:id="289"/>
    </w:p>
    <w:p>
      <w:pPr>
        <w:spacing w:line="240" w:lineRule="auto"/>
        <w:rPr>
          <w:rFonts w:hAnsi="宋体" w:cs="宋体"/>
          <w:color w:val="auto"/>
          <w:szCs w:val="24"/>
          <w:highlight w:val="none"/>
        </w:rPr>
      </w:pPr>
      <w:r>
        <w:rPr>
          <w:rFonts w:hint="eastAsia" w:hAnsi="宋体" w:cs="宋体"/>
          <w:color w:val="auto"/>
          <w:szCs w:val="24"/>
          <w:highlight w:val="none"/>
        </w:rPr>
        <w:t>委托人的领导和从事该建设工程项目的工作人员在工程建设的事前、事中、事后应遵守以下规定：</w:t>
      </w:r>
    </w:p>
    <w:p>
      <w:pPr>
        <w:spacing w:line="240" w:lineRule="auto"/>
        <w:rPr>
          <w:rFonts w:hAnsi="宋体" w:cs="宋体"/>
          <w:color w:val="auto"/>
          <w:szCs w:val="24"/>
          <w:highlight w:val="none"/>
        </w:rPr>
      </w:pPr>
      <w:r>
        <w:rPr>
          <w:rFonts w:hint="eastAsia" w:hAnsi="宋体" w:cs="宋体"/>
          <w:color w:val="auto"/>
          <w:szCs w:val="24"/>
          <w:highlight w:val="none"/>
        </w:rPr>
        <w:t>（一）不准向监理人和相关单位索要或接受回扣、礼金、有价证券、贵重物品和好处费、感谢费等。</w:t>
      </w:r>
    </w:p>
    <w:p>
      <w:pPr>
        <w:spacing w:line="240" w:lineRule="auto"/>
        <w:rPr>
          <w:rFonts w:hAnsi="宋体" w:cs="宋体"/>
          <w:color w:val="auto"/>
          <w:szCs w:val="24"/>
          <w:highlight w:val="none"/>
        </w:rPr>
      </w:pPr>
      <w:r>
        <w:rPr>
          <w:rFonts w:hint="eastAsia" w:hAnsi="宋体" w:cs="宋体"/>
          <w:color w:val="auto"/>
          <w:szCs w:val="24"/>
          <w:highlight w:val="none"/>
        </w:rPr>
        <w:t>（二）不准在监理人和相关单位报销任何应由委托人或个人支付的费用。</w:t>
      </w:r>
    </w:p>
    <w:p>
      <w:pPr>
        <w:spacing w:line="240" w:lineRule="auto"/>
        <w:rPr>
          <w:rFonts w:hAnsi="宋体" w:cs="宋体"/>
          <w:color w:val="auto"/>
          <w:szCs w:val="24"/>
          <w:highlight w:val="none"/>
        </w:rPr>
      </w:pPr>
      <w:r>
        <w:rPr>
          <w:rFonts w:hint="eastAsia" w:hAnsi="宋体" w:cs="宋体"/>
          <w:color w:val="auto"/>
          <w:szCs w:val="24"/>
          <w:highlight w:val="none"/>
        </w:rPr>
        <w:t>（三）不准要求、暗示或接受监理人和相关单位为个人装修住房、婚丧嫁娶、配偶子女的工作安排以及出国（境）、旅游等提供方便。</w:t>
      </w:r>
    </w:p>
    <w:p>
      <w:pPr>
        <w:spacing w:line="240" w:lineRule="auto"/>
        <w:rPr>
          <w:rFonts w:hAnsi="宋体" w:cs="宋体"/>
          <w:color w:val="auto"/>
          <w:szCs w:val="24"/>
          <w:highlight w:val="none"/>
        </w:rPr>
      </w:pPr>
      <w:r>
        <w:rPr>
          <w:rFonts w:hint="eastAsia" w:hAnsi="宋体" w:cs="宋体"/>
          <w:color w:val="auto"/>
          <w:szCs w:val="24"/>
          <w:highlight w:val="none"/>
        </w:rPr>
        <w:t>（四）不准参加有可能影响公正执行公务的监理人和相关单位的宴请、健身、娱乐等活动。</w:t>
      </w:r>
    </w:p>
    <w:p>
      <w:pPr>
        <w:spacing w:line="240" w:lineRule="auto"/>
        <w:rPr>
          <w:rFonts w:hAnsi="宋体" w:cs="宋体"/>
          <w:color w:val="auto"/>
          <w:szCs w:val="24"/>
          <w:highlight w:val="none"/>
        </w:rPr>
      </w:pPr>
      <w:r>
        <w:rPr>
          <w:rFonts w:hint="eastAsia" w:hAnsi="宋体" w:cs="宋体"/>
          <w:color w:val="auto"/>
          <w:szCs w:val="24"/>
          <w:highlight w:val="none"/>
        </w:rPr>
        <w:t>（五）不准向监理人和相关单位介绍或为配偶、子女、亲属参与同委托人工程项目合同有关的监理分包项目等活动。不准向监理人和相关单位介绍或为配偶、子女、亲属参加与同项目工程合同有关的设备、材料、工程分包、劳务等经济活动。不得以任何理由向监理人和相关单位推荐分包单位和要求购买与项目工程合同规定以外的材料、设备等。</w:t>
      </w:r>
    </w:p>
    <w:p>
      <w:pPr>
        <w:spacing w:line="240" w:lineRule="auto"/>
        <w:outlineLvl w:val="2"/>
        <w:rPr>
          <w:rFonts w:hAnsi="宋体" w:cs="宋体"/>
          <w:color w:val="auto"/>
          <w:szCs w:val="24"/>
          <w:highlight w:val="none"/>
        </w:rPr>
      </w:pPr>
      <w:bookmarkStart w:id="290" w:name="_Toc4171"/>
      <w:r>
        <w:rPr>
          <w:rFonts w:hint="eastAsia" w:hAnsi="宋体" w:cs="宋体"/>
          <w:color w:val="auto"/>
          <w:szCs w:val="24"/>
          <w:highlight w:val="none"/>
        </w:rPr>
        <w:t>第三条  监理人的责任</w:t>
      </w:r>
      <w:bookmarkEnd w:id="290"/>
    </w:p>
    <w:p>
      <w:pPr>
        <w:spacing w:line="240" w:lineRule="auto"/>
        <w:rPr>
          <w:rFonts w:hAnsi="宋体" w:cs="宋体"/>
          <w:color w:val="auto"/>
          <w:szCs w:val="24"/>
          <w:highlight w:val="none"/>
        </w:rPr>
      </w:pPr>
      <w:r>
        <w:rPr>
          <w:rFonts w:hint="eastAsia" w:hAnsi="宋体" w:cs="宋体"/>
          <w:color w:val="auto"/>
          <w:szCs w:val="24"/>
          <w:highlight w:val="none"/>
        </w:rPr>
        <w:t>应与委托人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spacing w:line="240" w:lineRule="auto"/>
        <w:rPr>
          <w:rFonts w:hAnsi="宋体" w:cs="宋体"/>
          <w:color w:val="auto"/>
          <w:szCs w:val="24"/>
          <w:highlight w:val="none"/>
        </w:rPr>
      </w:pPr>
      <w:r>
        <w:rPr>
          <w:rFonts w:hint="eastAsia" w:hAnsi="宋体" w:cs="宋体"/>
          <w:color w:val="auto"/>
          <w:szCs w:val="24"/>
          <w:highlight w:val="none"/>
        </w:rPr>
        <w:t>（一）不准以任何理由向委托人和相关单位及其工作人员索要、接受或赠送礼金、有价证券、贵重物品及回扣、好处费、感谢费等。</w:t>
      </w:r>
    </w:p>
    <w:p>
      <w:pPr>
        <w:spacing w:line="240" w:lineRule="auto"/>
        <w:rPr>
          <w:rFonts w:hAnsi="宋体" w:cs="宋体"/>
          <w:color w:val="auto"/>
          <w:szCs w:val="24"/>
          <w:highlight w:val="none"/>
        </w:rPr>
      </w:pPr>
      <w:r>
        <w:rPr>
          <w:rFonts w:hint="eastAsia" w:hAnsi="宋体" w:cs="宋体"/>
          <w:color w:val="auto"/>
          <w:szCs w:val="24"/>
          <w:highlight w:val="none"/>
        </w:rPr>
        <w:t>（二）不准以任何理由为委托人和相关单位报销应由对方或个人支付的费用。</w:t>
      </w:r>
    </w:p>
    <w:p>
      <w:pPr>
        <w:spacing w:line="240" w:lineRule="auto"/>
        <w:rPr>
          <w:rFonts w:hAnsi="宋体" w:cs="宋体"/>
          <w:color w:val="auto"/>
          <w:szCs w:val="24"/>
          <w:highlight w:val="none"/>
        </w:rPr>
      </w:pPr>
      <w:r>
        <w:rPr>
          <w:rFonts w:hint="eastAsia" w:hAnsi="宋体" w:cs="宋体"/>
          <w:color w:val="auto"/>
          <w:szCs w:val="24"/>
          <w:highlight w:val="none"/>
        </w:rPr>
        <w:t>（三）不准接受或暗示为委托人、相关单位或个人装修住房、婚丧嫁娶、配偶子女的工作安排以及出国（境）、旅游等提供方便。</w:t>
      </w:r>
    </w:p>
    <w:p>
      <w:pPr>
        <w:spacing w:line="240" w:lineRule="auto"/>
        <w:rPr>
          <w:rFonts w:hAnsi="宋体" w:cs="宋体"/>
          <w:color w:val="auto"/>
          <w:szCs w:val="24"/>
          <w:highlight w:val="none"/>
        </w:rPr>
      </w:pPr>
      <w:r>
        <w:rPr>
          <w:rFonts w:hint="eastAsia" w:hAnsi="宋体" w:cs="宋体"/>
          <w:color w:val="auto"/>
          <w:szCs w:val="24"/>
          <w:highlight w:val="none"/>
        </w:rPr>
        <w:t>（四）不准违反合同约定而使用委托人、相关单位提供的通信、交通工具和高档办公用品。</w:t>
      </w:r>
    </w:p>
    <w:p>
      <w:pPr>
        <w:spacing w:line="240" w:lineRule="auto"/>
        <w:rPr>
          <w:rFonts w:hAnsi="宋体" w:cs="宋体"/>
          <w:color w:val="auto"/>
          <w:szCs w:val="24"/>
          <w:highlight w:val="none"/>
        </w:rPr>
      </w:pPr>
      <w:r>
        <w:rPr>
          <w:rFonts w:hint="eastAsia" w:hAnsi="宋体" w:cs="宋体"/>
          <w:color w:val="auto"/>
          <w:szCs w:val="24"/>
          <w:highlight w:val="none"/>
        </w:rPr>
        <w:t>（五）不准以任何理由为委托人、相关单位或个人组织有可能影响公正执行公务的宴请、健身、娱乐等活动。</w:t>
      </w:r>
    </w:p>
    <w:p>
      <w:pPr>
        <w:spacing w:line="240" w:lineRule="auto"/>
        <w:outlineLvl w:val="2"/>
        <w:rPr>
          <w:rFonts w:hAnsi="宋体" w:cs="宋体"/>
          <w:color w:val="auto"/>
          <w:szCs w:val="24"/>
          <w:highlight w:val="none"/>
        </w:rPr>
      </w:pPr>
      <w:bookmarkStart w:id="291" w:name="_Toc26491"/>
      <w:r>
        <w:rPr>
          <w:rFonts w:hint="eastAsia" w:hAnsi="宋体" w:cs="宋体"/>
          <w:color w:val="auto"/>
          <w:szCs w:val="24"/>
          <w:highlight w:val="none"/>
        </w:rPr>
        <w:t>第四条  违约责任</w:t>
      </w:r>
      <w:bookmarkEnd w:id="291"/>
    </w:p>
    <w:p>
      <w:pPr>
        <w:spacing w:line="240" w:lineRule="auto"/>
        <w:rPr>
          <w:rFonts w:hAnsi="宋体" w:cs="宋体"/>
          <w:color w:val="auto"/>
          <w:szCs w:val="24"/>
          <w:highlight w:val="none"/>
        </w:rPr>
      </w:pPr>
      <w:r>
        <w:rPr>
          <w:rFonts w:hint="eastAsia" w:hAnsi="宋体" w:cs="宋体"/>
          <w:color w:val="auto"/>
          <w:szCs w:val="24"/>
          <w:highlight w:val="none"/>
        </w:rPr>
        <w:t>（一）委托人工作人员有违反本合同第一、二条责任行为的，按照管理权限，依据有关法律法规和规定给予党纪、政纪处分或组织处理；涉嫌犯罪的，移交司法机关追究刑事责任；给监理人单位造成经济损失的，应予以赔偿。</w:t>
      </w:r>
    </w:p>
    <w:p>
      <w:pPr>
        <w:spacing w:line="240" w:lineRule="auto"/>
        <w:rPr>
          <w:rFonts w:hAnsi="宋体" w:cs="宋体"/>
          <w:color w:val="auto"/>
          <w:szCs w:val="24"/>
          <w:highlight w:val="none"/>
        </w:rPr>
      </w:pPr>
      <w:r>
        <w:rPr>
          <w:rFonts w:hint="eastAsia" w:hAnsi="宋体" w:cs="宋体"/>
          <w:color w:val="auto"/>
          <w:szCs w:val="24"/>
          <w:highlight w:val="none"/>
        </w:rPr>
        <w:t>（二）监理人工作人员有违反本合同第一、三条责任行为的，按照管理权限，依据有关法律法规和规定给予党纪、政纪处分或组织处理；涉嫌犯罪的，移交司法机关追究刑事责任；给委托人单位造成经济损失的，应予以赔偿。</w:t>
      </w:r>
    </w:p>
    <w:p>
      <w:pPr>
        <w:spacing w:line="240" w:lineRule="auto"/>
        <w:outlineLvl w:val="2"/>
        <w:rPr>
          <w:rFonts w:hAnsi="宋体" w:cs="宋体"/>
          <w:color w:val="auto"/>
          <w:szCs w:val="24"/>
          <w:highlight w:val="none"/>
        </w:rPr>
      </w:pPr>
      <w:bookmarkStart w:id="292" w:name="_Toc23294"/>
      <w:r>
        <w:rPr>
          <w:rFonts w:hint="eastAsia" w:hAnsi="宋体" w:cs="宋体"/>
          <w:color w:val="auto"/>
          <w:szCs w:val="24"/>
          <w:highlight w:val="none"/>
        </w:rPr>
        <w:t>第五条  双方约定</w:t>
      </w:r>
      <w:bookmarkEnd w:id="292"/>
    </w:p>
    <w:p>
      <w:pPr>
        <w:spacing w:line="240" w:lineRule="auto"/>
        <w:rPr>
          <w:rFonts w:hAnsi="宋体" w:cs="宋体"/>
          <w:color w:val="auto"/>
          <w:szCs w:val="24"/>
          <w:highlight w:val="none"/>
        </w:rPr>
      </w:pPr>
      <w:r>
        <w:rPr>
          <w:rFonts w:hint="eastAsia" w:hAnsi="宋体" w:cs="宋体"/>
          <w:color w:val="auto"/>
          <w:szCs w:val="24"/>
          <w:highlight w:val="none"/>
        </w:rPr>
        <w:t>本合同由双方或其上级部门负责监督执行,并由双方或其上级部门相互约请对本合同执行情况进行检查。</w:t>
      </w:r>
    </w:p>
    <w:p>
      <w:pPr>
        <w:spacing w:line="240" w:lineRule="auto"/>
        <w:outlineLvl w:val="2"/>
        <w:rPr>
          <w:rFonts w:hAnsi="宋体" w:cs="宋体"/>
          <w:color w:val="auto"/>
          <w:szCs w:val="24"/>
          <w:highlight w:val="none"/>
        </w:rPr>
      </w:pPr>
      <w:bookmarkStart w:id="293" w:name="_Toc4466"/>
      <w:r>
        <w:rPr>
          <w:rFonts w:hint="eastAsia" w:hAnsi="宋体" w:cs="宋体"/>
          <w:color w:val="auto"/>
          <w:szCs w:val="24"/>
          <w:highlight w:val="none"/>
        </w:rPr>
        <w:t>第六条   合同生效</w:t>
      </w:r>
      <w:bookmarkEnd w:id="293"/>
    </w:p>
    <w:p>
      <w:pPr>
        <w:spacing w:line="240" w:lineRule="auto"/>
        <w:rPr>
          <w:rFonts w:hAnsi="宋体" w:cs="宋体"/>
          <w:color w:val="auto"/>
          <w:szCs w:val="24"/>
          <w:highlight w:val="none"/>
        </w:rPr>
      </w:pPr>
      <w:r>
        <w:rPr>
          <w:rFonts w:hint="eastAsia" w:hAnsi="宋体" w:cs="宋体"/>
          <w:color w:val="auto"/>
          <w:szCs w:val="24"/>
          <w:highlight w:val="none"/>
        </w:rPr>
        <w:t>本合同的有效期为双方签署之日起至该工程项目竣工验收合格之日止。</w:t>
      </w:r>
    </w:p>
    <w:p>
      <w:pPr>
        <w:spacing w:line="240" w:lineRule="auto"/>
        <w:outlineLvl w:val="2"/>
        <w:rPr>
          <w:rFonts w:hAnsi="宋体" w:cs="宋体"/>
          <w:color w:val="auto"/>
          <w:szCs w:val="24"/>
          <w:highlight w:val="none"/>
        </w:rPr>
      </w:pPr>
      <w:bookmarkStart w:id="294" w:name="_Toc1680"/>
      <w:r>
        <w:rPr>
          <w:rFonts w:hint="eastAsia" w:hAnsi="宋体" w:cs="宋体"/>
          <w:color w:val="auto"/>
          <w:szCs w:val="24"/>
          <w:highlight w:val="none"/>
        </w:rPr>
        <w:t>第七条   合同的法律效力</w:t>
      </w:r>
      <w:bookmarkEnd w:id="294"/>
    </w:p>
    <w:p>
      <w:pPr>
        <w:spacing w:line="240" w:lineRule="auto"/>
        <w:rPr>
          <w:rFonts w:hAnsi="宋体" w:cs="宋体"/>
          <w:color w:val="auto"/>
          <w:szCs w:val="24"/>
          <w:highlight w:val="none"/>
        </w:rPr>
      </w:pPr>
      <w:r>
        <w:rPr>
          <w:rFonts w:hint="eastAsia" w:hAnsi="宋体" w:cs="宋体"/>
          <w:color w:val="auto"/>
          <w:szCs w:val="24"/>
          <w:highlight w:val="none"/>
        </w:rPr>
        <w:t>本合同作为</w:t>
      </w:r>
      <w:r>
        <w:rPr>
          <w:rFonts w:hint="eastAsia" w:hAnsi="宋体" w:cs="宋体"/>
          <w:bCs/>
          <w:color w:val="auto"/>
          <w:szCs w:val="24"/>
          <w:highlight w:val="none"/>
          <w:u w:val="single"/>
        </w:rPr>
        <w:t xml:space="preserve">              </w:t>
      </w:r>
      <w:r>
        <w:rPr>
          <w:rFonts w:hint="eastAsia" w:hAnsi="宋体" w:cs="宋体"/>
          <w:bCs/>
          <w:color w:val="auto"/>
          <w:szCs w:val="24"/>
          <w:highlight w:val="none"/>
        </w:rPr>
        <w:t>监理合</w:t>
      </w:r>
      <w:r>
        <w:rPr>
          <w:rFonts w:hint="eastAsia" w:hAnsi="宋体" w:cs="宋体"/>
          <w:color w:val="auto"/>
          <w:szCs w:val="24"/>
          <w:highlight w:val="none"/>
        </w:rPr>
        <w:t>同的附件，与工程监理合同具有同等法律效力。经双方签署后立即生效。</w:t>
      </w:r>
    </w:p>
    <w:p>
      <w:pPr>
        <w:rPr>
          <w:rFonts w:hAnsi="宋体" w:cs="宋体"/>
          <w:color w:val="auto"/>
          <w:szCs w:val="24"/>
          <w:highlight w:val="none"/>
        </w:rPr>
      </w:pPr>
      <w:r>
        <w:rPr>
          <w:rFonts w:hint="eastAsia" w:hAnsi="宋体" w:cs="宋体"/>
          <w:color w:val="auto"/>
          <w:szCs w:val="24"/>
          <w:highlight w:val="none"/>
        </w:rPr>
        <w:t xml:space="preserve"> </w:t>
      </w:r>
    </w:p>
    <w:p>
      <w:pPr>
        <w:rPr>
          <w:rFonts w:hAnsi="宋体" w:cs="宋体"/>
          <w:color w:val="auto"/>
          <w:szCs w:val="24"/>
          <w:highlight w:val="none"/>
        </w:rPr>
      </w:pPr>
    </w:p>
    <w:p>
      <w:pPr>
        <w:rPr>
          <w:rFonts w:hAnsi="宋体" w:cs="宋体"/>
          <w:color w:val="auto"/>
          <w:szCs w:val="24"/>
          <w:highlight w:val="none"/>
        </w:rPr>
      </w:pPr>
      <w:r>
        <w:rPr>
          <w:rFonts w:hint="eastAsia" w:hAnsi="宋体" w:cs="宋体"/>
          <w:color w:val="auto"/>
          <w:szCs w:val="24"/>
          <w:highlight w:val="none"/>
        </w:rPr>
        <w:t>委托人（代建单位）：（公章）      监理人：（公章）</w:t>
      </w:r>
    </w:p>
    <w:p>
      <w:pPr>
        <w:rPr>
          <w:rFonts w:hAnsi="宋体" w:cs="宋体"/>
          <w:color w:val="auto"/>
          <w:szCs w:val="24"/>
          <w:highlight w:val="none"/>
        </w:rPr>
      </w:pPr>
      <w:r>
        <w:rPr>
          <w:rFonts w:hint="eastAsia" w:hAnsi="宋体" w:cs="宋体"/>
          <w:color w:val="auto"/>
          <w:szCs w:val="24"/>
          <w:highlight w:val="none"/>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w:t>
      </w:r>
      <w:r>
        <w:rPr>
          <w:rFonts w:hint="eastAsia" w:hAnsi="宋体" w:cs="宋体"/>
          <w:color w:val="auto"/>
          <w:szCs w:val="24"/>
          <w:highlight w:val="none"/>
          <w:shd w:val="clear" w:color="auto" w:fill="FFFFFF"/>
        </w:rPr>
        <w:t xml:space="preserve">         </w:t>
      </w:r>
      <w:r>
        <w:rPr>
          <w:rFonts w:hint="eastAsia" w:hAnsi="宋体" w:cs="宋体"/>
          <w:color w:val="auto"/>
          <w:szCs w:val="24"/>
          <w:highlight w:val="none"/>
          <w:u w:val="single"/>
        </w:rPr>
        <w:t xml:space="preserve">                     </w:t>
      </w:r>
    </w:p>
    <w:p>
      <w:pPr>
        <w:adjustRightInd w:val="0"/>
        <w:snapToGrid w:val="0"/>
        <w:spacing w:line="460" w:lineRule="exact"/>
        <w:ind w:left="4800" w:hanging="4800" w:hangingChars="2000"/>
        <w:rPr>
          <w:rFonts w:hAnsi="宋体" w:cs="宋体"/>
          <w:color w:val="auto"/>
          <w:szCs w:val="24"/>
          <w:highlight w:val="none"/>
          <w:u w:val="single"/>
        </w:rPr>
      </w:pPr>
      <w:r>
        <w:rPr>
          <w:rFonts w:hint="eastAsia" w:hAnsi="宋体" w:cs="宋体"/>
          <w:color w:val="auto"/>
          <w:szCs w:val="24"/>
          <w:highlight w:val="none"/>
        </w:rPr>
        <w:t>住所：</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住所：</w:t>
      </w:r>
      <w:r>
        <w:rPr>
          <w:rFonts w:hint="eastAsia" w:hAnsi="宋体" w:cs="宋体"/>
          <w:color w:val="auto"/>
          <w:szCs w:val="24"/>
          <w:highlight w:val="none"/>
          <w:u w:val="single"/>
        </w:rPr>
        <w:t xml:space="preserve">             </w:t>
      </w:r>
    </w:p>
    <w:p>
      <w:pPr>
        <w:adjustRightInd w:val="0"/>
        <w:snapToGrid w:val="0"/>
        <w:spacing w:line="460" w:lineRule="exact"/>
        <w:ind w:left="5038" w:leftChars="399" w:hanging="4080" w:hangingChars="1700"/>
        <w:rPr>
          <w:rFonts w:hAnsi="宋体" w:cs="宋体"/>
          <w:color w:val="auto"/>
          <w:szCs w:val="24"/>
          <w:highlight w:val="none"/>
          <w:u w:val="single"/>
        </w:rPr>
      </w:pPr>
      <w:r>
        <w:rPr>
          <w:rFonts w:hint="eastAsia" w:hAnsi="宋体" w:cs="宋体"/>
          <w:color w:val="auto"/>
          <w:szCs w:val="24"/>
          <w:highlight w:val="none"/>
        </w:rPr>
        <w:t xml:space="preserve">                 </w:t>
      </w:r>
    </w:p>
    <w:p>
      <w:pPr>
        <w:rPr>
          <w:rFonts w:hAnsi="宋体" w:cs="宋体"/>
          <w:color w:val="auto"/>
          <w:szCs w:val="24"/>
          <w:highlight w:val="none"/>
        </w:rPr>
      </w:pPr>
      <w:r>
        <w:rPr>
          <w:rFonts w:hint="eastAsia" w:hAnsi="宋体" w:cs="宋体"/>
          <w:color w:val="auto"/>
          <w:szCs w:val="24"/>
          <w:highlight w:val="none"/>
        </w:rPr>
        <w:t xml:space="preserve"> 法定代表人：</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法定代表人：</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w:t>
      </w:r>
    </w:p>
    <w:p>
      <w:pPr>
        <w:rPr>
          <w:rFonts w:hAnsi="宋体" w:cs="宋体"/>
          <w:color w:val="auto"/>
          <w:szCs w:val="24"/>
          <w:highlight w:val="none"/>
        </w:rPr>
      </w:pPr>
      <w:r>
        <w:rPr>
          <w:rFonts w:hint="eastAsia" w:hAnsi="宋体" w:cs="宋体"/>
          <w:color w:val="auto"/>
          <w:szCs w:val="24"/>
          <w:highlight w:val="none"/>
        </w:rPr>
        <w:t xml:space="preserve"> 委托代理人：</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委托代理人：</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w:t>
      </w:r>
    </w:p>
    <w:p>
      <w:pPr>
        <w:rPr>
          <w:rFonts w:hAnsi="宋体" w:cs="宋体"/>
          <w:color w:val="auto"/>
          <w:szCs w:val="24"/>
          <w:highlight w:val="none"/>
        </w:rPr>
      </w:pPr>
      <w:r>
        <w:rPr>
          <w:rFonts w:hint="eastAsia" w:hAnsi="宋体" w:cs="宋体"/>
          <w:color w:val="auto"/>
          <w:szCs w:val="24"/>
          <w:highlight w:val="none"/>
        </w:rPr>
        <w:t xml:space="preserve"> 电话：</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电话：</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w:t>
      </w:r>
    </w:p>
    <w:p>
      <w:pPr>
        <w:ind w:left="4800" w:hanging="4800" w:hangingChars="2000"/>
        <w:rPr>
          <w:rFonts w:hAnsi="宋体" w:cs="宋体"/>
          <w:color w:val="auto"/>
          <w:szCs w:val="24"/>
          <w:highlight w:val="none"/>
        </w:rPr>
      </w:pPr>
      <w:r>
        <w:rPr>
          <w:rFonts w:hint="eastAsia" w:hAnsi="宋体" w:cs="宋体"/>
          <w:color w:val="auto"/>
          <w:szCs w:val="24"/>
          <w:highlight w:val="none"/>
        </w:rPr>
        <w:t xml:space="preserve"> 开户银行：</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开户银行：</w:t>
      </w:r>
      <w:r>
        <w:rPr>
          <w:rFonts w:hint="eastAsia" w:hAnsi="宋体" w:cs="宋体"/>
          <w:color w:val="auto"/>
          <w:szCs w:val="24"/>
          <w:highlight w:val="none"/>
          <w:u w:val="single"/>
        </w:rPr>
        <w:t xml:space="preserve">                </w:t>
      </w:r>
    </w:p>
    <w:p>
      <w:pPr>
        <w:pStyle w:val="23"/>
        <w:jc w:val="left"/>
        <w:rPr>
          <w:rFonts w:ascii="宋体" w:hAnsi="宋体" w:cs="宋体"/>
          <w:b w:val="0"/>
          <w:bCs/>
          <w:color w:val="auto"/>
          <w:highlight w:val="none"/>
        </w:rPr>
      </w:pPr>
      <w:r>
        <w:rPr>
          <w:rFonts w:hint="eastAsia" w:ascii="宋体" w:hAnsi="宋体" w:cs="宋体"/>
          <w:color w:val="auto"/>
          <w:highlight w:val="none"/>
        </w:rPr>
        <w:t xml:space="preserve"> </w:t>
      </w:r>
      <w:r>
        <w:rPr>
          <w:rFonts w:hint="eastAsia" w:ascii="宋体" w:hAnsi="宋体" w:cs="宋体"/>
          <w:b w:val="0"/>
          <w:bCs/>
          <w:color w:val="auto"/>
          <w:highlight w:val="none"/>
        </w:rPr>
        <w:t>账号：</w:t>
      </w:r>
      <w:r>
        <w:rPr>
          <w:rFonts w:hint="eastAsia" w:ascii="宋体" w:hAnsi="宋体" w:cs="宋体"/>
          <w:b w:val="0"/>
          <w:bCs/>
          <w:color w:val="auto"/>
          <w:highlight w:val="none"/>
          <w:u w:val="single"/>
        </w:rPr>
        <w:t xml:space="preserve">                   </w:t>
      </w:r>
      <w:r>
        <w:rPr>
          <w:rFonts w:hint="eastAsia" w:ascii="宋体" w:hAnsi="宋体" w:cs="宋体"/>
          <w:b w:val="0"/>
          <w:bCs/>
          <w:color w:val="auto"/>
          <w:highlight w:val="none"/>
        </w:rPr>
        <w:t xml:space="preserve">      账号：</w:t>
      </w:r>
      <w:r>
        <w:rPr>
          <w:rFonts w:hint="eastAsia" w:ascii="宋体" w:hAnsi="宋体" w:cs="宋体"/>
          <w:b w:val="0"/>
          <w:bCs/>
          <w:color w:val="auto"/>
          <w:highlight w:val="none"/>
          <w:u w:val="single"/>
        </w:rPr>
        <w:t xml:space="preserve">                  </w:t>
      </w:r>
    </w:p>
    <w:p>
      <w:pPr>
        <w:rPr>
          <w:rFonts w:hAnsi="宋体" w:cs="宋体"/>
          <w:bCs/>
          <w:color w:val="auto"/>
          <w:highlight w:val="none"/>
        </w:rPr>
      </w:pPr>
    </w:p>
    <w:p>
      <w:pPr>
        <w:pStyle w:val="23"/>
        <w:rPr>
          <w:color w:val="auto"/>
          <w:highlight w:val="none"/>
        </w:rPr>
      </w:pPr>
    </w:p>
    <w:p>
      <w:pPr>
        <w:rPr>
          <w:color w:val="auto"/>
          <w:highlight w:val="none"/>
        </w:rPr>
      </w:pPr>
    </w:p>
    <w:sectPr>
      <w:endnotePr>
        <w:numFmt w:val="decimal"/>
      </w:endnotePr>
      <w:pgSz w:w="11906" w:h="16838"/>
      <w:pgMar w:top="1134" w:right="1134" w:bottom="1134" w:left="1134" w:header="850" w:footer="850" w:gutter="0"/>
      <w:cols w:space="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47</w:t>
                          </w:r>
                          <w:r>
                            <w:rPr>
                              <w:rFonts w:ascii="Times New Roman"/>
                              <w:sz w:val="21"/>
                            </w:rPr>
                            <w:fldChar w:fldCharType="end"/>
                          </w:r>
                          <w:r>
                            <w:rPr>
                              <w:rFonts w:hint="eastAsia" w:ascii="Times New Roman"/>
                              <w:sz w:val="21"/>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14"/>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47</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97CB"/>
    <w:multiLevelType w:val="singleLevel"/>
    <w:tmpl w:val="817897CB"/>
    <w:lvl w:ilvl="0" w:tentative="0">
      <w:start w:val="1"/>
      <w:numFmt w:val="decimal"/>
      <w:suff w:val="nothing"/>
      <w:lvlText w:val="（%1）"/>
      <w:lvlJc w:val="left"/>
    </w:lvl>
  </w:abstractNum>
  <w:abstractNum w:abstractNumId="1">
    <w:nsid w:val="83ABCEB1"/>
    <w:multiLevelType w:val="singleLevel"/>
    <w:tmpl w:val="83ABCEB1"/>
    <w:lvl w:ilvl="0" w:tentative="0">
      <w:start w:val="3"/>
      <w:numFmt w:val="decimal"/>
      <w:suff w:val="space"/>
      <w:lvlText w:val="%1."/>
      <w:lvlJc w:val="left"/>
    </w:lvl>
  </w:abstractNum>
  <w:abstractNum w:abstractNumId="2">
    <w:nsid w:val="84678314"/>
    <w:multiLevelType w:val="singleLevel"/>
    <w:tmpl w:val="84678314"/>
    <w:lvl w:ilvl="0" w:tentative="0">
      <w:start w:val="1"/>
      <w:numFmt w:val="decimal"/>
      <w:lvlText w:val="%1."/>
      <w:lvlJc w:val="left"/>
      <w:pPr>
        <w:tabs>
          <w:tab w:val="left" w:pos="312"/>
        </w:tabs>
      </w:pPr>
      <w:rPr>
        <w:rFonts w:hint="default"/>
        <w:b w:val="0"/>
        <w:bCs w:val="0"/>
      </w:rPr>
    </w:lvl>
  </w:abstractNum>
  <w:abstractNum w:abstractNumId="3">
    <w:nsid w:val="15AE2B4A"/>
    <w:multiLevelType w:val="singleLevel"/>
    <w:tmpl w:val="15AE2B4A"/>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MWViMmFhMTVjNzQwN2ZmMDNhMGM0ZjhhOGViYzYifQ=="/>
    <w:docVar w:name="KSO_WPS_MARK_KEY" w:val="6a91e14d-336c-4a96-8b8a-78a45e71f5eb"/>
  </w:docVars>
  <w:rsids>
    <w:rsidRoot w:val="26412084"/>
    <w:rsid w:val="03C45208"/>
    <w:rsid w:val="0A5337DD"/>
    <w:rsid w:val="0AA80BDD"/>
    <w:rsid w:val="11607CCD"/>
    <w:rsid w:val="139165FC"/>
    <w:rsid w:val="159B2ACE"/>
    <w:rsid w:val="189A440E"/>
    <w:rsid w:val="26412084"/>
    <w:rsid w:val="28E749CC"/>
    <w:rsid w:val="2B820DDC"/>
    <w:rsid w:val="340F54E7"/>
    <w:rsid w:val="346A286F"/>
    <w:rsid w:val="36246F69"/>
    <w:rsid w:val="384042C3"/>
    <w:rsid w:val="3FEA676C"/>
    <w:rsid w:val="42834C3C"/>
    <w:rsid w:val="4EA43E8F"/>
    <w:rsid w:val="51B353FD"/>
    <w:rsid w:val="51BC498C"/>
    <w:rsid w:val="534048EC"/>
    <w:rsid w:val="54B13049"/>
    <w:rsid w:val="58F53AE7"/>
    <w:rsid w:val="59D4538C"/>
    <w:rsid w:val="5CC957FF"/>
    <w:rsid w:val="64E777E2"/>
    <w:rsid w:val="658454FF"/>
    <w:rsid w:val="65AB3700"/>
    <w:rsid w:val="6A3053E5"/>
    <w:rsid w:val="72D21731"/>
    <w:rsid w:val="734A46E2"/>
    <w:rsid w:val="7853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1"/>
    <w:next w:val="1"/>
    <w:autoRedefine/>
    <w:qFormat/>
    <w:uiPriority w:val="0"/>
    <w:pPr>
      <w:autoSpaceDE w:val="0"/>
      <w:autoSpaceDN w:val="0"/>
      <w:adjustRightInd w:val="0"/>
      <w:jc w:val="left"/>
      <w:outlineLvl w:val="1"/>
    </w:pPr>
    <w:rPr>
      <w:kern w:val="0"/>
    </w:rPr>
  </w:style>
  <w:style w:type="paragraph" w:styleId="5">
    <w:name w:val="heading 3"/>
    <w:basedOn w:val="6"/>
    <w:next w:val="6"/>
    <w:autoRedefine/>
    <w:qFormat/>
    <w:uiPriority w:val="0"/>
    <w:pPr>
      <w:keepNext/>
      <w:keepLines/>
      <w:jc w:val="center"/>
      <w:outlineLvl w:val="2"/>
    </w:pPr>
    <w:rPr>
      <w:sz w:val="24"/>
    </w:rPr>
  </w:style>
  <w:style w:type="paragraph" w:styleId="2">
    <w:name w:val="heading 4"/>
    <w:basedOn w:val="1"/>
    <w:next w:val="1"/>
    <w:autoRedefine/>
    <w:qFormat/>
    <w:uiPriority w:val="0"/>
    <w:pPr>
      <w:keepNext/>
      <w:keepLines/>
      <w:spacing w:line="374" w:lineRule="auto"/>
      <w:outlineLvl w:val="3"/>
    </w:pPr>
    <w:rPr>
      <w:rFonts w:ascii="Arial" w:hAnsi="Arial"/>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annotation text"/>
    <w:basedOn w:val="1"/>
    <w:next w:val="1"/>
    <w:autoRedefine/>
    <w:qFormat/>
    <w:uiPriority w:val="0"/>
    <w:pPr>
      <w:adjustRightInd w:val="0"/>
      <w:spacing w:line="360" w:lineRule="atLeast"/>
      <w:jc w:val="left"/>
      <w:textAlignment w:val="baseline"/>
    </w:pPr>
    <w:rPr>
      <w:kern w:val="0"/>
    </w:rPr>
  </w:style>
  <w:style w:type="paragraph" w:styleId="8">
    <w:name w:val="Body Text"/>
    <w:basedOn w:val="1"/>
    <w:next w:val="9"/>
    <w:autoRedefine/>
    <w:qFormat/>
    <w:uiPriority w:val="0"/>
  </w:style>
  <w:style w:type="paragraph" w:styleId="9">
    <w:name w:val="Body Text 2"/>
    <w:basedOn w:val="1"/>
    <w:next w:val="8"/>
    <w:autoRedefine/>
    <w:qFormat/>
    <w:uiPriority w:val="0"/>
    <w:pPr>
      <w:spacing w:line="500" w:lineRule="exact"/>
    </w:pPr>
  </w:style>
  <w:style w:type="paragraph" w:styleId="10">
    <w:name w:val="Body Text Indent"/>
    <w:basedOn w:val="1"/>
    <w:next w:val="11"/>
    <w:autoRedefine/>
    <w:qFormat/>
    <w:uiPriority w:val="0"/>
    <w:pPr>
      <w:ind w:firstLine="560" w:firstLineChars="200"/>
    </w:pPr>
  </w:style>
  <w:style w:type="paragraph" w:styleId="11">
    <w:name w:val="envelope return"/>
    <w:basedOn w:val="1"/>
    <w:autoRedefine/>
    <w:qFormat/>
    <w:uiPriority w:val="0"/>
    <w:pPr>
      <w:snapToGrid w:val="0"/>
    </w:pPr>
    <w:rPr>
      <w:rFonts w:ascii="Arial" w:hAnsi="Arial"/>
    </w:rPr>
  </w:style>
  <w:style w:type="paragraph" w:styleId="12">
    <w:name w:val="Plain Text"/>
    <w:basedOn w:val="1"/>
    <w:autoRedefine/>
    <w:qFormat/>
    <w:uiPriority w:val="0"/>
    <w:pPr>
      <w:spacing w:line="240" w:lineRule="auto"/>
    </w:pPr>
    <w:rPr>
      <w:rFonts w:hAnsi="Courier New"/>
      <w:sz w:val="21"/>
    </w:rPr>
  </w:style>
  <w:style w:type="paragraph" w:styleId="13">
    <w:name w:val="Body Text Indent 2"/>
    <w:basedOn w:val="1"/>
    <w:autoRedefine/>
    <w:qFormat/>
    <w:uiPriority w:val="0"/>
    <w:pPr>
      <w:spacing w:line="480" w:lineRule="auto"/>
      <w:ind w:firstLine="561"/>
    </w:pPr>
  </w:style>
  <w:style w:type="paragraph" w:styleId="14">
    <w:name w:val="footer"/>
    <w:basedOn w:val="1"/>
    <w:autoRedefine/>
    <w:qFormat/>
    <w:uiPriority w:val="0"/>
    <w:pPr>
      <w:widowControl/>
      <w:tabs>
        <w:tab w:val="center" w:pos="4153"/>
        <w:tab w:val="right" w:pos="8306"/>
      </w:tabs>
      <w:snapToGrid w:val="0"/>
      <w:jc w:val="left"/>
    </w:pPr>
    <w:rPr>
      <w:kern w:val="0"/>
      <w:sz w:val="18"/>
    </w:rPr>
  </w:style>
  <w:style w:type="paragraph" w:styleId="15">
    <w:name w:val="Normal (Web)"/>
    <w:basedOn w:val="1"/>
    <w:autoRedefine/>
    <w:qFormat/>
    <w:uiPriority w:val="0"/>
  </w:style>
  <w:style w:type="paragraph" w:styleId="16">
    <w:name w:val="Body Text First Indent"/>
    <w:basedOn w:val="8"/>
    <w:next w:val="17"/>
    <w:autoRedefine/>
    <w:qFormat/>
    <w:uiPriority w:val="0"/>
    <w:pPr>
      <w:spacing w:line="312" w:lineRule="auto"/>
      <w:ind w:firstLine="420"/>
    </w:pPr>
  </w:style>
  <w:style w:type="paragraph" w:styleId="17">
    <w:name w:val="Body Text First Indent 2"/>
    <w:basedOn w:val="10"/>
    <w:next w:val="18"/>
    <w:autoRedefine/>
    <w:qFormat/>
    <w:uiPriority w:val="0"/>
    <w:pPr>
      <w:ind w:firstLine="420"/>
    </w:pPr>
  </w:style>
  <w:style w:type="paragraph" w:customStyle="1" w:styleId="18">
    <w:name w:val="章标题"/>
    <w:next w:val="1"/>
    <w:autoRedefine/>
    <w:qFormat/>
    <w:uiPriority w:val="0"/>
    <w:pPr>
      <w:spacing w:before="50" w:after="50"/>
      <w:jc w:val="both"/>
      <w:outlineLvl w:val="1"/>
    </w:pPr>
    <w:rPr>
      <w:rFonts w:ascii="黑体" w:hAnsi="Calibri" w:eastAsia="黑体" w:cs="Times New Roman"/>
      <w:sz w:val="21"/>
      <w:lang w:val="en-US" w:eastAsia="zh-CN" w:bidi="ar-SA"/>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缩进1"/>
    <w:basedOn w:val="1"/>
    <w:autoRedefine/>
    <w:qFormat/>
    <w:uiPriority w:val="0"/>
    <w:pPr>
      <w:widowControl/>
      <w:ind w:firstLine="420"/>
      <w:jc w:val="left"/>
    </w:pPr>
    <w:rPr>
      <w:rFonts w:ascii="Times New Roman"/>
      <w:kern w:val="0"/>
    </w:rPr>
  </w:style>
  <w:style w:type="paragraph" w:customStyle="1" w:styleId="23">
    <w:name w:val="样式 宋体 行距: 1.5 倍行距"/>
    <w:basedOn w:val="24"/>
    <w:next w:val="1"/>
    <w:autoRedefine/>
    <w:qFormat/>
    <w:uiPriority w:val="0"/>
    <w:pPr>
      <w:jc w:val="center"/>
    </w:pPr>
    <w:rPr>
      <w:rFonts w:ascii="Times New Roman"/>
      <w:b/>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3"/>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nnotationText"/>
    <w:basedOn w:val="1"/>
    <w:autoRedefine/>
    <w:qFormat/>
    <w:uiPriority w:val="0"/>
    <w:pPr>
      <w:jc w:val="left"/>
      <w:textAlignment w:val="baseline"/>
    </w:pPr>
    <w:rPr>
      <w:sz w:val="21"/>
      <w:szCs w:val="24"/>
    </w:rPr>
  </w:style>
  <w:style w:type="paragraph" w:customStyle="1" w:styleId="32">
    <w:name w:val="List Paragraph"/>
    <w:basedOn w:val="1"/>
    <w:autoRedefine/>
    <w:unhideWhenUsed/>
    <w:qFormat/>
    <w:uiPriority w:val="99"/>
    <w:pPr>
      <w:ind w:firstLine="420" w:firstLineChars="200"/>
    </w:pPr>
  </w:style>
  <w:style w:type="paragraph" w:customStyle="1" w:styleId="33">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6">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普通(网站) New"/>
    <w:basedOn w:val="38"/>
    <w:autoRedefine/>
    <w:qFormat/>
    <w:uiPriority w:val="0"/>
    <w:rPr>
      <w:sz w:val="24"/>
    </w:rPr>
  </w:style>
  <w:style w:type="paragraph" w:customStyle="1" w:styleId="38">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标题 3 New New"/>
    <w:basedOn w:val="40"/>
    <w:next w:val="40"/>
    <w:autoRedefine/>
    <w:qFormat/>
    <w:uiPriority w:val="0"/>
    <w:pPr>
      <w:keepNext/>
      <w:keepLines/>
      <w:jc w:val="center"/>
      <w:outlineLvl w:val="2"/>
    </w:pPr>
    <w:rPr>
      <w:sz w:val="24"/>
    </w:rPr>
  </w:style>
  <w:style w:type="paragraph" w:customStyle="1" w:styleId="40">
    <w:name w:val="正文缩进 New"/>
    <w:basedOn w:val="41"/>
    <w:autoRedefine/>
    <w:qFormat/>
    <w:uiPriority w:val="0"/>
    <w:pPr>
      <w:widowControl/>
      <w:ind w:firstLine="420"/>
      <w:jc w:val="left"/>
    </w:pPr>
    <w:rPr>
      <w:kern w:val="0"/>
      <w:sz w:val="20"/>
    </w:rPr>
  </w:style>
  <w:style w:type="paragraph" w:customStyle="1" w:styleId="41">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2">
    <w:name w:val="正文文本缩进 New"/>
    <w:basedOn w:val="41"/>
    <w:autoRedefine/>
    <w:qFormat/>
    <w:uiPriority w:val="0"/>
    <w:pPr>
      <w:ind w:firstLine="560" w:firstLineChars="200"/>
    </w:pPr>
  </w:style>
  <w:style w:type="paragraph" w:customStyle="1" w:styleId="43">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3"/>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46903</Words>
  <Characters>49660</Characters>
  <Lines>0</Lines>
  <Paragraphs>0</Paragraphs>
  <TotalTime>2</TotalTime>
  <ScaleCrop>false</ScaleCrop>
  <LinksUpToDate>false</LinksUpToDate>
  <CharactersWithSpaces>53323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2023-12-29T07:27:00Z</dcterms:created>
  <dc:creator>Administrator</dc:creator>
  <cp:lastModifiedBy>刘聪、</cp:lastModifiedBy>
  <cp:lastPrinted>2024-03-27T01:55:00Z</cp:lastPrinted>
  <dcterms:modified xsi:type="dcterms:W3CDTF">2024-03-28T07:18:45Z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70D974F95EBF4C438AB355F2FE5E6F7A_13</vt:lpwstr>
  </property>
</Properties>
</file>