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D57191">
      <w:pPr>
        <w:adjustRightInd w:val="0"/>
        <w:snapToGrid w:val="0"/>
        <w:spacing w:line="700" w:lineRule="exact"/>
        <w:jc w:val="center"/>
        <w:rPr>
          <w:rFonts w:hint="eastAsia" w:ascii="宋体" w:hAnsi="宋体" w:cs="宋体"/>
          <w:b/>
          <w:bCs/>
          <w:color w:val="auto"/>
          <w:kern w:val="0"/>
          <w:sz w:val="52"/>
          <w:szCs w:val="52"/>
          <w:highlight w:val="none"/>
          <w:lang w:val="en-US" w:eastAsia="zh-CN"/>
        </w:rPr>
      </w:pPr>
    </w:p>
    <w:p w14:paraId="17F697BC">
      <w:pPr>
        <w:adjustRightInd w:val="0"/>
        <w:snapToGrid w:val="0"/>
        <w:spacing w:line="700" w:lineRule="exact"/>
        <w:jc w:val="center"/>
        <w:rPr>
          <w:rFonts w:hint="eastAsia" w:ascii="宋体" w:hAnsi="宋体" w:eastAsia="宋体" w:cs="宋体"/>
          <w:b/>
          <w:bCs/>
          <w:color w:val="auto"/>
          <w:kern w:val="0"/>
          <w:sz w:val="48"/>
          <w:szCs w:val="48"/>
          <w:highlight w:val="none"/>
          <w:lang w:val="en-US" w:eastAsia="zh-CN"/>
        </w:rPr>
      </w:pPr>
      <w:r>
        <w:rPr>
          <w:rFonts w:hint="eastAsia" w:ascii="宋体" w:hAnsi="宋体" w:cs="宋体"/>
          <w:b/>
          <w:bCs/>
          <w:color w:val="auto"/>
          <w:kern w:val="0"/>
          <w:sz w:val="56"/>
          <w:szCs w:val="56"/>
          <w:highlight w:val="none"/>
          <w:lang w:val="en-US" w:eastAsia="zh-CN"/>
        </w:rPr>
        <w:t>广东省</w:t>
      </w:r>
    </w:p>
    <w:p w14:paraId="5FF1188A">
      <w:pPr>
        <w:adjustRightInd w:val="0"/>
        <w:snapToGrid w:val="0"/>
        <w:spacing w:line="700" w:lineRule="exact"/>
        <w:jc w:val="center"/>
        <w:rPr>
          <w:rFonts w:hint="eastAsia" w:ascii="宋体" w:hAnsi="宋体" w:cs="宋体"/>
          <w:b/>
          <w:bCs/>
          <w:color w:val="auto"/>
          <w:kern w:val="0"/>
          <w:sz w:val="44"/>
          <w:szCs w:val="44"/>
          <w:highlight w:val="none"/>
        </w:rPr>
      </w:pPr>
    </w:p>
    <w:p w14:paraId="7C73757B">
      <w:pPr>
        <w:adjustRightInd w:val="0"/>
        <w:snapToGrid w:val="0"/>
        <w:spacing w:line="360" w:lineRule="auto"/>
        <w:jc w:val="center"/>
        <w:rPr>
          <w:rFonts w:hint="eastAsia" w:ascii="宋体" w:hAnsi="宋体" w:cs="宋体"/>
          <w:b/>
          <w:bCs/>
          <w:color w:val="auto"/>
          <w:kern w:val="0"/>
          <w:sz w:val="48"/>
          <w:szCs w:val="48"/>
          <w:highlight w:val="none"/>
          <w:lang w:eastAsia="zh-CN"/>
        </w:rPr>
      </w:pPr>
      <w:r>
        <w:rPr>
          <w:rFonts w:hint="eastAsia" w:ascii="宋体" w:hAnsi="宋体" w:cs="宋体"/>
          <w:b/>
          <w:bCs/>
          <w:color w:val="auto"/>
          <w:kern w:val="0"/>
          <w:sz w:val="48"/>
          <w:szCs w:val="48"/>
          <w:highlight w:val="none"/>
          <w:lang w:eastAsia="zh-CN"/>
        </w:rPr>
        <w:t>乐昌市两江镇Y791线蛇岭至茶坪改建工程</w:t>
      </w:r>
    </w:p>
    <w:p w14:paraId="712556E0">
      <w:pPr>
        <w:adjustRightInd w:val="0"/>
        <w:snapToGrid w:val="0"/>
        <w:spacing w:line="360" w:lineRule="auto"/>
        <w:jc w:val="center"/>
        <w:rPr>
          <w:rFonts w:hint="eastAsia" w:ascii="宋体" w:hAnsi="宋体" w:eastAsia="宋体" w:cs="宋体"/>
          <w:b/>
          <w:bCs/>
          <w:color w:val="auto"/>
          <w:spacing w:val="26"/>
          <w:sz w:val="48"/>
          <w:szCs w:val="48"/>
          <w:highlight w:val="none"/>
          <w:lang w:eastAsia="zh-CN"/>
          <w14:shadow w14:blurRad="50800" w14:dist="38100" w14:dir="2700000" w14:sx="100000" w14:sy="100000" w14:kx="0" w14:ky="0" w14:algn="tl">
            <w14:srgbClr w14:val="000000">
              <w14:alpha w14:val="60000"/>
            </w14:srgbClr>
          </w14:shadow>
        </w:rPr>
      </w:pPr>
      <w:r>
        <w:rPr>
          <w:rFonts w:hint="eastAsia" w:ascii="宋体" w:hAnsi="宋体" w:cs="宋体"/>
          <w:b/>
          <w:bCs/>
          <w:color w:val="auto"/>
          <w:kern w:val="0"/>
          <w:sz w:val="48"/>
          <w:szCs w:val="48"/>
          <w:highlight w:val="none"/>
          <w:lang w:eastAsia="zh-CN"/>
        </w:rPr>
        <w:t>（单改双）施工（</w:t>
      </w:r>
      <w:r>
        <w:rPr>
          <w:rFonts w:hint="eastAsia" w:ascii="宋体" w:hAnsi="宋体" w:cs="宋体"/>
          <w:b/>
          <w:bCs/>
          <w:color w:val="auto"/>
          <w:kern w:val="0"/>
          <w:sz w:val="48"/>
          <w:szCs w:val="48"/>
          <w:highlight w:val="none"/>
          <w:lang w:val="en-US" w:eastAsia="zh-CN"/>
        </w:rPr>
        <w:t>第三次</w:t>
      </w:r>
      <w:r>
        <w:rPr>
          <w:rFonts w:hint="eastAsia" w:ascii="宋体" w:hAnsi="宋体" w:cs="宋体"/>
          <w:b/>
          <w:bCs/>
          <w:color w:val="auto"/>
          <w:kern w:val="0"/>
          <w:sz w:val="48"/>
          <w:szCs w:val="48"/>
          <w:highlight w:val="none"/>
          <w:lang w:eastAsia="zh-CN"/>
        </w:rPr>
        <w:t>）</w:t>
      </w:r>
    </w:p>
    <w:p w14:paraId="4AB7C1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color w:val="auto"/>
          <w:spacing w:val="26"/>
          <w:sz w:val="56"/>
          <w:szCs w:val="56"/>
          <w:highlight w:val="none"/>
          <w14:shadow w14:blurRad="50800" w14:dist="38100" w14:dir="2700000" w14:sx="100000" w14:sy="100000" w14:kx="0" w14:ky="0" w14:algn="tl">
            <w14:srgbClr w14:val="000000">
              <w14:alpha w14:val="60000"/>
            </w14:srgbClr>
          </w14:shadow>
        </w:rPr>
      </w:pPr>
    </w:p>
    <w:p w14:paraId="47D7C8A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b/>
          <w:bCs/>
          <w:color w:val="auto"/>
          <w:spacing w:val="26"/>
          <w:sz w:val="56"/>
          <w:szCs w:val="56"/>
          <w:highlight w:val="none"/>
          <w14:shadow w14:blurRad="50800" w14:dist="38100" w14:dir="2700000" w14:sx="100000" w14:sy="100000" w14:kx="0" w14:ky="0" w14:algn="tl">
            <w14:srgbClr w14:val="000000">
              <w14:alpha w14:val="60000"/>
            </w14:srgbClr>
          </w14:shadow>
        </w:rPr>
      </w:pPr>
    </w:p>
    <w:p w14:paraId="44F5676A">
      <w:pPr>
        <w:pStyle w:val="53"/>
        <w:rPr>
          <w:rFonts w:hint="eastAsia"/>
          <w:color w:val="auto"/>
          <w:highlight w:val="none"/>
        </w:rPr>
      </w:pPr>
    </w:p>
    <w:p w14:paraId="76F5B199">
      <w:pPr>
        <w:spacing w:line="360" w:lineRule="auto"/>
        <w:jc w:val="center"/>
        <w:rPr>
          <w:rFonts w:hint="eastAsia" w:ascii="宋体" w:hAnsi="宋体" w:cs="宋体"/>
          <w:b/>
          <w:bCs/>
          <w:color w:val="auto"/>
          <w:spacing w:val="26"/>
          <w:sz w:val="84"/>
          <w:szCs w:val="84"/>
          <w:highlight w:val="none"/>
          <w14:shadow w14:blurRad="50800" w14:dist="38100" w14:dir="2700000" w14:sx="100000" w14:sy="100000" w14:kx="0" w14:ky="0" w14:algn="tl">
            <w14:srgbClr w14:val="000000">
              <w14:alpha w14:val="60000"/>
            </w14:srgbClr>
          </w14:shadow>
        </w:rPr>
      </w:pPr>
      <w:r>
        <w:rPr>
          <w:rFonts w:hint="eastAsia" w:ascii="宋体" w:hAnsi="宋体" w:cs="宋体"/>
          <w:b/>
          <w:bCs/>
          <w:color w:val="auto"/>
          <w:spacing w:val="26"/>
          <w:sz w:val="96"/>
          <w:szCs w:val="96"/>
          <w:highlight w:val="none"/>
          <w14:shadow w14:blurRad="50800" w14:dist="38100" w14:dir="2700000" w14:sx="100000" w14:sy="100000" w14:kx="0" w14:ky="0" w14:algn="tl">
            <w14:srgbClr w14:val="000000">
              <w14:alpha w14:val="60000"/>
            </w14:srgbClr>
          </w14:shadow>
        </w:rPr>
        <w:t>招标文件</w:t>
      </w:r>
    </w:p>
    <w:p w14:paraId="31EDE8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color w:val="auto"/>
          <w:spacing w:val="26"/>
          <w:sz w:val="72"/>
          <w:szCs w:val="72"/>
          <w:highlight w:val="none"/>
          <w14:shadow w14:blurRad="50800" w14:dist="38100" w14:dir="2700000" w14:sx="100000" w14:sy="100000" w14:kx="0" w14:ky="0" w14:algn="tl">
            <w14:srgbClr w14:val="000000">
              <w14:alpha w14:val="60000"/>
            </w14:srgbClr>
          </w14:shadow>
        </w:rPr>
      </w:pPr>
    </w:p>
    <w:p w14:paraId="63F0E3F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color w:val="auto"/>
          <w:sz w:val="28"/>
          <w:szCs w:val="28"/>
          <w:highlight w:val="none"/>
        </w:rPr>
      </w:pPr>
    </w:p>
    <w:p w14:paraId="1E64A427">
      <w:pPr>
        <w:pStyle w:val="5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color w:val="auto"/>
          <w:sz w:val="28"/>
          <w:szCs w:val="28"/>
          <w:highlight w:val="none"/>
        </w:rPr>
      </w:pPr>
    </w:p>
    <w:p w14:paraId="5DB1643E">
      <w:pPr>
        <w:pStyle w:val="5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color w:val="auto"/>
          <w:sz w:val="28"/>
          <w:szCs w:val="28"/>
          <w:highlight w:val="none"/>
        </w:rPr>
      </w:pPr>
    </w:p>
    <w:p w14:paraId="454DF355">
      <w:pPr>
        <w:rPr>
          <w:rFonts w:hint="eastAsia" w:ascii="宋体" w:hAnsi="宋体" w:cs="宋体"/>
          <w:color w:val="auto"/>
          <w:sz w:val="28"/>
          <w:szCs w:val="28"/>
          <w:highlight w:val="none"/>
        </w:rPr>
      </w:pPr>
    </w:p>
    <w:p w14:paraId="4D61E1AE">
      <w:pPr>
        <w:pStyle w:val="53"/>
        <w:rPr>
          <w:rFonts w:hint="eastAsia"/>
          <w:color w:val="auto"/>
          <w:highlight w:val="none"/>
        </w:rPr>
      </w:pPr>
    </w:p>
    <w:p w14:paraId="4CC65E3D">
      <w:pPr>
        <w:rPr>
          <w:rFonts w:hint="eastAsia"/>
          <w:color w:val="auto"/>
          <w:highlight w:val="none"/>
        </w:rPr>
      </w:pPr>
    </w:p>
    <w:p w14:paraId="113A792F">
      <w:pPr>
        <w:pStyle w:val="54"/>
        <w:rPr>
          <w:rFonts w:hint="eastAsia" w:ascii="宋体" w:hAnsi="宋体" w:cs="宋体"/>
          <w:color w:val="auto"/>
          <w:sz w:val="28"/>
          <w:szCs w:val="28"/>
          <w:highlight w:val="none"/>
        </w:rPr>
      </w:pPr>
    </w:p>
    <w:p w14:paraId="3BB867BC">
      <w:pPr>
        <w:spacing w:line="480" w:lineRule="auto"/>
        <w:ind w:firstLine="1205" w:firstLineChars="400"/>
        <w:jc w:val="left"/>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rPr>
        <w:t>招 标 人：</w:t>
      </w:r>
      <w:r>
        <w:rPr>
          <w:rFonts w:hint="eastAsia" w:ascii="宋体" w:hAnsi="宋体" w:cs="宋体"/>
          <w:b/>
          <w:bCs/>
          <w:color w:val="auto"/>
          <w:sz w:val="30"/>
          <w:szCs w:val="30"/>
          <w:highlight w:val="none"/>
          <w:u w:val="none"/>
          <w:lang w:eastAsia="zh-CN"/>
        </w:rPr>
        <w:t>乐昌市两江镇人民政府</w:t>
      </w:r>
      <w:r>
        <w:rPr>
          <w:rFonts w:hint="eastAsia" w:ascii="宋体" w:hAnsi="宋体" w:cs="宋体"/>
          <w:b/>
          <w:bCs/>
          <w:color w:val="auto"/>
          <w:sz w:val="30"/>
          <w:szCs w:val="30"/>
          <w:highlight w:val="none"/>
          <w:u w:val="none"/>
        </w:rPr>
        <w:t>（盖单位章）</w:t>
      </w:r>
    </w:p>
    <w:p w14:paraId="0D509335">
      <w:pPr>
        <w:spacing w:line="480" w:lineRule="auto"/>
        <w:ind w:firstLine="1205" w:firstLineChars="400"/>
        <w:jc w:val="both"/>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招标代理：</w:t>
      </w:r>
      <w:r>
        <w:rPr>
          <w:rFonts w:hint="eastAsia" w:ascii="宋体" w:hAnsi="宋体" w:cs="宋体"/>
          <w:b/>
          <w:bCs/>
          <w:color w:val="auto"/>
          <w:sz w:val="30"/>
          <w:szCs w:val="30"/>
          <w:highlight w:val="none"/>
          <w:u w:val="none"/>
          <w:lang w:eastAsia="zh-CN"/>
        </w:rPr>
        <w:t>韶关市中利工程咨询有限公司</w:t>
      </w:r>
      <w:r>
        <w:rPr>
          <w:rFonts w:hint="eastAsia" w:ascii="宋体" w:hAnsi="宋体" w:cs="宋体"/>
          <w:b/>
          <w:bCs/>
          <w:color w:val="auto"/>
          <w:sz w:val="30"/>
          <w:szCs w:val="30"/>
          <w:highlight w:val="none"/>
          <w:u w:val="none"/>
        </w:rPr>
        <w:t>（盖单位章）</w:t>
      </w:r>
    </w:p>
    <w:p w14:paraId="66CDBF95">
      <w:pPr>
        <w:ind w:firstLine="3915" w:firstLineChars="1300"/>
        <w:jc w:val="both"/>
        <w:rPr>
          <w:rFonts w:hint="eastAsia" w:ascii="宋体" w:hAnsi="宋体" w:eastAsia="宋体"/>
          <w:b/>
          <w:color w:val="auto"/>
          <w:sz w:val="30"/>
          <w:szCs w:val="30"/>
          <w:highlight w:val="none"/>
          <w:u w:val="none"/>
          <w:lang w:eastAsia="zh-CN"/>
        </w:rPr>
        <w:sectPr>
          <w:headerReference r:id="rId4" w:type="first"/>
          <w:footerReference r:id="rId5" w:type="default"/>
          <w:headerReference r:id="rId3" w:type="even"/>
          <w:footerReference r:id="rId6" w:type="even"/>
          <w:pgSz w:w="11910" w:h="16840"/>
          <w:pgMar w:top="941" w:right="720" w:bottom="1179" w:left="980" w:header="707" w:footer="998" w:gutter="0"/>
          <w:cols w:space="720" w:num="1"/>
          <w:titlePg/>
        </w:sectPr>
      </w:pPr>
      <w:r>
        <w:rPr>
          <w:rFonts w:hint="eastAsia" w:ascii="宋体" w:hAnsi="宋体" w:cs="宋体"/>
          <w:b/>
          <w:bCs/>
          <w:color w:val="auto"/>
          <w:kern w:val="44"/>
          <w:sz w:val="30"/>
          <w:szCs w:val="30"/>
          <w:highlight w:val="none"/>
          <w:u w:val="none"/>
        </w:rPr>
        <w:t>20</w:t>
      </w:r>
      <w:bookmarkStart w:id="0" w:name="_Toc24116"/>
      <w:bookmarkStart w:id="1" w:name="_Toc164"/>
      <w:bookmarkStart w:id="2" w:name="_Toc14852"/>
      <w:r>
        <w:rPr>
          <w:rFonts w:hint="eastAsia" w:ascii="宋体" w:hAnsi="宋体" w:cs="宋体"/>
          <w:b/>
          <w:bCs/>
          <w:color w:val="auto"/>
          <w:kern w:val="44"/>
          <w:sz w:val="30"/>
          <w:szCs w:val="30"/>
          <w:highlight w:val="none"/>
          <w:u w:val="none"/>
        </w:rPr>
        <w:t>2</w:t>
      </w:r>
      <w:r>
        <w:rPr>
          <w:rFonts w:hint="eastAsia" w:ascii="宋体" w:hAnsi="宋体" w:cs="宋体"/>
          <w:b/>
          <w:bCs/>
          <w:color w:val="auto"/>
          <w:kern w:val="44"/>
          <w:sz w:val="30"/>
          <w:szCs w:val="30"/>
          <w:highlight w:val="none"/>
          <w:u w:val="none"/>
          <w:lang w:val="en-US" w:eastAsia="zh-CN"/>
        </w:rPr>
        <w:t>4</w:t>
      </w:r>
      <w:r>
        <w:rPr>
          <w:rFonts w:hint="eastAsia" w:ascii="宋体" w:hAnsi="宋体" w:cs="宋体"/>
          <w:b/>
          <w:bCs/>
          <w:color w:val="auto"/>
          <w:kern w:val="44"/>
          <w:sz w:val="30"/>
          <w:szCs w:val="30"/>
          <w:highlight w:val="none"/>
          <w:u w:val="none"/>
        </w:rPr>
        <w:t xml:space="preserve"> 年</w:t>
      </w:r>
      <w:r>
        <w:rPr>
          <w:rFonts w:hint="eastAsia" w:ascii="宋体" w:hAnsi="宋体" w:cs="宋体"/>
          <w:b/>
          <w:bCs/>
          <w:color w:val="auto"/>
          <w:kern w:val="44"/>
          <w:sz w:val="30"/>
          <w:szCs w:val="30"/>
          <w:highlight w:val="none"/>
          <w:u w:val="none"/>
          <w:lang w:val="en-US" w:eastAsia="zh-CN"/>
        </w:rPr>
        <w:t>9</w:t>
      </w:r>
      <w:r>
        <w:rPr>
          <w:rFonts w:hint="eastAsia" w:ascii="宋体" w:hAnsi="宋体" w:cs="宋体"/>
          <w:b/>
          <w:bCs/>
          <w:color w:val="auto"/>
          <w:kern w:val="44"/>
          <w:sz w:val="30"/>
          <w:szCs w:val="30"/>
          <w:highlight w:val="none"/>
          <w:u w:val="none"/>
        </w:rPr>
        <w:t>月</w:t>
      </w:r>
      <w:bookmarkEnd w:id="0"/>
      <w:bookmarkEnd w:id="1"/>
      <w:bookmarkEnd w:id="2"/>
    </w:p>
    <w:p w14:paraId="45722BA4">
      <w:pPr>
        <w:adjustRightInd w:val="0"/>
        <w:snapToGrid w:val="0"/>
        <w:spacing w:line="700" w:lineRule="exact"/>
        <w:jc w:val="center"/>
        <w:rPr>
          <w:rFonts w:hint="eastAsia" w:ascii="宋体" w:hAnsi="宋体" w:cs="宋体"/>
          <w:b/>
          <w:bCs/>
          <w:color w:val="auto"/>
          <w:kern w:val="0"/>
          <w:sz w:val="52"/>
          <w:szCs w:val="52"/>
          <w:highlight w:val="none"/>
          <w:lang w:val="en-US" w:eastAsia="zh-CN"/>
        </w:rPr>
      </w:pPr>
    </w:p>
    <w:p w14:paraId="05EE0823">
      <w:pPr>
        <w:pStyle w:val="52"/>
        <w:rPr>
          <w:color w:val="auto"/>
          <w:highlight w:val="none"/>
        </w:rPr>
        <w:sectPr>
          <w:headerReference r:id="rId8" w:type="first"/>
          <w:footerReference r:id="rId10" w:type="first"/>
          <w:headerReference r:id="rId7" w:type="default"/>
          <w:footerReference r:id="rId9" w:type="default"/>
          <w:pgSz w:w="11910" w:h="16840"/>
          <w:pgMar w:top="941" w:right="720" w:bottom="1179" w:left="980" w:header="707" w:footer="998" w:gutter="0"/>
          <w:pgNumType w:start="1"/>
          <w:cols w:space="720" w:num="1"/>
          <w:titlePg/>
        </w:sectPr>
      </w:pPr>
    </w:p>
    <w:p w14:paraId="06E107D1">
      <w:pPr>
        <w:pStyle w:val="52"/>
        <w:rPr>
          <w:color w:val="auto"/>
          <w:highlight w:val="none"/>
        </w:rPr>
      </w:pPr>
    </w:p>
    <w:p w14:paraId="648B7C2E">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77D0EB66">
      <w:pPr>
        <w:pStyle w:val="28"/>
        <w:tabs>
          <w:tab w:val="right" w:leader="dot" w:pos="10200"/>
        </w:tabs>
        <w:spacing w:line="250" w:lineRule="exact"/>
        <w:rPr>
          <w:rFonts w:asciiTheme="minorHAnsi" w:hAnsiTheme="minorHAnsi" w:eastAsiaTheme="minorEastAsia" w:cstheme="minorBidi"/>
          <w:color w:val="auto"/>
          <w:sz w:val="24"/>
          <w:szCs w:val="28"/>
          <w:highlight w:val="none"/>
        </w:rPr>
      </w:pP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TOC \o "1-4" \h \u </w:instrText>
      </w:r>
      <w:r>
        <w:rPr>
          <w:rFonts w:hint="eastAsia" w:ascii="宋体" w:hAnsi="宋体" w:cs="宋体"/>
          <w:color w:val="auto"/>
          <w:sz w:val="24"/>
          <w:highlight w:val="none"/>
          <w:u w:val="single"/>
        </w:rPr>
        <w:fldChar w:fldCharType="separate"/>
      </w:r>
      <w:r>
        <w:rPr>
          <w:color w:val="auto"/>
          <w:sz w:val="24"/>
          <w:szCs w:val="32"/>
          <w:highlight w:val="none"/>
        </w:rPr>
        <w:fldChar w:fldCharType="begin"/>
      </w:r>
      <w:r>
        <w:rPr>
          <w:color w:val="auto"/>
          <w:sz w:val="24"/>
          <w:szCs w:val="32"/>
          <w:highlight w:val="none"/>
        </w:rPr>
        <w:instrText xml:space="preserve"> HYPERLINK \l "_Toc43475653" </w:instrText>
      </w:r>
      <w:r>
        <w:rPr>
          <w:color w:val="auto"/>
          <w:sz w:val="24"/>
          <w:szCs w:val="32"/>
          <w:highlight w:val="none"/>
        </w:rPr>
        <w:fldChar w:fldCharType="separate"/>
      </w:r>
      <w:r>
        <w:rPr>
          <w:rStyle w:val="49"/>
          <w:rFonts w:hint="eastAsia" w:ascii="宋体" w:hAnsi="宋体"/>
          <w:color w:val="auto"/>
          <w:sz w:val="21"/>
          <w:szCs w:val="21"/>
          <w:highlight w:val="none"/>
        </w:rPr>
        <w:t>第一章 招标公告</w:t>
      </w:r>
      <w:r>
        <w:rPr>
          <w:rStyle w:val="49"/>
          <w:rFonts w:ascii="宋体" w:hAnsi="宋体"/>
          <w:color w:val="auto"/>
          <w:sz w:val="21"/>
          <w:szCs w:val="21"/>
          <w:highlight w:val="none"/>
        </w:rPr>
        <w:t>(</w:t>
      </w:r>
      <w:r>
        <w:rPr>
          <w:rStyle w:val="49"/>
          <w:rFonts w:hint="eastAsia" w:ascii="宋体" w:hAnsi="宋体"/>
          <w:color w:val="auto"/>
          <w:sz w:val="21"/>
          <w:szCs w:val="21"/>
          <w:highlight w:val="none"/>
        </w:rPr>
        <w:t>未进行资格预审</w:t>
      </w:r>
      <w:r>
        <w:rPr>
          <w:rStyle w:val="49"/>
          <w:rFonts w:ascii="宋体" w:hAnsi="宋体"/>
          <w:color w:val="auto"/>
          <w:sz w:val="21"/>
          <w:szCs w:val="21"/>
          <w:highlight w:val="none"/>
        </w:rPr>
        <w:t>)</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_Toc43475653 \h </w:instrText>
      </w:r>
      <w:r>
        <w:rPr>
          <w:color w:val="auto"/>
          <w:sz w:val="24"/>
          <w:szCs w:val="32"/>
          <w:highlight w:val="none"/>
        </w:rPr>
        <w:fldChar w:fldCharType="separate"/>
      </w:r>
      <w:r>
        <w:rPr>
          <w:color w:val="auto"/>
          <w:sz w:val="24"/>
          <w:szCs w:val="32"/>
          <w:highlight w:val="none"/>
        </w:rPr>
        <w:t>6</w:t>
      </w:r>
      <w:r>
        <w:rPr>
          <w:color w:val="auto"/>
          <w:sz w:val="24"/>
          <w:szCs w:val="32"/>
          <w:highlight w:val="none"/>
        </w:rPr>
        <w:fldChar w:fldCharType="end"/>
      </w:r>
      <w:r>
        <w:rPr>
          <w:color w:val="auto"/>
          <w:sz w:val="24"/>
          <w:szCs w:val="32"/>
          <w:highlight w:val="none"/>
        </w:rPr>
        <w:fldChar w:fldCharType="end"/>
      </w:r>
    </w:p>
    <w:p w14:paraId="3E177C9C">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"_Toc43475654" </w:instrText>
      </w:r>
      <w:r>
        <w:rPr>
          <w:color w:val="auto"/>
          <w:sz w:val="24"/>
          <w:szCs w:val="32"/>
          <w:highlight w:val="none"/>
        </w:rPr>
        <w:fldChar w:fldCharType="separate"/>
      </w:r>
      <w:r>
        <w:rPr>
          <w:rStyle w:val="49"/>
          <w:rFonts w:ascii="宋体" w:hAnsi="宋体" w:cs="黑体"/>
          <w:color w:val="auto"/>
          <w:sz w:val="21"/>
          <w:szCs w:val="21"/>
          <w:highlight w:val="none"/>
        </w:rPr>
        <w:t>1</w:t>
      </w:r>
      <w:r>
        <w:rPr>
          <w:rStyle w:val="49"/>
          <w:rFonts w:hint="eastAsia" w:ascii="宋体" w:hAnsi="宋体" w:cs="黑体"/>
          <w:color w:val="auto"/>
          <w:sz w:val="21"/>
          <w:szCs w:val="21"/>
          <w:highlight w:val="none"/>
        </w:rPr>
        <w:t>.招标条件</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_Toc43475654 \h </w:instrText>
      </w:r>
      <w:r>
        <w:rPr>
          <w:color w:val="auto"/>
          <w:sz w:val="24"/>
          <w:szCs w:val="32"/>
          <w:highlight w:val="none"/>
        </w:rPr>
        <w:fldChar w:fldCharType="separate"/>
      </w:r>
      <w:r>
        <w:rPr>
          <w:color w:val="auto"/>
          <w:sz w:val="24"/>
          <w:szCs w:val="32"/>
          <w:highlight w:val="none"/>
        </w:rPr>
        <w:t>6</w:t>
      </w:r>
      <w:r>
        <w:rPr>
          <w:color w:val="auto"/>
          <w:sz w:val="24"/>
          <w:szCs w:val="32"/>
          <w:highlight w:val="none"/>
        </w:rPr>
        <w:fldChar w:fldCharType="end"/>
      </w:r>
      <w:r>
        <w:rPr>
          <w:color w:val="auto"/>
          <w:sz w:val="24"/>
          <w:szCs w:val="32"/>
          <w:highlight w:val="none"/>
        </w:rPr>
        <w:fldChar w:fldCharType="end"/>
      </w:r>
    </w:p>
    <w:p w14:paraId="28727CEE">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"_Toc43475655" </w:instrText>
      </w:r>
      <w:r>
        <w:rPr>
          <w:color w:val="auto"/>
          <w:sz w:val="24"/>
          <w:szCs w:val="32"/>
          <w:highlight w:val="none"/>
        </w:rPr>
        <w:fldChar w:fldCharType="separate"/>
      </w:r>
      <w:r>
        <w:rPr>
          <w:rStyle w:val="49"/>
          <w:rFonts w:ascii="宋体" w:hAnsi="宋体" w:cs="黑体"/>
          <w:color w:val="auto"/>
          <w:sz w:val="21"/>
          <w:szCs w:val="21"/>
          <w:highlight w:val="none"/>
        </w:rPr>
        <w:t>2</w:t>
      </w:r>
      <w:r>
        <w:rPr>
          <w:rStyle w:val="49"/>
          <w:rFonts w:hint="eastAsia" w:ascii="宋体" w:hAnsi="宋体" w:cs="黑体"/>
          <w:color w:val="auto"/>
          <w:sz w:val="21"/>
          <w:szCs w:val="21"/>
          <w:highlight w:val="none"/>
        </w:rPr>
        <w:t>.项目概况与招标范围</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_Toc43475655 \h </w:instrText>
      </w:r>
      <w:r>
        <w:rPr>
          <w:color w:val="auto"/>
          <w:sz w:val="24"/>
          <w:szCs w:val="32"/>
          <w:highlight w:val="none"/>
        </w:rPr>
        <w:fldChar w:fldCharType="separate"/>
      </w:r>
      <w:r>
        <w:rPr>
          <w:color w:val="auto"/>
          <w:sz w:val="24"/>
          <w:szCs w:val="32"/>
          <w:highlight w:val="none"/>
        </w:rPr>
        <w:t>6</w:t>
      </w:r>
      <w:r>
        <w:rPr>
          <w:color w:val="auto"/>
          <w:sz w:val="24"/>
          <w:szCs w:val="32"/>
          <w:highlight w:val="none"/>
        </w:rPr>
        <w:fldChar w:fldCharType="end"/>
      </w:r>
      <w:r>
        <w:rPr>
          <w:color w:val="auto"/>
          <w:sz w:val="24"/>
          <w:szCs w:val="32"/>
          <w:highlight w:val="none"/>
        </w:rPr>
        <w:fldChar w:fldCharType="end"/>
      </w:r>
    </w:p>
    <w:p w14:paraId="69BC32C4">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"_Toc43475656" </w:instrText>
      </w:r>
      <w:r>
        <w:rPr>
          <w:color w:val="auto"/>
          <w:sz w:val="24"/>
          <w:szCs w:val="32"/>
          <w:highlight w:val="none"/>
        </w:rPr>
        <w:fldChar w:fldCharType="separate"/>
      </w:r>
      <w:r>
        <w:rPr>
          <w:rStyle w:val="49"/>
          <w:rFonts w:ascii="宋体" w:hAnsi="宋体" w:cs="黑体"/>
          <w:color w:val="auto"/>
          <w:sz w:val="21"/>
          <w:szCs w:val="21"/>
          <w:highlight w:val="none"/>
        </w:rPr>
        <w:t>3</w:t>
      </w:r>
      <w:r>
        <w:rPr>
          <w:rStyle w:val="49"/>
          <w:rFonts w:hint="eastAsia" w:ascii="宋体" w:hAnsi="宋体" w:cs="黑体"/>
          <w:color w:val="auto"/>
          <w:sz w:val="21"/>
          <w:szCs w:val="21"/>
          <w:highlight w:val="none"/>
        </w:rPr>
        <w:t>.投标人资格要求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_Toc43475656 \h </w:instrText>
      </w:r>
      <w:r>
        <w:rPr>
          <w:color w:val="auto"/>
          <w:sz w:val="24"/>
          <w:szCs w:val="32"/>
          <w:highlight w:val="none"/>
        </w:rPr>
        <w:fldChar w:fldCharType="separate"/>
      </w:r>
      <w:r>
        <w:rPr>
          <w:color w:val="auto"/>
          <w:sz w:val="24"/>
          <w:szCs w:val="32"/>
          <w:highlight w:val="none"/>
        </w:rPr>
        <w:t>6</w:t>
      </w:r>
      <w:r>
        <w:rPr>
          <w:color w:val="auto"/>
          <w:sz w:val="24"/>
          <w:szCs w:val="32"/>
          <w:highlight w:val="none"/>
        </w:rPr>
        <w:fldChar w:fldCharType="end"/>
      </w:r>
      <w:r>
        <w:rPr>
          <w:color w:val="auto"/>
          <w:sz w:val="24"/>
          <w:szCs w:val="32"/>
          <w:highlight w:val="none"/>
        </w:rPr>
        <w:fldChar w:fldCharType="end"/>
      </w:r>
    </w:p>
    <w:p w14:paraId="242AC25D">
      <w:pPr>
        <w:pStyle w:val="33"/>
        <w:tabs>
          <w:tab w:val="right" w:leader="dot" w:pos="10200"/>
        </w:tabs>
        <w:spacing w:line="250" w:lineRule="exact"/>
        <w:rPr>
          <w:color w:val="auto"/>
          <w:sz w:val="24"/>
          <w:szCs w:val="32"/>
          <w:highlight w:val="none"/>
        </w:rPr>
      </w:pPr>
      <w:r>
        <w:rPr>
          <w:color w:val="auto"/>
          <w:sz w:val="24"/>
          <w:szCs w:val="32"/>
          <w:highlight w:val="none"/>
        </w:rPr>
        <w:fldChar w:fldCharType="begin"/>
      </w:r>
      <w:r>
        <w:rPr>
          <w:color w:val="auto"/>
          <w:sz w:val="24"/>
          <w:szCs w:val="32"/>
          <w:highlight w:val="none"/>
        </w:rPr>
        <w:instrText xml:space="preserve"> HYPERLINK \l "_Toc43475657" </w:instrText>
      </w:r>
      <w:r>
        <w:rPr>
          <w:color w:val="auto"/>
          <w:sz w:val="24"/>
          <w:szCs w:val="32"/>
          <w:highlight w:val="none"/>
        </w:rPr>
        <w:fldChar w:fldCharType="separate"/>
      </w:r>
      <w:r>
        <w:rPr>
          <w:rStyle w:val="49"/>
          <w:rFonts w:ascii="宋体" w:hAnsi="宋体" w:cs="黑体"/>
          <w:color w:val="auto"/>
          <w:sz w:val="21"/>
          <w:szCs w:val="21"/>
          <w:highlight w:val="none"/>
        </w:rPr>
        <w:t>4</w:t>
      </w:r>
      <w:r>
        <w:rPr>
          <w:rStyle w:val="49"/>
          <w:rFonts w:hint="eastAsia" w:ascii="宋体" w:hAnsi="宋体" w:cs="黑体"/>
          <w:color w:val="auto"/>
          <w:sz w:val="21"/>
          <w:szCs w:val="21"/>
          <w:highlight w:val="none"/>
        </w:rPr>
        <w:t>.招标文件的获取</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_Toc43475657 \h </w:instrText>
      </w:r>
      <w:r>
        <w:rPr>
          <w:color w:val="auto"/>
          <w:sz w:val="24"/>
          <w:szCs w:val="32"/>
          <w:highlight w:val="none"/>
        </w:rPr>
        <w:fldChar w:fldCharType="separate"/>
      </w:r>
      <w:r>
        <w:rPr>
          <w:color w:val="auto"/>
          <w:sz w:val="24"/>
          <w:szCs w:val="32"/>
          <w:highlight w:val="none"/>
        </w:rPr>
        <w:t>7</w:t>
      </w:r>
      <w:r>
        <w:rPr>
          <w:color w:val="auto"/>
          <w:sz w:val="24"/>
          <w:szCs w:val="32"/>
          <w:highlight w:val="none"/>
        </w:rPr>
        <w:fldChar w:fldCharType="end"/>
      </w:r>
      <w:r>
        <w:rPr>
          <w:color w:val="auto"/>
          <w:sz w:val="24"/>
          <w:szCs w:val="32"/>
          <w:highlight w:val="none"/>
        </w:rPr>
        <w:fldChar w:fldCharType="end"/>
      </w:r>
    </w:p>
    <w:p w14:paraId="141F39BE">
      <w:pPr>
        <w:ind w:firstLine="480" w:firstLineChars="200"/>
        <w:rPr>
          <w:color w:val="auto"/>
          <w:sz w:val="24"/>
          <w:szCs w:val="32"/>
          <w:highlight w:val="none"/>
        </w:rPr>
      </w:pPr>
      <w:r>
        <w:rPr>
          <w:rStyle w:val="49"/>
          <w:rFonts w:hint="eastAsia" w:ascii="宋体" w:hAnsi="宋体" w:cs="黑体"/>
          <w:color w:val="auto"/>
          <w:sz w:val="24"/>
          <w:szCs w:val="24"/>
          <w:highlight w:val="none"/>
          <w:u w:val="none"/>
        </w:rPr>
        <w:t>5.</w:t>
      </w:r>
      <w:r>
        <w:rPr>
          <w:rStyle w:val="49"/>
          <w:rFonts w:hint="eastAsia" w:ascii="宋体" w:hAnsi="宋体" w:cs="黑体"/>
          <w:color w:val="auto"/>
          <w:sz w:val="21"/>
          <w:szCs w:val="21"/>
          <w:highlight w:val="none"/>
          <w:u w:val="none"/>
        </w:rPr>
        <w:t>投标文件的递交及相关事宜</w:t>
      </w:r>
      <w:r>
        <w:rPr>
          <w:color w:val="auto"/>
          <w:sz w:val="24"/>
          <w:szCs w:val="32"/>
          <w:highlight w:val="none"/>
        </w:rPr>
        <w:t>…………………………………………………………………</w:t>
      </w:r>
      <w:r>
        <w:rPr>
          <w:rFonts w:hint="eastAsia"/>
          <w:color w:val="auto"/>
          <w:sz w:val="24"/>
          <w:szCs w:val="32"/>
          <w:highlight w:val="none"/>
        </w:rPr>
        <w:t>..</w:t>
      </w:r>
      <w:r>
        <w:rPr>
          <w:color w:val="auto"/>
          <w:sz w:val="24"/>
          <w:szCs w:val="32"/>
          <w:highlight w:val="none"/>
        </w:rPr>
        <w:t>…</w:t>
      </w:r>
      <w:r>
        <w:rPr>
          <w:rFonts w:hint="eastAsia"/>
          <w:color w:val="auto"/>
          <w:sz w:val="24"/>
          <w:szCs w:val="32"/>
          <w:highlight w:val="none"/>
        </w:rPr>
        <w:t>......12</w:t>
      </w:r>
    </w:p>
    <w:p w14:paraId="2814E254">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"_Toc43475658" </w:instrText>
      </w:r>
      <w:r>
        <w:rPr>
          <w:color w:val="auto"/>
          <w:sz w:val="24"/>
          <w:szCs w:val="32"/>
          <w:highlight w:val="none"/>
        </w:rPr>
        <w:fldChar w:fldCharType="separate"/>
      </w:r>
      <w:r>
        <w:rPr>
          <w:rStyle w:val="49"/>
          <w:rFonts w:ascii="宋体" w:hAnsi="宋体" w:cs="黑体"/>
          <w:color w:val="auto"/>
          <w:sz w:val="21"/>
          <w:szCs w:val="21"/>
          <w:highlight w:val="none"/>
        </w:rPr>
        <w:t>6</w:t>
      </w:r>
      <w:r>
        <w:rPr>
          <w:rStyle w:val="49"/>
          <w:rFonts w:hint="eastAsia" w:ascii="宋体" w:hAnsi="宋体" w:cs="黑体"/>
          <w:color w:val="auto"/>
          <w:sz w:val="21"/>
          <w:szCs w:val="21"/>
          <w:highlight w:val="none"/>
        </w:rPr>
        <w:t>.发布公告的媒介</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_Toc43475658 \h </w:instrText>
      </w:r>
      <w:r>
        <w:rPr>
          <w:color w:val="auto"/>
          <w:sz w:val="24"/>
          <w:szCs w:val="32"/>
          <w:highlight w:val="none"/>
        </w:rPr>
        <w:fldChar w:fldCharType="separate"/>
      </w:r>
      <w:r>
        <w:rPr>
          <w:color w:val="auto"/>
          <w:sz w:val="24"/>
          <w:szCs w:val="32"/>
          <w:highlight w:val="none"/>
        </w:rPr>
        <w:t>9</w:t>
      </w:r>
      <w:r>
        <w:rPr>
          <w:color w:val="auto"/>
          <w:sz w:val="24"/>
          <w:szCs w:val="32"/>
          <w:highlight w:val="none"/>
        </w:rPr>
        <w:fldChar w:fldCharType="end"/>
      </w:r>
      <w:r>
        <w:rPr>
          <w:color w:val="auto"/>
          <w:sz w:val="24"/>
          <w:szCs w:val="32"/>
          <w:highlight w:val="none"/>
        </w:rPr>
        <w:fldChar w:fldCharType="end"/>
      </w:r>
    </w:p>
    <w:p w14:paraId="69C6BF34">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"_Toc43475659" </w:instrText>
      </w:r>
      <w:r>
        <w:rPr>
          <w:color w:val="auto"/>
          <w:sz w:val="24"/>
          <w:szCs w:val="32"/>
          <w:highlight w:val="none"/>
        </w:rPr>
        <w:fldChar w:fldCharType="separate"/>
      </w:r>
      <w:r>
        <w:rPr>
          <w:rStyle w:val="49"/>
          <w:rFonts w:ascii="宋体" w:hAnsi="宋体" w:cs="黑体"/>
          <w:color w:val="auto"/>
          <w:sz w:val="21"/>
          <w:szCs w:val="21"/>
          <w:highlight w:val="none"/>
        </w:rPr>
        <w:t>7</w:t>
      </w:r>
      <w:r>
        <w:rPr>
          <w:rStyle w:val="49"/>
          <w:rFonts w:hint="eastAsia" w:ascii="宋体" w:hAnsi="宋体" w:cs="黑体"/>
          <w:color w:val="auto"/>
          <w:sz w:val="21"/>
          <w:szCs w:val="21"/>
          <w:highlight w:val="none"/>
        </w:rPr>
        <w:t>.联系方式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_Toc43475659 \h </w:instrText>
      </w:r>
      <w:r>
        <w:rPr>
          <w:color w:val="auto"/>
          <w:sz w:val="24"/>
          <w:szCs w:val="32"/>
          <w:highlight w:val="none"/>
        </w:rPr>
        <w:fldChar w:fldCharType="separate"/>
      </w:r>
      <w:r>
        <w:rPr>
          <w:color w:val="auto"/>
          <w:sz w:val="24"/>
          <w:szCs w:val="32"/>
          <w:highlight w:val="none"/>
        </w:rPr>
        <w:t>10</w:t>
      </w:r>
      <w:r>
        <w:rPr>
          <w:color w:val="auto"/>
          <w:sz w:val="24"/>
          <w:szCs w:val="32"/>
          <w:highlight w:val="none"/>
        </w:rPr>
        <w:fldChar w:fldCharType="end"/>
      </w:r>
      <w:r>
        <w:rPr>
          <w:color w:val="auto"/>
          <w:sz w:val="24"/>
          <w:szCs w:val="32"/>
          <w:highlight w:val="none"/>
        </w:rPr>
        <w:fldChar w:fldCharType="end"/>
      </w:r>
    </w:p>
    <w:p w14:paraId="11EDD26A">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"_Toc43475660" </w:instrText>
      </w:r>
      <w:r>
        <w:rPr>
          <w:color w:val="auto"/>
          <w:sz w:val="24"/>
          <w:szCs w:val="32"/>
          <w:highlight w:val="none"/>
        </w:rPr>
        <w:fldChar w:fldCharType="separate"/>
      </w:r>
      <w:r>
        <w:rPr>
          <w:rStyle w:val="49"/>
          <w:rFonts w:hint="eastAsia" w:ascii="宋体" w:hAnsi="宋体" w:cs="黑体"/>
          <w:color w:val="auto"/>
          <w:sz w:val="21"/>
          <w:szCs w:val="21"/>
          <w:highlight w:val="none"/>
        </w:rPr>
        <w:t>8.重要事项时间地点一览表</w:t>
      </w:r>
      <w:r>
        <w:rPr>
          <w:color w:val="auto"/>
          <w:sz w:val="24"/>
          <w:szCs w:val="32"/>
          <w:highlight w:val="none"/>
        </w:rPr>
        <w:tab/>
      </w:r>
      <w:r>
        <w:rPr>
          <w:rFonts w:hint="eastAsia"/>
          <w:color w:val="auto"/>
          <w:sz w:val="24"/>
          <w:szCs w:val="32"/>
          <w:highlight w:val="none"/>
        </w:rPr>
        <w:t>1</w:t>
      </w:r>
      <w:r>
        <w:rPr>
          <w:rFonts w:hint="eastAsia"/>
          <w:color w:val="auto"/>
          <w:sz w:val="24"/>
          <w:szCs w:val="32"/>
          <w:highlight w:val="none"/>
        </w:rPr>
        <w:fldChar w:fldCharType="end"/>
      </w:r>
      <w:r>
        <w:rPr>
          <w:rFonts w:hint="eastAsia"/>
          <w:color w:val="auto"/>
          <w:sz w:val="24"/>
          <w:szCs w:val="32"/>
          <w:highlight w:val="none"/>
        </w:rPr>
        <w:t>5</w:t>
      </w:r>
    </w:p>
    <w:p w14:paraId="0DF252EB">
      <w:pPr>
        <w:pStyle w:val="28"/>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"_Toc43475661" </w:instrText>
      </w:r>
      <w:r>
        <w:rPr>
          <w:color w:val="auto"/>
          <w:sz w:val="24"/>
          <w:szCs w:val="32"/>
          <w:highlight w:val="none"/>
        </w:rPr>
        <w:fldChar w:fldCharType="separate"/>
      </w:r>
      <w:r>
        <w:rPr>
          <w:rStyle w:val="49"/>
          <w:rFonts w:hint="eastAsia" w:ascii="宋体" w:hAnsi="宋体"/>
          <w:color w:val="auto"/>
          <w:sz w:val="21"/>
          <w:szCs w:val="21"/>
          <w:highlight w:val="none"/>
        </w:rPr>
        <w:t>第二章投标人须知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_Toc43475661 \h </w:instrText>
      </w:r>
      <w:r>
        <w:rPr>
          <w:color w:val="auto"/>
          <w:sz w:val="24"/>
          <w:szCs w:val="32"/>
          <w:highlight w:val="none"/>
        </w:rPr>
        <w:fldChar w:fldCharType="separate"/>
      </w:r>
      <w:r>
        <w:rPr>
          <w:color w:val="auto"/>
          <w:sz w:val="24"/>
          <w:szCs w:val="32"/>
          <w:highlight w:val="none"/>
        </w:rPr>
        <w:t>13</w:t>
      </w:r>
      <w:r>
        <w:rPr>
          <w:color w:val="auto"/>
          <w:sz w:val="24"/>
          <w:szCs w:val="32"/>
          <w:highlight w:val="none"/>
        </w:rPr>
        <w:fldChar w:fldCharType="end"/>
      </w:r>
      <w:r>
        <w:rPr>
          <w:color w:val="auto"/>
          <w:sz w:val="24"/>
          <w:szCs w:val="32"/>
          <w:highlight w:val="none"/>
        </w:rPr>
        <w:fldChar w:fldCharType="end"/>
      </w:r>
    </w:p>
    <w:p w14:paraId="4844A8A0">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"_Toc43475662" </w:instrText>
      </w:r>
      <w:r>
        <w:rPr>
          <w:color w:val="auto"/>
          <w:sz w:val="24"/>
          <w:szCs w:val="32"/>
          <w:highlight w:val="none"/>
        </w:rPr>
        <w:fldChar w:fldCharType="separate"/>
      </w:r>
      <w:r>
        <w:rPr>
          <w:rStyle w:val="49"/>
          <w:rFonts w:hint="eastAsia"/>
          <w:color w:val="auto"/>
          <w:sz w:val="21"/>
          <w:szCs w:val="21"/>
          <w:highlight w:val="none"/>
        </w:rPr>
        <w:t>投标人须知前附表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_Toc43475662 \h </w:instrText>
      </w:r>
      <w:r>
        <w:rPr>
          <w:color w:val="auto"/>
          <w:sz w:val="24"/>
          <w:szCs w:val="32"/>
          <w:highlight w:val="none"/>
        </w:rPr>
        <w:fldChar w:fldCharType="separate"/>
      </w:r>
      <w:r>
        <w:rPr>
          <w:color w:val="auto"/>
          <w:sz w:val="24"/>
          <w:szCs w:val="32"/>
          <w:highlight w:val="none"/>
        </w:rPr>
        <w:t>13</w:t>
      </w:r>
      <w:r>
        <w:rPr>
          <w:color w:val="auto"/>
          <w:sz w:val="24"/>
          <w:szCs w:val="32"/>
          <w:highlight w:val="none"/>
        </w:rPr>
        <w:fldChar w:fldCharType="end"/>
      </w:r>
      <w:r>
        <w:rPr>
          <w:color w:val="auto"/>
          <w:sz w:val="24"/>
          <w:szCs w:val="32"/>
          <w:highlight w:val="none"/>
        </w:rPr>
        <w:fldChar w:fldCharType="end"/>
      </w:r>
    </w:p>
    <w:p w14:paraId="4F389AA2">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"_Toc43475663" </w:instrText>
      </w:r>
      <w:r>
        <w:rPr>
          <w:color w:val="auto"/>
          <w:sz w:val="24"/>
          <w:szCs w:val="32"/>
          <w:highlight w:val="none"/>
        </w:rPr>
        <w:fldChar w:fldCharType="separate"/>
      </w:r>
      <w:r>
        <w:rPr>
          <w:rStyle w:val="49"/>
          <w:rFonts w:hint="eastAsia" w:ascii="宋体" w:hAnsi="宋体" w:cs="黑体"/>
          <w:color w:val="auto"/>
          <w:sz w:val="21"/>
          <w:szCs w:val="21"/>
          <w:highlight w:val="none"/>
        </w:rPr>
        <w:t>附录</w:t>
      </w:r>
      <w:r>
        <w:rPr>
          <w:rStyle w:val="49"/>
          <w:rFonts w:ascii="宋体" w:hAnsi="宋体" w:cs="黑体"/>
          <w:color w:val="auto"/>
          <w:sz w:val="21"/>
          <w:szCs w:val="21"/>
          <w:highlight w:val="none"/>
        </w:rPr>
        <w:t xml:space="preserve">1  </w:t>
      </w:r>
      <w:r>
        <w:rPr>
          <w:rStyle w:val="49"/>
          <w:rFonts w:hint="eastAsia" w:ascii="宋体" w:hAnsi="宋体" w:cs="黑体"/>
          <w:color w:val="auto"/>
          <w:sz w:val="21"/>
          <w:szCs w:val="21"/>
          <w:highlight w:val="none"/>
        </w:rPr>
        <w:t>资格审查条件（资质最低要求）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_Toc43475663 \h </w:instrText>
      </w:r>
      <w:r>
        <w:rPr>
          <w:color w:val="auto"/>
          <w:sz w:val="24"/>
          <w:szCs w:val="32"/>
          <w:highlight w:val="none"/>
        </w:rPr>
        <w:fldChar w:fldCharType="separate"/>
      </w:r>
      <w:r>
        <w:rPr>
          <w:color w:val="auto"/>
          <w:sz w:val="24"/>
          <w:szCs w:val="32"/>
          <w:highlight w:val="none"/>
        </w:rPr>
        <w:t>26</w:t>
      </w:r>
      <w:r>
        <w:rPr>
          <w:color w:val="auto"/>
          <w:sz w:val="24"/>
          <w:szCs w:val="32"/>
          <w:highlight w:val="none"/>
        </w:rPr>
        <w:fldChar w:fldCharType="end"/>
      </w:r>
      <w:r>
        <w:rPr>
          <w:color w:val="auto"/>
          <w:sz w:val="24"/>
          <w:szCs w:val="32"/>
          <w:highlight w:val="none"/>
        </w:rPr>
        <w:fldChar w:fldCharType="end"/>
      </w:r>
    </w:p>
    <w:p w14:paraId="183683E1">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"_Toc43475664" </w:instrText>
      </w:r>
      <w:r>
        <w:rPr>
          <w:color w:val="auto"/>
          <w:sz w:val="24"/>
          <w:szCs w:val="32"/>
          <w:highlight w:val="none"/>
        </w:rPr>
        <w:fldChar w:fldCharType="separate"/>
      </w:r>
      <w:r>
        <w:rPr>
          <w:rStyle w:val="49"/>
          <w:rFonts w:hint="eastAsia" w:ascii="宋体" w:hAnsi="宋体" w:cs="黑体"/>
          <w:color w:val="auto"/>
          <w:sz w:val="21"/>
          <w:szCs w:val="21"/>
          <w:highlight w:val="none"/>
        </w:rPr>
        <w:t>附录</w:t>
      </w:r>
      <w:r>
        <w:rPr>
          <w:rStyle w:val="49"/>
          <w:rFonts w:ascii="宋体" w:hAnsi="宋体" w:cs="黑体"/>
          <w:color w:val="auto"/>
          <w:sz w:val="21"/>
          <w:szCs w:val="21"/>
          <w:highlight w:val="none"/>
        </w:rPr>
        <w:t xml:space="preserve">2  </w:t>
      </w:r>
      <w:r>
        <w:rPr>
          <w:rStyle w:val="49"/>
          <w:rFonts w:hint="eastAsia" w:ascii="宋体" w:hAnsi="宋体" w:cs="黑体"/>
          <w:color w:val="auto"/>
          <w:sz w:val="21"/>
          <w:szCs w:val="21"/>
          <w:highlight w:val="none"/>
        </w:rPr>
        <w:t>资格审查条件（财务最低要求）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_Toc43475664 \h </w:instrText>
      </w:r>
      <w:r>
        <w:rPr>
          <w:color w:val="auto"/>
          <w:sz w:val="24"/>
          <w:szCs w:val="32"/>
          <w:highlight w:val="none"/>
        </w:rPr>
        <w:fldChar w:fldCharType="separate"/>
      </w:r>
      <w:r>
        <w:rPr>
          <w:color w:val="auto"/>
          <w:sz w:val="24"/>
          <w:szCs w:val="32"/>
          <w:highlight w:val="none"/>
        </w:rPr>
        <w:t>26</w:t>
      </w:r>
      <w:r>
        <w:rPr>
          <w:color w:val="auto"/>
          <w:sz w:val="24"/>
          <w:szCs w:val="32"/>
          <w:highlight w:val="none"/>
        </w:rPr>
        <w:fldChar w:fldCharType="end"/>
      </w:r>
      <w:r>
        <w:rPr>
          <w:color w:val="auto"/>
          <w:sz w:val="24"/>
          <w:szCs w:val="32"/>
          <w:highlight w:val="none"/>
        </w:rPr>
        <w:fldChar w:fldCharType="end"/>
      </w:r>
    </w:p>
    <w:p w14:paraId="290AD8D9">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"_Toc43475665" </w:instrText>
      </w:r>
      <w:r>
        <w:rPr>
          <w:color w:val="auto"/>
          <w:sz w:val="24"/>
          <w:szCs w:val="32"/>
          <w:highlight w:val="none"/>
        </w:rPr>
        <w:fldChar w:fldCharType="separate"/>
      </w:r>
      <w:r>
        <w:rPr>
          <w:rStyle w:val="49"/>
          <w:rFonts w:hint="eastAsia" w:ascii="宋体" w:hAnsi="宋体" w:cs="黑体"/>
          <w:color w:val="auto"/>
          <w:sz w:val="21"/>
          <w:szCs w:val="21"/>
          <w:highlight w:val="none"/>
        </w:rPr>
        <w:t>附录</w:t>
      </w:r>
      <w:r>
        <w:rPr>
          <w:rStyle w:val="49"/>
          <w:rFonts w:ascii="宋体" w:hAnsi="宋体" w:cs="黑体"/>
          <w:color w:val="auto"/>
          <w:sz w:val="21"/>
          <w:szCs w:val="21"/>
          <w:highlight w:val="none"/>
        </w:rPr>
        <w:t xml:space="preserve">3  </w:t>
      </w:r>
      <w:r>
        <w:rPr>
          <w:rStyle w:val="49"/>
          <w:rFonts w:hint="eastAsia" w:ascii="宋体" w:hAnsi="宋体" w:cs="黑体"/>
          <w:color w:val="auto"/>
          <w:sz w:val="21"/>
          <w:szCs w:val="21"/>
          <w:highlight w:val="none"/>
        </w:rPr>
        <w:t>资格审查条件（业绩最低要求）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_Toc43475665 \h </w:instrText>
      </w:r>
      <w:r>
        <w:rPr>
          <w:color w:val="auto"/>
          <w:sz w:val="24"/>
          <w:szCs w:val="32"/>
          <w:highlight w:val="none"/>
        </w:rPr>
        <w:fldChar w:fldCharType="separate"/>
      </w:r>
      <w:r>
        <w:rPr>
          <w:color w:val="auto"/>
          <w:sz w:val="24"/>
          <w:szCs w:val="32"/>
          <w:highlight w:val="none"/>
        </w:rPr>
        <w:t>27</w:t>
      </w:r>
      <w:r>
        <w:rPr>
          <w:color w:val="auto"/>
          <w:sz w:val="24"/>
          <w:szCs w:val="32"/>
          <w:highlight w:val="none"/>
        </w:rPr>
        <w:fldChar w:fldCharType="end"/>
      </w:r>
      <w:r>
        <w:rPr>
          <w:color w:val="auto"/>
          <w:sz w:val="24"/>
          <w:szCs w:val="32"/>
          <w:highlight w:val="none"/>
        </w:rPr>
        <w:fldChar w:fldCharType="end"/>
      </w:r>
    </w:p>
    <w:p w14:paraId="408E5208">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"_Toc43475666" </w:instrText>
      </w:r>
      <w:r>
        <w:rPr>
          <w:color w:val="auto"/>
          <w:sz w:val="24"/>
          <w:szCs w:val="32"/>
          <w:highlight w:val="none"/>
        </w:rPr>
        <w:fldChar w:fldCharType="separate"/>
      </w:r>
      <w:r>
        <w:rPr>
          <w:rStyle w:val="49"/>
          <w:rFonts w:hint="eastAsia"/>
          <w:color w:val="auto"/>
          <w:sz w:val="21"/>
          <w:szCs w:val="21"/>
          <w:highlight w:val="none"/>
        </w:rPr>
        <w:t>附录</w:t>
      </w:r>
      <w:r>
        <w:rPr>
          <w:rStyle w:val="49"/>
          <w:color w:val="auto"/>
          <w:sz w:val="21"/>
          <w:szCs w:val="21"/>
          <w:highlight w:val="none"/>
        </w:rPr>
        <w:t xml:space="preserve">4  </w:t>
      </w:r>
      <w:r>
        <w:rPr>
          <w:rStyle w:val="49"/>
          <w:rFonts w:hint="eastAsia"/>
          <w:color w:val="auto"/>
          <w:sz w:val="21"/>
          <w:szCs w:val="21"/>
          <w:highlight w:val="none"/>
        </w:rPr>
        <w:t>资格审查条件</w:t>
      </w:r>
      <w:r>
        <w:rPr>
          <w:rStyle w:val="49"/>
          <w:color w:val="auto"/>
          <w:sz w:val="21"/>
          <w:szCs w:val="21"/>
          <w:highlight w:val="none"/>
        </w:rPr>
        <w:t>(</w:t>
      </w:r>
      <w:r>
        <w:rPr>
          <w:rStyle w:val="49"/>
          <w:rFonts w:hint="eastAsia"/>
          <w:color w:val="auto"/>
          <w:sz w:val="21"/>
          <w:szCs w:val="21"/>
          <w:highlight w:val="none"/>
        </w:rPr>
        <w:t>信誉最低要求</w:t>
      </w:r>
      <w:r>
        <w:rPr>
          <w:rStyle w:val="49"/>
          <w:color w:val="auto"/>
          <w:sz w:val="21"/>
          <w:szCs w:val="21"/>
          <w:highlight w:val="none"/>
        </w:rPr>
        <w:t>)</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_Toc43475666 \h </w:instrText>
      </w:r>
      <w:r>
        <w:rPr>
          <w:color w:val="auto"/>
          <w:sz w:val="24"/>
          <w:szCs w:val="32"/>
          <w:highlight w:val="none"/>
        </w:rPr>
        <w:fldChar w:fldCharType="separate"/>
      </w:r>
      <w:r>
        <w:rPr>
          <w:color w:val="auto"/>
          <w:sz w:val="24"/>
          <w:szCs w:val="32"/>
          <w:highlight w:val="none"/>
        </w:rPr>
        <w:t>27</w:t>
      </w:r>
      <w:r>
        <w:rPr>
          <w:color w:val="auto"/>
          <w:sz w:val="24"/>
          <w:szCs w:val="32"/>
          <w:highlight w:val="none"/>
        </w:rPr>
        <w:fldChar w:fldCharType="end"/>
      </w:r>
      <w:r>
        <w:rPr>
          <w:color w:val="auto"/>
          <w:sz w:val="24"/>
          <w:szCs w:val="32"/>
          <w:highlight w:val="none"/>
        </w:rPr>
        <w:fldChar w:fldCharType="end"/>
      </w:r>
    </w:p>
    <w:p w14:paraId="5F24BC0F">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"_Toc43475667" </w:instrText>
      </w:r>
      <w:r>
        <w:rPr>
          <w:color w:val="auto"/>
          <w:sz w:val="24"/>
          <w:szCs w:val="32"/>
          <w:highlight w:val="none"/>
        </w:rPr>
        <w:fldChar w:fldCharType="separate"/>
      </w:r>
      <w:r>
        <w:rPr>
          <w:rStyle w:val="49"/>
          <w:rFonts w:hint="eastAsia" w:ascii="宋体" w:hAnsi="宋体" w:cs="黑体"/>
          <w:color w:val="auto"/>
          <w:sz w:val="21"/>
          <w:szCs w:val="21"/>
          <w:highlight w:val="none"/>
        </w:rPr>
        <w:t>附录</w:t>
      </w:r>
      <w:r>
        <w:rPr>
          <w:rStyle w:val="49"/>
          <w:rFonts w:ascii="宋体" w:hAnsi="宋体" w:cs="黑体"/>
          <w:color w:val="auto"/>
          <w:sz w:val="21"/>
          <w:szCs w:val="21"/>
          <w:highlight w:val="none"/>
        </w:rPr>
        <w:t xml:space="preserve">5  </w:t>
      </w:r>
      <w:r>
        <w:rPr>
          <w:rStyle w:val="49"/>
          <w:rFonts w:hint="eastAsia" w:ascii="宋体" w:hAnsi="宋体" w:cs="黑体"/>
          <w:color w:val="auto"/>
          <w:sz w:val="21"/>
          <w:szCs w:val="21"/>
          <w:highlight w:val="none"/>
        </w:rPr>
        <w:t>资格审查条件</w:t>
      </w:r>
      <w:r>
        <w:rPr>
          <w:rStyle w:val="49"/>
          <w:rFonts w:ascii="宋体" w:hAnsi="宋体" w:cs="黑体"/>
          <w:color w:val="auto"/>
          <w:sz w:val="21"/>
          <w:szCs w:val="21"/>
          <w:highlight w:val="none"/>
        </w:rPr>
        <w:t>(</w:t>
      </w:r>
      <w:r>
        <w:rPr>
          <w:rStyle w:val="49"/>
          <w:rFonts w:hint="eastAsia" w:ascii="宋体" w:hAnsi="宋体" w:cs="黑体"/>
          <w:color w:val="auto"/>
          <w:sz w:val="21"/>
          <w:szCs w:val="21"/>
          <w:highlight w:val="none"/>
        </w:rPr>
        <w:t>项目经理和项目总工最低要求</w:t>
      </w:r>
      <w:r>
        <w:rPr>
          <w:rStyle w:val="49"/>
          <w:rFonts w:ascii="宋体" w:hAnsi="宋体" w:cs="黑体"/>
          <w:color w:val="auto"/>
          <w:sz w:val="21"/>
          <w:szCs w:val="21"/>
          <w:highlight w:val="none"/>
        </w:rPr>
        <w:t>)</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_Toc43475667 \h </w:instrText>
      </w:r>
      <w:r>
        <w:rPr>
          <w:color w:val="auto"/>
          <w:sz w:val="24"/>
          <w:szCs w:val="32"/>
          <w:highlight w:val="none"/>
        </w:rPr>
        <w:fldChar w:fldCharType="separate"/>
      </w:r>
      <w:r>
        <w:rPr>
          <w:color w:val="auto"/>
          <w:sz w:val="24"/>
          <w:szCs w:val="32"/>
          <w:highlight w:val="none"/>
        </w:rPr>
        <w:t>28</w:t>
      </w:r>
      <w:r>
        <w:rPr>
          <w:color w:val="auto"/>
          <w:sz w:val="24"/>
          <w:szCs w:val="32"/>
          <w:highlight w:val="none"/>
        </w:rPr>
        <w:fldChar w:fldCharType="end"/>
      </w:r>
      <w:r>
        <w:rPr>
          <w:color w:val="auto"/>
          <w:sz w:val="24"/>
          <w:szCs w:val="32"/>
          <w:highlight w:val="none"/>
        </w:rPr>
        <w:fldChar w:fldCharType="end"/>
      </w:r>
    </w:p>
    <w:p w14:paraId="654A29D8">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"_Toc43475668" </w:instrText>
      </w:r>
      <w:r>
        <w:rPr>
          <w:color w:val="auto"/>
          <w:sz w:val="24"/>
          <w:szCs w:val="32"/>
          <w:highlight w:val="none"/>
        </w:rPr>
        <w:fldChar w:fldCharType="separate"/>
      </w:r>
      <w:r>
        <w:rPr>
          <w:rStyle w:val="49"/>
          <w:rFonts w:hint="eastAsia" w:ascii="宋体" w:hAnsi="宋体" w:cs="黑体"/>
          <w:color w:val="auto"/>
          <w:sz w:val="21"/>
          <w:szCs w:val="21"/>
          <w:highlight w:val="none"/>
        </w:rPr>
        <w:t>附录</w:t>
      </w:r>
      <w:r>
        <w:rPr>
          <w:rStyle w:val="49"/>
          <w:rFonts w:ascii="宋体" w:hAnsi="宋体" w:cs="黑体"/>
          <w:color w:val="auto"/>
          <w:sz w:val="21"/>
          <w:szCs w:val="21"/>
          <w:highlight w:val="none"/>
        </w:rPr>
        <w:t xml:space="preserve">6  </w:t>
      </w:r>
      <w:r>
        <w:rPr>
          <w:rStyle w:val="49"/>
          <w:rFonts w:hint="eastAsia" w:ascii="宋体" w:hAnsi="宋体" w:cs="黑体"/>
          <w:color w:val="auto"/>
          <w:sz w:val="21"/>
          <w:szCs w:val="21"/>
          <w:highlight w:val="none"/>
        </w:rPr>
        <w:t>资格审查条件</w:t>
      </w:r>
      <w:r>
        <w:rPr>
          <w:rStyle w:val="49"/>
          <w:rFonts w:ascii="宋体" w:hAnsi="宋体" w:cs="黑体"/>
          <w:color w:val="auto"/>
          <w:sz w:val="21"/>
          <w:szCs w:val="21"/>
          <w:highlight w:val="none"/>
        </w:rPr>
        <w:t>(</w:t>
      </w:r>
      <w:r>
        <w:rPr>
          <w:rStyle w:val="49"/>
          <w:rFonts w:hint="eastAsia" w:ascii="宋体" w:hAnsi="宋体" w:cs="黑体"/>
          <w:color w:val="auto"/>
          <w:sz w:val="21"/>
          <w:szCs w:val="21"/>
          <w:highlight w:val="none"/>
        </w:rPr>
        <w:t>其他管理人员和技术人员最低要求</w:t>
      </w:r>
      <w:r>
        <w:rPr>
          <w:rStyle w:val="49"/>
          <w:rFonts w:ascii="宋体" w:hAnsi="宋体" w:cs="黑体"/>
          <w:color w:val="auto"/>
          <w:sz w:val="21"/>
          <w:szCs w:val="21"/>
          <w:highlight w:val="none"/>
        </w:rPr>
        <w:t>)</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_Toc43475668 \h </w:instrText>
      </w:r>
      <w:r>
        <w:rPr>
          <w:color w:val="auto"/>
          <w:sz w:val="24"/>
          <w:szCs w:val="32"/>
          <w:highlight w:val="none"/>
        </w:rPr>
        <w:fldChar w:fldCharType="separate"/>
      </w:r>
      <w:r>
        <w:rPr>
          <w:color w:val="auto"/>
          <w:sz w:val="24"/>
          <w:szCs w:val="32"/>
          <w:highlight w:val="none"/>
        </w:rPr>
        <w:t>29</w:t>
      </w:r>
      <w:r>
        <w:rPr>
          <w:color w:val="auto"/>
          <w:sz w:val="24"/>
          <w:szCs w:val="32"/>
          <w:highlight w:val="none"/>
        </w:rPr>
        <w:fldChar w:fldCharType="end"/>
      </w:r>
      <w:r>
        <w:rPr>
          <w:color w:val="auto"/>
          <w:sz w:val="24"/>
          <w:szCs w:val="32"/>
          <w:highlight w:val="none"/>
        </w:rPr>
        <w:fldChar w:fldCharType="end"/>
      </w:r>
    </w:p>
    <w:p w14:paraId="61328019">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"_Toc43475669" </w:instrText>
      </w:r>
      <w:r>
        <w:rPr>
          <w:color w:val="auto"/>
          <w:sz w:val="24"/>
          <w:szCs w:val="32"/>
          <w:highlight w:val="none"/>
        </w:rPr>
        <w:fldChar w:fldCharType="separate"/>
      </w:r>
      <w:r>
        <w:rPr>
          <w:rStyle w:val="49"/>
          <w:rFonts w:hint="eastAsia" w:ascii="宋体" w:hAnsi="宋体" w:cs="黑体"/>
          <w:color w:val="auto"/>
          <w:sz w:val="21"/>
          <w:szCs w:val="21"/>
          <w:highlight w:val="none"/>
        </w:rPr>
        <w:t>附录</w:t>
      </w:r>
      <w:r>
        <w:rPr>
          <w:rStyle w:val="49"/>
          <w:rFonts w:ascii="宋体" w:hAnsi="宋体" w:cs="黑体"/>
          <w:color w:val="auto"/>
          <w:sz w:val="21"/>
          <w:szCs w:val="21"/>
          <w:highlight w:val="none"/>
        </w:rPr>
        <w:t xml:space="preserve">7  </w:t>
      </w:r>
      <w:r>
        <w:rPr>
          <w:rStyle w:val="49"/>
          <w:rFonts w:hint="eastAsia" w:ascii="宋体" w:hAnsi="宋体" w:cs="黑体"/>
          <w:color w:val="auto"/>
          <w:sz w:val="21"/>
          <w:szCs w:val="21"/>
          <w:highlight w:val="none"/>
        </w:rPr>
        <w:t>资格审查条件（主要设备最低要求）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_Toc43475669 \h </w:instrText>
      </w:r>
      <w:r>
        <w:rPr>
          <w:color w:val="auto"/>
          <w:sz w:val="24"/>
          <w:szCs w:val="32"/>
          <w:highlight w:val="none"/>
        </w:rPr>
        <w:fldChar w:fldCharType="separate"/>
      </w:r>
      <w:r>
        <w:rPr>
          <w:color w:val="auto"/>
          <w:sz w:val="24"/>
          <w:szCs w:val="32"/>
          <w:highlight w:val="none"/>
        </w:rPr>
        <w:t>30</w:t>
      </w:r>
      <w:r>
        <w:rPr>
          <w:color w:val="auto"/>
          <w:sz w:val="24"/>
          <w:szCs w:val="32"/>
          <w:highlight w:val="none"/>
        </w:rPr>
        <w:fldChar w:fldCharType="end"/>
      </w:r>
      <w:r>
        <w:rPr>
          <w:color w:val="auto"/>
          <w:sz w:val="24"/>
          <w:szCs w:val="32"/>
          <w:highlight w:val="none"/>
        </w:rPr>
        <w:fldChar w:fldCharType="end"/>
      </w:r>
    </w:p>
    <w:p w14:paraId="767381CD">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"_Toc43475670" </w:instrText>
      </w:r>
      <w:r>
        <w:rPr>
          <w:color w:val="auto"/>
          <w:sz w:val="24"/>
          <w:szCs w:val="32"/>
          <w:highlight w:val="none"/>
        </w:rPr>
        <w:fldChar w:fldCharType="separate"/>
      </w:r>
      <w:r>
        <w:rPr>
          <w:rStyle w:val="49"/>
          <w:rFonts w:ascii="宋体" w:hAnsi="宋体" w:cs="宋体"/>
          <w:color w:val="auto"/>
          <w:sz w:val="21"/>
          <w:szCs w:val="21"/>
          <w:highlight w:val="none"/>
        </w:rPr>
        <w:t>1.</w:t>
      </w:r>
      <w:r>
        <w:rPr>
          <w:rStyle w:val="49"/>
          <w:rFonts w:hint="eastAsia"/>
          <w:color w:val="auto"/>
          <w:sz w:val="21"/>
          <w:szCs w:val="21"/>
          <w:highlight w:val="none"/>
        </w:rPr>
        <w:t>总则</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_Toc43475670 \h </w:instrText>
      </w:r>
      <w:r>
        <w:rPr>
          <w:color w:val="auto"/>
          <w:sz w:val="24"/>
          <w:szCs w:val="32"/>
          <w:highlight w:val="none"/>
        </w:rPr>
        <w:fldChar w:fldCharType="separate"/>
      </w:r>
      <w:r>
        <w:rPr>
          <w:color w:val="auto"/>
          <w:sz w:val="24"/>
          <w:szCs w:val="32"/>
          <w:highlight w:val="none"/>
        </w:rPr>
        <w:t>31</w:t>
      </w:r>
      <w:r>
        <w:rPr>
          <w:color w:val="auto"/>
          <w:sz w:val="24"/>
          <w:szCs w:val="32"/>
          <w:highlight w:val="none"/>
        </w:rPr>
        <w:fldChar w:fldCharType="end"/>
      </w:r>
      <w:r>
        <w:rPr>
          <w:color w:val="auto"/>
          <w:sz w:val="24"/>
          <w:szCs w:val="32"/>
          <w:highlight w:val="none"/>
        </w:rPr>
        <w:fldChar w:fldCharType="end"/>
      </w:r>
    </w:p>
    <w:p w14:paraId="2C3586AB">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"_Toc43475671" </w:instrText>
      </w:r>
      <w:r>
        <w:rPr>
          <w:color w:val="auto"/>
          <w:sz w:val="24"/>
          <w:szCs w:val="32"/>
          <w:highlight w:val="none"/>
        </w:rPr>
        <w:fldChar w:fldCharType="separate"/>
      </w:r>
      <w:r>
        <w:rPr>
          <w:rStyle w:val="49"/>
          <w:color w:val="auto"/>
          <w:sz w:val="21"/>
          <w:szCs w:val="21"/>
          <w:highlight w:val="none"/>
        </w:rPr>
        <w:t>1.1</w:t>
      </w:r>
      <w:r>
        <w:rPr>
          <w:rStyle w:val="49"/>
          <w:rFonts w:hint="eastAsia"/>
          <w:color w:val="auto"/>
          <w:sz w:val="21"/>
          <w:szCs w:val="21"/>
          <w:highlight w:val="none"/>
        </w:rPr>
        <w:t>项目概况</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_Toc43475671 \h </w:instrText>
      </w:r>
      <w:r>
        <w:rPr>
          <w:color w:val="auto"/>
          <w:sz w:val="24"/>
          <w:szCs w:val="32"/>
          <w:highlight w:val="none"/>
        </w:rPr>
        <w:fldChar w:fldCharType="separate"/>
      </w:r>
      <w:r>
        <w:rPr>
          <w:color w:val="auto"/>
          <w:sz w:val="24"/>
          <w:szCs w:val="32"/>
          <w:highlight w:val="none"/>
        </w:rPr>
        <w:t>31</w:t>
      </w:r>
      <w:r>
        <w:rPr>
          <w:color w:val="auto"/>
          <w:sz w:val="24"/>
          <w:szCs w:val="32"/>
          <w:highlight w:val="none"/>
        </w:rPr>
        <w:fldChar w:fldCharType="end"/>
      </w:r>
      <w:r>
        <w:rPr>
          <w:color w:val="auto"/>
          <w:sz w:val="24"/>
          <w:szCs w:val="32"/>
          <w:highlight w:val="none"/>
        </w:rPr>
        <w:fldChar w:fldCharType="end"/>
      </w:r>
    </w:p>
    <w:p w14:paraId="549A4DF1">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"_Toc43475672" </w:instrText>
      </w:r>
      <w:r>
        <w:rPr>
          <w:color w:val="auto"/>
          <w:sz w:val="24"/>
          <w:szCs w:val="32"/>
          <w:highlight w:val="none"/>
        </w:rPr>
        <w:fldChar w:fldCharType="separate"/>
      </w:r>
      <w:r>
        <w:rPr>
          <w:rStyle w:val="49"/>
          <w:color w:val="auto"/>
          <w:sz w:val="21"/>
          <w:szCs w:val="21"/>
          <w:highlight w:val="none"/>
        </w:rPr>
        <w:t>1.2</w:t>
      </w:r>
      <w:r>
        <w:rPr>
          <w:rStyle w:val="49"/>
          <w:rFonts w:hint="eastAsia"/>
          <w:color w:val="auto"/>
          <w:sz w:val="21"/>
          <w:szCs w:val="21"/>
          <w:highlight w:val="none"/>
        </w:rPr>
        <w:t>招标项目的资金来源和落实情况</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_Toc43475672 \h </w:instrText>
      </w:r>
      <w:r>
        <w:rPr>
          <w:color w:val="auto"/>
          <w:sz w:val="24"/>
          <w:szCs w:val="32"/>
          <w:highlight w:val="none"/>
        </w:rPr>
        <w:fldChar w:fldCharType="separate"/>
      </w:r>
      <w:r>
        <w:rPr>
          <w:color w:val="auto"/>
          <w:sz w:val="24"/>
          <w:szCs w:val="32"/>
          <w:highlight w:val="none"/>
        </w:rPr>
        <w:t>31</w:t>
      </w:r>
      <w:r>
        <w:rPr>
          <w:color w:val="auto"/>
          <w:sz w:val="24"/>
          <w:szCs w:val="32"/>
          <w:highlight w:val="none"/>
        </w:rPr>
        <w:fldChar w:fldCharType="end"/>
      </w:r>
      <w:r>
        <w:rPr>
          <w:color w:val="auto"/>
          <w:sz w:val="24"/>
          <w:szCs w:val="32"/>
          <w:highlight w:val="none"/>
        </w:rPr>
        <w:fldChar w:fldCharType="end"/>
      </w:r>
    </w:p>
    <w:p w14:paraId="6B7FC5D7">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"_Toc43475673" </w:instrText>
      </w:r>
      <w:r>
        <w:rPr>
          <w:color w:val="auto"/>
          <w:sz w:val="24"/>
          <w:szCs w:val="32"/>
          <w:highlight w:val="none"/>
        </w:rPr>
        <w:fldChar w:fldCharType="separate"/>
      </w:r>
      <w:r>
        <w:rPr>
          <w:rStyle w:val="49"/>
          <w:color w:val="auto"/>
          <w:sz w:val="21"/>
          <w:szCs w:val="21"/>
          <w:highlight w:val="none"/>
        </w:rPr>
        <w:t>1.3</w:t>
      </w:r>
      <w:r>
        <w:rPr>
          <w:rStyle w:val="49"/>
          <w:rFonts w:hint="eastAsia"/>
          <w:color w:val="auto"/>
          <w:sz w:val="21"/>
          <w:szCs w:val="21"/>
          <w:highlight w:val="none"/>
        </w:rPr>
        <w:t>招标范围、计划工期、质量要求和安全目标</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_Toc43475673 \h </w:instrText>
      </w:r>
      <w:r>
        <w:rPr>
          <w:color w:val="auto"/>
          <w:sz w:val="24"/>
          <w:szCs w:val="32"/>
          <w:highlight w:val="none"/>
        </w:rPr>
        <w:fldChar w:fldCharType="separate"/>
      </w:r>
      <w:r>
        <w:rPr>
          <w:color w:val="auto"/>
          <w:sz w:val="24"/>
          <w:szCs w:val="32"/>
          <w:highlight w:val="none"/>
        </w:rPr>
        <w:t>31</w:t>
      </w:r>
      <w:r>
        <w:rPr>
          <w:color w:val="auto"/>
          <w:sz w:val="24"/>
          <w:szCs w:val="32"/>
          <w:highlight w:val="none"/>
        </w:rPr>
        <w:fldChar w:fldCharType="end"/>
      </w:r>
      <w:r>
        <w:rPr>
          <w:color w:val="auto"/>
          <w:sz w:val="24"/>
          <w:szCs w:val="32"/>
          <w:highlight w:val="none"/>
        </w:rPr>
        <w:fldChar w:fldCharType="end"/>
      </w:r>
    </w:p>
    <w:p w14:paraId="44AA88EF">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"_Toc43475674" </w:instrText>
      </w:r>
      <w:r>
        <w:rPr>
          <w:color w:val="auto"/>
          <w:sz w:val="24"/>
          <w:szCs w:val="32"/>
          <w:highlight w:val="none"/>
        </w:rPr>
        <w:fldChar w:fldCharType="separate"/>
      </w:r>
      <w:r>
        <w:rPr>
          <w:rStyle w:val="49"/>
          <w:color w:val="auto"/>
          <w:sz w:val="21"/>
          <w:szCs w:val="21"/>
          <w:highlight w:val="none"/>
        </w:rPr>
        <w:t>1.4</w:t>
      </w:r>
      <w:r>
        <w:rPr>
          <w:rStyle w:val="49"/>
          <w:rFonts w:hint="eastAsia"/>
          <w:color w:val="auto"/>
          <w:sz w:val="21"/>
          <w:szCs w:val="21"/>
          <w:highlight w:val="none"/>
        </w:rPr>
        <w:t>投标人资格要求（适用于未进行资格预审的）</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_Toc43475674 \h </w:instrText>
      </w:r>
      <w:r>
        <w:rPr>
          <w:color w:val="auto"/>
          <w:sz w:val="24"/>
          <w:szCs w:val="32"/>
          <w:highlight w:val="none"/>
        </w:rPr>
        <w:fldChar w:fldCharType="separate"/>
      </w:r>
      <w:r>
        <w:rPr>
          <w:color w:val="auto"/>
          <w:sz w:val="24"/>
          <w:szCs w:val="32"/>
          <w:highlight w:val="none"/>
        </w:rPr>
        <w:t>31</w:t>
      </w:r>
      <w:r>
        <w:rPr>
          <w:color w:val="auto"/>
          <w:sz w:val="24"/>
          <w:szCs w:val="32"/>
          <w:highlight w:val="none"/>
        </w:rPr>
        <w:fldChar w:fldCharType="end"/>
      </w:r>
      <w:r>
        <w:rPr>
          <w:color w:val="auto"/>
          <w:sz w:val="24"/>
          <w:szCs w:val="32"/>
          <w:highlight w:val="none"/>
        </w:rPr>
        <w:fldChar w:fldCharType="end"/>
      </w:r>
    </w:p>
    <w:p w14:paraId="587DE72C">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"_Toc43475675" </w:instrText>
      </w:r>
      <w:r>
        <w:rPr>
          <w:color w:val="auto"/>
          <w:sz w:val="24"/>
          <w:szCs w:val="32"/>
          <w:highlight w:val="none"/>
        </w:rPr>
        <w:fldChar w:fldCharType="separate"/>
      </w:r>
      <w:r>
        <w:rPr>
          <w:rStyle w:val="49"/>
          <w:color w:val="auto"/>
          <w:sz w:val="21"/>
          <w:szCs w:val="21"/>
          <w:highlight w:val="none"/>
        </w:rPr>
        <w:t>1.5</w:t>
      </w:r>
      <w:r>
        <w:rPr>
          <w:rStyle w:val="49"/>
          <w:rFonts w:hint="eastAsia"/>
          <w:color w:val="auto"/>
          <w:sz w:val="21"/>
          <w:szCs w:val="21"/>
          <w:highlight w:val="none"/>
        </w:rPr>
        <w:t>费用承担</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_Toc43475675 \h </w:instrText>
      </w:r>
      <w:r>
        <w:rPr>
          <w:color w:val="auto"/>
          <w:sz w:val="24"/>
          <w:szCs w:val="32"/>
          <w:highlight w:val="none"/>
        </w:rPr>
        <w:fldChar w:fldCharType="separate"/>
      </w:r>
      <w:r>
        <w:rPr>
          <w:color w:val="auto"/>
          <w:sz w:val="24"/>
          <w:szCs w:val="32"/>
          <w:highlight w:val="none"/>
        </w:rPr>
        <w:t>33</w:t>
      </w:r>
      <w:r>
        <w:rPr>
          <w:color w:val="auto"/>
          <w:sz w:val="24"/>
          <w:szCs w:val="32"/>
          <w:highlight w:val="none"/>
        </w:rPr>
        <w:fldChar w:fldCharType="end"/>
      </w:r>
      <w:r>
        <w:rPr>
          <w:color w:val="auto"/>
          <w:sz w:val="24"/>
          <w:szCs w:val="32"/>
          <w:highlight w:val="none"/>
        </w:rPr>
        <w:fldChar w:fldCharType="end"/>
      </w:r>
    </w:p>
    <w:p w14:paraId="10A44481">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"_Toc43475676" </w:instrText>
      </w:r>
      <w:r>
        <w:rPr>
          <w:color w:val="auto"/>
          <w:sz w:val="24"/>
          <w:szCs w:val="32"/>
          <w:highlight w:val="none"/>
        </w:rPr>
        <w:fldChar w:fldCharType="separate"/>
      </w:r>
      <w:r>
        <w:rPr>
          <w:rStyle w:val="49"/>
          <w:color w:val="auto"/>
          <w:sz w:val="21"/>
          <w:szCs w:val="21"/>
          <w:highlight w:val="none"/>
        </w:rPr>
        <w:t>1.6</w:t>
      </w:r>
      <w:r>
        <w:rPr>
          <w:rStyle w:val="49"/>
          <w:rFonts w:hint="eastAsia"/>
          <w:color w:val="auto"/>
          <w:sz w:val="21"/>
          <w:szCs w:val="21"/>
          <w:highlight w:val="none"/>
        </w:rPr>
        <w:t>保密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_Toc43475676 \h </w:instrText>
      </w:r>
      <w:r>
        <w:rPr>
          <w:color w:val="auto"/>
          <w:sz w:val="24"/>
          <w:szCs w:val="32"/>
          <w:highlight w:val="none"/>
        </w:rPr>
        <w:fldChar w:fldCharType="separate"/>
      </w:r>
      <w:r>
        <w:rPr>
          <w:color w:val="auto"/>
          <w:sz w:val="24"/>
          <w:szCs w:val="32"/>
          <w:highlight w:val="none"/>
        </w:rPr>
        <w:t>33</w:t>
      </w:r>
      <w:r>
        <w:rPr>
          <w:color w:val="auto"/>
          <w:sz w:val="24"/>
          <w:szCs w:val="32"/>
          <w:highlight w:val="none"/>
        </w:rPr>
        <w:fldChar w:fldCharType="end"/>
      </w:r>
      <w:r>
        <w:rPr>
          <w:color w:val="auto"/>
          <w:sz w:val="24"/>
          <w:szCs w:val="32"/>
          <w:highlight w:val="none"/>
        </w:rPr>
        <w:fldChar w:fldCharType="end"/>
      </w:r>
    </w:p>
    <w:p w14:paraId="20C1FE93">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"_Toc43475677" </w:instrText>
      </w:r>
      <w:r>
        <w:rPr>
          <w:color w:val="auto"/>
          <w:sz w:val="24"/>
          <w:szCs w:val="32"/>
          <w:highlight w:val="none"/>
        </w:rPr>
        <w:fldChar w:fldCharType="separate"/>
      </w:r>
      <w:r>
        <w:rPr>
          <w:rStyle w:val="49"/>
          <w:color w:val="auto"/>
          <w:sz w:val="21"/>
          <w:szCs w:val="21"/>
          <w:highlight w:val="none"/>
        </w:rPr>
        <w:t>1.7</w:t>
      </w:r>
      <w:r>
        <w:rPr>
          <w:rStyle w:val="49"/>
          <w:rFonts w:hint="eastAsia"/>
          <w:color w:val="auto"/>
          <w:sz w:val="21"/>
          <w:szCs w:val="21"/>
          <w:highlight w:val="none"/>
        </w:rPr>
        <w:t>语言文字</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_Toc43475677 \h </w:instrText>
      </w:r>
      <w:r>
        <w:rPr>
          <w:color w:val="auto"/>
          <w:sz w:val="24"/>
          <w:szCs w:val="32"/>
          <w:highlight w:val="none"/>
        </w:rPr>
        <w:fldChar w:fldCharType="separate"/>
      </w:r>
      <w:r>
        <w:rPr>
          <w:color w:val="auto"/>
          <w:sz w:val="24"/>
          <w:szCs w:val="32"/>
          <w:highlight w:val="none"/>
        </w:rPr>
        <w:t>33</w:t>
      </w:r>
      <w:r>
        <w:rPr>
          <w:color w:val="auto"/>
          <w:sz w:val="24"/>
          <w:szCs w:val="32"/>
          <w:highlight w:val="none"/>
        </w:rPr>
        <w:fldChar w:fldCharType="end"/>
      </w:r>
      <w:r>
        <w:rPr>
          <w:color w:val="auto"/>
          <w:sz w:val="24"/>
          <w:szCs w:val="32"/>
          <w:highlight w:val="none"/>
        </w:rPr>
        <w:fldChar w:fldCharType="end"/>
      </w:r>
    </w:p>
    <w:p w14:paraId="1C86D5CC">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"_Toc43475678" </w:instrText>
      </w:r>
      <w:r>
        <w:rPr>
          <w:color w:val="auto"/>
          <w:sz w:val="24"/>
          <w:szCs w:val="32"/>
          <w:highlight w:val="none"/>
        </w:rPr>
        <w:fldChar w:fldCharType="separate"/>
      </w:r>
      <w:r>
        <w:rPr>
          <w:rStyle w:val="49"/>
          <w:color w:val="auto"/>
          <w:sz w:val="21"/>
          <w:szCs w:val="21"/>
          <w:highlight w:val="none"/>
        </w:rPr>
        <w:t>1.8</w:t>
      </w:r>
      <w:r>
        <w:rPr>
          <w:rStyle w:val="49"/>
          <w:rFonts w:hint="eastAsia"/>
          <w:color w:val="auto"/>
          <w:sz w:val="21"/>
          <w:szCs w:val="21"/>
          <w:highlight w:val="none"/>
        </w:rPr>
        <w:t>计量单位</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_Toc43475678 \h </w:instrText>
      </w:r>
      <w:r>
        <w:rPr>
          <w:color w:val="auto"/>
          <w:sz w:val="24"/>
          <w:szCs w:val="32"/>
          <w:highlight w:val="none"/>
        </w:rPr>
        <w:fldChar w:fldCharType="separate"/>
      </w:r>
      <w:r>
        <w:rPr>
          <w:color w:val="auto"/>
          <w:sz w:val="24"/>
          <w:szCs w:val="32"/>
          <w:highlight w:val="none"/>
        </w:rPr>
        <w:t>33</w:t>
      </w:r>
      <w:r>
        <w:rPr>
          <w:color w:val="auto"/>
          <w:sz w:val="24"/>
          <w:szCs w:val="32"/>
          <w:highlight w:val="none"/>
        </w:rPr>
        <w:fldChar w:fldCharType="end"/>
      </w:r>
      <w:r>
        <w:rPr>
          <w:color w:val="auto"/>
          <w:sz w:val="24"/>
          <w:szCs w:val="32"/>
          <w:highlight w:val="none"/>
        </w:rPr>
        <w:fldChar w:fldCharType="end"/>
      </w:r>
    </w:p>
    <w:p w14:paraId="5FD43C07">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"_Toc43475679" </w:instrText>
      </w:r>
      <w:r>
        <w:rPr>
          <w:color w:val="auto"/>
          <w:sz w:val="24"/>
          <w:szCs w:val="32"/>
          <w:highlight w:val="none"/>
        </w:rPr>
        <w:fldChar w:fldCharType="separate"/>
      </w:r>
      <w:r>
        <w:rPr>
          <w:rStyle w:val="49"/>
          <w:color w:val="auto"/>
          <w:sz w:val="21"/>
          <w:szCs w:val="21"/>
          <w:highlight w:val="none"/>
        </w:rPr>
        <w:t>1.9</w:t>
      </w:r>
      <w:r>
        <w:rPr>
          <w:rStyle w:val="49"/>
          <w:rFonts w:hint="eastAsia"/>
          <w:color w:val="auto"/>
          <w:sz w:val="21"/>
          <w:szCs w:val="21"/>
          <w:highlight w:val="none"/>
        </w:rPr>
        <w:t>踏勘现场</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_Toc43475679 \h </w:instrText>
      </w:r>
      <w:r>
        <w:rPr>
          <w:color w:val="auto"/>
          <w:sz w:val="24"/>
          <w:szCs w:val="32"/>
          <w:highlight w:val="none"/>
        </w:rPr>
        <w:fldChar w:fldCharType="separate"/>
      </w:r>
      <w:r>
        <w:rPr>
          <w:color w:val="auto"/>
          <w:sz w:val="24"/>
          <w:szCs w:val="32"/>
          <w:highlight w:val="none"/>
        </w:rPr>
        <w:t>33</w:t>
      </w:r>
      <w:r>
        <w:rPr>
          <w:color w:val="auto"/>
          <w:sz w:val="24"/>
          <w:szCs w:val="32"/>
          <w:highlight w:val="none"/>
        </w:rPr>
        <w:fldChar w:fldCharType="end"/>
      </w:r>
      <w:r>
        <w:rPr>
          <w:color w:val="auto"/>
          <w:sz w:val="24"/>
          <w:szCs w:val="32"/>
          <w:highlight w:val="none"/>
        </w:rPr>
        <w:fldChar w:fldCharType="end"/>
      </w:r>
    </w:p>
    <w:p w14:paraId="6F401EF7">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"_Toc43475680" </w:instrText>
      </w:r>
      <w:r>
        <w:rPr>
          <w:color w:val="auto"/>
          <w:sz w:val="24"/>
          <w:szCs w:val="32"/>
          <w:highlight w:val="none"/>
        </w:rPr>
        <w:fldChar w:fldCharType="separate"/>
      </w:r>
      <w:r>
        <w:rPr>
          <w:rStyle w:val="49"/>
          <w:color w:val="auto"/>
          <w:sz w:val="21"/>
          <w:szCs w:val="21"/>
          <w:highlight w:val="none"/>
        </w:rPr>
        <w:t>1.10</w:t>
      </w:r>
      <w:r>
        <w:rPr>
          <w:rStyle w:val="49"/>
          <w:rFonts w:hint="eastAsia"/>
          <w:color w:val="auto"/>
          <w:sz w:val="21"/>
          <w:szCs w:val="21"/>
          <w:highlight w:val="none"/>
        </w:rPr>
        <w:t>投标预备会</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_Toc43475680 \h </w:instrText>
      </w:r>
      <w:r>
        <w:rPr>
          <w:color w:val="auto"/>
          <w:sz w:val="24"/>
          <w:szCs w:val="32"/>
          <w:highlight w:val="none"/>
        </w:rPr>
        <w:fldChar w:fldCharType="separate"/>
      </w:r>
      <w:r>
        <w:rPr>
          <w:color w:val="auto"/>
          <w:sz w:val="24"/>
          <w:szCs w:val="32"/>
          <w:highlight w:val="none"/>
        </w:rPr>
        <w:t>33</w:t>
      </w:r>
      <w:r>
        <w:rPr>
          <w:color w:val="auto"/>
          <w:sz w:val="24"/>
          <w:szCs w:val="32"/>
          <w:highlight w:val="none"/>
        </w:rPr>
        <w:fldChar w:fldCharType="end"/>
      </w:r>
      <w:r>
        <w:rPr>
          <w:color w:val="auto"/>
          <w:sz w:val="24"/>
          <w:szCs w:val="32"/>
          <w:highlight w:val="none"/>
        </w:rPr>
        <w:fldChar w:fldCharType="end"/>
      </w:r>
    </w:p>
    <w:p w14:paraId="2A806A04">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"_Toc43475681" </w:instrText>
      </w:r>
      <w:r>
        <w:rPr>
          <w:color w:val="auto"/>
          <w:sz w:val="24"/>
          <w:szCs w:val="32"/>
          <w:highlight w:val="none"/>
        </w:rPr>
        <w:fldChar w:fldCharType="separate"/>
      </w:r>
      <w:r>
        <w:rPr>
          <w:rStyle w:val="49"/>
          <w:color w:val="auto"/>
          <w:sz w:val="21"/>
          <w:szCs w:val="21"/>
          <w:highlight w:val="none"/>
        </w:rPr>
        <w:t>1.11</w:t>
      </w:r>
      <w:r>
        <w:rPr>
          <w:rStyle w:val="49"/>
          <w:rFonts w:hint="eastAsia"/>
          <w:color w:val="auto"/>
          <w:sz w:val="21"/>
          <w:szCs w:val="21"/>
          <w:highlight w:val="none"/>
        </w:rPr>
        <w:t>分包</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_Toc43475681 \h </w:instrText>
      </w:r>
      <w:r>
        <w:rPr>
          <w:color w:val="auto"/>
          <w:sz w:val="24"/>
          <w:szCs w:val="32"/>
          <w:highlight w:val="none"/>
        </w:rPr>
        <w:fldChar w:fldCharType="separate"/>
      </w:r>
      <w:r>
        <w:rPr>
          <w:color w:val="auto"/>
          <w:sz w:val="24"/>
          <w:szCs w:val="32"/>
          <w:highlight w:val="none"/>
        </w:rPr>
        <w:t>33</w:t>
      </w:r>
      <w:r>
        <w:rPr>
          <w:color w:val="auto"/>
          <w:sz w:val="24"/>
          <w:szCs w:val="32"/>
          <w:highlight w:val="none"/>
        </w:rPr>
        <w:fldChar w:fldCharType="end"/>
      </w:r>
      <w:r>
        <w:rPr>
          <w:color w:val="auto"/>
          <w:sz w:val="24"/>
          <w:szCs w:val="32"/>
          <w:highlight w:val="none"/>
        </w:rPr>
        <w:fldChar w:fldCharType="end"/>
      </w:r>
    </w:p>
    <w:p w14:paraId="0DA8E834">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"_Toc43475682" </w:instrText>
      </w:r>
      <w:r>
        <w:rPr>
          <w:color w:val="auto"/>
          <w:sz w:val="24"/>
          <w:szCs w:val="32"/>
          <w:highlight w:val="none"/>
        </w:rPr>
        <w:fldChar w:fldCharType="separate"/>
      </w:r>
      <w:r>
        <w:rPr>
          <w:rStyle w:val="49"/>
          <w:color w:val="auto"/>
          <w:sz w:val="21"/>
          <w:szCs w:val="21"/>
          <w:highlight w:val="none"/>
        </w:rPr>
        <w:t>1.12</w:t>
      </w:r>
      <w:r>
        <w:rPr>
          <w:rStyle w:val="49"/>
          <w:rFonts w:hint="eastAsia"/>
          <w:color w:val="auto"/>
          <w:sz w:val="21"/>
          <w:szCs w:val="21"/>
          <w:highlight w:val="none"/>
        </w:rPr>
        <w:t>响应和偏差</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_Toc43475682 \h </w:instrText>
      </w:r>
      <w:r>
        <w:rPr>
          <w:color w:val="auto"/>
          <w:sz w:val="24"/>
          <w:szCs w:val="32"/>
          <w:highlight w:val="none"/>
        </w:rPr>
        <w:fldChar w:fldCharType="separate"/>
      </w:r>
      <w:r>
        <w:rPr>
          <w:color w:val="auto"/>
          <w:sz w:val="24"/>
          <w:szCs w:val="32"/>
          <w:highlight w:val="none"/>
        </w:rPr>
        <w:t>34</w:t>
      </w:r>
      <w:r>
        <w:rPr>
          <w:color w:val="auto"/>
          <w:sz w:val="24"/>
          <w:szCs w:val="32"/>
          <w:highlight w:val="none"/>
        </w:rPr>
        <w:fldChar w:fldCharType="end"/>
      </w:r>
      <w:r>
        <w:rPr>
          <w:color w:val="auto"/>
          <w:sz w:val="24"/>
          <w:szCs w:val="32"/>
          <w:highlight w:val="none"/>
        </w:rPr>
        <w:fldChar w:fldCharType="end"/>
      </w:r>
    </w:p>
    <w:p w14:paraId="45B81309">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"_Toc43475683" </w:instrText>
      </w:r>
      <w:r>
        <w:rPr>
          <w:color w:val="auto"/>
          <w:sz w:val="24"/>
          <w:szCs w:val="32"/>
          <w:highlight w:val="none"/>
        </w:rPr>
        <w:fldChar w:fldCharType="separate"/>
      </w:r>
      <w:r>
        <w:rPr>
          <w:rStyle w:val="49"/>
          <w:rFonts w:ascii="宋体" w:hAnsi="宋体" w:cs="宋体"/>
          <w:color w:val="auto"/>
          <w:sz w:val="21"/>
          <w:szCs w:val="21"/>
          <w:highlight w:val="none"/>
        </w:rPr>
        <w:t>2.</w:t>
      </w:r>
      <w:r>
        <w:rPr>
          <w:rStyle w:val="49"/>
          <w:rFonts w:hint="eastAsia"/>
          <w:color w:val="auto"/>
          <w:sz w:val="21"/>
          <w:szCs w:val="21"/>
          <w:highlight w:val="none"/>
        </w:rPr>
        <w:t>招标文件</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_Toc43475683 \h </w:instrText>
      </w:r>
      <w:r>
        <w:rPr>
          <w:color w:val="auto"/>
          <w:sz w:val="24"/>
          <w:szCs w:val="32"/>
          <w:highlight w:val="none"/>
        </w:rPr>
        <w:fldChar w:fldCharType="separate"/>
      </w:r>
      <w:r>
        <w:rPr>
          <w:color w:val="auto"/>
          <w:sz w:val="24"/>
          <w:szCs w:val="32"/>
          <w:highlight w:val="none"/>
        </w:rPr>
        <w:t>35</w:t>
      </w:r>
      <w:r>
        <w:rPr>
          <w:color w:val="auto"/>
          <w:sz w:val="24"/>
          <w:szCs w:val="32"/>
          <w:highlight w:val="none"/>
        </w:rPr>
        <w:fldChar w:fldCharType="end"/>
      </w:r>
      <w:r>
        <w:rPr>
          <w:color w:val="auto"/>
          <w:sz w:val="24"/>
          <w:szCs w:val="32"/>
          <w:highlight w:val="none"/>
        </w:rPr>
        <w:fldChar w:fldCharType="end"/>
      </w:r>
    </w:p>
    <w:p w14:paraId="7F3E865A">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"_Toc43475684" </w:instrText>
      </w:r>
      <w:r>
        <w:rPr>
          <w:color w:val="auto"/>
          <w:sz w:val="24"/>
          <w:szCs w:val="32"/>
          <w:highlight w:val="none"/>
        </w:rPr>
        <w:fldChar w:fldCharType="separate"/>
      </w:r>
      <w:r>
        <w:rPr>
          <w:rStyle w:val="49"/>
          <w:color w:val="auto"/>
          <w:sz w:val="21"/>
          <w:szCs w:val="21"/>
          <w:highlight w:val="none"/>
        </w:rPr>
        <w:t>2.1</w:t>
      </w:r>
      <w:r>
        <w:rPr>
          <w:rStyle w:val="49"/>
          <w:rFonts w:hint="eastAsia"/>
          <w:color w:val="auto"/>
          <w:sz w:val="21"/>
          <w:szCs w:val="21"/>
          <w:highlight w:val="none"/>
        </w:rPr>
        <w:t>招标文件的组成</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_Toc43475684 \h </w:instrText>
      </w:r>
      <w:r>
        <w:rPr>
          <w:color w:val="auto"/>
          <w:sz w:val="24"/>
          <w:szCs w:val="32"/>
          <w:highlight w:val="none"/>
        </w:rPr>
        <w:fldChar w:fldCharType="separate"/>
      </w:r>
      <w:r>
        <w:rPr>
          <w:color w:val="auto"/>
          <w:sz w:val="24"/>
          <w:szCs w:val="32"/>
          <w:highlight w:val="none"/>
        </w:rPr>
        <w:t>35</w:t>
      </w:r>
      <w:r>
        <w:rPr>
          <w:color w:val="auto"/>
          <w:sz w:val="24"/>
          <w:szCs w:val="32"/>
          <w:highlight w:val="none"/>
        </w:rPr>
        <w:fldChar w:fldCharType="end"/>
      </w:r>
      <w:r>
        <w:rPr>
          <w:color w:val="auto"/>
          <w:sz w:val="24"/>
          <w:szCs w:val="32"/>
          <w:highlight w:val="none"/>
        </w:rPr>
        <w:fldChar w:fldCharType="end"/>
      </w:r>
    </w:p>
    <w:p w14:paraId="4FA51BE7">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"_Toc43475685" </w:instrText>
      </w:r>
      <w:r>
        <w:rPr>
          <w:color w:val="auto"/>
          <w:sz w:val="24"/>
          <w:szCs w:val="32"/>
          <w:highlight w:val="none"/>
        </w:rPr>
        <w:fldChar w:fldCharType="separate"/>
      </w:r>
      <w:r>
        <w:rPr>
          <w:rStyle w:val="49"/>
          <w:color w:val="auto"/>
          <w:sz w:val="21"/>
          <w:szCs w:val="21"/>
          <w:highlight w:val="none"/>
        </w:rPr>
        <w:t>2.2</w:t>
      </w:r>
      <w:r>
        <w:rPr>
          <w:rStyle w:val="49"/>
          <w:rFonts w:hint="eastAsia"/>
          <w:color w:val="auto"/>
          <w:sz w:val="21"/>
          <w:szCs w:val="21"/>
          <w:highlight w:val="none"/>
        </w:rPr>
        <w:t>招标文件的澄清</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_Toc43475685 \h </w:instrText>
      </w:r>
      <w:r>
        <w:rPr>
          <w:color w:val="auto"/>
          <w:sz w:val="24"/>
          <w:szCs w:val="32"/>
          <w:highlight w:val="none"/>
        </w:rPr>
        <w:fldChar w:fldCharType="separate"/>
      </w:r>
      <w:r>
        <w:rPr>
          <w:color w:val="auto"/>
          <w:sz w:val="24"/>
          <w:szCs w:val="32"/>
          <w:highlight w:val="none"/>
        </w:rPr>
        <w:t>35</w:t>
      </w:r>
      <w:r>
        <w:rPr>
          <w:color w:val="auto"/>
          <w:sz w:val="24"/>
          <w:szCs w:val="32"/>
          <w:highlight w:val="none"/>
        </w:rPr>
        <w:fldChar w:fldCharType="end"/>
      </w:r>
      <w:r>
        <w:rPr>
          <w:color w:val="auto"/>
          <w:sz w:val="24"/>
          <w:szCs w:val="32"/>
          <w:highlight w:val="none"/>
        </w:rPr>
        <w:fldChar w:fldCharType="end"/>
      </w:r>
    </w:p>
    <w:p w14:paraId="75B9EC4A">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"_Toc43475686" </w:instrText>
      </w:r>
      <w:r>
        <w:rPr>
          <w:color w:val="auto"/>
          <w:sz w:val="24"/>
          <w:szCs w:val="32"/>
          <w:highlight w:val="none"/>
        </w:rPr>
        <w:fldChar w:fldCharType="separate"/>
      </w:r>
      <w:r>
        <w:rPr>
          <w:rStyle w:val="49"/>
          <w:color w:val="auto"/>
          <w:sz w:val="21"/>
          <w:szCs w:val="21"/>
          <w:highlight w:val="none"/>
        </w:rPr>
        <w:t>2.3</w:t>
      </w:r>
      <w:r>
        <w:rPr>
          <w:rStyle w:val="49"/>
          <w:rFonts w:hint="eastAsia"/>
          <w:color w:val="auto"/>
          <w:sz w:val="21"/>
          <w:szCs w:val="21"/>
          <w:highlight w:val="none"/>
        </w:rPr>
        <w:t>招标文件的修改</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_Toc43475686 \h </w:instrText>
      </w:r>
      <w:r>
        <w:rPr>
          <w:color w:val="auto"/>
          <w:sz w:val="24"/>
          <w:szCs w:val="32"/>
          <w:highlight w:val="none"/>
        </w:rPr>
        <w:fldChar w:fldCharType="separate"/>
      </w:r>
      <w:r>
        <w:rPr>
          <w:color w:val="auto"/>
          <w:sz w:val="24"/>
          <w:szCs w:val="32"/>
          <w:highlight w:val="none"/>
        </w:rPr>
        <w:t>35</w:t>
      </w:r>
      <w:r>
        <w:rPr>
          <w:color w:val="auto"/>
          <w:sz w:val="24"/>
          <w:szCs w:val="32"/>
          <w:highlight w:val="none"/>
        </w:rPr>
        <w:fldChar w:fldCharType="end"/>
      </w:r>
      <w:r>
        <w:rPr>
          <w:color w:val="auto"/>
          <w:sz w:val="24"/>
          <w:szCs w:val="32"/>
          <w:highlight w:val="none"/>
        </w:rPr>
        <w:fldChar w:fldCharType="end"/>
      </w:r>
    </w:p>
    <w:p w14:paraId="7CB2F143">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"_Toc43475687" </w:instrText>
      </w:r>
      <w:r>
        <w:rPr>
          <w:color w:val="auto"/>
          <w:sz w:val="24"/>
          <w:szCs w:val="32"/>
          <w:highlight w:val="none"/>
        </w:rPr>
        <w:fldChar w:fldCharType="separate"/>
      </w:r>
      <w:r>
        <w:rPr>
          <w:rStyle w:val="49"/>
          <w:color w:val="auto"/>
          <w:sz w:val="21"/>
          <w:szCs w:val="21"/>
          <w:highlight w:val="none"/>
        </w:rPr>
        <w:t>2.4</w:t>
      </w:r>
      <w:r>
        <w:rPr>
          <w:rStyle w:val="49"/>
          <w:rFonts w:hint="eastAsia"/>
          <w:color w:val="auto"/>
          <w:sz w:val="21"/>
          <w:szCs w:val="21"/>
          <w:highlight w:val="none"/>
        </w:rPr>
        <w:t>招标文件的异议</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_Toc43475687 \h </w:instrText>
      </w:r>
      <w:r>
        <w:rPr>
          <w:color w:val="auto"/>
          <w:sz w:val="24"/>
          <w:szCs w:val="32"/>
          <w:highlight w:val="none"/>
        </w:rPr>
        <w:fldChar w:fldCharType="separate"/>
      </w:r>
      <w:r>
        <w:rPr>
          <w:color w:val="auto"/>
          <w:sz w:val="24"/>
          <w:szCs w:val="32"/>
          <w:highlight w:val="none"/>
        </w:rPr>
        <w:t>36</w:t>
      </w:r>
      <w:r>
        <w:rPr>
          <w:color w:val="auto"/>
          <w:sz w:val="24"/>
          <w:szCs w:val="32"/>
          <w:highlight w:val="none"/>
        </w:rPr>
        <w:fldChar w:fldCharType="end"/>
      </w:r>
      <w:r>
        <w:rPr>
          <w:color w:val="auto"/>
          <w:sz w:val="24"/>
          <w:szCs w:val="32"/>
          <w:highlight w:val="none"/>
        </w:rPr>
        <w:fldChar w:fldCharType="end"/>
      </w:r>
    </w:p>
    <w:p w14:paraId="0B59C6AE">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"_Toc43475688" </w:instrText>
      </w:r>
      <w:r>
        <w:rPr>
          <w:color w:val="auto"/>
          <w:sz w:val="24"/>
          <w:szCs w:val="32"/>
          <w:highlight w:val="none"/>
        </w:rPr>
        <w:fldChar w:fldCharType="separate"/>
      </w:r>
      <w:r>
        <w:rPr>
          <w:rStyle w:val="49"/>
          <w:rFonts w:ascii="宋体" w:hAnsi="宋体" w:cs="宋体"/>
          <w:color w:val="auto"/>
          <w:sz w:val="21"/>
          <w:szCs w:val="21"/>
          <w:highlight w:val="none"/>
        </w:rPr>
        <w:t>3.</w:t>
      </w:r>
      <w:r>
        <w:rPr>
          <w:rStyle w:val="49"/>
          <w:rFonts w:hint="eastAsia"/>
          <w:color w:val="auto"/>
          <w:sz w:val="21"/>
          <w:szCs w:val="21"/>
          <w:highlight w:val="none"/>
        </w:rPr>
        <w:t>投标文件</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_Toc43475688 \h </w:instrText>
      </w:r>
      <w:r>
        <w:rPr>
          <w:color w:val="auto"/>
          <w:sz w:val="24"/>
          <w:szCs w:val="32"/>
          <w:highlight w:val="none"/>
        </w:rPr>
        <w:fldChar w:fldCharType="separate"/>
      </w:r>
      <w:r>
        <w:rPr>
          <w:color w:val="auto"/>
          <w:sz w:val="24"/>
          <w:szCs w:val="32"/>
          <w:highlight w:val="none"/>
        </w:rPr>
        <w:t>36</w:t>
      </w:r>
      <w:r>
        <w:rPr>
          <w:color w:val="auto"/>
          <w:sz w:val="24"/>
          <w:szCs w:val="32"/>
          <w:highlight w:val="none"/>
        </w:rPr>
        <w:fldChar w:fldCharType="end"/>
      </w:r>
      <w:r>
        <w:rPr>
          <w:color w:val="auto"/>
          <w:sz w:val="24"/>
          <w:szCs w:val="32"/>
          <w:highlight w:val="none"/>
        </w:rPr>
        <w:fldChar w:fldCharType="end"/>
      </w:r>
    </w:p>
    <w:p w14:paraId="20A6B098">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"_Toc43475689" </w:instrText>
      </w:r>
      <w:r>
        <w:rPr>
          <w:color w:val="auto"/>
          <w:sz w:val="24"/>
          <w:szCs w:val="32"/>
          <w:highlight w:val="none"/>
        </w:rPr>
        <w:fldChar w:fldCharType="separate"/>
      </w:r>
      <w:r>
        <w:rPr>
          <w:rStyle w:val="49"/>
          <w:color w:val="auto"/>
          <w:sz w:val="21"/>
          <w:szCs w:val="21"/>
          <w:highlight w:val="none"/>
        </w:rPr>
        <w:t>3.1</w:t>
      </w:r>
      <w:r>
        <w:rPr>
          <w:rStyle w:val="49"/>
          <w:rFonts w:hint="eastAsia"/>
          <w:color w:val="auto"/>
          <w:sz w:val="21"/>
          <w:szCs w:val="21"/>
          <w:highlight w:val="none"/>
        </w:rPr>
        <w:t>投标文件的组成</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_Toc43475689 \h </w:instrText>
      </w:r>
      <w:r>
        <w:rPr>
          <w:color w:val="auto"/>
          <w:sz w:val="24"/>
          <w:szCs w:val="32"/>
          <w:highlight w:val="none"/>
        </w:rPr>
        <w:fldChar w:fldCharType="separate"/>
      </w:r>
      <w:r>
        <w:rPr>
          <w:color w:val="auto"/>
          <w:sz w:val="24"/>
          <w:szCs w:val="32"/>
          <w:highlight w:val="none"/>
        </w:rPr>
        <w:t>36</w:t>
      </w:r>
      <w:r>
        <w:rPr>
          <w:color w:val="auto"/>
          <w:sz w:val="24"/>
          <w:szCs w:val="32"/>
          <w:highlight w:val="none"/>
        </w:rPr>
        <w:fldChar w:fldCharType="end"/>
      </w:r>
      <w:r>
        <w:rPr>
          <w:color w:val="auto"/>
          <w:sz w:val="24"/>
          <w:szCs w:val="32"/>
          <w:highlight w:val="none"/>
        </w:rPr>
        <w:fldChar w:fldCharType="end"/>
      </w:r>
    </w:p>
    <w:p w14:paraId="0259DEA0">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"_Toc43475690" </w:instrText>
      </w:r>
      <w:r>
        <w:rPr>
          <w:color w:val="auto"/>
          <w:sz w:val="24"/>
          <w:szCs w:val="32"/>
          <w:highlight w:val="none"/>
        </w:rPr>
        <w:fldChar w:fldCharType="separate"/>
      </w:r>
      <w:r>
        <w:rPr>
          <w:rStyle w:val="49"/>
          <w:color w:val="auto"/>
          <w:sz w:val="21"/>
          <w:szCs w:val="21"/>
          <w:highlight w:val="none"/>
        </w:rPr>
        <w:t>3.2</w:t>
      </w:r>
      <w:r>
        <w:rPr>
          <w:rStyle w:val="49"/>
          <w:rFonts w:hint="eastAsia"/>
          <w:color w:val="auto"/>
          <w:sz w:val="21"/>
          <w:szCs w:val="21"/>
          <w:highlight w:val="none"/>
        </w:rPr>
        <w:t>投标报价</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_Toc43475690 \h </w:instrText>
      </w:r>
      <w:r>
        <w:rPr>
          <w:color w:val="auto"/>
          <w:sz w:val="24"/>
          <w:szCs w:val="32"/>
          <w:highlight w:val="none"/>
        </w:rPr>
        <w:fldChar w:fldCharType="separate"/>
      </w:r>
      <w:r>
        <w:rPr>
          <w:color w:val="auto"/>
          <w:sz w:val="24"/>
          <w:szCs w:val="32"/>
          <w:highlight w:val="none"/>
        </w:rPr>
        <w:t>37</w:t>
      </w:r>
      <w:r>
        <w:rPr>
          <w:color w:val="auto"/>
          <w:sz w:val="24"/>
          <w:szCs w:val="32"/>
          <w:highlight w:val="none"/>
        </w:rPr>
        <w:fldChar w:fldCharType="end"/>
      </w:r>
      <w:r>
        <w:rPr>
          <w:color w:val="auto"/>
          <w:sz w:val="24"/>
          <w:szCs w:val="32"/>
          <w:highlight w:val="none"/>
        </w:rPr>
        <w:fldChar w:fldCharType="end"/>
      </w:r>
    </w:p>
    <w:p w14:paraId="56ECE756">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"_Toc43475691" </w:instrText>
      </w:r>
      <w:r>
        <w:rPr>
          <w:color w:val="auto"/>
          <w:sz w:val="24"/>
          <w:szCs w:val="32"/>
          <w:highlight w:val="none"/>
        </w:rPr>
        <w:fldChar w:fldCharType="separate"/>
      </w:r>
      <w:r>
        <w:rPr>
          <w:rStyle w:val="49"/>
          <w:color w:val="auto"/>
          <w:sz w:val="21"/>
          <w:szCs w:val="21"/>
          <w:highlight w:val="none"/>
        </w:rPr>
        <w:t>3.3</w:t>
      </w:r>
      <w:r>
        <w:rPr>
          <w:rStyle w:val="49"/>
          <w:rFonts w:hint="eastAsia"/>
          <w:color w:val="auto"/>
          <w:sz w:val="21"/>
          <w:szCs w:val="21"/>
          <w:highlight w:val="none"/>
        </w:rPr>
        <w:t>投标有效期</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_Toc43475691 \h </w:instrText>
      </w:r>
      <w:r>
        <w:rPr>
          <w:color w:val="auto"/>
          <w:sz w:val="24"/>
          <w:szCs w:val="32"/>
          <w:highlight w:val="none"/>
        </w:rPr>
        <w:fldChar w:fldCharType="separate"/>
      </w:r>
      <w:r>
        <w:rPr>
          <w:color w:val="auto"/>
          <w:sz w:val="24"/>
          <w:szCs w:val="32"/>
          <w:highlight w:val="none"/>
        </w:rPr>
        <w:t>39</w:t>
      </w:r>
      <w:r>
        <w:rPr>
          <w:color w:val="auto"/>
          <w:sz w:val="24"/>
          <w:szCs w:val="32"/>
          <w:highlight w:val="none"/>
        </w:rPr>
        <w:fldChar w:fldCharType="end"/>
      </w:r>
      <w:r>
        <w:rPr>
          <w:color w:val="auto"/>
          <w:sz w:val="24"/>
          <w:szCs w:val="32"/>
          <w:highlight w:val="none"/>
        </w:rPr>
        <w:fldChar w:fldCharType="end"/>
      </w:r>
    </w:p>
    <w:p w14:paraId="0956BFDE">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"_Toc43475692" </w:instrText>
      </w:r>
      <w:r>
        <w:rPr>
          <w:color w:val="auto"/>
          <w:sz w:val="24"/>
          <w:szCs w:val="32"/>
          <w:highlight w:val="none"/>
        </w:rPr>
        <w:fldChar w:fldCharType="separate"/>
      </w:r>
      <w:r>
        <w:rPr>
          <w:rStyle w:val="49"/>
          <w:color w:val="auto"/>
          <w:sz w:val="21"/>
          <w:szCs w:val="21"/>
          <w:highlight w:val="none"/>
        </w:rPr>
        <w:t>3.4</w:t>
      </w:r>
      <w:r>
        <w:rPr>
          <w:rStyle w:val="49"/>
          <w:rFonts w:hint="eastAsia"/>
          <w:color w:val="auto"/>
          <w:sz w:val="21"/>
          <w:szCs w:val="21"/>
          <w:highlight w:val="none"/>
        </w:rPr>
        <w:t>投标保证金</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_Toc43475692 \h </w:instrText>
      </w:r>
      <w:r>
        <w:rPr>
          <w:color w:val="auto"/>
          <w:sz w:val="24"/>
          <w:szCs w:val="32"/>
          <w:highlight w:val="none"/>
        </w:rPr>
        <w:fldChar w:fldCharType="separate"/>
      </w:r>
      <w:r>
        <w:rPr>
          <w:color w:val="auto"/>
          <w:sz w:val="24"/>
          <w:szCs w:val="32"/>
          <w:highlight w:val="none"/>
        </w:rPr>
        <w:t>39</w:t>
      </w:r>
      <w:r>
        <w:rPr>
          <w:color w:val="auto"/>
          <w:sz w:val="24"/>
          <w:szCs w:val="32"/>
          <w:highlight w:val="none"/>
        </w:rPr>
        <w:fldChar w:fldCharType="end"/>
      </w:r>
      <w:r>
        <w:rPr>
          <w:color w:val="auto"/>
          <w:sz w:val="24"/>
          <w:szCs w:val="32"/>
          <w:highlight w:val="none"/>
        </w:rPr>
        <w:fldChar w:fldCharType="end"/>
      </w:r>
    </w:p>
    <w:p w14:paraId="3F952EDB">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"_Toc43475693" </w:instrText>
      </w:r>
      <w:r>
        <w:rPr>
          <w:color w:val="auto"/>
          <w:sz w:val="24"/>
          <w:szCs w:val="32"/>
          <w:highlight w:val="none"/>
        </w:rPr>
        <w:fldChar w:fldCharType="separate"/>
      </w:r>
      <w:r>
        <w:rPr>
          <w:rStyle w:val="49"/>
          <w:color w:val="auto"/>
          <w:sz w:val="21"/>
          <w:szCs w:val="21"/>
          <w:highlight w:val="none"/>
        </w:rPr>
        <w:t>3.5</w:t>
      </w:r>
      <w:r>
        <w:rPr>
          <w:rStyle w:val="49"/>
          <w:rFonts w:hint="eastAsia"/>
          <w:color w:val="auto"/>
          <w:sz w:val="21"/>
          <w:szCs w:val="21"/>
          <w:highlight w:val="none"/>
        </w:rPr>
        <w:t>资格审查资料（适用于未进行资格预审的）</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_Toc43475693 \h </w:instrText>
      </w:r>
      <w:r>
        <w:rPr>
          <w:color w:val="auto"/>
          <w:sz w:val="24"/>
          <w:szCs w:val="32"/>
          <w:highlight w:val="none"/>
        </w:rPr>
        <w:fldChar w:fldCharType="separate"/>
      </w:r>
      <w:r>
        <w:rPr>
          <w:color w:val="auto"/>
          <w:sz w:val="24"/>
          <w:szCs w:val="32"/>
          <w:highlight w:val="none"/>
        </w:rPr>
        <w:t>40</w:t>
      </w:r>
      <w:r>
        <w:rPr>
          <w:color w:val="auto"/>
          <w:sz w:val="24"/>
          <w:szCs w:val="32"/>
          <w:highlight w:val="none"/>
        </w:rPr>
        <w:fldChar w:fldCharType="end"/>
      </w:r>
      <w:r>
        <w:rPr>
          <w:color w:val="auto"/>
          <w:sz w:val="24"/>
          <w:szCs w:val="32"/>
          <w:highlight w:val="none"/>
        </w:rPr>
        <w:fldChar w:fldCharType="end"/>
      </w:r>
    </w:p>
    <w:p w14:paraId="522B4C5D">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"_Toc43475694" </w:instrText>
      </w:r>
      <w:r>
        <w:rPr>
          <w:color w:val="auto"/>
          <w:sz w:val="24"/>
          <w:szCs w:val="32"/>
          <w:highlight w:val="none"/>
        </w:rPr>
        <w:fldChar w:fldCharType="separate"/>
      </w:r>
      <w:r>
        <w:rPr>
          <w:rStyle w:val="49"/>
          <w:color w:val="auto"/>
          <w:sz w:val="21"/>
          <w:szCs w:val="21"/>
          <w:highlight w:val="none"/>
        </w:rPr>
        <w:t>3.6</w:t>
      </w:r>
      <w:r>
        <w:rPr>
          <w:rStyle w:val="49"/>
          <w:rFonts w:hint="eastAsia"/>
          <w:color w:val="auto"/>
          <w:sz w:val="21"/>
          <w:szCs w:val="21"/>
          <w:highlight w:val="none"/>
        </w:rPr>
        <w:t>备选投标方案</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_Toc43475694 \h </w:instrText>
      </w:r>
      <w:r>
        <w:rPr>
          <w:color w:val="auto"/>
          <w:sz w:val="24"/>
          <w:szCs w:val="32"/>
          <w:highlight w:val="none"/>
        </w:rPr>
        <w:fldChar w:fldCharType="separate"/>
      </w:r>
      <w:r>
        <w:rPr>
          <w:color w:val="auto"/>
          <w:sz w:val="24"/>
          <w:szCs w:val="32"/>
          <w:highlight w:val="none"/>
        </w:rPr>
        <w:t>42</w:t>
      </w:r>
      <w:r>
        <w:rPr>
          <w:color w:val="auto"/>
          <w:sz w:val="24"/>
          <w:szCs w:val="32"/>
          <w:highlight w:val="none"/>
        </w:rPr>
        <w:fldChar w:fldCharType="end"/>
      </w:r>
      <w:r>
        <w:rPr>
          <w:color w:val="auto"/>
          <w:sz w:val="24"/>
          <w:szCs w:val="32"/>
          <w:highlight w:val="none"/>
        </w:rPr>
        <w:fldChar w:fldCharType="end"/>
      </w:r>
    </w:p>
    <w:p w14:paraId="09BADB78">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"_Toc43475695" </w:instrText>
      </w:r>
      <w:r>
        <w:rPr>
          <w:color w:val="auto"/>
          <w:sz w:val="24"/>
          <w:szCs w:val="32"/>
          <w:highlight w:val="none"/>
        </w:rPr>
        <w:fldChar w:fldCharType="separate"/>
      </w:r>
      <w:r>
        <w:rPr>
          <w:rStyle w:val="49"/>
          <w:color w:val="auto"/>
          <w:sz w:val="21"/>
          <w:szCs w:val="21"/>
          <w:highlight w:val="none"/>
        </w:rPr>
        <w:t>3.7</w:t>
      </w:r>
      <w:r>
        <w:rPr>
          <w:rStyle w:val="49"/>
          <w:rFonts w:hint="eastAsia"/>
          <w:color w:val="auto"/>
          <w:sz w:val="21"/>
          <w:szCs w:val="21"/>
          <w:highlight w:val="none"/>
        </w:rPr>
        <w:t>投标文件的编制</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_Toc43475695 \h </w:instrText>
      </w:r>
      <w:r>
        <w:rPr>
          <w:color w:val="auto"/>
          <w:sz w:val="24"/>
          <w:szCs w:val="32"/>
          <w:highlight w:val="none"/>
        </w:rPr>
        <w:fldChar w:fldCharType="separate"/>
      </w:r>
      <w:r>
        <w:rPr>
          <w:color w:val="auto"/>
          <w:sz w:val="24"/>
          <w:szCs w:val="32"/>
          <w:highlight w:val="none"/>
        </w:rPr>
        <w:t>42</w:t>
      </w:r>
      <w:r>
        <w:rPr>
          <w:color w:val="auto"/>
          <w:sz w:val="24"/>
          <w:szCs w:val="32"/>
          <w:highlight w:val="none"/>
        </w:rPr>
        <w:fldChar w:fldCharType="end"/>
      </w:r>
      <w:r>
        <w:rPr>
          <w:color w:val="auto"/>
          <w:sz w:val="24"/>
          <w:szCs w:val="32"/>
          <w:highlight w:val="none"/>
        </w:rPr>
        <w:fldChar w:fldCharType="end"/>
      </w:r>
    </w:p>
    <w:p w14:paraId="7BDA35C0">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"_Toc43475696" </w:instrText>
      </w:r>
      <w:r>
        <w:rPr>
          <w:color w:val="auto"/>
          <w:sz w:val="24"/>
          <w:szCs w:val="32"/>
          <w:highlight w:val="none"/>
        </w:rPr>
        <w:fldChar w:fldCharType="separate"/>
      </w:r>
      <w:r>
        <w:rPr>
          <w:rStyle w:val="49"/>
          <w:rFonts w:ascii="宋体" w:hAnsi="宋体" w:cs="宋体"/>
          <w:color w:val="auto"/>
          <w:sz w:val="21"/>
          <w:szCs w:val="21"/>
          <w:highlight w:val="none"/>
        </w:rPr>
        <w:t>4.</w:t>
      </w:r>
      <w:r>
        <w:rPr>
          <w:rStyle w:val="49"/>
          <w:rFonts w:hint="eastAsia"/>
          <w:color w:val="auto"/>
          <w:sz w:val="21"/>
          <w:szCs w:val="21"/>
          <w:highlight w:val="none"/>
        </w:rPr>
        <w:t>投标</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_Toc43475696 \h </w:instrText>
      </w:r>
      <w:r>
        <w:rPr>
          <w:color w:val="auto"/>
          <w:sz w:val="24"/>
          <w:szCs w:val="32"/>
          <w:highlight w:val="none"/>
        </w:rPr>
        <w:fldChar w:fldCharType="separate"/>
      </w:r>
      <w:r>
        <w:rPr>
          <w:color w:val="auto"/>
          <w:sz w:val="24"/>
          <w:szCs w:val="32"/>
          <w:highlight w:val="none"/>
        </w:rPr>
        <w:t>43</w:t>
      </w:r>
      <w:r>
        <w:rPr>
          <w:color w:val="auto"/>
          <w:sz w:val="24"/>
          <w:szCs w:val="32"/>
          <w:highlight w:val="none"/>
        </w:rPr>
        <w:fldChar w:fldCharType="end"/>
      </w:r>
      <w:r>
        <w:rPr>
          <w:color w:val="auto"/>
          <w:sz w:val="24"/>
          <w:szCs w:val="32"/>
          <w:highlight w:val="none"/>
        </w:rPr>
        <w:fldChar w:fldCharType="end"/>
      </w:r>
    </w:p>
    <w:p w14:paraId="798058C3">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"_Toc43475697" </w:instrText>
      </w:r>
      <w:r>
        <w:rPr>
          <w:color w:val="auto"/>
          <w:sz w:val="24"/>
          <w:szCs w:val="32"/>
          <w:highlight w:val="none"/>
        </w:rPr>
        <w:fldChar w:fldCharType="separate"/>
      </w:r>
      <w:r>
        <w:rPr>
          <w:rStyle w:val="49"/>
          <w:color w:val="auto"/>
          <w:sz w:val="21"/>
          <w:szCs w:val="21"/>
          <w:highlight w:val="none"/>
        </w:rPr>
        <w:t>4.1</w:t>
      </w:r>
      <w:r>
        <w:rPr>
          <w:rStyle w:val="49"/>
          <w:rFonts w:hint="eastAsia"/>
          <w:color w:val="auto"/>
          <w:sz w:val="21"/>
          <w:szCs w:val="21"/>
          <w:highlight w:val="none"/>
        </w:rPr>
        <w:t>投标文件的密封和标识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_Toc43475697 \h </w:instrText>
      </w:r>
      <w:r>
        <w:rPr>
          <w:color w:val="auto"/>
          <w:sz w:val="24"/>
          <w:szCs w:val="32"/>
          <w:highlight w:val="none"/>
        </w:rPr>
        <w:fldChar w:fldCharType="separate"/>
      </w:r>
      <w:r>
        <w:rPr>
          <w:color w:val="auto"/>
          <w:sz w:val="24"/>
          <w:szCs w:val="32"/>
          <w:highlight w:val="none"/>
        </w:rPr>
        <w:t>43</w:t>
      </w:r>
      <w:r>
        <w:rPr>
          <w:color w:val="auto"/>
          <w:sz w:val="24"/>
          <w:szCs w:val="32"/>
          <w:highlight w:val="none"/>
        </w:rPr>
        <w:fldChar w:fldCharType="end"/>
      </w:r>
      <w:r>
        <w:rPr>
          <w:color w:val="auto"/>
          <w:sz w:val="24"/>
          <w:szCs w:val="32"/>
          <w:highlight w:val="none"/>
        </w:rPr>
        <w:fldChar w:fldCharType="end"/>
      </w:r>
    </w:p>
    <w:p w14:paraId="0D4B7E18">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"_Toc43475698" </w:instrText>
      </w:r>
      <w:r>
        <w:rPr>
          <w:color w:val="auto"/>
          <w:sz w:val="24"/>
          <w:szCs w:val="32"/>
          <w:highlight w:val="none"/>
        </w:rPr>
        <w:fldChar w:fldCharType="separate"/>
      </w:r>
      <w:r>
        <w:rPr>
          <w:rStyle w:val="49"/>
          <w:color w:val="auto"/>
          <w:sz w:val="21"/>
          <w:szCs w:val="21"/>
          <w:highlight w:val="none"/>
        </w:rPr>
        <w:t>4.2</w:t>
      </w:r>
      <w:r>
        <w:rPr>
          <w:rStyle w:val="49"/>
          <w:rFonts w:hint="eastAsia"/>
          <w:color w:val="auto"/>
          <w:sz w:val="21"/>
          <w:szCs w:val="21"/>
          <w:highlight w:val="none"/>
        </w:rPr>
        <w:t>投标文件的递交</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_Toc43475698 \h </w:instrText>
      </w:r>
      <w:r>
        <w:rPr>
          <w:color w:val="auto"/>
          <w:sz w:val="24"/>
          <w:szCs w:val="32"/>
          <w:highlight w:val="none"/>
        </w:rPr>
        <w:fldChar w:fldCharType="separate"/>
      </w:r>
      <w:r>
        <w:rPr>
          <w:color w:val="auto"/>
          <w:sz w:val="24"/>
          <w:szCs w:val="32"/>
          <w:highlight w:val="none"/>
        </w:rPr>
        <w:t>43</w:t>
      </w:r>
      <w:r>
        <w:rPr>
          <w:color w:val="auto"/>
          <w:sz w:val="24"/>
          <w:szCs w:val="32"/>
          <w:highlight w:val="none"/>
        </w:rPr>
        <w:fldChar w:fldCharType="end"/>
      </w:r>
      <w:r>
        <w:rPr>
          <w:color w:val="auto"/>
          <w:sz w:val="24"/>
          <w:szCs w:val="32"/>
          <w:highlight w:val="none"/>
        </w:rPr>
        <w:fldChar w:fldCharType="end"/>
      </w:r>
    </w:p>
    <w:p w14:paraId="1C66045B">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"_Toc43475699" </w:instrText>
      </w:r>
      <w:r>
        <w:rPr>
          <w:color w:val="auto"/>
          <w:sz w:val="24"/>
          <w:szCs w:val="32"/>
          <w:highlight w:val="none"/>
        </w:rPr>
        <w:fldChar w:fldCharType="separate"/>
      </w:r>
      <w:r>
        <w:rPr>
          <w:rStyle w:val="49"/>
          <w:color w:val="auto"/>
          <w:sz w:val="21"/>
          <w:szCs w:val="21"/>
          <w:highlight w:val="none"/>
        </w:rPr>
        <w:t>4.3</w:t>
      </w:r>
      <w:r>
        <w:rPr>
          <w:rStyle w:val="49"/>
          <w:rFonts w:hint="eastAsia"/>
          <w:color w:val="auto"/>
          <w:sz w:val="21"/>
          <w:szCs w:val="21"/>
          <w:highlight w:val="none"/>
        </w:rPr>
        <w:t>投标文件的修改与撤回</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_Toc43475699 \h </w:instrText>
      </w:r>
      <w:r>
        <w:rPr>
          <w:color w:val="auto"/>
          <w:sz w:val="24"/>
          <w:szCs w:val="32"/>
          <w:highlight w:val="none"/>
        </w:rPr>
        <w:fldChar w:fldCharType="separate"/>
      </w:r>
      <w:r>
        <w:rPr>
          <w:color w:val="auto"/>
          <w:sz w:val="24"/>
          <w:szCs w:val="32"/>
          <w:highlight w:val="none"/>
        </w:rPr>
        <w:t>44</w:t>
      </w:r>
      <w:r>
        <w:rPr>
          <w:color w:val="auto"/>
          <w:sz w:val="24"/>
          <w:szCs w:val="32"/>
          <w:highlight w:val="none"/>
        </w:rPr>
        <w:fldChar w:fldCharType="end"/>
      </w:r>
      <w:r>
        <w:rPr>
          <w:color w:val="auto"/>
          <w:sz w:val="24"/>
          <w:szCs w:val="32"/>
          <w:highlight w:val="none"/>
        </w:rPr>
        <w:fldChar w:fldCharType="end"/>
      </w:r>
    </w:p>
    <w:p w14:paraId="497A35A0">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"_Toc43475700" </w:instrText>
      </w:r>
      <w:r>
        <w:rPr>
          <w:color w:val="auto"/>
          <w:sz w:val="24"/>
          <w:szCs w:val="32"/>
          <w:highlight w:val="none"/>
        </w:rPr>
        <w:fldChar w:fldCharType="separate"/>
      </w:r>
      <w:r>
        <w:rPr>
          <w:rStyle w:val="49"/>
          <w:rFonts w:ascii="宋体" w:hAnsi="宋体" w:cs="宋体"/>
          <w:color w:val="auto"/>
          <w:sz w:val="21"/>
          <w:szCs w:val="21"/>
          <w:highlight w:val="none"/>
        </w:rPr>
        <w:t>5.</w:t>
      </w:r>
      <w:r>
        <w:rPr>
          <w:rStyle w:val="49"/>
          <w:rFonts w:hint="eastAsia"/>
          <w:color w:val="auto"/>
          <w:sz w:val="21"/>
          <w:szCs w:val="21"/>
          <w:highlight w:val="none"/>
        </w:rPr>
        <w:t>开标</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_Toc43475700 \h </w:instrText>
      </w:r>
      <w:r>
        <w:rPr>
          <w:color w:val="auto"/>
          <w:sz w:val="24"/>
          <w:szCs w:val="32"/>
          <w:highlight w:val="none"/>
        </w:rPr>
        <w:fldChar w:fldCharType="separate"/>
      </w:r>
      <w:r>
        <w:rPr>
          <w:color w:val="auto"/>
          <w:sz w:val="24"/>
          <w:szCs w:val="32"/>
          <w:highlight w:val="none"/>
        </w:rPr>
        <w:t>44</w:t>
      </w:r>
      <w:r>
        <w:rPr>
          <w:color w:val="auto"/>
          <w:sz w:val="24"/>
          <w:szCs w:val="32"/>
          <w:highlight w:val="none"/>
        </w:rPr>
        <w:fldChar w:fldCharType="end"/>
      </w:r>
      <w:r>
        <w:rPr>
          <w:color w:val="auto"/>
          <w:sz w:val="24"/>
          <w:szCs w:val="32"/>
          <w:highlight w:val="none"/>
        </w:rPr>
        <w:fldChar w:fldCharType="end"/>
      </w:r>
    </w:p>
    <w:p w14:paraId="31D7EDBF">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"_Toc43475701" </w:instrText>
      </w:r>
      <w:r>
        <w:rPr>
          <w:color w:val="auto"/>
          <w:sz w:val="24"/>
          <w:szCs w:val="32"/>
          <w:highlight w:val="none"/>
        </w:rPr>
        <w:fldChar w:fldCharType="separate"/>
      </w:r>
      <w:r>
        <w:rPr>
          <w:rStyle w:val="49"/>
          <w:color w:val="auto"/>
          <w:sz w:val="21"/>
          <w:szCs w:val="21"/>
          <w:highlight w:val="none"/>
        </w:rPr>
        <w:t xml:space="preserve">5.1 </w:t>
      </w:r>
      <w:r>
        <w:rPr>
          <w:rStyle w:val="49"/>
          <w:rFonts w:hint="eastAsia"/>
          <w:color w:val="auto"/>
          <w:sz w:val="21"/>
          <w:szCs w:val="21"/>
          <w:highlight w:val="none"/>
        </w:rPr>
        <w:t>开标时间和地点</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_Toc43475701 \h </w:instrText>
      </w:r>
      <w:r>
        <w:rPr>
          <w:color w:val="auto"/>
          <w:sz w:val="24"/>
          <w:szCs w:val="32"/>
          <w:highlight w:val="none"/>
        </w:rPr>
        <w:fldChar w:fldCharType="separate"/>
      </w:r>
      <w:r>
        <w:rPr>
          <w:color w:val="auto"/>
          <w:sz w:val="24"/>
          <w:szCs w:val="32"/>
          <w:highlight w:val="none"/>
        </w:rPr>
        <w:t>44</w:t>
      </w:r>
      <w:r>
        <w:rPr>
          <w:color w:val="auto"/>
          <w:sz w:val="24"/>
          <w:szCs w:val="32"/>
          <w:highlight w:val="none"/>
        </w:rPr>
        <w:fldChar w:fldCharType="end"/>
      </w:r>
      <w:r>
        <w:rPr>
          <w:color w:val="auto"/>
          <w:sz w:val="24"/>
          <w:szCs w:val="32"/>
          <w:highlight w:val="none"/>
        </w:rPr>
        <w:fldChar w:fldCharType="end"/>
      </w:r>
    </w:p>
    <w:p w14:paraId="51500D77">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"_Toc43475702" </w:instrText>
      </w:r>
      <w:r>
        <w:rPr>
          <w:color w:val="auto"/>
          <w:sz w:val="24"/>
          <w:szCs w:val="32"/>
          <w:highlight w:val="none"/>
        </w:rPr>
        <w:fldChar w:fldCharType="separate"/>
      </w:r>
      <w:r>
        <w:rPr>
          <w:rStyle w:val="49"/>
          <w:color w:val="auto"/>
          <w:sz w:val="21"/>
          <w:szCs w:val="21"/>
          <w:highlight w:val="none"/>
        </w:rPr>
        <w:t xml:space="preserve">5.1 </w:t>
      </w:r>
      <w:r>
        <w:rPr>
          <w:rStyle w:val="49"/>
          <w:rFonts w:hint="eastAsia"/>
          <w:color w:val="auto"/>
          <w:sz w:val="21"/>
          <w:szCs w:val="21"/>
          <w:highlight w:val="none"/>
        </w:rPr>
        <w:t>开标时间和地点</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_Toc43475702 \h </w:instrText>
      </w:r>
      <w:r>
        <w:rPr>
          <w:color w:val="auto"/>
          <w:sz w:val="24"/>
          <w:szCs w:val="32"/>
          <w:highlight w:val="none"/>
        </w:rPr>
        <w:fldChar w:fldCharType="separate"/>
      </w:r>
      <w:r>
        <w:rPr>
          <w:color w:val="auto"/>
          <w:sz w:val="24"/>
          <w:szCs w:val="32"/>
          <w:highlight w:val="none"/>
        </w:rPr>
        <w:t>44</w:t>
      </w:r>
      <w:r>
        <w:rPr>
          <w:color w:val="auto"/>
          <w:sz w:val="24"/>
          <w:szCs w:val="32"/>
          <w:highlight w:val="none"/>
        </w:rPr>
        <w:fldChar w:fldCharType="end"/>
      </w:r>
      <w:r>
        <w:rPr>
          <w:color w:val="auto"/>
          <w:sz w:val="24"/>
          <w:szCs w:val="32"/>
          <w:highlight w:val="none"/>
        </w:rPr>
        <w:fldChar w:fldCharType="end"/>
      </w:r>
    </w:p>
    <w:p w14:paraId="071A842F">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"_Toc43475703" </w:instrText>
      </w:r>
      <w:r>
        <w:rPr>
          <w:color w:val="auto"/>
          <w:sz w:val="24"/>
          <w:szCs w:val="32"/>
          <w:highlight w:val="none"/>
        </w:rPr>
        <w:fldChar w:fldCharType="separate"/>
      </w:r>
      <w:r>
        <w:rPr>
          <w:rStyle w:val="49"/>
          <w:rFonts w:ascii="宋体" w:hAnsi="宋体" w:cs="宋体"/>
          <w:color w:val="auto"/>
          <w:sz w:val="21"/>
          <w:szCs w:val="21"/>
          <w:highlight w:val="none"/>
        </w:rPr>
        <w:t xml:space="preserve">5.2 </w:t>
      </w:r>
      <w:r>
        <w:rPr>
          <w:rStyle w:val="49"/>
          <w:rFonts w:hint="eastAsia" w:ascii="宋体" w:hAnsi="宋体" w:cs="宋体"/>
          <w:color w:val="auto"/>
          <w:sz w:val="21"/>
          <w:szCs w:val="21"/>
          <w:highlight w:val="none"/>
        </w:rPr>
        <w:t>开标程序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_Toc43475703 \h </w:instrText>
      </w:r>
      <w:r>
        <w:rPr>
          <w:color w:val="auto"/>
          <w:sz w:val="24"/>
          <w:szCs w:val="32"/>
          <w:highlight w:val="none"/>
        </w:rPr>
        <w:fldChar w:fldCharType="separate"/>
      </w:r>
      <w:r>
        <w:rPr>
          <w:color w:val="auto"/>
          <w:sz w:val="24"/>
          <w:szCs w:val="32"/>
          <w:highlight w:val="none"/>
        </w:rPr>
        <w:t>45</w:t>
      </w:r>
      <w:r>
        <w:rPr>
          <w:color w:val="auto"/>
          <w:sz w:val="24"/>
          <w:szCs w:val="32"/>
          <w:highlight w:val="none"/>
        </w:rPr>
        <w:fldChar w:fldCharType="end"/>
      </w:r>
      <w:r>
        <w:rPr>
          <w:color w:val="auto"/>
          <w:sz w:val="24"/>
          <w:szCs w:val="32"/>
          <w:highlight w:val="none"/>
        </w:rPr>
        <w:fldChar w:fldCharType="end"/>
      </w:r>
    </w:p>
    <w:p w14:paraId="38556130">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"_Toc43475704" </w:instrText>
      </w:r>
      <w:r>
        <w:rPr>
          <w:color w:val="auto"/>
          <w:sz w:val="24"/>
          <w:szCs w:val="32"/>
          <w:highlight w:val="none"/>
        </w:rPr>
        <w:fldChar w:fldCharType="separate"/>
      </w:r>
      <w:r>
        <w:rPr>
          <w:rStyle w:val="49"/>
          <w:rFonts w:ascii="宋体" w:hAnsi="宋体" w:cs="宋体"/>
          <w:color w:val="auto"/>
          <w:sz w:val="21"/>
          <w:szCs w:val="21"/>
          <w:highlight w:val="none"/>
        </w:rPr>
        <w:t xml:space="preserve">5.2 </w:t>
      </w:r>
      <w:r>
        <w:rPr>
          <w:rStyle w:val="49"/>
          <w:rFonts w:hint="eastAsia" w:ascii="宋体" w:hAnsi="宋体" w:cs="宋体"/>
          <w:color w:val="auto"/>
          <w:sz w:val="21"/>
          <w:szCs w:val="21"/>
          <w:highlight w:val="none"/>
        </w:rPr>
        <w:t>开标程序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_Toc43475704 \h </w:instrText>
      </w:r>
      <w:r>
        <w:rPr>
          <w:color w:val="auto"/>
          <w:sz w:val="24"/>
          <w:szCs w:val="32"/>
          <w:highlight w:val="none"/>
        </w:rPr>
        <w:fldChar w:fldCharType="separate"/>
      </w:r>
      <w:r>
        <w:rPr>
          <w:color w:val="auto"/>
          <w:sz w:val="24"/>
          <w:szCs w:val="32"/>
          <w:highlight w:val="none"/>
        </w:rPr>
        <w:t>46</w:t>
      </w:r>
      <w:r>
        <w:rPr>
          <w:color w:val="auto"/>
          <w:sz w:val="24"/>
          <w:szCs w:val="32"/>
          <w:highlight w:val="none"/>
        </w:rPr>
        <w:fldChar w:fldCharType="end"/>
      </w:r>
      <w:r>
        <w:rPr>
          <w:color w:val="auto"/>
          <w:sz w:val="24"/>
          <w:szCs w:val="32"/>
          <w:highlight w:val="none"/>
        </w:rPr>
        <w:fldChar w:fldCharType="end"/>
      </w:r>
    </w:p>
    <w:p w14:paraId="379CD370">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"_Toc43475705" </w:instrText>
      </w:r>
      <w:r>
        <w:rPr>
          <w:color w:val="auto"/>
          <w:sz w:val="24"/>
          <w:szCs w:val="32"/>
          <w:highlight w:val="none"/>
        </w:rPr>
        <w:fldChar w:fldCharType="separate"/>
      </w:r>
      <w:r>
        <w:rPr>
          <w:rStyle w:val="49"/>
          <w:rFonts w:ascii="宋体" w:hAnsi="宋体" w:cs="宋体"/>
          <w:color w:val="auto"/>
          <w:sz w:val="21"/>
          <w:szCs w:val="21"/>
          <w:highlight w:val="none"/>
        </w:rPr>
        <w:t>6.</w:t>
      </w:r>
      <w:r>
        <w:rPr>
          <w:rStyle w:val="49"/>
          <w:rFonts w:hint="eastAsia"/>
          <w:color w:val="auto"/>
          <w:sz w:val="21"/>
          <w:szCs w:val="21"/>
          <w:highlight w:val="none"/>
        </w:rPr>
        <w:t>评标</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_Toc43475705 \h </w:instrText>
      </w:r>
      <w:r>
        <w:rPr>
          <w:color w:val="auto"/>
          <w:sz w:val="24"/>
          <w:szCs w:val="32"/>
          <w:highlight w:val="none"/>
        </w:rPr>
        <w:fldChar w:fldCharType="separate"/>
      </w:r>
      <w:r>
        <w:rPr>
          <w:color w:val="auto"/>
          <w:sz w:val="24"/>
          <w:szCs w:val="32"/>
          <w:highlight w:val="none"/>
        </w:rPr>
        <w:t>47</w:t>
      </w:r>
      <w:r>
        <w:rPr>
          <w:color w:val="auto"/>
          <w:sz w:val="24"/>
          <w:szCs w:val="32"/>
          <w:highlight w:val="none"/>
        </w:rPr>
        <w:fldChar w:fldCharType="end"/>
      </w:r>
      <w:r>
        <w:rPr>
          <w:color w:val="auto"/>
          <w:sz w:val="24"/>
          <w:szCs w:val="32"/>
          <w:highlight w:val="none"/>
        </w:rPr>
        <w:fldChar w:fldCharType="end"/>
      </w:r>
    </w:p>
    <w:p w14:paraId="052E2B6F">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"_Toc43475706" </w:instrText>
      </w:r>
      <w:r>
        <w:rPr>
          <w:color w:val="auto"/>
          <w:sz w:val="24"/>
          <w:szCs w:val="32"/>
          <w:highlight w:val="none"/>
        </w:rPr>
        <w:fldChar w:fldCharType="separate"/>
      </w:r>
      <w:r>
        <w:rPr>
          <w:rStyle w:val="49"/>
          <w:rFonts w:ascii="宋体" w:hAnsi="宋体" w:cs="宋体"/>
          <w:color w:val="auto"/>
          <w:sz w:val="21"/>
          <w:szCs w:val="21"/>
          <w:highlight w:val="none"/>
        </w:rPr>
        <w:t xml:space="preserve">6.1 </w:t>
      </w:r>
      <w:r>
        <w:rPr>
          <w:rStyle w:val="49"/>
          <w:rFonts w:hint="eastAsia" w:ascii="宋体" w:hAnsi="宋体" w:cs="宋体"/>
          <w:color w:val="auto"/>
          <w:sz w:val="21"/>
          <w:szCs w:val="21"/>
          <w:highlight w:val="none"/>
        </w:rPr>
        <w:t>评标委员会</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_Toc43475706 \h </w:instrText>
      </w:r>
      <w:r>
        <w:rPr>
          <w:color w:val="auto"/>
          <w:sz w:val="24"/>
          <w:szCs w:val="32"/>
          <w:highlight w:val="none"/>
        </w:rPr>
        <w:fldChar w:fldCharType="separate"/>
      </w:r>
      <w:r>
        <w:rPr>
          <w:color w:val="auto"/>
          <w:sz w:val="24"/>
          <w:szCs w:val="32"/>
          <w:highlight w:val="none"/>
        </w:rPr>
        <w:t>47</w:t>
      </w:r>
      <w:r>
        <w:rPr>
          <w:color w:val="auto"/>
          <w:sz w:val="24"/>
          <w:szCs w:val="32"/>
          <w:highlight w:val="none"/>
        </w:rPr>
        <w:fldChar w:fldCharType="end"/>
      </w:r>
      <w:r>
        <w:rPr>
          <w:color w:val="auto"/>
          <w:sz w:val="24"/>
          <w:szCs w:val="32"/>
          <w:highlight w:val="none"/>
        </w:rPr>
        <w:fldChar w:fldCharType="end"/>
      </w:r>
    </w:p>
    <w:p w14:paraId="2953FD37">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"_Toc43475707" </w:instrText>
      </w:r>
      <w:r>
        <w:rPr>
          <w:color w:val="auto"/>
          <w:sz w:val="24"/>
          <w:szCs w:val="32"/>
          <w:highlight w:val="none"/>
        </w:rPr>
        <w:fldChar w:fldCharType="separate"/>
      </w:r>
      <w:r>
        <w:rPr>
          <w:rStyle w:val="49"/>
          <w:rFonts w:ascii="宋体" w:hAnsi="宋体" w:cs="宋体"/>
          <w:color w:val="auto"/>
          <w:sz w:val="21"/>
          <w:szCs w:val="21"/>
          <w:highlight w:val="none"/>
        </w:rPr>
        <w:t xml:space="preserve">6.2 </w:t>
      </w:r>
      <w:r>
        <w:rPr>
          <w:rStyle w:val="49"/>
          <w:rFonts w:hint="eastAsia" w:ascii="宋体" w:hAnsi="宋体" w:cs="宋体"/>
          <w:color w:val="auto"/>
          <w:sz w:val="21"/>
          <w:szCs w:val="21"/>
          <w:highlight w:val="none"/>
        </w:rPr>
        <w:t>评标原则</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_Toc43475707 \h </w:instrText>
      </w:r>
      <w:r>
        <w:rPr>
          <w:color w:val="auto"/>
          <w:sz w:val="24"/>
          <w:szCs w:val="32"/>
          <w:highlight w:val="none"/>
        </w:rPr>
        <w:fldChar w:fldCharType="separate"/>
      </w:r>
      <w:r>
        <w:rPr>
          <w:color w:val="auto"/>
          <w:sz w:val="24"/>
          <w:szCs w:val="32"/>
          <w:highlight w:val="none"/>
        </w:rPr>
        <w:t>47</w:t>
      </w:r>
      <w:r>
        <w:rPr>
          <w:color w:val="auto"/>
          <w:sz w:val="24"/>
          <w:szCs w:val="32"/>
          <w:highlight w:val="none"/>
        </w:rPr>
        <w:fldChar w:fldCharType="end"/>
      </w:r>
      <w:r>
        <w:rPr>
          <w:color w:val="auto"/>
          <w:sz w:val="24"/>
          <w:szCs w:val="32"/>
          <w:highlight w:val="none"/>
        </w:rPr>
        <w:fldChar w:fldCharType="end"/>
      </w:r>
    </w:p>
    <w:p w14:paraId="555B7099">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"_Toc43475708" </w:instrText>
      </w:r>
      <w:r>
        <w:rPr>
          <w:color w:val="auto"/>
          <w:sz w:val="24"/>
          <w:szCs w:val="32"/>
          <w:highlight w:val="none"/>
        </w:rPr>
        <w:fldChar w:fldCharType="separate"/>
      </w:r>
      <w:r>
        <w:rPr>
          <w:rStyle w:val="49"/>
          <w:rFonts w:ascii="宋体" w:hAnsi="宋体" w:cs="宋体"/>
          <w:color w:val="auto"/>
          <w:sz w:val="21"/>
          <w:szCs w:val="21"/>
          <w:highlight w:val="none"/>
        </w:rPr>
        <w:t xml:space="preserve">6.3 </w:t>
      </w:r>
      <w:r>
        <w:rPr>
          <w:rStyle w:val="49"/>
          <w:rFonts w:hint="eastAsia" w:ascii="宋体" w:hAnsi="宋体" w:cs="宋体"/>
          <w:color w:val="auto"/>
          <w:sz w:val="21"/>
          <w:szCs w:val="21"/>
          <w:highlight w:val="none"/>
        </w:rPr>
        <w:t>评标</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_Toc43475708 \h </w:instrText>
      </w:r>
      <w:r>
        <w:rPr>
          <w:color w:val="auto"/>
          <w:sz w:val="24"/>
          <w:szCs w:val="32"/>
          <w:highlight w:val="none"/>
        </w:rPr>
        <w:fldChar w:fldCharType="separate"/>
      </w:r>
      <w:r>
        <w:rPr>
          <w:color w:val="auto"/>
          <w:sz w:val="24"/>
          <w:szCs w:val="32"/>
          <w:highlight w:val="none"/>
        </w:rPr>
        <w:t>47</w:t>
      </w:r>
      <w:r>
        <w:rPr>
          <w:color w:val="auto"/>
          <w:sz w:val="24"/>
          <w:szCs w:val="32"/>
          <w:highlight w:val="none"/>
        </w:rPr>
        <w:fldChar w:fldCharType="end"/>
      </w:r>
      <w:r>
        <w:rPr>
          <w:color w:val="auto"/>
          <w:sz w:val="24"/>
          <w:szCs w:val="32"/>
          <w:highlight w:val="none"/>
        </w:rPr>
        <w:fldChar w:fldCharType="end"/>
      </w:r>
    </w:p>
    <w:p w14:paraId="44CC7C6C">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"_Toc43475709" </w:instrText>
      </w:r>
      <w:r>
        <w:rPr>
          <w:color w:val="auto"/>
          <w:sz w:val="24"/>
          <w:szCs w:val="32"/>
          <w:highlight w:val="none"/>
        </w:rPr>
        <w:fldChar w:fldCharType="separate"/>
      </w:r>
      <w:r>
        <w:rPr>
          <w:rStyle w:val="49"/>
          <w:rFonts w:ascii="宋体" w:hAnsi="宋体" w:cs="宋体"/>
          <w:color w:val="auto"/>
          <w:sz w:val="21"/>
          <w:szCs w:val="21"/>
          <w:highlight w:val="none"/>
        </w:rPr>
        <w:t>7.</w:t>
      </w:r>
      <w:r>
        <w:rPr>
          <w:rStyle w:val="49"/>
          <w:rFonts w:hint="eastAsia"/>
          <w:color w:val="auto"/>
          <w:sz w:val="21"/>
          <w:szCs w:val="21"/>
          <w:highlight w:val="none"/>
        </w:rPr>
        <w:t>合同授予</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_Toc43475709 \h </w:instrText>
      </w:r>
      <w:r>
        <w:rPr>
          <w:color w:val="auto"/>
          <w:sz w:val="24"/>
          <w:szCs w:val="32"/>
          <w:highlight w:val="none"/>
        </w:rPr>
        <w:fldChar w:fldCharType="separate"/>
      </w:r>
      <w:r>
        <w:rPr>
          <w:color w:val="auto"/>
          <w:sz w:val="24"/>
          <w:szCs w:val="32"/>
          <w:highlight w:val="none"/>
        </w:rPr>
        <w:t>48</w:t>
      </w:r>
      <w:r>
        <w:rPr>
          <w:color w:val="auto"/>
          <w:sz w:val="24"/>
          <w:szCs w:val="32"/>
          <w:highlight w:val="none"/>
        </w:rPr>
        <w:fldChar w:fldCharType="end"/>
      </w:r>
      <w:r>
        <w:rPr>
          <w:color w:val="auto"/>
          <w:sz w:val="24"/>
          <w:szCs w:val="32"/>
          <w:highlight w:val="none"/>
        </w:rPr>
        <w:fldChar w:fldCharType="end"/>
      </w:r>
    </w:p>
    <w:p w14:paraId="1887E9C7">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"_Toc43475710" </w:instrText>
      </w:r>
      <w:r>
        <w:rPr>
          <w:color w:val="auto"/>
          <w:sz w:val="24"/>
          <w:szCs w:val="32"/>
          <w:highlight w:val="none"/>
        </w:rPr>
        <w:fldChar w:fldCharType="separate"/>
      </w:r>
      <w:r>
        <w:rPr>
          <w:rStyle w:val="49"/>
          <w:rFonts w:ascii="宋体" w:hAnsi="宋体" w:cs="宋体"/>
          <w:color w:val="auto"/>
          <w:sz w:val="21"/>
          <w:szCs w:val="21"/>
          <w:highlight w:val="none"/>
        </w:rPr>
        <w:t>7.1</w:t>
      </w:r>
      <w:r>
        <w:rPr>
          <w:rStyle w:val="49"/>
          <w:rFonts w:hint="eastAsia" w:ascii="宋体" w:hAnsi="宋体" w:cs="宋体"/>
          <w:color w:val="auto"/>
          <w:sz w:val="21"/>
          <w:szCs w:val="21"/>
          <w:highlight w:val="none"/>
        </w:rPr>
        <w:t>中标候选人公示</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_Toc43475710 \h </w:instrText>
      </w:r>
      <w:r>
        <w:rPr>
          <w:color w:val="auto"/>
          <w:sz w:val="24"/>
          <w:szCs w:val="32"/>
          <w:highlight w:val="none"/>
        </w:rPr>
        <w:fldChar w:fldCharType="separate"/>
      </w:r>
      <w:r>
        <w:rPr>
          <w:color w:val="auto"/>
          <w:sz w:val="24"/>
          <w:szCs w:val="32"/>
          <w:highlight w:val="none"/>
        </w:rPr>
        <w:t>48</w:t>
      </w:r>
      <w:r>
        <w:rPr>
          <w:color w:val="auto"/>
          <w:sz w:val="24"/>
          <w:szCs w:val="32"/>
          <w:highlight w:val="none"/>
        </w:rPr>
        <w:fldChar w:fldCharType="end"/>
      </w:r>
      <w:r>
        <w:rPr>
          <w:color w:val="auto"/>
          <w:sz w:val="24"/>
          <w:szCs w:val="32"/>
          <w:highlight w:val="none"/>
        </w:rPr>
        <w:fldChar w:fldCharType="end"/>
      </w:r>
    </w:p>
    <w:p w14:paraId="162D89DB">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"_Toc43475711" </w:instrText>
      </w:r>
      <w:r>
        <w:rPr>
          <w:color w:val="auto"/>
          <w:sz w:val="24"/>
          <w:szCs w:val="32"/>
          <w:highlight w:val="none"/>
        </w:rPr>
        <w:fldChar w:fldCharType="separate"/>
      </w:r>
      <w:r>
        <w:rPr>
          <w:rStyle w:val="49"/>
          <w:rFonts w:ascii="宋体" w:hAnsi="宋体" w:cs="宋体"/>
          <w:color w:val="auto"/>
          <w:sz w:val="21"/>
          <w:szCs w:val="21"/>
          <w:highlight w:val="none"/>
        </w:rPr>
        <w:t>7.2</w:t>
      </w:r>
      <w:r>
        <w:rPr>
          <w:rStyle w:val="49"/>
          <w:rFonts w:hint="eastAsia" w:ascii="宋体" w:hAnsi="宋体" w:cs="宋体"/>
          <w:color w:val="auto"/>
          <w:sz w:val="21"/>
          <w:szCs w:val="21"/>
          <w:highlight w:val="none"/>
        </w:rPr>
        <w:t>评标结果异议</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_Toc43475711 \h </w:instrText>
      </w:r>
      <w:r>
        <w:rPr>
          <w:color w:val="auto"/>
          <w:sz w:val="24"/>
          <w:szCs w:val="32"/>
          <w:highlight w:val="none"/>
        </w:rPr>
        <w:fldChar w:fldCharType="separate"/>
      </w:r>
      <w:r>
        <w:rPr>
          <w:color w:val="auto"/>
          <w:sz w:val="24"/>
          <w:szCs w:val="32"/>
          <w:highlight w:val="none"/>
        </w:rPr>
        <w:t>48</w:t>
      </w:r>
      <w:r>
        <w:rPr>
          <w:color w:val="auto"/>
          <w:sz w:val="24"/>
          <w:szCs w:val="32"/>
          <w:highlight w:val="none"/>
        </w:rPr>
        <w:fldChar w:fldCharType="end"/>
      </w:r>
      <w:r>
        <w:rPr>
          <w:color w:val="auto"/>
          <w:sz w:val="24"/>
          <w:szCs w:val="32"/>
          <w:highlight w:val="none"/>
        </w:rPr>
        <w:fldChar w:fldCharType="end"/>
      </w:r>
    </w:p>
    <w:p w14:paraId="4140CD84">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"_Toc43475712" </w:instrText>
      </w:r>
      <w:r>
        <w:rPr>
          <w:color w:val="auto"/>
          <w:sz w:val="24"/>
          <w:szCs w:val="32"/>
          <w:highlight w:val="none"/>
        </w:rPr>
        <w:fldChar w:fldCharType="separate"/>
      </w:r>
      <w:r>
        <w:rPr>
          <w:rStyle w:val="49"/>
          <w:rFonts w:ascii="宋体" w:hAnsi="宋体" w:cs="宋体"/>
          <w:color w:val="auto"/>
          <w:sz w:val="21"/>
          <w:szCs w:val="21"/>
          <w:highlight w:val="none"/>
        </w:rPr>
        <w:t>7.3</w:t>
      </w:r>
      <w:r>
        <w:rPr>
          <w:rStyle w:val="49"/>
          <w:rFonts w:hint="eastAsia" w:ascii="宋体" w:hAnsi="宋体" w:cs="宋体"/>
          <w:color w:val="auto"/>
          <w:sz w:val="21"/>
          <w:szCs w:val="21"/>
          <w:highlight w:val="none"/>
        </w:rPr>
        <w:t>中标候选人履约能力审查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_Toc43475712 \h </w:instrText>
      </w:r>
      <w:r>
        <w:rPr>
          <w:color w:val="auto"/>
          <w:sz w:val="24"/>
          <w:szCs w:val="32"/>
          <w:highlight w:val="none"/>
        </w:rPr>
        <w:fldChar w:fldCharType="separate"/>
      </w:r>
      <w:r>
        <w:rPr>
          <w:color w:val="auto"/>
          <w:sz w:val="24"/>
          <w:szCs w:val="32"/>
          <w:highlight w:val="none"/>
        </w:rPr>
        <w:t>48</w:t>
      </w:r>
      <w:r>
        <w:rPr>
          <w:color w:val="auto"/>
          <w:sz w:val="24"/>
          <w:szCs w:val="32"/>
          <w:highlight w:val="none"/>
        </w:rPr>
        <w:fldChar w:fldCharType="end"/>
      </w:r>
      <w:r>
        <w:rPr>
          <w:color w:val="auto"/>
          <w:sz w:val="24"/>
          <w:szCs w:val="32"/>
          <w:highlight w:val="none"/>
        </w:rPr>
        <w:fldChar w:fldCharType="end"/>
      </w:r>
    </w:p>
    <w:p w14:paraId="5835691A">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"_Toc43475713" </w:instrText>
      </w:r>
      <w:r>
        <w:rPr>
          <w:color w:val="auto"/>
          <w:sz w:val="24"/>
          <w:szCs w:val="32"/>
          <w:highlight w:val="none"/>
        </w:rPr>
        <w:fldChar w:fldCharType="separate"/>
      </w:r>
      <w:r>
        <w:rPr>
          <w:rStyle w:val="49"/>
          <w:rFonts w:ascii="宋体" w:hAnsi="宋体" w:cs="宋体"/>
          <w:color w:val="auto"/>
          <w:sz w:val="21"/>
          <w:szCs w:val="21"/>
          <w:highlight w:val="none"/>
        </w:rPr>
        <w:t>7.4</w:t>
      </w:r>
      <w:r>
        <w:rPr>
          <w:rStyle w:val="49"/>
          <w:rFonts w:hint="eastAsia" w:ascii="宋体" w:hAnsi="宋体" w:cs="宋体"/>
          <w:color w:val="auto"/>
          <w:sz w:val="21"/>
          <w:szCs w:val="21"/>
          <w:highlight w:val="none"/>
        </w:rPr>
        <w:t>定标</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_Toc43475713 \h </w:instrText>
      </w:r>
      <w:r>
        <w:rPr>
          <w:color w:val="auto"/>
          <w:sz w:val="24"/>
          <w:szCs w:val="32"/>
          <w:highlight w:val="none"/>
        </w:rPr>
        <w:fldChar w:fldCharType="separate"/>
      </w:r>
      <w:r>
        <w:rPr>
          <w:color w:val="auto"/>
          <w:sz w:val="24"/>
          <w:szCs w:val="32"/>
          <w:highlight w:val="none"/>
        </w:rPr>
        <w:t>48</w:t>
      </w:r>
      <w:r>
        <w:rPr>
          <w:color w:val="auto"/>
          <w:sz w:val="24"/>
          <w:szCs w:val="32"/>
          <w:highlight w:val="none"/>
        </w:rPr>
        <w:fldChar w:fldCharType="end"/>
      </w:r>
      <w:r>
        <w:rPr>
          <w:color w:val="auto"/>
          <w:sz w:val="24"/>
          <w:szCs w:val="32"/>
          <w:highlight w:val="none"/>
        </w:rPr>
        <w:fldChar w:fldCharType="end"/>
      </w:r>
    </w:p>
    <w:p w14:paraId="21C9F31C">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"_Toc43475714" </w:instrText>
      </w:r>
      <w:r>
        <w:rPr>
          <w:color w:val="auto"/>
          <w:sz w:val="24"/>
          <w:szCs w:val="32"/>
          <w:highlight w:val="none"/>
        </w:rPr>
        <w:fldChar w:fldCharType="separate"/>
      </w:r>
      <w:r>
        <w:rPr>
          <w:rStyle w:val="49"/>
          <w:rFonts w:ascii="宋体" w:hAnsi="宋体" w:cs="宋体"/>
          <w:color w:val="auto"/>
          <w:sz w:val="21"/>
          <w:szCs w:val="21"/>
          <w:highlight w:val="none"/>
        </w:rPr>
        <w:t>7.5</w:t>
      </w:r>
      <w:r>
        <w:rPr>
          <w:rStyle w:val="49"/>
          <w:rFonts w:hint="eastAsia" w:ascii="宋体" w:hAnsi="宋体" w:cs="宋体"/>
          <w:color w:val="auto"/>
          <w:sz w:val="21"/>
          <w:szCs w:val="21"/>
          <w:highlight w:val="none"/>
        </w:rPr>
        <w:t>中标通知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_Toc43475714 \h </w:instrText>
      </w:r>
      <w:r>
        <w:rPr>
          <w:color w:val="auto"/>
          <w:sz w:val="24"/>
          <w:szCs w:val="32"/>
          <w:highlight w:val="none"/>
        </w:rPr>
        <w:fldChar w:fldCharType="separate"/>
      </w:r>
      <w:r>
        <w:rPr>
          <w:color w:val="auto"/>
          <w:sz w:val="24"/>
          <w:szCs w:val="32"/>
          <w:highlight w:val="none"/>
        </w:rPr>
        <w:t>48</w:t>
      </w:r>
      <w:r>
        <w:rPr>
          <w:color w:val="auto"/>
          <w:sz w:val="24"/>
          <w:szCs w:val="32"/>
          <w:highlight w:val="none"/>
        </w:rPr>
        <w:fldChar w:fldCharType="end"/>
      </w:r>
      <w:r>
        <w:rPr>
          <w:color w:val="auto"/>
          <w:sz w:val="24"/>
          <w:szCs w:val="32"/>
          <w:highlight w:val="none"/>
        </w:rPr>
        <w:fldChar w:fldCharType="end"/>
      </w:r>
    </w:p>
    <w:p w14:paraId="0A2FAE5A">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"_Toc43475715" </w:instrText>
      </w:r>
      <w:r>
        <w:rPr>
          <w:color w:val="auto"/>
          <w:sz w:val="24"/>
          <w:szCs w:val="32"/>
          <w:highlight w:val="none"/>
        </w:rPr>
        <w:fldChar w:fldCharType="separate"/>
      </w:r>
      <w:r>
        <w:rPr>
          <w:rStyle w:val="49"/>
          <w:rFonts w:ascii="宋体" w:hAnsi="宋体" w:cs="宋体"/>
          <w:color w:val="auto"/>
          <w:sz w:val="21"/>
          <w:szCs w:val="21"/>
          <w:highlight w:val="none"/>
        </w:rPr>
        <w:t>7.6</w:t>
      </w:r>
      <w:r>
        <w:rPr>
          <w:rStyle w:val="49"/>
          <w:rFonts w:hint="eastAsia" w:ascii="宋体" w:hAnsi="宋体" w:cs="宋体"/>
          <w:color w:val="auto"/>
          <w:sz w:val="21"/>
          <w:szCs w:val="21"/>
          <w:highlight w:val="none"/>
        </w:rPr>
        <w:t>中标结果公告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_Toc43475715 \h </w:instrText>
      </w:r>
      <w:r>
        <w:rPr>
          <w:color w:val="auto"/>
          <w:sz w:val="24"/>
          <w:szCs w:val="32"/>
          <w:highlight w:val="none"/>
        </w:rPr>
        <w:fldChar w:fldCharType="separate"/>
      </w:r>
      <w:r>
        <w:rPr>
          <w:color w:val="auto"/>
          <w:sz w:val="24"/>
          <w:szCs w:val="32"/>
          <w:highlight w:val="none"/>
        </w:rPr>
        <w:t>48</w:t>
      </w:r>
      <w:r>
        <w:rPr>
          <w:color w:val="auto"/>
          <w:sz w:val="24"/>
          <w:szCs w:val="32"/>
          <w:highlight w:val="none"/>
        </w:rPr>
        <w:fldChar w:fldCharType="end"/>
      </w:r>
      <w:r>
        <w:rPr>
          <w:color w:val="auto"/>
          <w:sz w:val="24"/>
          <w:szCs w:val="32"/>
          <w:highlight w:val="none"/>
        </w:rPr>
        <w:fldChar w:fldCharType="end"/>
      </w:r>
    </w:p>
    <w:p w14:paraId="63DB56D0">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"_Toc43475716" </w:instrText>
      </w:r>
      <w:r>
        <w:rPr>
          <w:color w:val="auto"/>
          <w:sz w:val="24"/>
          <w:szCs w:val="32"/>
          <w:highlight w:val="none"/>
        </w:rPr>
        <w:fldChar w:fldCharType="separate"/>
      </w:r>
      <w:r>
        <w:rPr>
          <w:rStyle w:val="49"/>
          <w:rFonts w:ascii="宋体" w:hAnsi="宋体" w:cs="宋体"/>
          <w:color w:val="auto"/>
          <w:sz w:val="21"/>
          <w:szCs w:val="21"/>
          <w:highlight w:val="none"/>
        </w:rPr>
        <w:t>7.7</w:t>
      </w:r>
      <w:r>
        <w:rPr>
          <w:rStyle w:val="49"/>
          <w:rFonts w:hint="eastAsia" w:ascii="宋体" w:hAnsi="宋体" w:cs="宋体"/>
          <w:color w:val="auto"/>
          <w:sz w:val="21"/>
          <w:szCs w:val="21"/>
          <w:highlight w:val="none"/>
        </w:rPr>
        <w:t>履约保证金</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_Toc43475716 \h </w:instrText>
      </w:r>
      <w:r>
        <w:rPr>
          <w:color w:val="auto"/>
          <w:sz w:val="24"/>
          <w:szCs w:val="32"/>
          <w:highlight w:val="none"/>
        </w:rPr>
        <w:fldChar w:fldCharType="separate"/>
      </w:r>
      <w:r>
        <w:rPr>
          <w:color w:val="auto"/>
          <w:sz w:val="24"/>
          <w:szCs w:val="32"/>
          <w:highlight w:val="none"/>
        </w:rPr>
        <w:t>48</w:t>
      </w:r>
      <w:r>
        <w:rPr>
          <w:color w:val="auto"/>
          <w:sz w:val="24"/>
          <w:szCs w:val="32"/>
          <w:highlight w:val="none"/>
        </w:rPr>
        <w:fldChar w:fldCharType="end"/>
      </w:r>
      <w:r>
        <w:rPr>
          <w:color w:val="auto"/>
          <w:sz w:val="24"/>
          <w:szCs w:val="32"/>
          <w:highlight w:val="none"/>
        </w:rPr>
        <w:fldChar w:fldCharType="end"/>
      </w:r>
    </w:p>
    <w:p w14:paraId="00B9A288">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"_Toc43475717" </w:instrText>
      </w:r>
      <w:r>
        <w:rPr>
          <w:color w:val="auto"/>
          <w:sz w:val="24"/>
          <w:szCs w:val="32"/>
          <w:highlight w:val="none"/>
        </w:rPr>
        <w:fldChar w:fldCharType="separate"/>
      </w:r>
      <w:r>
        <w:rPr>
          <w:rStyle w:val="49"/>
          <w:rFonts w:ascii="宋体" w:hAnsi="宋体" w:cs="宋体"/>
          <w:color w:val="auto"/>
          <w:sz w:val="21"/>
          <w:szCs w:val="21"/>
          <w:highlight w:val="none"/>
        </w:rPr>
        <w:t>7.8</w:t>
      </w:r>
      <w:r>
        <w:rPr>
          <w:rStyle w:val="49"/>
          <w:rFonts w:hint="eastAsia" w:ascii="宋体" w:hAnsi="宋体" w:cs="宋体"/>
          <w:color w:val="auto"/>
          <w:sz w:val="21"/>
          <w:szCs w:val="21"/>
          <w:highlight w:val="none"/>
        </w:rPr>
        <w:t>签订合同</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_Toc43475717 \h </w:instrText>
      </w:r>
      <w:r>
        <w:rPr>
          <w:color w:val="auto"/>
          <w:sz w:val="24"/>
          <w:szCs w:val="32"/>
          <w:highlight w:val="none"/>
        </w:rPr>
        <w:fldChar w:fldCharType="separate"/>
      </w:r>
      <w:r>
        <w:rPr>
          <w:color w:val="auto"/>
          <w:sz w:val="24"/>
          <w:szCs w:val="32"/>
          <w:highlight w:val="none"/>
        </w:rPr>
        <w:t>49</w:t>
      </w:r>
      <w:r>
        <w:rPr>
          <w:color w:val="auto"/>
          <w:sz w:val="24"/>
          <w:szCs w:val="32"/>
          <w:highlight w:val="none"/>
        </w:rPr>
        <w:fldChar w:fldCharType="end"/>
      </w:r>
      <w:r>
        <w:rPr>
          <w:color w:val="auto"/>
          <w:sz w:val="24"/>
          <w:szCs w:val="32"/>
          <w:highlight w:val="none"/>
        </w:rPr>
        <w:fldChar w:fldCharType="end"/>
      </w:r>
    </w:p>
    <w:p w14:paraId="536BF2CD">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"_Toc43475718" </w:instrText>
      </w:r>
      <w:r>
        <w:rPr>
          <w:color w:val="auto"/>
          <w:sz w:val="24"/>
          <w:szCs w:val="32"/>
          <w:highlight w:val="none"/>
        </w:rPr>
        <w:fldChar w:fldCharType="separate"/>
      </w:r>
      <w:r>
        <w:rPr>
          <w:rStyle w:val="49"/>
          <w:rFonts w:ascii="宋体" w:hAnsi="宋体" w:cs="宋体"/>
          <w:color w:val="auto"/>
          <w:sz w:val="21"/>
          <w:szCs w:val="21"/>
          <w:highlight w:val="none"/>
        </w:rPr>
        <w:t>8.</w:t>
      </w:r>
      <w:r>
        <w:rPr>
          <w:rStyle w:val="49"/>
          <w:rFonts w:hint="eastAsia"/>
          <w:color w:val="auto"/>
          <w:sz w:val="21"/>
          <w:szCs w:val="21"/>
          <w:highlight w:val="none"/>
        </w:rPr>
        <w:t>纪律和监督</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_Toc43475718 \h </w:instrText>
      </w:r>
      <w:r>
        <w:rPr>
          <w:color w:val="auto"/>
          <w:sz w:val="24"/>
          <w:szCs w:val="32"/>
          <w:highlight w:val="none"/>
        </w:rPr>
        <w:fldChar w:fldCharType="separate"/>
      </w:r>
      <w:r>
        <w:rPr>
          <w:color w:val="auto"/>
          <w:sz w:val="24"/>
          <w:szCs w:val="32"/>
          <w:highlight w:val="none"/>
        </w:rPr>
        <w:t>49</w:t>
      </w:r>
      <w:r>
        <w:rPr>
          <w:color w:val="auto"/>
          <w:sz w:val="24"/>
          <w:szCs w:val="32"/>
          <w:highlight w:val="none"/>
        </w:rPr>
        <w:fldChar w:fldCharType="end"/>
      </w:r>
      <w:r>
        <w:rPr>
          <w:color w:val="auto"/>
          <w:sz w:val="24"/>
          <w:szCs w:val="32"/>
          <w:highlight w:val="none"/>
        </w:rPr>
        <w:fldChar w:fldCharType="end"/>
      </w:r>
    </w:p>
    <w:p w14:paraId="631DD242">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"_Toc43475719" </w:instrText>
      </w:r>
      <w:r>
        <w:rPr>
          <w:color w:val="auto"/>
          <w:sz w:val="24"/>
          <w:szCs w:val="32"/>
          <w:highlight w:val="none"/>
        </w:rPr>
        <w:fldChar w:fldCharType="separate"/>
      </w:r>
      <w:r>
        <w:rPr>
          <w:rStyle w:val="49"/>
          <w:rFonts w:ascii="宋体" w:hAnsi="宋体" w:cs="宋体"/>
          <w:color w:val="auto"/>
          <w:sz w:val="21"/>
          <w:szCs w:val="21"/>
          <w:highlight w:val="none"/>
        </w:rPr>
        <w:t>8.1</w:t>
      </w:r>
      <w:r>
        <w:rPr>
          <w:rStyle w:val="49"/>
          <w:rFonts w:hint="eastAsia" w:ascii="宋体" w:hAnsi="宋体" w:cs="宋体"/>
          <w:color w:val="auto"/>
          <w:sz w:val="21"/>
          <w:szCs w:val="21"/>
          <w:highlight w:val="none"/>
        </w:rPr>
        <w:t>对招标人的纪律要求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_Toc43475719 \h </w:instrText>
      </w:r>
      <w:r>
        <w:rPr>
          <w:color w:val="auto"/>
          <w:sz w:val="24"/>
          <w:szCs w:val="32"/>
          <w:highlight w:val="none"/>
        </w:rPr>
        <w:fldChar w:fldCharType="separate"/>
      </w:r>
      <w:r>
        <w:rPr>
          <w:color w:val="auto"/>
          <w:sz w:val="24"/>
          <w:szCs w:val="32"/>
          <w:highlight w:val="none"/>
        </w:rPr>
        <w:t>49</w:t>
      </w:r>
      <w:r>
        <w:rPr>
          <w:color w:val="auto"/>
          <w:sz w:val="24"/>
          <w:szCs w:val="32"/>
          <w:highlight w:val="none"/>
        </w:rPr>
        <w:fldChar w:fldCharType="end"/>
      </w:r>
      <w:r>
        <w:rPr>
          <w:color w:val="auto"/>
          <w:sz w:val="24"/>
          <w:szCs w:val="32"/>
          <w:highlight w:val="none"/>
        </w:rPr>
        <w:fldChar w:fldCharType="end"/>
      </w:r>
    </w:p>
    <w:p w14:paraId="2E0CAE08">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"_Toc43475720" </w:instrText>
      </w:r>
      <w:r>
        <w:rPr>
          <w:color w:val="auto"/>
          <w:sz w:val="24"/>
          <w:szCs w:val="32"/>
          <w:highlight w:val="none"/>
        </w:rPr>
        <w:fldChar w:fldCharType="separate"/>
      </w:r>
      <w:r>
        <w:rPr>
          <w:rStyle w:val="49"/>
          <w:rFonts w:ascii="宋体" w:hAnsi="宋体" w:cs="宋体"/>
          <w:color w:val="auto"/>
          <w:sz w:val="21"/>
          <w:szCs w:val="21"/>
          <w:highlight w:val="none"/>
        </w:rPr>
        <w:t>8.2</w:t>
      </w:r>
      <w:r>
        <w:rPr>
          <w:rStyle w:val="49"/>
          <w:rFonts w:hint="eastAsia" w:ascii="宋体" w:hAnsi="宋体" w:cs="宋体"/>
          <w:color w:val="auto"/>
          <w:sz w:val="21"/>
          <w:szCs w:val="21"/>
          <w:highlight w:val="none"/>
        </w:rPr>
        <w:t>对投标人的纪律要求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_Toc43475720 \h </w:instrText>
      </w:r>
      <w:r>
        <w:rPr>
          <w:color w:val="auto"/>
          <w:sz w:val="24"/>
          <w:szCs w:val="32"/>
          <w:highlight w:val="none"/>
        </w:rPr>
        <w:fldChar w:fldCharType="separate"/>
      </w:r>
      <w:r>
        <w:rPr>
          <w:color w:val="auto"/>
          <w:sz w:val="24"/>
          <w:szCs w:val="32"/>
          <w:highlight w:val="none"/>
        </w:rPr>
        <w:t>49</w:t>
      </w:r>
      <w:r>
        <w:rPr>
          <w:color w:val="auto"/>
          <w:sz w:val="24"/>
          <w:szCs w:val="32"/>
          <w:highlight w:val="none"/>
        </w:rPr>
        <w:fldChar w:fldCharType="end"/>
      </w:r>
      <w:r>
        <w:rPr>
          <w:color w:val="auto"/>
          <w:sz w:val="24"/>
          <w:szCs w:val="32"/>
          <w:highlight w:val="none"/>
        </w:rPr>
        <w:fldChar w:fldCharType="end"/>
      </w:r>
    </w:p>
    <w:p w14:paraId="799108CC">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"_Toc43475721" </w:instrText>
      </w:r>
      <w:r>
        <w:rPr>
          <w:color w:val="auto"/>
          <w:sz w:val="24"/>
          <w:szCs w:val="32"/>
          <w:highlight w:val="none"/>
        </w:rPr>
        <w:fldChar w:fldCharType="separate"/>
      </w:r>
      <w:r>
        <w:rPr>
          <w:rStyle w:val="49"/>
          <w:rFonts w:ascii="宋体" w:hAnsi="宋体" w:cs="宋体"/>
          <w:color w:val="auto"/>
          <w:sz w:val="21"/>
          <w:szCs w:val="21"/>
          <w:highlight w:val="none"/>
        </w:rPr>
        <w:t>8.3</w:t>
      </w:r>
      <w:r>
        <w:rPr>
          <w:rStyle w:val="49"/>
          <w:rFonts w:hint="eastAsia" w:ascii="宋体" w:hAnsi="宋体" w:cs="宋体"/>
          <w:color w:val="auto"/>
          <w:sz w:val="21"/>
          <w:szCs w:val="21"/>
          <w:highlight w:val="none"/>
        </w:rPr>
        <w:t>对评标委员会成员的纪律要求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_Toc43475721 \h </w:instrText>
      </w:r>
      <w:r>
        <w:rPr>
          <w:color w:val="auto"/>
          <w:sz w:val="24"/>
          <w:szCs w:val="32"/>
          <w:highlight w:val="none"/>
        </w:rPr>
        <w:fldChar w:fldCharType="separate"/>
      </w:r>
      <w:r>
        <w:rPr>
          <w:color w:val="auto"/>
          <w:sz w:val="24"/>
          <w:szCs w:val="32"/>
          <w:highlight w:val="none"/>
        </w:rPr>
        <w:t>50</w:t>
      </w:r>
      <w:r>
        <w:rPr>
          <w:color w:val="auto"/>
          <w:sz w:val="24"/>
          <w:szCs w:val="32"/>
          <w:highlight w:val="none"/>
        </w:rPr>
        <w:fldChar w:fldCharType="end"/>
      </w:r>
      <w:r>
        <w:rPr>
          <w:color w:val="auto"/>
          <w:sz w:val="24"/>
          <w:szCs w:val="32"/>
          <w:highlight w:val="none"/>
        </w:rPr>
        <w:fldChar w:fldCharType="end"/>
      </w:r>
    </w:p>
    <w:p w14:paraId="4B6537F3">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"_Toc43475722" </w:instrText>
      </w:r>
      <w:r>
        <w:rPr>
          <w:color w:val="auto"/>
          <w:sz w:val="24"/>
          <w:szCs w:val="32"/>
          <w:highlight w:val="none"/>
        </w:rPr>
        <w:fldChar w:fldCharType="separate"/>
      </w:r>
      <w:r>
        <w:rPr>
          <w:rStyle w:val="49"/>
          <w:rFonts w:ascii="宋体" w:hAnsi="宋体" w:cs="宋体"/>
          <w:color w:val="auto"/>
          <w:sz w:val="21"/>
          <w:szCs w:val="21"/>
          <w:highlight w:val="none"/>
        </w:rPr>
        <w:t>8.4</w:t>
      </w:r>
      <w:r>
        <w:rPr>
          <w:rStyle w:val="49"/>
          <w:rFonts w:hint="eastAsia" w:ascii="宋体" w:hAnsi="宋体" w:cs="宋体"/>
          <w:color w:val="auto"/>
          <w:sz w:val="21"/>
          <w:szCs w:val="21"/>
          <w:highlight w:val="none"/>
        </w:rPr>
        <w:t>对与评标活动有关的工作人员的纪律要求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_Toc43475722 \h </w:instrText>
      </w:r>
      <w:r>
        <w:rPr>
          <w:color w:val="auto"/>
          <w:sz w:val="24"/>
          <w:szCs w:val="32"/>
          <w:highlight w:val="none"/>
        </w:rPr>
        <w:fldChar w:fldCharType="separate"/>
      </w:r>
      <w:r>
        <w:rPr>
          <w:color w:val="auto"/>
          <w:sz w:val="24"/>
          <w:szCs w:val="32"/>
          <w:highlight w:val="none"/>
        </w:rPr>
        <w:t>50</w:t>
      </w:r>
      <w:r>
        <w:rPr>
          <w:color w:val="auto"/>
          <w:sz w:val="24"/>
          <w:szCs w:val="32"/>
          <w:highlight w:val="none"/>
        </w:rPr>
        <w:fldChar w:fldCharType="end"/>
      </w:r>
      <w:r>
        <w:rPr>
          <w:color w:val="auto"/>
          <w:sz w:val="24"/>
          <w:szCs w:val="32"/>
          <w:highlight w:val="none"/>
        </w:rPr>
        <w:fldChar w:fldCharType="end"/>
      </w:r>
    </w:p>
    <w:p w14:paraId="02A98DED">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"_Toc43475723" </w:instrText>
      </w:r>
      <w:r>
        <w:rPr>
          <w:color w:val="auto"/>
          <w:sz w:val="24"/>
          <w:szCs w:val="32"/>
          <w:highlight w:val="none"/>
        </w:rPr>
        <w:fldChar w:fldCharType="separate"/>
      </w:r>
      <w:r>
        <w:rPr>
          <w:rStyle w:val="49"/>
          <w:rFonts w:ascii="宋体" w:hAnsi="宋体" w:cs="宋体"/>
          <w:color w:val="auto"/>
          <w:sz w:val="21"/>
          <w:szCs w:val="21"/>
          <w:highlight w:val="none"/>
        </w:rPr>
        <w:t>8.5</w:t>
      </w:r>
      <w:r>
        <w:rPr>
          <w:rStyle w:val="49"/>
          <w:rFonts w:hint="eastAsia" w:ascii="宋体" w:hAnsi="宋体" w:cs="宋体"/>
          <w:color w:val="auto"/>
          <w:sz w:val="21"/>
          <w:szCs w:val="21"/>
          <w:highlight w:val="none"/>
        </w:rPr>
        <w:t>投诉</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_Toc43475723 \h </w:instrText>
      </w:r>
      <w:r>
        <w:rPr>
          <w:color w:val="auto"/>
          <w:sz w:val="24"/>
          <w:szCs w:val="32"/>
          <w:highlight w:val="none"/>
        </w:rPr>
        <w:fldChar w:fldCharType="separate"/>
      </w:r>
      <w:r>
        <w:rPr>
          <w:color w:val="auto"/>
          <w:sz w:val="24"/>
          <w:szCs w:val="32"/>
          <w:highlight w:val="none"/>
        </w:rPr>
        <w:t>50</w:t>
      </w:r>
      <w:r>
        <w:rPr>
          <w:color w:val="auto"/>
          <w:sz w:val="24"/>
          <w:szCs w:val="32"/>
          <w:highlight w:val="none"/>
        </w:rPr>
        <w:fldChar w:fldCharType="end"/>
      </w:r>
      <w:r>
        <w:rPr>
          <w:color w:val="auto"/>
          <w:sz w:val="24"/>
          <w:szCs w:val="32"/>
          <w:highlight w:val="none"/>
        </w:rPr>
        <w:fldChar w:fldCharType="end"/>
      </w:r>
    </w:p>
    <w:p w14:paraId="3CB1F836">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"_Toc43475724" </w:instrText>
      </w:r>
      <w:r>
        <w:rPr>
          <w:color w:val="auto"/>
          <w:sz w:val="24"/>
          <w:szCs w:val="32"/>
          <w:highlight w:val="none"/>
        </w:rPr>
        <w:fldChar w:fldCharType="separate"/>
      </w:r>
      <w:r>
        <w:rPr>
          <w:rStyle w:val="49"/>
          <w:rFonts w:ascii="宋体" w:hAnsi="宋体" w:cs="宋体"/>
          <w:color w:val="auto"/>
          <w:sz w:val="21"/>
          <w:szCs w:val="21"/>
          <w:highlight w:val="none"/>
        </w:rPr>
        <w:t>9.</w:t>
      </w:r>
      <w:r>
        <w:rPr>
          <w:rStyle w:val="49"/>
          <w:rFonts w:hint="eastAsia"/>
          <w:color w:val="auto"/>
          <w:sz w:val="21"/>
          <w:szCs w:val="21"/>
          <w:highlight w:val="none"/>
        </w:rPr>
        <w:t>是否采用电子招标投标</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_Toc43475724 \h </w:instrText>
      </w:r>
      <w:r>
        <w:rPr>
          <w:color w:val="auto"/>
          <w:sz w:val="24"/>
          <w:szCs w:val="32"/>
          <w:highlight w:val="none"/>
        </w:rPr>
        <w:fldChar w:fldCharType="separate"/>
      </w:r>
      <w:r>
        <w:rPr>
          <w:color w:val="auto"/>
          <w:sz w:val="24"/>
          <w:szCs w:val="32"/>
          <w:highlight w:val="none"/>
        </w:rPr>
        <w:t>50</w:t>
      </w:r>
      <w:r>
        <w:rPr>
          <w:color w:val="auto"/>
          <w:sz w:val="24"/>
          <w:szCs w:val="32"/>
          <w:highlight w:val="none"/>
        </w:rPr>
        <w:fldChar w:fldCharType="end"/>
      </w:r>
      <w:r>
        <w:rPr>
          <w:color w:val="auto"/>
          <w:sz w:val="24"/>
          <w:szCs w:val="32"/>
          <w:highlight w:val="none"/>
        </w:rPr>
        <w:fldChar w:fldCharType="end"/>
      </w:r>
    </w:p>
    <w:p w14:paraId="7C054853">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"_Toc43475725" </w:instrText>
      </w:r>
      <w:r>
        <w:rPr>
          <w:color w:val="auto"/>
          <w:sz w:val="24"/>
          <w:szCs w:val="32"/>
          <w:highlight w:val="none"/>
        </w:rPr>
        <w:fldChar w:fldCharType="separate"/>
      </w:r>
      <w:r>
        <w:rPr>
          <w:rStyle w:val="49"/>
          <w:rFonts w:ascii="宋体" w:hAnsi="宋体" w:cs="宋体"/>
          <w:color w:val="auto"/>
          <w:sz w:val="21"/>
          <w:szCs w:val="21"/>
          <w:highlight w:val="none"/>
        </w:rPr>
        <w:t>10.</w:t>
      </w:r>
      <w:r>
        <w:rPr>
          <w:rStyle w:val="49"/>
          <w:rFonts w:hint="eastAsia" w:ascii="宋体" w:hAnsi="宋体" w:cs="宋体"/>
          <w:color w:val="auto"/>
          <w:sz w:val="21"/>
          <w:szCs w:val="21"/>
          <w:highlight w:val="none"/>
        </w:rPr>
        <w:t>需要补充的其他内容</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_Toc43475725 \h </w:instrText>
      </w:r>
      <w:r>
        <w:rPr>
          <w:color w:val="auto"/>
          <w:sz w:val="24"/>
          <w:szCs w:val="32"/>
          <w:highlight w:val="none"/>
        </w:rPr>
        <w:fldChar w:fldCharType="separate"/>
      </w:r>
      <w:r>
        <w:rPr>
          <w:color w:val="auto"/>
          <w:sz w:val="24"/>
          <w:szCs w:val="32"/>
          <w:highlight w:val="none"/>
        </w:rPr>
        <w:t>50</w:t>
      </w:r>
      <w:r>
        <w:rPr>
          <w:color w:val="auto"/>
          <w:sz w:val="24"/>
          <w:szCs w:val="32"/>
          <w:highlight w:val="none"/>
        </w:rPr>
        <w:fldChar w:fldCharType="end"/>
      </w:r>
      <w:r>
        <w:rPr>
          <w:color w:val="auto"/>
          <w:sz w:val="24"/>
          <w:szCs w:val="32"/>
          <w:highlight w:val="none"/>
        </w:rPr>
        <w:fldChar w:fldCharType="end"/>
      </w:r>
    </w:p>
    <w:p w14:paraId="76F71C11">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"_Toc43475726" </w:instrText>
      </w:r>
      <w:r>
        <w:rPr>
          <w:color w:val="auto"/>
          <w:sz w:val="24"/>
          <w:szCs w:val="32"/>
          <w:highlight w:val="none"/>
        </w:rPr>
        <w:fldChar w:fldCharType="separate"/>
      </w:r>
      <w:r>
        <w:rPr>
          <w:rStyle w:val="49"/>
          <w:rFonts w:hint="eastAsia" w:ascii="宋体" w:hAnsi="宋体" w:cs="宋体"/>
          <w:color w:val="auto"/>
          <w:sz w:val="21"/>
          <w:szCs w:val="21"/>
          <w:highlight w:val="none"/>
        </w:rPr>
        <w:t>附件一：开标记录表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_Toc43475726 \h </w:instrText>
      </w:r>
      <w:r>
        <w:rPr>
          <w:color w:val="auto"/>
          <w:sz w:val="24"/>
          <w:szCs w:val="32"/>
          <w:highlight w:val="none"/>
        </w:rPr>
        <w:fldChar w:fldCharType="separate"/>
      </w:r>
      <w:r>
        <w:rPr>
          <w:color w:val="auto"/>
          <w:sz w:val="24"/>
          <w:szCs w:val="32"/>
          <w:highlight w:val="none"/>
        </w:rPr>
        <w:t>51</w:t>
      </w:r>
      <w:r>
        <w:rPr>
          <w:color w:val="auto"/>
          <w:sz w:val="24"/>
          <w:szCs w:val="32"/>
          <w:highlight w:val="none"/>
        </w:rPr>
        <w:fldChar w:fldCharType="end"/>
      </w:r>
      <w:r>
        <w:rPr>
          <w:color w:val="auto"/>
          <w:sz w:val="24"/>
          <w:szCs w:val="32"/>
          <w:highlight w:val="none"/>
        </w:rPr>
        <w:fldChar w:fldCharType="end"/>
      </w:r>
    </w:p>
    <w:p w14:paraId="036C8364">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"_Toc43475727" </w:instrText>
      </w:r>
      <w:r>
        <w:rPr>
          <w:color w:val="auto"/>
          <w:sz w:val="24"/>
          <w:szCs w:val="32"/>
          <w:highlight w:val="none"/>
        </w:rPr>
        <w:fldChar w:fldCharType="separate"/>
      </w:r>
      <w:r>
        <w:rPr>
          <w:rStyle w:val="49"/>
          <w:rFonts w:hint="eastAsia" w:ascii="宋体" w:hAnsi="宋体" w:cs="宋体"/>
          <w:color w:val="auto"/>
          <w:sz w:val="21"/>
          <w:szCs w:val="21"/>
          <w:highlight w:val="none"/>
        </w:rPr>
        <w:t>附件二：问题澄清通知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_Toc43475727 \h </w:instrText>
      </w:r>
      <w:r>
        <w:rPr>
          <w:color w:val="auto"/>
          <w:sz w:val="24"/>
          <w:szCs w:val="32"/>
          <w:highlight w:val="none"/>
        </w:rPr>
        <w:fldChar w:fldCharType="separate"/>
      </w:r>
      <w:r>
        <w:rPr>
          <w:color w:val="auto"/>
          <w:sz w:val="24"/>
          <w:szCs w:val="32"/>
          <w:highlight w:val="none"/>
        </w:rPr>
        <w:t>52</w:t>
      </w:r>
      <w:r>
        <w:rPr>
          <w:color w:val="auto"/>
          <w:sz w:val="24"/>
          <w:szCs w:val="32"/>
          <w:highlight w:val="none"/>
        </w:rPr>
        <w:fldChar w:fldCharType="end"/>
      </w:r>
      <w:r>
        <w:rPr>
          <w:color w:val="auto"/>
          <w:sz w:val="24"/>
          <w:szCs w:val="32"/>
          <w:highlight w:val="none"/>
        </w:rPr>
        <w:fldChar w:fldCharType="end"/>
      </w:r>
    </w:p>
    <w:p w14:paraId="3D4BD95C">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"_Toc43475728" </w:instrText>
      </w:r>
      <w:r>
        <w:rPr>
          <w:color w:val="auto"/>
          <w:sz w:val="24"/>
          <w:szCs w:val="32"/>
          <w:highlight w:val="none"/>
        </w:rPr>
        <w:fldChar w:fldCharType="separate"/>
      </w:r>
      <w:r>
        <w:rPr>
          <w:rStyle w:val="49"/>
          <w:rFonts w:hint="eastAsia" w:ascii="宋体" w:hAnsi="宋体" w:cs="宋体"/>
          <w:color w:val="auto"/>
          <w:sz w:val="21"/>
          <w:szCs w:val="21"/>
          <w:highlight w:val="none"/>
        </w:rPr>
        <w:t>附件三：问题的澄清</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_Toc43475728 \h </w:instrText>
      </w:r>
      <w:r>
        <w:rPr>
          <w:color w:val="auto"/>
          <w:sz w:val="24"/>
          <w:szCs w:val="32"/>
          <w:highlight w:val="none"/>
        </w:rPr>
        <w:fldChar w:fldCharType="separate"/>
      </w:r>
      <w:r>
        <w:rPr>
          <w:color w:val="auto"/>
          <w:sz w:val="24"/>
          <w:szCs w:val="32"/>
          <w:highlight w:val="none"/>
        </w:rPr>
        <w:t>52</w:t>
      </w:r>
      <w:r>
        <w:rPr>
          <w:color w:val="auto"/>
          <w:sz w:val="24"/>
          <w:szCs w:val="32"/>
          <w:highlight w:val="none"/>
        </w:rPr>
        <w:fldChar w:fldCharType="end"/>
      </w:r>
      <w:r>
        <w:rPr>
          <w:color w:val="auto"/>
          <w:sz w:val="24"/>
          <w:szCs w:val="32"/>
          <w:highlight w:val="none"/>
        </w:rPr>
        <w:fldChar w:fldCharType="end"/>
      </w:r>
    </w:p>
    <w:p w14:paraId="15A9F278">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"_Toc43475729" </w:instrText>
      </w:r>
      <w:r>
        <w:rPr>
          <w:color w:val="auto"/>
          <w:sz w:val="24"/>
          <w:szCs w:val="32"/>
          <w:highlight w:val="none"/>
        </w:rPr>
        <w:fldChar w:fldCharType="separate"/>
      </w:r>
      <w:r>
        <w:rPr>
          <w:rStyle w:val="49"/>
          <w:rFonts w:hint="eastAsia" w:ascii="宋体" w:hAnsi="宋体" w:cs="宋体"/>
          <w:color w:val="auto"/>
          <w:sz w:val="21"/>
          <w:szCs w:val="21"/>
          <w:highlight w:val="none"/>
        </w:rPr>
        <w:t>附件四：中标通知书</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_Toc43475729 \h </w:instrText>
      </w:r>
      <w:r>
        <w:rPr>
          <w:color w:val="auto"/>
          <w:sz w:val="24"/>
          <w:szCs w:val="32"/>
          <w:highlight w:val="none"/>
        </w:rPr>
        <w:fldChar w:fldCharType="separate"/>
      </w:r>
      <w:r>
        <w:rPr>
          <w:color w:val="auto"/>
          <w:sz w:val="24"/>
          <w:szCs w:val="32"/>
          <w:highlight w:val="none"/>
        </w:rPr>
        <w:t>53</w:t>
      </w:r>
      <w:r>
        <w:rPr>
          <w:color w:val="auto"/>
          <w:sz w:val="24"/>
          <w:szCs w:val="32"/>
          <w:highlight w:val="none"/>
        </w:rPr>
        <w:fldChar w:fldCharType="end"/>
      </w:r>
      <w:r>
        <w:rPr>
          <w:color w:val="auto"/>
          <w:sz w:val="24"/>
          <w:szCs w:val="32"/>
          <w:highlight w:val="none"/>
        </w:rPr>
        <w:fldChar w:fldCharType="end"/>
      </w:r>
    </w:p>
    <w:p w14:paraId="6E4BC534">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"_Toc43475730" </w:instrText>
      </w:r>
      <w:r>
        <w:rPr>
          <w:color w:val="auto"/>
          <w:sz w:val="24"/>
          <w:szCs w:val="32"/>
          <w:highlight w:val="none"/>
        </w:rPr>
        <w:fldChar w:fldCharType="separate"/>
      </w:r>
      <w:r>
        <w:rPr>
          <w:rStyle w:val="49"/>
          <w:rFonts w:hint="eastAsia" w:ascii="宋体" w:hAnsi="宋体" w:cs="宋体"/>
          <w:color w:val="auto"/>
          <w:sz w:val="21"/>
          <w:szCs w:val="21"/>
          <w:highlight w:val="none"/>
        </w:rPr>
        <w:t>附件五：中标结果通知书</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_Toc43475730 \h </w:instrText>
      </w:r>
      <w:r>
        <w:rPr>
          <w:color w:val="auto"/>
          <w:sz w:val="24"/>
          <w:szCs w:val="32"/>
          <w:highlight w:val="none"/>
        </w:rPr>
        <w:fldChar w:fldCharType="separate"/>
      </w:r>
      <w:r>
        <w:rPr>
          <w:color w:val="auto"/>
          <w:sz w:val="24"/>
          <w:szCs w:val="32"/>
          <w:highlight w:val="none"/>
        </w:rPr>
        <w:t>53</w:t>
      </w:r>
      <w:r>
        <w:rPr>
          <w:color w:val="auto"/>
          <w:sz w:val="24"/>
          <w:szCs w:val="32"/>
          <w:highlight w:val="none"/>
        </w:rPr>
        <w:fldChar w:fldCharType="end"/>
      </w:r>
      <w:r>
        <w:rPr>
          <w:color w:val="auto"/>
          <w:sz w:val="24"/>
          <w:szCs w:val="32"/>
          <w:highlight w:val="none"/>
        </w:rPr>
        <w:fldChar w:fldCharType="end"/>
      </w:r>
    </w:p>
    <w:p w14:paraId="10CD0A1C">
      <w:pPr>
        <w:pStyle w:val="19"/>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"_Toc43475731" </w:instrText>
      </w:r>
      <w:r>
        <w:rPr>
          <w:color w:val="auto"/>
          <w:sz w:val="24"/>
          <w:szCs w:val="32"/>
          <w:highlight w:val="none"/>
        </w:rPr>
        <w:fldChar w:fldCharType="separate"/>
      </w:r>
      <w:r>
        <w:rPr>
          <w:rStyle w:val="49"/>
          <w:rFonts w:hint="eastAsia" w:ascii="宋体" w:hAnsi="宋体" w:cs="宋体"/>
          <w:color w:val="auto"/>
          <w:sz w:val="21"/>
          <w:szCs w:val="21"/>
          <w:highlight w:val="none"/>
        </w:rPr>
        <w:t>附表六：确认通知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_Toc43475731 \h </w:instrText>
      </w:r>
      <w:r>
        <w:rPr>
          <w:color w:val="auto"/>
          <w:sz w:val="24"/>
          <w:szCs w:val="32"/>
          <w:highlight w:val="none"/>
        </w:rPr>
        <w:fldChar w:fldCharType="separate"/>
      </w:r>
      <w:r>
        <w:rPr>
          <w:color w:val="auto"/>
          <w:sz w:val="24"/>
          <w:szCs w:val="32"/>
          <w:highlight w:val="none"/>
        </w:rPr>
        <w:t>53</w:t>
      </w:r>
      <w:r>
        <w:rPr>
          <w:color w:val="auto"/>
          <w:sz w:val="24"/>
          <w:szCs w:val="32"/>
          <w:highlight w:val="none"/>
        </w:rPr>
        <w:fldChar w:fldCharType="end"/>
      </w:r>
      <w:r>
        <w:rPr>
          <w:color w:val="auto"/>
          <w:sz w:val="24"/>
          <w:szCs w:val="32"/>
          <w:highlight w:val="none"/>
        </w:rPr>
        <w:fldChar w:fldCharType="end"/>
      </w:r>
    </w:p>
    <w:p w14:paraId="4E94BD10">
      <w:pPr>
        <w:pStyle w:val="28"/>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"_Toc43475732" </w:instrText>
      </w:r>
      <w:r>
        <w:rPr>
          <w:color w:val="auto"/>
          <w:sz w:val="24"/>
          <w:szCs w:val="32"/>
          <w:highlight w:val="none"/>
        </w:rPr>
        <w:fldChar w:fldCharType="separate"/>
      </w:r>
      <w:r>
        <w:rPr>
          <w:rStyle w:val="49"/>
          <w:rFonts w:hint="eastAsia"/>
          <w:color w:val="auto"/>
          <w:sz w:val="21"/>
          <w:szCs w:val="21"/>
          <w:highlight w:val="none"/>
        </w:rPr>
        <w:t>第三章评标办法（双信封的</w:t>
      </w:r>
      <w:r>
        <w:rPr>
          <w:rStyle w:val="49"/>
          <w:rFonts w:hint="eastAsia"/>
          <w:color w:val="auto"/>
          <w:sz w:val="21"/>
          <w:szCs w:val="21"/>
          <w:highlight w:val="none"/>
          <w:lang w:eastAsia="zh-CN"/>
        </w:rPr>
        <w:t>合理低</w:t>
      </w:r>
      <w:r>
        <w:rPr>
          <w:rStyle w:val="49"/>
          <w:rFonts w:hint="eastAsia"/>
          <w:color w:val="auto"/>
          <w:sz w:val="21"/>
          <w:szCs w:val="21"/>
          <w:highlight w:val="none"/>
        </w:rPr>
        <w:t>价法）</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_Toc43475732 \h </w:instrText>
      </w:r>
      <w:r>
        <w:rPr>
          <w:color w:val="auto"/>
          <w:sz w:val="24"/>
          <w:szCs w:val="32"/>
          <w:highlight w:val="none"/>
        </w:rPr>
        <w:fldChar w:fldCharType="separate"/>
      </w:r>
      <w:r>
        <w:rPr>
          <w:color w:val="auto"/>
          <w:sz w:val="24"/>
          <w:szCs w:val="32"/>
          <w:highlight w:val="none"/>
        </w:rPr>
        <w:t>55</w:t>
      </w:r>
      <w:r>
        <w:rPr>
          <w:color w:val="auto"/>
          <w:sz w:val="24"/>
          <w:szCs w:val="32"/>
          <w:highlight w:val="none"/>
        </w:rPr>
        <w:fldChar w:fldCharType="end"/>
      </w:r>
      <w:r>
        <w:rPr>
          <w:color w:val="auto"/>
          <w:sz w:val="24"/>
          <w:szCs w:val="32"/>
          <w:highlight w:val="none"/>
        </w:rPr>
        <w:fldChar w:fldCharType="end"/>
      </w:r>
    </w:p>
    <w:p w14:paraId="568FB736">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"_Toc43475733" </w:instrText>
      </w:r>
      <w:r>
        <w:rPr>
          <w:color w:val="auto"/>
          <w:sz w:val="24"/>
          <w:szCs w:val="32"/>
          <w:highlight w:val="none"/>
        </w:rPr>
        <w:fldChar w:fldCharType="separate"/>
      </w:r>
      <w:r>
        <w:rPr>
          <w:rStyle w:val="49"/>
          <w:rFonts w:hint="eastAsia"/>
          <w:color w:val="auto"/>
          <w:sz w:val="21"/>
          <w:szCs w:val="21"/>
          <w:highlight w:val="none"/>
        </w:rPr>
        <w:t>评标办法前附表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_Toc43475733 \h </w:instrText>
      </w:r>
      <w:r>
        <w:rPr>
          <w:color w:val="auto"/>
          <w:sz w:val="24"/>
          <w:szCs w:val="32"/>
          <w:highlight w:val="none"/>
        </w:rPr>
        <w:fldChar w:fldCharType="separate"/>
      </w:r>
      <w:r>
        <w:rPr>
          <w:color w:val="auto"/>
          <w:sz w:val="24"/>
          <w:szCs w:val="32"/>
          <w:highlight w:val="none"/>
        </w:rPr>
        <w:t>55</w:t>
      </w:r>
      <w:r>
        <w:rPr>
          <w:color w:val="auto"/>
          <w:sz w:val="24"/>
          <w:szCs w:val="32"/>
          <w:highlight w:val="none"/>
        </w:rPr>
        <w:fldChar w:fldCharType="end"/>
      </w:r>
      <w:r>
        <w:rPr>
          <w:color w:val="auto"/>
          <w:sz w:val="24"/>
          <w:szCs w:val="32"/>
          <w:highlight w:val="none"/>
        </w:rPr>
        <w:fldChar w:fldCharType="end"/>
      </w:r>
    </w:p>
    <w:p w14:paraId="11E1EB58">
      <w:pPr>
        <w:pStyle w:val="28"/>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"_Toc43475747" </w:instrText>
      </w:r>
      <w:r>
        <w:rPr>
          <w:color w:val="auto"/>
          <w:sz w:val="24"/>
          <w:szCs w:val="32"/>
          <w:highlight w:val="none"/>
        </w:rPr>
        <w:fldChar w:fldCharType="separate"/>
      </w:r>
      <w:r>
        <w:rPr>
          <w:rStyle w:val="49"/>
          <w:rFonts w:hint="eastAsia"/>
          <w:color w:val="auto"/>
          <w:sz w:val="21"/>
          <w:szCs w:val="21"/>
          <w:highlight w:val="none"/>
        </w:rPr>
        <w:t>第四章合同条款及格式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_Toc43475747 \h </w:instrText>
      </w:r>
      <w:r>
        <w:rPr>
          <w:color w:val="auto"/>
          <w:sz w:val="24"/>
          <w:szCs w:val="32"/>
          <w:highlight w:val="none"/>
        </w:rPr>
        <w:fldChar w:fldCharType="separate"/>
      </w:r>
      <w:r>
        <w:rPr>
          <w:color w:val="auto"/>
          <w:sz w:val="24"/>
          <w:szCs w:val="32"/>
          <w:highlight w:val="none"/>
        </w:rPr>
        <w:t>67</w:t>
      </w:r>
      <w:r>
        <w:rPr>
          <w:color w:val="auto"/>
          <w:sz w:val="24"/>
          <w:szCs w:val="32"/>
          <w:highlight w:val="none"/>
        </w:rPr>
        <w:fldChar w:fldCharType="end"/>
      </w:r>
      <w:r>
        <w:rPr>
          <w:color w:val="auto"/>
          <w:sz w:val="24"/>
          <w:szCs w:val="32"/>
          <w:highlight w:val="none"/>
        </w:rPr>
        <w:fldChar w:fldCharType="end"/>
      </w:r>
    </w:p>
    <w:p w14:paraId="34D52652">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"_Toc43475748" </w:instrText>
      </w:r>
      <w:r>
        <w:rPr>
          <w:color w:val="auto"/>
          <w:sz w:val="24"/>
          <w:szCs w:val="32"/>
          <w:highlight w:val="none"/>
        </w:rPr>
        <w:fldChar w:fldCharType="separate"/>
      </w:r>
      <w:r>
        <w:rPr>
          <w:rStyle w:val="49"/>
          <w:rFonts w:hint="eastAsia" w:ascii="宋体" w:hAnsi="宋体"/>
          <w:color w:val="auto"/>
          <w:sz w:val="21"/>
          <w:szCs w:val="21"/>
          <w:highlight w:val="none"/>
        </w:rPr>
        <w:t>第一节通用合同条款</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_Toc43475748 \h </w:instrText>
      </w:r>
      <w:r>
        <w:rPr>
          <w:color w:val="auto"/>
          <w:sz w:val="24"/>
          <w:szCs w:val="32"/>
          <w:highlight w:val="none"/>
        </w:rPr>
        <w:fldChar w:fldCharType="separate"/>
      </w:r>
      <w:r>
        <w:rPr>
          <w:color w:val="auto"/>
          <w:sz w:val="24"/>
          <w:szCs w:val="32"/>
          <w:highlight w:val="none"/>
        </w:rPr>
        <w:t>68</w:t>
      </w:r>
      <w:r>
        <w:rPr>
          <w:color w:val="auto"/>
          <w:sz w:val="24"/>
          <w:szCs w:val="32"/>
          <w:highlight w:val="none"/>
        </w:rPr>
        <w:fldChar w:fldCharType="end"/>
      </w:r>
      <w:r>
        <w:rPr>
          <w:color w:val="auto"/>
          <w:sz w:val="24"/>
          <w:szCs w:val="32"/>
          <w:highlight w:val="none"/>
        </w:rPr>
        <w:fldChar w:fldCharType="end"/>
      </w:r>
    </w:p>
    <w:p w14:paraId="1E60492B">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"_Toc43475749" </w:instrText>
      </w:r>
      <w:r>
        <w:rPr>
          <w:color w:val="auto"/>
          <w:sz w:val="24"/>
          <w:szCs w:val="32"/>
          <w:highlight w:val="none"/>
        </w:rPr>
        <w:fldChar w:fldCharType="separate"/>
      </w:r>
      <w:r>
        <w:rPr>
          <w:rStyle w:val="49"/>
          <w:rFonts w:ascii="宋体" w:hAnsi="宋体"/>
          <w:color w:val="auto"/>
          <w:sz w:val="21"/>
          <w:szCs w:val="21"/>
          <w:highlight w:val="none"/>
        </w:rPr>
        <w:t xml:space="preserve">1. </w:t>
      </w:r>
      <w:r>
        <w:rPr>
          <w:rStyle w:val="49"/>
          <w:rFonts w:hint="eastAsia" w:ascii="宋体" w:hAnsi="宋体"/>
          <w:color w:val="auto"/>
          <w:sz w:val="21"/>
          <w:szCs w:val="21"/>
          <w:highlight w:val="none"/>
        </w:rPr>
        <w:t>一般约定</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_Toc43475749 \h </w:instrText>
      </w:r>
      <w:r>
        <w:rPr>
          <w:color w:val="auto"/>
          <w:sz w:val="24"/>
          <w:szCs w:val="32"/>
          <w:highlight w:val="none"/>
        </w:rPr>
        <w:fldChar w:fldCharType="separate"/>
      </w:r>
      <w:r>
        <w:rPr>
          <w:color w:val="auto"/>
          <w:sz w:val="24"/>
          <w:szCs w:val="32"/>
          <w:highlight w:val="none"/>
        </w:rPr>
        <w:t>68</w:t>
      </w:r>
      <w:r>
        <w:rPr>
          <w:color w:val="auto"/>
          <w:sz w:val="24"/>
          <w:szCs w:val="32"/>
          <w:highlight w:val="none"/>
        </w:rPr>
        <w:fldChar w:fldCharType="end"/>
      </w:r>
      <w:r>
        <w:rPr>
          <w:color w:val="auto"/>
          <w:sz w:val="24"/>
          <w:szCs w:val="32"/>
          <w:highlight w:val="none"/>
        </w:rPr>
        <w:fldChar w:fldCharType="end"/>
      </w:r>
    </w:p>
    <w:p w14:paraId="2BA843AF">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"_Toc43475762" </w:instrText>
      </w:r>
      <w:r>
        <w:rPr>
          <w:color w:val="auto"/>
          <w:sz w:val="24"/>
          <w:szCs w:val="32"/>
          <w:highlight w:val="none"/>
        </w:rPr>
        <w:fldChar w:fldCharType="separate"/>
      </w:r>
      <w:r>
        <w:rPr>
          <w:rStyle w:val="49"/>
          <w:rFonts w:ascii="宋体" w:hAnsi="宋体"/>
          <w:color w:val="auto"/>
          <w:sz w:val="21"/>
          <w:szCs w:val="21"/>
          <w:highlight w:val="none"/>
        </w:rPr>
        <w:t xml:space="preserve">2. </w:t>
      </w:r>
      <w:r>
        <w:rPr>
          <w:rStyle w:val="49"/>
          <w:rFonts w:hint="eastAsia" w:ascii="宋体" w:hAnsi="宋体"/>
          <w:color w:val="auto"/>
          <w:sz w:val="21"/>
          <w:szCs w:val="21"/>
          <w:highlight w:val="none"/>
        </w:rPr>
        <w:t>发包人义务</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_Toc43475762 \h </w:instrText>
      </w:r>
      <w:r>
        <w:rPr>
          <w:color w:val="auto"/>
          <w:sz w:val="24"/>
          <w:szCs w:val="32"/>
          <w:highlight w:val="none"/>
        </w:rPr>
        <w:fldChar w:fldCharType="separate"/>
      </w:r>
      <w:r>
        <w:rPr>
          <w:color w:val="auto"/>
          <w:sz w:val="24"/>
          <w:szCs w:val="32"/>
          <w:highlight w:val="none"/>
        </w:rPr>
        <w:t>72</w:t>
      </w:r>
      <w:r>
        <w:rPr>
          <w:color w:val="auto"/>
          <w:sz w:val="24"/>
          <w:szCs w:val="32"/>
          <w:highlight w:val="none"/>
        </w:rPr>
        <w:fldChar w:fldCharType="end"/>
      </w:r>
      <w:r>
        <w:rPr>
          <w:color w:val="auto"/>
          <w:sz w:val="24"/>
          <w:szCs w:val="32"/>
          <w:highlight w:val="none"/>
        </w:rPr>
        <w:fldChar w:fldCharType="end"/>
      </w:r>
    </w:p>
    <w:p w14:paraId="1ACF8C99">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"_Toc43475771" </w:instrText>
      </w:r>
      <w:r>
        <w:rPr>
          <w:color w:val="auto"/>
          <w:sz w:val="24"/>
          <w:szCs w:val="32"/>
          <w:highlight w:val="none"/>
        </w:rPr>
        <w:fldChar w:fldCharType="separate"/>
      </w:r>
      <w:r>
        <w:rPr>
          <w:rStyle w:val="49"/>
          <w:rFonts w:ascii="宋体" w:hAnsi="宋体"/>
          <w:color w:val="auto"/>
          <w:sz w:val="21"/>
          <w:szCs w:val="21"/>
          <w:highlight w:val="none"/>
        </w:rPr>
        <w:t xml:space="preserve">3. </w:t>
      </w:r>
      <w:r>
        <w:rPr>
          <w:rStyle w:val="49"/>
          <w:rFonts w:hint="eastAsia" w:ascii="宋体" w:hAnsi="宋体"/>
          <w:color w:val="auto"/>
          <w:sz w:val="21"/>
          <w:szCs w:val="21"/>
          <w:highlight w:val="none"/>
        </w:rPr>
        <w:t>监理人</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_Toc43475771 \h </w:instrText>
      </w:r>
      <w:r>
        <w:rPr>
          <w:color w:val="auto"/>
          <w:sz w:val="24"/>
          <w:szCs w:val="32"/>
          <w:highlight w:val="none"/>
        </w:rPr>
        <w:fldChar w:fldCharType="separate"/>
      </w:r>
      <w:r>
        <w:rPr>
          <w:color w:val="auto"/>
          <w:sz w:val="24"/>
          <w:szCs w:val="32"/>
          <w:highlight w:val="none"/>
        </w:rPr>
        <w:t>72</w:t>
      </w:r>
      <w:r>
        <w:rPr>
          <w:color w:val="auto"/>
          <w:sz w:val="24"/>
          <w:szCs w:val="32"/>
          <w:highlight w:val="none"/>
        </w:rPr>
        <w:fldChar w:fldCharType="end"/>
      </w:r>
      <w:r>
        <w:rPr>
          <w:color w:val="auto"/>
          <w:sz w:val="24"/>
          <w:szCs w:val="32"/>
          <w:highlight w:val="none"/>
        </w:rPr>
        <w:fldChar w:fldCharType="end"/>
      </w:r>
    </w:p>
    <w:p w14:paraId="0B1B61DD">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"_Toc43475777" </w:instrText>
      </w:r>
      <w:r>
        <w:rPr>
          <w:color w:val="auto"/>
          <w:sz w:val="24"/>
          <w:szCs w:val="32"/>
          <w:highlight w:val="none"/>
        </w:rPr>
        <w:fldChar w:fldCharType="separate"/>
      </w:r>
      <w:r>
        <w:rPr>
          <w:rStyle w:val="49"/>
          <w:rFonts w:ascii="宋体" w:hAnsi="宋体"/>
          <w:color w:val="auto"/>
          <w:sz w:val="21"/>
          <w:szCs w:val="21"/>
          <w:highlight w:val="none"/>
        </w:rPr>
        <w:t xml:space="preserve">4. </w:t>
      </w:r>
      <w:r>
        <w:rPr>
          <w:rStyle w:val="49"/>
          <w:rFonts w:hint="eastAsia" w:ascii="宋体" w:hAnsi="宋体"/>
          <w:color w:val="auto"/>
          <w:sz w:val="21"/>
          <w:szCs w:val="21"/>
          <w:highlight w:val="none"/>
        </w:rPr>
        <w:t>承包人</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_Toc43475777 \h </w:instrText>
      </w:r>
      <w:r>
        <w:rPr>
          <w:color w:val="auto"/>
          <w:sz w:val="24"/>
          <w:szCs w:val="32"/>
          <w:highlight w:val="none"/>
        </w:rPr>
        <w:fldChar w:fldCharType="separate"/>
      </w:r>
      <w:r>
        <w:rPr>
          <w:color w:val="auto"/>
          <w:sz w:val="24"/>
          <w:szCs w:val="32"/>
          <w:highlight w:val="none"/>
        </w:rPr>
        <w:t>74</w:t>
      </w:r>
      <w:r>
        <w:rPr>
          <w:color w:val="auto"/>
          <w:sz w:val="24"/>
          <w:szCs w:val="32"/>
          <w:highlight w:val="none"/>
        </w:rPr>
        <w:fldChar w:fldCharType="end"/>
      </w:r>
      <w:r>
        <w:rPr>
          <w:color w:val="auto"/>
          <w:sz w:val="24"/>
          <w:szCs w:val="32"/>
          <w:highlight w:val="none"/>
        </w:rPr>
        <w:fldChar w:fldCharType="end"/>
      </w:r>
    </w:p>
    <w:p w14:paraId="1A1E7585">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"_Toc43475789" </w:instrText>
      </w:r>
      <w:r>
        <w:rPr>
          <w:color w:val="auto"/>
          <w:sz w:val="24"/>
          <w:szCs w:val="32"/>
          <w:highlight w:val="none"/>
        </w:rPr>
        <w:fldChar w:fldCharType="separate"/>
      </w:r>
      <w:r>
        <w:rPr>
          <w:rStyle w:val="49"/>
          <w:rFonts w:ascii="宋体" w:hAnsi="宋体"/>
          <w:color w:val="auto"/>
          <w:sz w:val="21"/>
          <w:szCs w:val="21"/>
          <w:highlight w:val="none"/>
        </w:rPr>
        <w:t xml:space="preserve">5. </w:t>
      </w:r>
      <w:r>
        <w:rPr>
          <w:rStyle w:val="49"/>
          <w:rFonts w:hint="eastAsia" w:ascii="宋体" w:hAnsi="宋体"/>
          <w:color w:val="auto"/>
          <w:sz w:val="21"/>
          <w:szCs w:val="21"/>
          <w:highlight w:val="none"/>
        </w:rPr>
        <w:t>材料和工程设备</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_Toc43475789 \h </w:instrText>
      </w:r>
      <w:r>
        <w:rPr>
          <w:color w:val="auto"/>
          <w:sz w:val="24"/>
          <w:szCs w:val="32"/>
          <w:highlight w:val="none"/>
        </w:rPr>
        <w:fldChar w:fldCharType="separate"/>
      </w:r>
      <w:r>
        <w:rPr>
          <w:color w:val="auto"/>
          <w:sz w:val="24"/>
          <w:szCs w:val="32"/>
          <w:highlight w:val="none"/>
        </w:rPr>
        <w:t>77</w:t>
      </w:r>
      <w:r>
        <w:rPr>
          <w:color w:val="auto"/>
          <w:sz w:val="24"/>
          <w:szCs w:val="32"/>
          <w:highlight w:val="none"/>
        </w:rPr>
        <w:fldChar w:fldCharType="end"/>
      </w:r>
      <w:r>
        <w:rPr>
          <w:color w:val="auto"/>
          <w:sz w:val="24"/>
          <w:szCs w:val="32"/>
          <w:highlight w:val="none"/>
        </w:rPr>
        <w:fldChar w:fldCharType="end"/>
      </w:r>
    </w:p>
    <w:p w14:paraId="7E290CD8">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"_Toc43475794" </w:instrText>
      </w:r>
      <w:r>
        <w:rPr>
          <w:color w:val="auto"/>
          <w:sz w:val="24"/>
          <w:szCs w:val="32"/>
          <w:highlight w:val="none"/>
        </w:rPr>
        <w:fldChar w:fldCharType="separate"/>
      </w:r>
      <w:r>
        <w:rPr>
          <w:rStyle w:val="49"/>
          <w:rFonts w:ascii="宋体" w:hAnsi="宋体"/>
          <w:color w:val="auto"/>
          <w:sz w:val="21"/>
          <w:szCs w:val="21"/>
          <w:highlight w:val="none"/>
        </w:rPr>
        <w:t xml:space="preserve">6. </w:t>
      </w:r>
      <w:r>
        <w:rPr>
          <w:rStyle w:val="49"/>
          <w:rFonts w:hint="eastAsia" w:ascii="宋体" w:hAnsi="宋体"/>
          <w:color w:val="auto"/>
          <w:sz w:val="21"/>
          <w:szCs w:val="21"/>
          <w:highlight w:val="none"/>
        </w:rPr>
        <w:t>施工设备和临时设施</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_Toc43475794 \h </w:instrText>
      </w:r>
      <w:r>
        <w:rPr>
          <w:color w:val="auto"/>
          <w:sz w:val="24"/>
          <w:szCs w:val="32"/>
          <w:highlight w:val="none"/>
        </w:rPr>
        <w:fldChar w:fldCharType="separate"/>
      </w:r>
      <w:r>
        <w:rPr>
          <w:color w:val="auto"/>
          <w:sz w:val="24"/>
          <w:szCs w:val="32"/>
          <w:highlight w:val="none"/>
        </w:rPr>
        <w:t>78</w:t>
      </w:r>
      <w:r>
        <w:rPr>
          <w:color w:val="auto"/>
          <w:sz w:val="24"/>
          <w:szCs w:val="32"/>
          <w:highlight w:val="none"/>
        </w:rPr>
        <w:fldChar w:fldCharType="end"/>
      </w:r>
      <w:r>
        <w:rPr>
          <w:color w:val="auto"/>
          <w:sz w:val="24"/>
          <w:szCs w:val="32"/>
          <w:highlight w:val="none"/>
        </w:rPr>
        <w:fldChar w:fldCharType="end"/>
      </w:r>
    </w:p>
    <w:p w14:paraId="462466CD">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"_Toc43475799" </w:instrText>
      </w:r>
      <w:r>
        <w:rPr>
          <w:color w:val="auto"/>
          <w:sz w:val="24"/>
          <w:szCs w:val="32"/>
          <w:highlight w:val="none"/>
        </w:rPr>
        <w:fldChar w:fldCharType="separate"/>
      </w:r>
      <w:r>
        <w:rPr>
          <w:rStyle w:val="49"/>
          <w:rFonts w:ascii="宋体" w:hAnsi="宋体"/>
          <w:color w:val="auto"/>
          <w:sz w:val="21"/>
          <w:szCs w:val="21"/>
          <w:highlight w:val="none"/>
        </w:rPr>
        <w:t xml:space="preserve">7. </w:t>
      </w:r>
      <w:r>
        <w:rPr>
          <w:rStyle w:val="49"/>
          <w:rFonts w:hint="eastAsia" w:ascii="宋体" w:hAnsi="宋体"/>
          <w:color w:val="auto"/>
          <w:sz w:val="21"/>
          <w:szCs w:val="21"/>
          <w:highlight w:val="none"/>
        </w:rPr>
        <w:t>交通运输</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_Toc43475799 \h </w:instrText>
      </w:r>
      <w:r>
        <w:rPr>
          <w:color w:val="auto"/>
          <w:sz w:val="24"/>
          <w:szCs w:val="32"/>
          <w:highlight w:val="none"/>
        </w:rPr>
        <w:fldChar w:fldCharType="separate"/>
      </w:r>
      <w:r>
        <w:rPr>
          <w:color w:val="auto"/>
          <w:sz w:val="24"/>
          <w:szCs w:val="32"/>
          <w:highlight w:val="none"/>
        </w:rPr>
        <w:t>78</w:t>
      </w:r>
      <w:r>
        <w:rPr>
          <w:color w:val="auto"/>
          <w:sz w:val="24"/>
          <w:szCs w:val="32"/>
          <w:highlight w:val="none"/>
        </w:rPr>
        <w:fldChar w:fldCharType="end"/>
      </w:r>
      <w:r>
        <w:rPr>
          <w:color w:val="auto"/>
          <w:sz w:val="24"/>
          <w:szCs w:val="32"/>
          <w:highlight w:val="none"/>
        </w:rPr>
        <w:fldChar w:fldCharType="end"/>
      </w:r>
    </w:p>
    <w:p w14:paraId="462E62D8">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"_Toc43475806" </w:instrText>
      </w:r>
      <w:r>
        <w:rPr>
          <w:color w:val="auto"/>
          <w:sz w:val="24"/>
          <w:szCs w:val="32"/>
          <w:highlight w:val="none"/>
        </w:rPr>
        <w:fldChar w:fldCharType="separate"/>
      </w:r>
      <w:r>
        <w:rPr>
          <w:rStyle w:val="49"/>
          <w:rFonts w:ascii="宋体" w:hAnsi="宋体"/>
          <w:color w:val="auto"/>
          <w:sz w:val="21"/>
          <w:szCs w:val="21"/>
          <w:highlight w:val="none"/>
        </w:rPr>
        <w:t xml:space="preserve">8. </w:t>
      </w:r>
      <w:r>
        <w:rPr>
          <w:rStyle w:val="49"/>
          <w:rFonts w:hint="eastAsia" w:ascii="宋体" w:hAnsi="宋体"/>
          <w:color w:val="auto"/>
          <w:sz w:val="21"/>
          <w:szCs w:val="21"/>
          <w:highlight w:val="none"/>
        </w:rPr>
        <w:t>测量放线</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_Toc43475806 \h </w:instrText>
      </w:r>
      <w:r>
        <w:rPr>
          <w:color w:val="auto"/>
          <w:sz w:val="24"/>
          <w:szCs w:val="32"/>
          <w:highlight w:val="none"/>
        </w:rPr>
        <w:fldChar w:fldCharType="separate"/>
      </w:r>
      <w:r>
        <w:rPr>
          <w:color w:val="auto"/>
          <w:sz w:val="24"/>
          <w:szCs w:val="32"/>
          <w:highlight w:val="none"/>
        </w:rPr>
        <w:t>79</w:t>
      </w:r>
      <w:r>
        <w:rPr>
          <w:color w:val="auto"/>
          <w:sz w:val="24"/>
          <w:szCs w:val="32"/>
          <w:highlight w:val="none"/>
        </w:rPr>
        <w:fldChar w:fldCharType="end"/>
      </w:r>
      <w:r>
        <w:rPr>
          <w:color w:val="auto"/>
          <w:sz w:val="24"/>
          <w:szCs w:val="32"/>
          <w:highlight w:val="none"/>
        </w:rPr>
        <w:fldChar w:fldCharType="end"/>
      </w:r>
    </w:p>
    <w:p w14:paraId="0CD0FF3E">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"_Toc43475811" </w:instrText>
      </w:r>
      <w:r>
        <w:rPr>
          <w:color w:val="auto"/>
          <w:sz w:val="24"/>
          <w:szCs w:val="32"/>
          <w:highlight w:val="none"/>
        </w:rPr>
        <w:fldChar w:fldCharType="separate"/>
      </w:r>
      <w:r>
        <w:rPr>
          <w:rStyle w:val="49"/>
          <w:rFonts w:ascii="宋体" w:hAnsi="宋体"/>
          <w:color w:val="auto"/>
          <w:sz w:val="21"/>
          <w:szCs w:val="21"/>
          <w:highlight w:val="none"/>
        </w:rPr>
        <w:t xml:space="preserve">9. </w:t>
      </w:r>
      <w:r>
        <w:rPr>
          <w:rStyle w:val="49"/>
          <w:rFonts w:hint="eastAsia" w:ascii="宋体" w:hAnsi="宋体"/>
          <w:color w:val="auto"/>
          <w:sz w:val="21"/>
          <w:szCs w:val="21"/>
          <w:highlight w:val="none"/>
        </w:rPr>
        <w:t>施工安全、治安保卫和环境保护</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_Toc43475811 \h </w:instrText>
      </w:r>
      <w:r>
        <w:rPr>
          <w:color w:val="auto"/>
          <w:sz w:val="24"/>
          <w:szCs w:val="32"/>
          <w:highlight w:val="none"/>
        </w:rPr>
        <w:fldChar w:fldCharType="separate"/>
      </w:r>
      <w:r>
        <w:rPr>
          <w:color w:val="auto"/>
          <w:sz w:val="24"/>
          <w:szCs w:val="32"/>
          <w:highlight w:val="none"/>
        </w:rPr>
        <w:t>79</w:t>
      </w:r>
      <w:r>
        <w:rPr>
          <w:color w:val="auto"/>
          <w:sz w:val="24"/>
          <w:szCs w:val="32"/>
          <w:highlight w:val="none"/>
        </w:rPr>
        <w:fldChar w:fldCharType="end"/>
      </w:r>
      <w:r>
        <w:rPr>
          <w:color w:val="auto"/>
          <w:sz w:val="24"/>
          <w:szCs w:val="32"/>
          <w:highlight w:val="none"/>
        </w:rPr>
        <w:fldChar w:fldCharType="end"/>
      </w:r>
    </w:p>
    <w:p w14:paraId="30E2357A">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"_Toc43475817" </w:instrText>
      </w:r>
      <w:r>
        <w:rPr>
          <w:color w:val="auto"/>
          <w:sz w:val="24"/>
          <w:szCs w:val="32"/>
          <w:highlight w:val="none"/>
        </w:rPr>
        <w:fldChar w:fldCharType="separate"/>
      </w:r>
      <w:r>
        <w:rPr>
          <w:rStyle w:val="49"/>
          <w:rFonts w:ascii="宋体" w:hAnsi="宋体"/>
          <w:color w:val="auto"/>
          <w:sz w:val="21"/>
          <w:szCs w:val="21"/>
          <w:highlight w:val="none"/>
        </w:rPr>
        <w:t xml:space="preserve">10. </w:t>
      </w:r>
      <w:r>
        <w:rPr>
          <w:rStyle w:val="49"/>
          <w:rFonts w:hint="eastAsia" w:ascii="宋体" w:hAnsi="宋体"/>
          <w:color w:val="auto"/>
          <w:sz w:val="21"/>
          <w:szCs w:val="21"/>
          <w:highlight w:val="none"/>
        </w:rPr>
        <w:t>进度计划</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_Toc43475817 \h </w:instrText>
      </w:r>
      <w:r>
        <w:rPr>
          <w:color w:val="auto"/>
          <w:sz w:val="24"/>
          <w:szCs w:val="32"/>
          <w:highlight w:val="none"/>
        </w:rPr>
        <w:fldChar w:fldCharType="separate"/>
      </w:r>
      <w:r>
        <w:rPr>
          <w:color w:val="auto"/>
          <w:sz w:val="24"/>
          <w:szCs w:val="32"/>
          <w:highlight w:val="none"/>
        </w:rPr>
        <w:t>81</w:t>
      </w:r>
      <w:r>
        <w:rPr>
          <w:color w:val="auto"/>
          <w:sz w:val="24"/>
          <w:szCs w:val="32"/>
          <w:highlight w:val="none"/>
        </w:rPr>
        <w:fldChar w:fldCharType="end"/>
      </w:r>
      <w:r>
        <w:rPr>
          <w:color w:val="auto"/>
          <w:sz w:val="24"/>
          <w:szCs w:val="32"/>
          <w:highlight w:val="none"/>
        </w:rPr>
        <w:fldChar w:fldCharType="end"/>
      </w:r>
    </w:p>
    <w:p w14:paraId="0F147337">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"_Toc43475820" </w:instrText>
      </w:r>
      <w:r>
        <w:rPr>
          <w:color w:val="auto"/>
          <w:sz w:val="24"/>
          <w:szCs w:val="32"/>
          <w:highlight w:val="none"/>
        </w:rPr>
        <w:fldChar w:fldCharType="separate"/>
      </w:r>
      <w:r>
        <w:rPr>
          <w:rStyle w:val="49"/>
          <w:rFonts w:ascii="宋体" w:hAnsi="宋体"/>
          <w:color w:val="auto"/>
          <w:sz w:val="21"/>
          <w:szCs w:val="21"/>
          <w:highlight w:val="none"/>
        </w:rPr>
        <w:t xml:space="preserve">11. </w:t>
      </w:r>
      <w:r>
        <w:rPr>
          <w:rStyle w:val="49"/>
          <w:rFonts w:hint="eastAsia" w:ascii="宋体" w:hAnsi="宋体"/>
          <w:color w:val="auto"/>
          <w:sz w:val="21"/>
          <w:szCs w:val="21"/>
          <w:highlight w:val="none"/>
        </w:rPr>
        <w:t>开工和竣工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_Toc43475820 \h </w:instrText>
      </w:r>
      <w:r>
        <w:rPr>
          <w:color w:val="auto"/>
          <w:sz w:val="24"/>
          <w:szCs w:val="32"/>
          <w:highlight w:val="none"/>
        </w:rPr>
        <w:fldChar w:fldCharType="separate"/>
      </w:r>
      <w:r>
        <w:rPr>
          <w:color w:val="auto"/>
          <w:sz w:val="24"/>
          <w:szCs w:val="32"/>
          <w:highlight w:val="none"/>
        </w:rPr>
        <w:t>81</w:t>
      </w:r>
      <w:r>
        <w:rPr>
          <w:color w:val="auto"/>
          <w:sz w:val="24"/>
          <w:szCs w:val="32"/>
          <w:highlight w:val="none"/>
        </w:rPr>
        <w:fldChar w:fldCharType="end"/>
      </w:r>
      <w:r>
        <w:rPr>
          <w:color w:val="auto"/>
          <w:sz w:val="24"/>
          <w:szCs w:val="32"/>
          <w:highlight w:val="none"/>
        </w:rPr>
        <w:fldChar w:fldCharType="end"/>
      </w:r>
    </w:p>
    <w:p w14:paraId="417DC015">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"_Toc43475827" </w:instrText>
      </w:r>
      <w:r>
        <w:rPr>
          <w:color w:val="auto"/>
          <w:sz w:val="24"/>
          <w:szCs w:val="32"/>
          <w:highlight w:val="none"/>
        </w:rPr>
        <w:fldChar w:fldCharType="separate"/>
      </w:r>
      <w:r>
        <w:rPr>
          <w:rStyle w:val="49"/>
          <w:rFonts w:ascii="宋体" w:hAnsi="宋体"/>
          <w:color w:val="auto"/>
          <w:sz w:val="21"/>
          <w:szCs w:val="21"/>
          <w:highlight w:val="none"/>
        </w:rPr>
        <w:t xml:space="preserve">12. </w:t>
      </w:r>
      <w:r>
        <w:rPr>
          <w:rStyle w:val="49"/>
          <w:rFonts w:hint="eastAsia" w:ascii="宋体" w:hAnsi="宋体"/>
          <w:color w:val="auto"/>
          <w:sz w:val="21"/>
          <w:szCs w:val="21"/>
          <w:highlight w:val="none"/>
        </w:rPr>
        <w:t>暂停施工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_Toc43475827 \h </w:instrText>
      </w:r>
      <w:r>
        <w:rPr>
          <w:color w:val="auto"/>
          <w:sz w:val="24"/>
          <w:szCs w:val="32"/>
          <w:highlight w:val="none"/>
        </w:rPr>
        <w:fldChar w:fldCharType="separate"/>
      </w:r>
      <w:r>
        <w:rPr>
          <w:color w:val="auto"/>
          <w:sz w:val="24"/>
          <w:szCs w:val="32"/>
          <w:highlight w:val="none"/>
        </w:rPr>
        <w:t>82</w:t>
      </w:r>
      <w:r>
        <w:rPr>
          <w:color w:val="auto"/>
          <w:sz w:val="24"/>
          <w:szCs w:val="32"/>
          <w:highlight w:val="none"/>
        </w:rPr>
        <w:fldChar w:fldCharType="end"/>
      </w:r>
      <w:r>
        <w:rPr>
          <w:color w:val="auto"/>
          <w:sz w:val="24"/>
          <w:szCs w:val="32"/>
          <w:highlight w:val="none"/>
        </w:rPr>
        <w:fldChar w:fldCharType="end"/>
      </w:r>
    </w:p>
    <w:p w14:paraId="3F4FA03E">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"_Toc43475833" </w:instrText>
      </w:r>
      <w:r>
        <w:rPr>
          <w:color w:val="auto"/>
          <w:sz w:val="24"/>
          <w:szCs w:val="32"/>
          <w:highlight w:val="none"/>
        </w:rPr>
        <w:fldChar w:fldCharType="separate"/>
      </w:r>
      <w:r>
        <w:rPr>
          <w:rStyle w:val="49"/>
          <w:rFonts w:ascii="宋体" w:hAnsi="宋体"/>
          <w:color w:val="auto"/>
          <w:sz w:val="21"/>
          <w:szCs w:val="21"/>
          <w:highlight w:val="none"/>
        </w:rPr>
        <w:t xml:space="preserve">13. </w:t>
      </w:r>
      <w:r>
        <w:rPr>
          <w:rStyle w:val="49"/>
          <w:rFonts w:hint="eastAsia" w:ascii="宋体" w:hAnsi="宋体"/>
          <w:color w:val="auto"/>
          <w:sz w:val="21"/>
          <w:szCs w:val="21"/>
          <w:highlight w:val="none"/>
        </w:rPr>
        <w:t>工程质量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_Toc43475833 \h </w:instrText>
      </w:r>
      <w:r>
        <w:rPr>
          <w:color w:val="auto"/>
          <w:sz w:val="24"/>
          <w:szCs w:val="32"/>
          <w:highlight w:val="none"/>
        </w:rPr>
        <w:fldChar w:fldCharType="separate"/>
      </w:r>
      <w:r>
        <w:rPr>
          <w:color w:val="auto"/>
          <w:sz w:val="24"/>
          <w:szCs w:val="32"/>
          <w:highlight w:val="none"/>
        </w:rPr>
        <w:t>83</w:t>
      </w:r>
      <w:r>
        <w:rPr>
          <w:color w:val="auto"/>
          <w:sz w:val="24"/>
          <w:szCs w:val="32"/>
          <w:highlight w:val="none"/>
        </w:rPr>
        <w:fldChar w:fldCharType="end"/>
      </w:r>
      <w:r>
        <w:rPr>
          <w:color w:val="auto"/>
          <w:sz w:val="24"/>
          <w:szCs w:val="32"/>
          <w:highlight w:val="none"/>
        </w:rPr>
        <w:fldChar w:fldCharType="end"/>
      </w:r>
    </w:p>
    <w:p w14:paraId="2754E9CF">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"_Toc43475840" </w:instrText>
      </w:r>
      <w:r>
        <w:rPr>
          <w:color w:val="auto"/>
          <w:sz w:val="24"/>
          <w:szCs w:val="32"/>
          <w:highlight w:val="none"/>
        </w:rPr>
        <w:fldChar w:fldCharType="separate"/>
      </w:r>
      <w:r>
        <w:rPr>
          <w:rStyle w:val="49"/>
          <w:rFonts w:ascii="宋体" w:hAnsi="宋体"/>
          <w:color w:val="auto"/>
          <w:sz w:val="21"/>
          <w:szCs w:val="21"/>
          <w:highlight w:val="none"/>
        </w:rPr>
        <w:t xml:space="preserve">14. </w:t>
      </w:r>
      <w:r>
        <w:rPr>
          <w:rStyle w:val="49"/>
          <w:rFonts w:hint="eastAsia" w:ascii="宋体" w:hAnsi="宋体"/>
          <w:color w:val="auto"/>
          <w:sz w:val="21"/>
          <w:szCs w:val="21"/>
          <w:highlight w:val="none"/>
        </w:rPr>
        <w:t>试验和检验</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_Toc43475840 \h </w:instrText>
      </w:r>
      <w:r>
        <w:rPr>
          <w:color w:val="auto"/>
          <w:sz w:val="24"/>
          <w:szCs w:val="32"/>
          <w:highlight w:val="none"/>
        </w:rPr>
        <w:fldChar w:fldCharType="separate"/>
      </w:r>
      <w:r>
        <w:rPr>
          <w:color w:val="auto"/>
          <w:sz w:val="24"/>
          <w:szCs w:val="32"/>
          <w:highlight w:val="none"/>
        </w:rPr>
        <w:t>85</w:t>
      </w:r>
      <w:r>
        <w:rPr>
          <w:color w:val="auto"/>
          <w:sz w:val="24"/>
          <w:szCs w:val="32"/>
          <w:highlight w:val="none"/>
        </w:rPr>
        <w:fldChar w:fldCharType="end"/>
      </w:r>
      <w:r>
        <w:rPr>
          <w:color w:val="auto"/>
          <w:sz w:val="24"/>
          <w:szCs w:val="32"/>
          <w:highlight w:val="none"/>
        </w:rPr>
        <w:fldChar w:fldCharType="end"/>
      </w:r>
    </w:p>
    <w:p w14:paraId="4EC7EE03">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"_Toc43475844" </w:instrText>
      </w:r>
      <w:r>
        <w:rPr>
          <w:color w:val="auto"/>
          <w:sz w:val="24"/>
          <w:szCs w:val="32"/>
          <w:highlight w:val="none"/>
        </w:rPr>
        <w:fldChar w:fldCharType="separate"/>
      </w:r>
      <w:r>
        <w:rPr>
          <w:rStyle w:val="49"/>
          <w:rFonts w:ascii="宋体" w:hAnsi="宋体"/>
          <w:color w:val="auto"/>
          <w:sz w:val="21"/>
          <w:szCs w:val="21"/>
          <w:highlight w:val="none"/>
        </w:rPr>
        <w:t xml:space="preserve">15. </w:t>
      </w:r>
      <w:r>
        <w:rPr>
          <w:rStyle w:val="49"/>
          <w:rFonts w:hint="eastAsia" w:ascii="宋体" w:hAnsi="宋体"/>
          <w:color w:val="auto"/>
          <w:sz w:val="21"/>
          <w:szCs w:val="21"/>
          <w:highlight w:val="none"/>
        </w:rPr>
        <w:t>变更</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_Toc43475844 \h </w:instrText>
      </w:r>
      <w:r>
        <w:rPr>
          <w:color w:val="auto"/>
          <w:sz w:val="24"/>
          <w:szCs w:val="32"/>
          <w:highlight w:val="none"/>
        </w:rPr>
        <w:fldChar w:fldCharType="separate"/>
      </w:r>
      <w:r>
        <w:rPr>
          <w:color w:val="auto"/>
          <w:sz w:val="24"/>
          <w:szCs w:val="32"/>
          <w:highlight w:val="none"/>
        </w:rPr>
        <w:t>85</w:t>
      </w:r>
      <w:r>
        <w:rPr>
          <w:color w:val="auto"/>
          <w:sz w:val="24"/>
          <w:szCs w:val="32"/>
          <w:highlight w:val="none"/>
        </w:rPr>
        <w:fldChar w:fldCharType="end"/>
      </w:r>
      <w:r>
        <w:rPr>
          <w:color w:val="auto"/>
          <w:sz w:val="24"/>
          <w:szCs w:val="32"/>
          <w:highlight w:val="none"/>
        </w:rPr>
        <w:fldChar w:fldCharType="end"/>
      </w:r>
    </w:p>
    <w:p w14:paraId="1D7BF5D6">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"_Toc43475853" </w:instrText>
      </w:r>
      <w:r>
        <w:rPr>
          <w:color w:val="auto"/>
          <w:sz w:val="24"/>
          <w:szCs w:val="32"/>
          <w:highlight w:val="none"/>
        </w:rPr>
        <w:fldChar w:fldCharType="separate"/>
      </w:r>
      <w:r>
        <w:rPr>
          <w:rStyle w:val="49"/>
          <w:rFonts w:ascii="宋体" w:hAnsi="宋体"/>
          <w:color w:val="auto"/>
          <w:sz w:val="21"/>
          <w:szCs w:val="21"/>
          <w:highlight w:val="none"/>
        </w:rPr>
        <w:t xml:space="preserve">16. </w:t>
      </w:r>
      <w:r>
        <w:rPr>
          <w:rStyle w:val="49"/>
          <w:rFonts w:hint="eastAsia" w:ascii="宋体" w:hAnsi="宋体"/>
          <w:color w:val="auto"/>
          <w:sz w:val="21"/>
          <w:szCs w:val="21"/>
          <w:highlight w:val="none"/>
        </w:rPr>
        <w:t>价格调整</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_Toc43475853 \h </w:instrText>
      </w:r>
      <w:r>
        <w:rPr>
          <w:color w:val="auto"/>
          <w:sz w:val="24"/>
          <w:szCs w:val="32"/>
          <w:highlight w:val="none"/>
        </w:rPr>
        <w:fldChar w:fldCharType="separate"/>
      </w:r>
      <w:r>
        <w:rPr>
          <w:color w:val="auto"/>
          <w:sz w:val="24"/>
          <w:szCs w:val="32"/>
          <w:highlight w:val="none"/>
        </w:rPr>
        <w:t>88</w:t>
      </w:r>
      <w:r>
        <w:rPr>
          <w:color w:val="auto"/>
          <w:sz w:val="24"/>
          <w:szCs w:val="32"/>
          <w:highlight w:val="none"/>
        </w:rPr>
        <w:fldChar w:fldCharType="end"/>
      </w:r>
      <w:r>
        <w:rPr>
          <w:color w:val="auto"/>
          <w:sz w:val="24"/>
          <w:szCs w:val="32"/>
          <w:highlight w:val="none"/>
        </w:rPr>
        <w:fldChar w:fldCharType="end"/>
      </w:r>
    </w:p>
    <w:p w14:paraId="2ED1D5D0">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"_Toc43475856" </w:instrText>
      </w:r>
      <w:r>
        <w:rPr>
          <w:color w:val="auto"/>
          <w:sz w:val="24"/>
          <w:szCs w:val="32"/>
          <w:highlight w:val="none"/>
        </w:rPr>
        <w:fldChar w:fldCharType="separate"/>
      </w:r>
      <w:r>
        <w:rPr>
          <w:rStyle w:val="49"/>
          <w:rFonts w:ascii="宋体" w:hAnsi="宋体"/>
          <w:color w:val="auto"/>
          <w:sz w:val="21"/>
          <w:szCs w:val="21"/>
          <w:highlight w:val="none"/>
        </w:rPr>
        <w:t xml:space="preserve">17. </w:t>
      </w:r>
      <w:r>
        <w:rPr>
          <w:rStyle w:val="49"/>
          <w:rFonts w:hint="eastAsia" w:ascii="宋体" w:hAnsi="宋体"/>
          <w:color w:val="auto"/>
          <w:sz w:val="21"/>
          <w:szCs w:val="21"/>
          <w:highlight w:val="none"/>
        </w:rPr>
        <w:t>计量与支付</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_Toc43475856 \h </w:instrText>
      </w:r>
      <w:r>
        <w:rPr>
          <w:color w:val="auto"/>
          <w:sz w:val="24"/>
          <w:szCs w:val="32"/>
          <w:highlight w:val="none"/>
        </w:rPr>
        <w:fldChar w:fldCharType="separate"/>
      </w:r>
      <w:r>
        <w:rPr>
          <w:color w:val="auto"/>
          <w:sz w:val="24"/>
          <w:szCs w:val="32"/>
          <w:highlight w:val="none"/>
        </w:rPr>
        <w:t>89</w:t>
      </w:r>
      <w:r>
        <w:rPr>
          <w:color w:val="auto"/>
          <w:sz w:val="24"/>
          <w:szCs w:val="32"/>
          <w:highlight w:val="none"/>
        </w:rPr>
        <w:fldChar w:fldCharType="end"/>
      </w:r>
      <w:r>
        <w:rPr>
          <w:color w:val="auto"/>
          <w:sz w:val="24"/>
          <w:szCs w:val="32"/>
          <w:highlight w:val="none"/>
        </w:rPr>
        <w:fldChar w:fldCharType="end"/>
      </w:r>
    </w:p>
    <w:p w14:paraId="2A868788">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"_Toc43475863" </w:instrText>
      </w:r>
      <w:r>
        <w:rPr>
          <w:color w:val="auto"/>
          <w:sz w:val="24"/>
          <w:szCs w:val="32"/>
          <w:highlight w:val="none"/>
        </w:rPr>
        <w:fldChar w:fldCharType="separate"/>
      </w:r>
      <w:r>
        <w:rPr>
          <w:rStyle w:val="49"/>
          <w:rFonts w:ascii="宋体" w:hAnsi="宋体"/>
          <w:color w:val="auto"/>
          <w:sz w:val="21"/>
          <w:szCs w:val="21"/>
          <w:highlight w:val="none"/>
        </w:rPr>
        <w:t xml:space="preserve">18. </w:t>
      </w:r>
      <w:r>
        <w:rPr>
          <w:rStyle w:val="49"/>
          <w:rFonts w:hint="eastAsia" w:ascii="宋体" w:hAnsi="宋体"/>
          <w:color w:val="auto"/>
          <w:sz w:val="21"/>
          <w:szCs w:val="21"/>
          <w:highlight w:val="none"/>
        </w:rPr>
        <w:t>竣工验收</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_Toc43475863 \h </w:instrText>
      </w:r>
      <w:r>
        <w:rPr>
          <w:color w:val="auto"/>
          <w:sz w:val="24"/>
          <w:szCs w:val="32"/>
          <w:highlight w:val="none"/>
        </w:rPr>
        <w:fldChar w:fldCharType="separate"/>
      </w:r>
      <w:r>
        <w:rPr>
          <w:color w:val="auto"/>
          <w:sz w:val="24"/>
          <w:szCs w:val="32"/>
          <w:highlight w:val="none"/>
        </w:rPr>
        <w:t>92</w:t>
      </w:r>
      <w:r>
        <w:rPr>
          <w:color w:val="auto"/>
          <w:sz w:val="24"/>
          <w:szCs w:val="32"/>
          <w:highlight w:val="none"/>
        </w:rPr>
        <w:fldChar w:fldCharType="end"/>
      </w:r>
      <w:r>
        <w:rPr>
          <w:color w:val="auto"/>
          <w:sz w:val="24"/>
          <w:szCs w:val="32"/>
          <w:highlight w:val="none"/>
        </w:rPr>
        <w:fldChar w:fldCharType="end"/>
      </w:r>
    </w:p>
    <w:p w14:paraId="59C304A9">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"_Toc43475872" </w:instrText>
      </w:r>
      <w:r>
        <w:rPr>
          <w:color w:val="auto"/>
          <w:sz w:val="24"/>
          <w:szCs w:val="32"/>
          <w:highlight w:val="none"/>
        </w:rPr>
        <w:fldChar w:fldCharType="separate"/>
      </w:r>
      <w:r>
        <w:rPr>
          <w:rStyle w:val="49"/>
          <w:rFonts w:ascii="宋体" w:hAnsi="宋体"/>
          <w:color w:val="auto"/>
          <w:sz w:val="21"/>
          <w:szCs w:val="21"/>
          <w:highlight w:val="none"/>
        </w:rPr>
        <w:t xml:space="preserve">19. </w:t>
      </w:r>
      <w:r>
        <w:rPr>
          <w:rStyle w:val="49"/>
          <w:rFonts w:hint="eastAsia" w:ascii="宋体" w:hAnsi="宋体"/>
          <w:color w:val="auto"/>
          <w:sz w:val="21"/>
          <w:szCs w:val="21"/>
          <w:highlight w:val="none"/>
        </w:rPr>
        <w:t>缺陷责任与保修责任</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_Toc43475872 \h </w:instrText>
      </w:r>
      <w:r>
        <w:rPr>
          <w:color w:val="auto"/>
          <w:sz w:val="24"/>
          <w:szCs w:val="32"/>
          <w:highlight w:val="none"/>
        </w:rPr>
        <w:fldChar w:fldCharType="separate"/>
      </w:r>
      <w:r>
        <w:rPr>
          <w:color w:val="auto"/>
          <w:sz w:val="24"/>
          <w:szCs w:val="32"/>
          <w:highlight w:val="none"/>
        </w:rPr>
        <w:t>94</w:t>
      </w:r>
      <w:r>
        <w:rPr>
          <w:color w:val="auto"/>
          <w:sz w:val="24"/>
          <w:szCs w:val="32"/>
          <w:highlight w:val="none"/>
        </w:rPr>
        <w:fldChar w:fldCharType="end"/>
      </w:r>
      <w:r>
        <w:rPr>
          <w:color w:val="auto"/>
          <w:sz w:val="24"/>
          <w:szCs w:val="32"/>
          <w:highlight w:val="none"/>
        </w:rPr>
        <w:fldChar w:fldCharType="end"/>
      </w:r>
    </w:p>
    <w:p w14:paraId="6851D1A2">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"_Toc43475880" </w:instrText>
      </w:r>
      <w:r>
        <w:rPr>
          <w:color w:val="auto"/>
          <w:sz w:val="24"/>
          <w:szCs w:val="32"/>
          <w:highlight w:val="none"/>
        </w:rPr>
        <w:fldChar w:fldCharType="separate"/>
      </w:r>
      <w:r>
        <w:rPr>
          <w:rStyle w:val="49"/>
          <w:rFonts w:ascii="宋体" w:hAnsi="宋体"/>
          <w:color w:val="auto"/>
          <w:sz w:val="21"/>
          <w:szCs w:val="21"/>
          <w:highlight w:val="none"/>
        </w:rPr>
        <w:t xml:space="preserve">20. </w:t>
      </w:r>
      <w:r>
        <w:rPr>
          <w:rStyle w:val="49"/>
          <w:rFonts w:hint="eastAsia" w:ascii="宋体" w:hAnsi="宋体"/>
          <w:color w:val="auto"/>
          <w:sz w:val="21"/>
          <w:szCs w:val="21"/>
          <w:highlight w:val="none"/>
        </w:rPr>
        <w:t>保险</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_Toc43475880 \h </w:instrText>
      </w:r>
      <w:r>
        <w:rPr>
          <w:color w:val="auto"/>
          <w:sz w:val="24"/>
          <w:szCs w:val="32"/>
          <w:highlight w:val="none"/>
        </w:rPr>
        <w:fldChar w:fldCharType="separate"/>
      </w:r>
      <w:r>
        <w:rPr>
          <w:color w:val="auto"/>
          <w:sz w:val="24"/>
          <w:szCs w:val="32"/>
          <w:highlight w:val="none"/>
        </w:rPr>
        <w:t>95</w:t>
      </w:r>
      <w:r>
        <w:rPr>
          <w:color w:val="auto"/>
          <w:sz w:val="24"/>
          <w:szCs w:val="32"/>
          <w:highlight w:val="none"/>
        </w:rPr>
        <w:fldChar w:fldCharType="end"/>
      </w:r>
      <w:r>
        <w:rPr>
          <w:color w:val="auto"/>
          <w:sz w:val="24"/>
          <w:szCs w:val="32"/>
          <w:highlight w:val="none"/>
        </w:rPr>
        <w:fldChar w:fldCharType="end"/>
      </w:r>
    </w:p>
    <w:p w14:paraId="7B0C59BF">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"_Toc43475887" </w:instrText>
      </w:r>
      <w:r>
        <w:rPr>
          <w:color w:val="auto"/>
          <w:sz w:val="24"/>
          <w:szCs w:val="32"/>
          <w:highlight w:val="none"/>
        </w:rPr>
        <w:fldChar w:fldCharType="separate"/>
      </w:r>
      <w:r>
        <w:rPr>
          <w:rStyle w:val="49"/>
          <w:rFonts w:ascii="宋体" w:hAnsi="宋体"/>
          <w:color w:val="auto"/>
          <w:sz w:val="21"/>
          <w:szCs w:val="21"/>
          <w:highlight w:val="none"/>
        </w:rPr>
        <w:t xml:space="preserve">21. </w:t>
      </w:r>
      <w:r>
        <w:rPr>
          <w:rStyle w:val="49"/>
          <w:rFonts w:hint="eastAsia" w:ascii="宋体" w:hAnsi="宋体"/>
          <w:color w:val="auto"/>
          <w:sz w:val="21"/>
          <w:szCs w:val="21"/>
          <w:highlight w:val="none"/>
        </w:rPr>
        <w:t>不可抗力</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_Toc43475887 \h </w:instrText>
      </w:r>
      <w:r>
        <w:rPr>
          <w:color w:val="auto"/>
          <w:sz w:val="24"/>
          <w:szCs w:val="32"/>
          <w:highlight w:val="none"/>
        </w:rPr>
        <w:fldChar w:fldCharType="separate"/>
      </w:r>
      <w:r>
        <w:rPr>
          <w:color w:val="auto"/>
          <w:sz w:val="24"/>
          <w:szCs w:val="32"/>
          <w:highlight w:val="none"/>
        </w:rPr>
        <w:t>96</w:t>
      </w:r>
      <w:r>
        <w:rPr>
          <w:color w:val="auto"/>
          <w:sz w:val="24"/>
          <w:szCs w:val="32"/>
          <w:highlight w:val="none"/>
        </w:rPr>
        <w:fldChar w:fldCharType="end"/>
      </w:r>
      <w:r>
        <w:rPr>
          <w:color w:val="auto"/>
          <w:sz w:val="24"/>
          <w:szCs w:val="32"/>
          <w:highlight w:val="none"/>
        </w:rPr>
        <w:fldChar w:fldCharType="end"/>
      </w:r>
    </w:p>
    <w:p w14:paraId="3985AEE4">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"_Toc43475891" </w:instrText>
      </w:r>
      <w:r>
        <w:rPr>
          <w:color w:val="auto"/>
          <w:sz w:val="24"/>
          <w:szCs w:val="32"/>
          <w:highlight w:val="none"/>
        </w:rPr>
        <w:fldChar w:fldCharType="separate"/>
      </w:r>
      <w:r>
        <w:rPr>
          <w:rStyle w:val="49"/>
          <w:rFonts w:ascii="宋体" w:hAnsi="宋体"/>
          <w:color w:val="auto"/>
          <w:sz w:val="21"/>
          <w:szCs w:val="21"/>
          <w:highlight w:val="none"/>
        </w:rPr>
        <w:t xml:space="preserve">22. </w:t>
      </w:r>
      <w:r>
        <w:rPr>
          <w:rStyle w:val="49"/>
          <w:rFonts w:hint="eastAsia" w:ascii="宋体" w:hAnsi="宋体"/>
          <w:color w:val="auto"/>
          <w:sz w:val="21"/>
          <w:szCs w:val="21"/>
          <w:highlight w:val="none"/>
        </w:rPr>
        <w:t>违约</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_Toc43475891 \h </w:instrText>
      </w:r>
      <w:r>
        <w:rPr>
          <w:color w:val="auto"/>
          <w:sz w:val="24"/>
          <w:szCs w:val="32"/>
          <w:highlight w:val="none"/>
        </w:rPr>
        <w:fldChar w:fldCharType="separate"/>
      </w:r>
      <w:r>
        <w:rPr>
          <w:color w:val="auto"/>
          <w:sz w:val="24"/>
          <w:szCs w:val="32"/>
          <w:highlight w:val="none"/>
        </w:rPr>
        <w:t>97</w:t>
      </w:r>
      <w:r>
        <w:rPr>
          <w:color w:val="auto"/>
          <w:sz w:val="24"/>
          <w:szCs w:val="32"/>
          <w:highlight w:val="none"/>
        </w:rPr>
        <w:fldChar w:fldCharType="end"/>
      </w:r>
      <w:r>
        <w:rPr>
          <w:color w:val="auto"/>
          <w:sz w:val="24"/>
          <w:szCs w:val="32"/>
          <w:highlight w:val="none"/>
        </w:rPr>
        <w:fldChar w:fldCharType="end"/>
      </w:r>
    </w:p>
    <w:p w14:paraId="6BA17B2F">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"_Toc43475895" </w:instrText>
      </w:r>
      <w:r>
        <w:rPr>
          <w:color w:val="auto"/>
          <w:sz w:val="24"/>
          <w:szCs w:val="32"/>
          <w:highlight w:val="none"/>
        </w:rPr>
        <w:fldChar w:fldCharType="separate"/>
      </w:r>
      <w:r>
        <w:rPr>
          <w:rStyle w:val="49"/>
          <w:rFonts w:ascii="宋体" w:hAnsi="宋体"/>
          <w:color w:val="auto"/>
          <w:sz w:val="21"/>
          <w:szCs w:val="21"/>
          <w:highlight w:val="none"/>
        </w:rPr>
        <w:t xml:space="preserve">23. </w:t>
      </w:r>
      <w:r>
        <w:rPr>
          <w:rStyle w:val="49"/>
          <w:rFonts w:hint="eastAsia" w:ascii="宋体" w:hAnsi="宋体"/>
          <w:color w:val="auto"/>
          <w:sz w:val="21"/>
          <w:szCs w:val="21"/>
          <w:highlight w:val="none"/>
        </w:rPr>
        <w:t>索赔</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_Toc43475895 \h </w:instrText>
      </w:r>
      <w:r>
        <w:rPr>
          <w:color w:val="auto"/>
          <w:sz w:val="24"/>
          <w:szCs w:val="32"/>
          <w:highlight w:val="none"/>
        </w:rPr>
        <w:fldChar w:fldCharType="separate"/>
      </w:r>
      <w:r>
        <w:rPr>
          <w:color w:val="auto"/>
          <w:sz w:val="24"/>
          <w:szCs w:val="32"/>
          <w:highlight w:val="none"/>
        </w:rPr>
        <w:t>100</w:t>
      </w:r>
      <w:r>
        <w:rPr>
          <w:color w:val="auto"/>
          <w:sz w:val="24"/>
          <w:szCs w:val="32"/>
          <w:highlight w:val="none"/>
        </w:rPr>
        <w:fldChar w:fldCharType="end"/>
      </w:r>
      <w:r>
        <w:rPr>
          <w:color w:val="auto"/>
          <w:sz w:val="24"/>
          <w:szCs w:val="32"/>
          <w:highlight w:val="none"/>
        </w:rPr>
        <w:fldChar w:fldCharType="end"/>
      </w:r>
    </w:p>
    <w:p w14:paraId="33B9EB59">
      <w:pPr>
        <w:pStyle w:val="33"/>
        <w:tabs>
          <w:tab w:val="right" w:leader="dot" w:pos="10200"/>
        </w:tabs>
        <w:spacing w:line="250" w:lineRule="exact"/>
        <w:ind w:firstLine="480" w:firstLineChars="2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"_Toc43475900" </w:instrText>
      </w:r>
      <w:r>
        <w:rPr>
          <w:color w:val="auto"/>
          <w:sz w:val="24"/>
          <w:szCs w:val="32"/>
          <w:highlight w:val="none"/>
        </w:rPr>
        <w:fldChar w:fldCharType="separate"/>
      </w:r>
      <w:r>
        <w:rPr>
          <w:rStyle w:val="49"/>
          <w:rFonts w:ascii="宋体" w:hAnsi="宋体"/>
          <w:color w:val="auto"/>
          <w:sz w:val="21"/>
          <w:szCs w:val="21"/>
          <w:highlight w:val="none"/>
        </w:rPr>
        <w:t xml:space="preserve">24. </w:t>
      </w:r>
      <w:r>
        <w:rPr>
          <w:rStyle w:val="49"/>
          <w:rFonts w:hint="eastAsia" w:ascii="宋体" w:hAnsi="宋体"/>
          <w:color w:val="auto"/>
          <w:sz w:val="21"/>
          <w:szCs w:val="21"/>
          <w:highlight w:val="none"/>
        </w:rPr>
        <w:t>争议的解决</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_Toc43475900 \h </w:instrText>
      </w:r>
      <w:r>
        <w:rPr>
          <w:color w:val="auto"/>
          <w:sz w:val="24"/>
          <w:szCs w:val="32"/>
          <w:highlight w:val="none"/>
        </w:rPr>
        <w:fldChar w:fldCharType="separate"/>
      </w:r>
      <w:r>
        <w:rPr>
          <w:color w:val="auto"/>
          <w:sz w:val="24"/>
          <w:szCs w:val="32"/>
          <w:highlight w:val="none"/>
        </w:rPr>
        <w:t>101</w:t>
      </w:r>
      <w:r>
        <w:rPr>
          <w:color w:val="auto"/>
          <w:sz w:val="24"/>
          <w:szCs w:val="32"/>
          <w:highlight w:val="none"/>
        </w:rPr>
        <w:fldChar w:fldCharType="end"/>
      </w:r>
      <w:r>
        <w:rPr>
          <w:color w:val="auto"/>
          <w:sz w:val="24"/>
          <w:szCs w:val="32"/>
          <w:highlight w:val="none"/>
        </w:rPr>
        <w:fldChar w:fldCharType="end"/>
      </w:r>
    </w:p>
    <w:p w14:paraId="744C58D8">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"_Toc43475904" </w:instrText>
      </w:r>
      <w:r>
        <w:rPr>
          <w:color w:val="auto"/>
          <w:sz w:val="24"/>
          <w:szCs w:val="32"/>
          <w:highlight w:val="none"/>
        </w:rPr>
        <w:fldChar w:fldCharType="separate"/>
      </w:r>
      <w:r>
        <w:rPr>
          <w:rStyle w:val="49"/>
          <w:rFonts w:hint="eastAsia" w:ascii="宋体" w:hAnsi="宋体" w:cs="宋体"/>
          <w:color w:val="auto"/>
          <w:sz w:val="21"/>
          <w:szCs w:val="21"/>
          <w:highlight w:val="none"/>
        </w:rPr>
        <w:t>第二节专用合同条款</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_Toc43475904 \h </w:instrText>
      </w:r>
      <w:r>
        <w:rPr>
          <w:color w:val="auto"/>
          <w:sz w:val="24"/>
          <w:szCs w:val="32"/>
          <w:highlight w:val="none"/>
        </w:rPr>
        <w:fldChar w:fldCharType="separate"/>
      </w:r>
      <w:r>
        <w:rPr>
          <w:color w:val="auto"/>
          <w:sz w:val="24"/>
          <w:szCs w:val="32"/>
          <w:highlight w:val="none"/>
        </w:rPr>
        <w:t>102</w:t>
      </w:r>
      <w:r>
        <w:rPr>
          <w:color w:val="auto"/>
          <w:sz w:val="24"/>
          <w:szCs w:val="32"/>
          <w:highlight w:val="none"/>
        </w:rPr>
        <w:fldChar w:fldCharType="end"/>
      </w:r>
      <w:r>
        <w:rPr>
          <w:color w:val="auto"/>
          <w:sz w:val="24"/>
          <w:szCs w:val="32"/>
          <w:highlight w:val="none"/>
        </w:rPr>
        <w:fldChar w:fldCharType="end"/>
      </w:r>
    </w:p>
    <w:p w14:paraId="6DEB720D">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"_Toc43475905" </w:instrText>
      </w:r>
      <w:r>
        <w:rPr>
          <w:color w:val="auto"/>
          <w:sz w:val="24"/>
          <w:szCs w:val="32"/>
          <w:highlight w:val="none"/>
        </w:rPr>
        <w:fldChar w:fldCharType="separate"/>
      </w:r>
      <w:r>
        <w:rPr>
          <w:rStyle w:val="49"/>
          <w:rFonts w:ascii="宋体" w:hAnsi="宋体" w:cs="宋体"/>
          <w:color w:val="auto"/>
          <w:sz w:val="21"/>
          <w:szCs w:val="21"/>
          <w:highlight w:val="none"/>
        </w:rPr>
        <w:t>1</w:t>
      </w:r>
      <w:r>
        <w:rPr>
          <w:rStyle w:val="49"/>
          <w:rFonts w:hint="eastAsia" w:ascii="宋体" w:hAnsi="宋体" w:cs="宋体"/>
          <w:color w:val="auto"/>
          <w:sz w:val="21"/>
          <w:szCs w:val="21"/>
          <w:highlight w:val="none"/>
        </w:rPr>
        <w:t>.一般约定</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_Toc43475905 \h </w:instrText>
      </w:r>
      <w:r>
        <w:rPr>
          <w:color w:val="auto"/>
          <w:sz w:val="24"/>
          <w:szCs w:val="32"/>
          <w:highlight w:val="none"/>
        </w:rPr>
        <w:fldChar w:fldCharType="separate"/>
      </w:r>
      <w:r>
        <w:rPr>
          <w:color w:val="auto"/>
          <w:sz w:val="24"/>
          <w:szCs w:val="32"/>
          <w:highlight w:val="none"/>
        </w:rPr>
        <w:t>103</w:t>
      </w:r>
      <w:r>
        <w:rPr>
          <w:color w:val="auto"/>
          <w:sz w:val="24"/>
          <w:szCs w:val="32"/>
          <w:highlight w:val="none"/>
        </w:rPr>
        <w:fldChar w:fldCharType="end"/>
      </w:r>
      <w:r>
        <w:rPr>
          <w:color w:val="auto"/>
          <w:sz w:val="24"/>
          <w:szCs w:val="32"/>
          <w:highlight w:val="none"/>
        </w:rPr>
        <w:fldChar w:fldCharType="end"/>
      </w:r>
    </w:p>
    <w:p w14:paraId="2D7DC588">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"_Toc43475911" </w:instrText>
      </w:r>
      <w:r>
        <w:rPr>
          <w:color w:val="auto"/>
          <w:sz w:val="24"/>
          <w:szCs w:val="32"/>
          <w:highlight w:val="none"/>
        </w:rPr>
        <w:fldChar w:fldCharType="separate"/>
      </w:r>
      <w:r>
        <w:rPr>
          <w:rStyle w:val="49"/>
          <w:rFonts w:ascii="宋体" w:hAnsi="宋体" w:cs="宋体"/>
          <w:color w:val="auto"/>
          <w:sz w:val="21"/>
          <w:szCs w:val="21"/>
          <w:highlight w:val="none"/>
        </w:rPr>
        <w:t>2</w:t>
      </w:r>
      <w:r>
        <w:rPr>
          <w:rStyle w:val="49"/>
          <w:rFonts w:hint="eastAsia" w:ascii="宋体" w:hAnsi="宋体" w:cs="宋体"/>
          <w:color w:val="auto"/>
          <w:sz w:val="21"/>
          <w:szCs w:val="21"/>
          <w:highlight w:val="none"/>
        </w:rPr>
        <w:t>.发包人义务</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_Toc43475911 \h </w:instrText>
      </w:r>
      <w:r>
        <w:rPr>
          <w:color w:val="auto"/>
          <w:sz w:val="24"/>
          <w:szCs w:val="32"/>
          <w:highlight w:val="none"/>
        </w:rPr>
        <w:fldChar w:fldCharType="separate"/>
      </w:r>
      <w:r>
        <w:rPr>
          <w:color w:val="auto"/>
          <w:sz w:val="24"/>
          <w:szCs w:val="32"/>
          <w:highlight w:val="none"/>
        </w:rPr>
        <w:t>106</w:t>
      </w:r>
      <w:r>
        <w:rPr>
          <w:color w:val="auto"/>
          <w:sz w:val="24"/>
          <w:szCs w:val="32"/>
          <w:highlight w:val="none"/>
        </w:rPr>
        <w:fldChar w:fldCharType="end"/>
      </w:r>
      <w:r>
        <w:rPr>
          <w:color w:val="auto"/>
          <w:sz w:val="24"/>
          <w:szCs w:val="32"/>
          <w:highlight w:val="none"/>
        </w:rPr>
        <w:fldChar w:fldCharType="end"/>
      </w:r>
    </w:p>
    <w:p w14:paraId="5E1A5951">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"_Toc43475913" </w:instrText>
      </w:r>
      <w:r>
        <w:rPr>
          <w:color w:val="auto"/>
          <w:sz w:val="24"/>
          <w:szCs w:val="32"/>
          <w:highlight w:val="none"/>
        </w:rPr>
        <w:fldChar w:fldCharType="separate"/>
      </w:r>
      <w:r>
        <w:rPr>
          <w:rStyle w:val="49"/>
          <w:rFonts w:ascii="宋体" w:hAnsi="宋体" w:cs="宋体"/>
          <w:color w:val="auto"/>
          <w:sz w:val="21"/>
          <w:szCs w:val="21"/>
          <w:highlight w:val="none"/>
        </w:rPr>
        <w:t>3</w:t>
      </w:r>
      <w:r>
        <w:rPr>
          <w:rStyle w:val="49"/>
          <w:rFonts w:hint="eastAsia" w:ascii="宋体" w:hAnsi="宋体" w:cs="宋体"/>
          <w:color w:val="auto"/>
          <w:sz w:val="21"/>
          <w:szCs w:val="21"/>
          <w:highlight w:val="none"/>
        </w:rPr>
        <w:t>.监理人</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_Toc43475913 \h </w:instrText>
      </w:r>
      <w:r>
        <w:rPr>
          <w:color w:val="auto"/>
          <w:sz w:val="24"/>
          <w:szCs w:val="32"/>
          <w:highlight w:val="none"/>
        </w:rPr>
        <w:fldChar w:fldCharType="separate"/>
      </w:r>
      <w:r>
        <w:rPr>
          <w:color w:val="auto"/>
          <w:sz w:val="24"/>
          <w:szCs w:val="32"/>
          <w:highlight w:val="none"/>
        </w:rPr>
        <w:t>106</w:t>
      </w:r>
      <w:r>
        <w:rPr>
          <w:color w:val="auto"/>
          <w:sz w:val="24"/>
          <w:szCs w:val="32"/>
          <w:highlight w:val="none"/>
        </w:rPr>
        <w:fldChar w:fldCharType="end"/>
      </w:r>
      <w:r>
        <w:rPr>
          <w:color w:val="auto"/>
          <w:sz w:val="24"/>
          <w:szCs w:val="32"/>
          <w:highlight w:val="none"/>
        </w:rPr>
        <w:fldChar w:fldCharType="end"/>
      </w:r>
    </w:p>
    <w:p w14:paraId="32737CA4">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"_Toc43475916" </w:instrText>
      </w:r>
      <w:r>
        <w:rPr>
          <w:color w:val="auto"/>
          <w:sz w:val="24"/>
          <w:szCs w:val="32"/>
          <w:highlight w:val="none"/>
        </w:rPr>
        <w:fldChar w:fldCharType="separate"/>
      </w:r>
      <w:r>
        <w:rPr>
          <w:rStyle w:val="49"/>
          <w:rFonts w:ascii="宋体" w:hAnsi="宋体" w:cs="宋体"/>
          <w:color w:val="auto"/>
          <w:sz w:val="21"/>
          <w:szCs w:val="21"/>
          <w:highlight w:val="none"/>
        </w:rPr>
        <w:t>4.</w:t>
      </w:r>
      <w:r>
        <w:rPr>
          <w:rStyle w:val="49"/>
          <w:rFonts w:hint="eastAsia" w:ascii="宋体" w:hAnsi="宋体" w:cs="宋体"/>
          <w:color w:val="auto"/>
          <w:sz w:val="21"/>
          <w:szCs w:val="21"/>
          <w:highlight w:val="none"/>
        </w:rPr>
        <w:t>承包人</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_Toc43475916 \h </w:instrText>
      </w:r>
      <w:r>
        <w:rPr>
          <w:color w:val="auto"/>
          <w:sz w:val="24"/>
          <w:szCs w:val="32"/>
          <w:highlight w:val="none"/>
        </w:rPr>
        <w:fldChar w:fldCharType="separate"/>
      </w:r>
      <w:r>
        <w:rPr>
          <w:color w:val="auto"/>
          <w:sz w:val="24"/>
          <w:szCs w:val="32"/>
          <w:highlight w:val="none"/>
        </w:rPr>
        <w:t>107</w:t>
      </w:r>
      <w:r>
        <w:rPr>
          <w:color w:val="auto"/>
          <w:sz w:val="24"/>
          <w:szCs w:val="32"/>
          <w:highlight w:val="none"/>
        </w:rPr>
        <w:fldChar w:fldCharType="end"/>
      </w:r>
      <w:r>
        <w:rPr>
          <w:color w:val="auto"/>
          <w:sz w:val="24"/>
          <w:szCs w:val="32"/>
          <w:highlight w:val="none"/>
        </w:rPr>
        <w:fldChar w:fldCharType="end"/>
      </w:r>
    </w:p>
    <w:p w14:paraId="4E869D87">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"_Toc43475928" </w:instrText>
      </w:r>
      <w:r>
        <w:rPr>
          <w:color w:val="auto"/>
          <w:sz w:val="24"/>
          <w:szCs w:val="32"/>
          <w:highlight w:val="none"/>
        </w:rPr>
        <w:fldChar w:fldCharType="separate"/>
      </w:r>
      <w:r>
        <w:rPr>
          <w:rStyle w:val="49"/>
          <w:rFonts w:ascii="宋体" w:hAnsi="宋体" w:cs="宋体"/>
          <w:color w:val="auto"/>
          <w:sz w:val="21"/>
          <w:szCs w:val="21"/>
          <w:highlight w:val="none"/>
        </w:rPr>
        <w:t>5</w:t>
      </w:r>
      <w:r>
        <w:rPr>
          <w:rStyle w:val="49"/>
          <w:rFonts w:hint="eastAsia" w:ascii="宋体" w:hAnsi="宋体" w:cs="宋体"/>
          <w:color w:val="auto"/>
          <w:sz w:val="21"/>
          <w:szCs w:val="21"/>
          <w:highlight w:val="none"/>
        </w:rPr>
        <w:t>.材料和工程设备</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_Toc43475928 \h </w:instrText>
      </w:r>
      <w:r>
        <w:rPr>
          <w:color w:val="auto"/>
          <w:sz w:val="24"/>
          <w:szCs w:val="32"/>
          <w:highlight w:val="none"/>
        </w:rPr>
        <w:fldChar w:fldCharType="separate"/>
      </w:r>
      <w:r>
        <w:rPr>
          <w:color w:val="auto"/>
          <w:sz w:val="24"/>
          <w:szCs w:val="32"/>
          <w:highlight w:val="none"/>
        </w:rPr>
        <w:t>112</w:t>
      </w:r>
      <w:r>
        <w:rPr>
          <w:color w:val="auto"/>
          <w:sz w:val="24"/>
          <w:szCs w:val="32"/>
          <w:highlight w:val="none"/>
        </w:rPr>
        <w:fldChar w:fldCharType="end"/>
      </w:r>
      <w:r>
        <w:rPr>
          <w:color w:val="auto"/>
          <w:sz w:val="24"/>
          <w:szCs w:val="32"/>
          <w:highlight w:val="none"/>
        </w:rPr>
        <w:fldChar w:fldCharType="end"/>
      </w:r>
    </w:p>
    <w:p w14:paraId="5FA7FB70">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"_Toc43475930" </w:instrText>
      </w:r>
      <w:r>
        <w:rPr>
          <w:color w:val="auto"/>
          <w:sz w:val="24"/>
          <w:szCs w:val="32"/>
          <w:highlight w:val="none"/>
        </w:rPr>
        <w:fldChar w:fldCharType="separate"/>
      </w:r>
      <w:r>
        <w:rPr>
          <w:rStyle w:val="49"/>
          <w:rFonts w:ascii="宋体" w:hAnsi="宋体" w:cs="宋体"/>
          <w:color w:val="auto"/>
          <w:sz w:val="21"/>
          <w:szCs w:val="21"/>
          <w:highlight w:val="none"/>
        </w:rPr>
        <w:t>6</w:t>
      </w:r>
      <w:r>
        <w:rPr>
          <w:rStyle w:val="49"/>
          <w:rFonts w:hint="eastAsia" w:ascii="宋体" w:hAnsi="宋体" w:cs="宋体"/>
          <w:color w:val="auto"/>
          <w:sz w:val="21"/>
          <w:szCs w:val="21"/>
          <w:highlight w:val="none"/>
        </w:rPr>
        <w:t>.施工设备和临时设施</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_Toc43475930 \h </w:instrText>
      </w:r>
      <w:r>
        <w:rPr>
          <w:color w:val="auto"/>
          <w:sz w:val="24"/>
          <w:szCs w:val="32"/>
          <w:highlight w:val="none"/>
        </w:rPr>
        <w:fldChar w:fldCharType="separate"/>
      </w:r>
      <w:r>
        <w:rPr>
          <w:color w:val="auto"/>
          <w:sz w:val="24"/>
          <w:szCs w:val="32"/>
          <w:highlight w:val="none"/>
        </w:rPr>
        <w:t>112</w:t>
      </w:r>
      <w:r>
        <w:rPr>
          <w:color w:val="auto"/>
          <w:sz w:val="24"/>
          <w:szCs w:val="32"/>
          <w:highlight w:val="none"/>
        </w:rPr>
        <w:fldChar w:fldCharType="end"/>
      </w:r>
      <w:r>
        <w:rPr>
          <w:color w:val="auto"/>
          <w:sz w:val="24"/>
          <w:szCs w:val="32"/>
          <w:highlight w:val="none"/>
        </w:rPr>
        <w:fldChar w:fldCharType="end"/>
      </w:r>
    </w:p>
    <w:p w14:paraId="5E28DDE0">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"_Toc43475935" </w:instrText>
      </w:r>
      <w:r>
        <w:rPr>
          <w:color w:val="auto"/>
          <w:sz w:val="24"/>
          <w:szCs w:val="32"/>
          <w:highlight w:val="none"/>
        </w:rPr>
        <w:fldChar w:fldCharType="separate"/>
      </w:r>
      <w:r>
        <w:rPr>
          <w:rStyle w:val="49"/>
          <w:rFonts w:ascii="宋体" w:hAnsi="宋体" w:cs="宋体"/>
          <w:color w:val="auto"/>
          <w:sz w:val="21"/>
          <w:szCs w:val="21"/>
          <w:highlight w:val="none"/>
        </w:rPr>
        <w:t>8</w:t>
      </w:r>
      <w:r>
        <w:rPr>
          <w:rStyle w:val="49"/>
          <w:rFonts w:hint="eastAsia" w:ascii="宋体" w:hAnsi="宋体" w:cs="宋体"/>
          <w:color w:val="auto"/>
          <w:sz w:val="21"/>
          <w:szCs w:val="21"/>
          <w:highlight w:val="none"/>
        </w:rPr>
        <w:t>.测量放线</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_Toc43475935 \h </w:instrText>
      </w:r>
      <w:r>
        <w:rPr>
          <w:color w:val="auto"/>
          <w:sz w:val="24"/>
          <w:szCs w:val="32"/>
          <w:highlight w:val="none"/>
        </w:rPr>
        <w:fldChar w:fldCharType="separate"/>
      </w:r>
      <w:r>
        <w:rPr>
          <w:color w:val="auto"/>
          <w:sz w:val="24"/>
          <w:szCs w:val="32"/>
          <w:highlight w:val="none"/>
        </w:rPr>
        <w:t>112</w:t>
      </w:r>
      <w:r>
        <w:rPr>
          <w:color w:val="auto"/>
          <w:sz w:val="24"/>
          <w:szCs w:val="32"/>
          <w:highlight w:val="none"/>
        </w:rPr>
        <w:fldChar w:fldCharType="end"/>
      </w:r>
      <w:r>
        <w:rPr>
          <w:color w:val="auto"/>
          <w:sz w:val="24"/>
          <w:szCs w:val="32"/>
          <w:highlight w:val="none"/>
        </w:rPr>
        <w:fldChar w:fldCharType="end"/>
      </w:r>
    </w:p>
    <w:p w14:paraId="71FB54DA">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"_Toc43475937" </w:instrText>
      </w:r>
      <w:r>
        <w:rPr>
          <w:color w:val="auto"/>
          <w:sz w:val="24"/>
          <w:szCs w:val="32"/>
          <w:highlight w:val="none"/>
        </w:rPr>
        <w:fldChar w:fldCharType="separate"/>
      </w:r>
      <w:r>
        <w:rPr>
          <w:rStyle w:val="49"/>
          <w:rFonts w:ascii="宋体" w:hAnsi="宋体" w:cs="宋体"/>
          <w:color w:val="auto"/>
          <w:sz w:val="21"/>
          <w:szCs w:val="21"/>
          <w:highlight w:val="none"/>
        </w:rPr>
        <w:t>9</w:t>
      </w:r>
      <w:r>
        <w:rPr>
          <w:rStyle w:val="49"/>
          <w:rFonts w:hint="eastAsia" w:ascii="宋体" w:hAnsi="宋体" w:cs="宋体"/>
          <w:color w:val="auto"/>
          <w:sz w:val="21"/>
          <w:szCs w:val="21"/>
          <w:highlight w:val="none"/>
        </w:rPr>
        <w:t>.施工安全、治安保卫和环境保护</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_Toc43475937 \h </w:instrText>
      </w:r>
      <w:r>
        <w:rPr>
          <w:color w:val="auto"/>
          <w:sz w:val="24"/>
          <w:szCs w:val="32"/>
          <w:highlight w:val="none"/>
        </w:rPr>
        <w:fldChar w:fldCharType="separate"/>
      </w:r>
      <w:r>
        <w:rPr>
          <w:color w:val="auto"/>
          <w:sz w:val="24"/>
          <w:szCs w:val="32"/>
          <w:highlight w:val="none"/>
        </w:rPr>
        <w:t>112</w:t>
      </w:r>
      <w:r>
        <w:rPr>
          <w:color w:val="auto"/>
          <w:sz w:val="24"/>
          <w:szCs w:val="32"/>
          <w:highlight w:val="none"/>
        </w:rPr>
        <w:fldChar w:fldCharType="end"/>
      </w:r>
      <w:r>
        <w:rPr>
          <w:color w:val="auto"/>
          <w:sz w:val="24"/>
          <w:szCs w:val="32"/>
          <w:highlight w:val="none"/>
        </w:rPr>
        <w:fldChar w:fldCharType="end"/>
      </w:r>
    </w:p>
    <w:p w14:paraId="58848008">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"_Toc43475940" </w:instrText>
      </w:r>
      <w:r>
        <w:rPr>
          <w:color w:val="auto"/>
          <w:sz w:val="24"/>
          <w:szCs w:val="32"/>
          <w:highlight w:val="none"/>
        </w:rPr>
        <w:fldChar w:fldCharType="separate"/>
      </w:r>
      <w:r>
        <w:rPr>
          <w:rStyle w:val="49"/>
          <w:rFonts w:ascii="宋体" w:hAnsi="宋体" w:cs="宋体"/>
          <w:color w:val="auto"/>
          <w:sz w:val="21"/>
          <w:szCs w:val="21"/>
          <w:highlight w:val="none"/>
        </w:rPr>
        <w:t>10</w:t>
      </w:r>
      <w:r>
        <w:rPr>
          <w:rStyle w:val="49"/>
          <w:rFonts w:hint="eastAsia" w:ascii="宋体" w:hAnsi="宋体" w:cs="宋体"/>
          <w:color w:val="auto"/>
          <w:sz w:val="21"/>
          <w:szCs w:val="21"/>
          <w:highlight w:val="none"/>
        </w:rPr>
        <w:t>.进度计划</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_Toc43475940 \h </w:instrText>
      </w:r>
      <w:r>
        <w:rPr>
          <w:color w:val="auto"/>
          <w:sz w:val="24"/>
          <w:szCs w:val="32"/>
          <w:highlight w:val="none"/>
        </w:rPr>
        <w:fldChar w:fldCharType="separate"/>
      </w:r>
      <w:r>
        <w:rPr>
          <w:color w:val="auto"/>
          <w:sz w:val="24"/>
          <w:szCs w:val="32"/>
          <w:highlight w:val="none"/>
        </w:rPr>
        <w:t>115</w:t>
      </w:r>
      <w:r>
        <w:rPr>
          <w:color w:val="auto"/>
          <w:sz w:val="24"/>
          <w:szCs w:val="32"/>
          <w:highlight w:val="none"/>
        </w:rPr>
        <w:fldChar w:fldCharType="end"/>
      </w:r>
      <w:r>
        <w:rPr>
          <w:color w:val="auto"/>
          <w:sz w:val="24"/>
          <w:szCs w:val="32"/>
          <w:highlight w:val="none"/>
        </w:rPr>
        <w:fldChar w:fldCharType="end"/>
      </w:r>
    </w:p>
    <w:p w14:paraId="72EFFEC3">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"_Toc43475945" </w:instrText>
      </w:r>
      <w:r>
        <w:rPr>
          <w:color w:val="auto"/>
          <w:sz w:val="24"/>
          <w:szCs w:val="32"/>
          <w:highlight w:val="none"/>
        </w:rPr>
        <w:fldChar w:fldCharType="separate"/>
      </w:r>
      <w:r>
        <w:rPr>
          <w:rStyle w:val="49"/>
          <w:rFonts w:ascii="宋体" w:hAnsi="宋体" w:cs="宋体"/>
          <w:color w:val="auto"/>
          <w:sz w:val="21"/>
          <w:szCs w:val="21"/>
          <w:highlight w:val="none"/>
        </w:rPr>
        <w:t>11</w:t>
      </w:r>
      <w:r>
        <w:rPr>
          <w:rStyle w:val="49"/>
          <w:rFonts w:hint="eastAsia" w:ascii="宋体" w:hAnsi="宋体" w:cs="宋体"/>
          <w:color w:val="auto"/>
          <w:sz w:val="21"/>
          <w:szCs w:val="21"/>
          <w:highlight w:val="none"/>
        </w:rPr>
        <w:t>.开工和交工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_Toc43475945 \h </w:instrText>
      </w:r>
      <w:r>
        <w:rPr>
          <w:color w:val="auto"/>
          <w:sz w:val="24"/>
          <w:szCs w:val="32"/>
          <w:highlight w:val="none"/>
        </w:rPr>
        <w:fldChar w:fldCharType="separate"/>
      </w:r>
      <w:r>
        <w:rPr>
          <w:color w:val="auto"/>
          <w:sz w:val="24"/>
          <w:szCs w:val="32"/>
          <w:highlight w:val="none"/>
        </w:rPr>
        <w:t>116</w:t>
      </w:r>
      <w:r>
        <w:rPr>
          <w:color w:val="auto"/>
          <w:sz w:val="24"/>
          <w:szCs w:val="32"/>
          <w:highlight w:val="none"/>
        </w:rPr>
        <w:fldChar w:fldCharType="end"/>
      </w:r>
      <w:r>
        <w:rPr>
          <w:color w:val="auto"/>
          <w:sz w:val="24"/>
          <w:szCs w:val="32"/>
          <w:highlight w:val="none"/>
        </w:rPr>
        <w:fldChar w:fldCharType="end"/>
      </w:r>
    </w:p>
    <w:p w14:paraId="7D92E7E0">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"_Toc43475952" </w:instrText>
      </w:r>
      <w:r>
        <w:rPr>
          <w:color w:val="auto"/>
          <w:sz w:val="24"/>
          <w:szCs w:val="32"/>
          <w:highlight w:val="none"/>
        </w:rPr>
        <w:fldChar w:fldCharType="separate"/>
      </w:r>
      <w:r>
        <w:rPr>
          <w:rStyle w:val="49"/>
          <w:rFonts w:ascii="宋体" w:hAnsi="宋体" w:cs="宋体"/>
          <w:color w:val="auto"/>
          <w:sz w:val="21"/>
          <w:szCs w:val="21"/>
          <w:highlight w:val="none"/>
        </w:rPr>
        <w:t>12</w:t>
      </w:r>
      <w:r>
        <w:rPr>
          <w:rStyle w:val="49"/>
          <w:rFonts w:hint="eastAsia" w:ascii="宋体" w:hAnsi="宋体" w:cs="宋体"/>
          <w:color w:val="auto"/>
          <w:sz w:val="21"/>
          <w:szCs w:val="21"/>
          <w:highlight w:val="none"/>
        </w:rPr>
        <w:t>.暂停施工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_Toc43475952 \h </w:instrText>
      </w:r>
      <w:r>
        <w:rPr>
          <w:color w:val="auto"/>
          <w:sz w:val="24"/>
          <w:szCs w:val="32"/>
          <w:highlight w:val="none"/>
        </w:rPr>
        <w:fldChar w:fldCharType="separate"/>
      </w:r>
      <w:r>
        <w:rPr>
          <w:color w:val="auto"/>
          <w:sz w:val="24"/>
          <w:szCs w:val="32"/>
          <w:highlight w:val="none"/>
        </w:rPr>
        <w:t>117</w:t>
      </w:r>
      <w:r>
        <w:rPr>
          <w:color w:val="auto"/>
          <w:sz w:val="24"/>
          <w:szCs w:val="32"/>
          <w:highlight w:val="none"/>
        </w:rPr>
        <w:fldChar w:fldCharType="end"/>
      </w:r>
      <w:r>
        <w:rPr>
          <w:color w:val="auto"/>
          <w:sz w:val="24"/>
          <w:szCs w:val="32"/>
          <w:highlight w:val="none"/>
        </w:rPr>
        <w:fldChar w:fldCharType="end"/>
      </w:r>
    </w:p>
    <w:p w14:paraId="13011C54">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"_Toc43475954" </w:instrText>
      </w:r>
      <w:r>
        <w:rPr>
          <w:color w:val="auto"/>
          <w:sz w:val="24"/>
          <w:szCs w:val="32"/>
          <w:highlight w:val="none"/>
        </w:rPr>
        <w:fldChar w:fldCharType="separate"/>
      </w:r>
      <w:r>
        <w:rPr>
          <w:rStyle w:val="49"/>
          <w:rFonts w:ascii="宋体" w:hAnsi="宋体" w:cs="宋体"/>
          <w:color w:val="auto"/>
          <w:sz w:val="21"/>
          <w:szCs w:val="21"/>
          <w:highlight w:val="none"/>
        </w:rPr>
        <w:t>13</w:t>
      </w:r>
      <w:r>
        <w:rPr>
          <w:rStyle w:val="49"/>
          <w:rFonts w:hint="eastAsia" w:ascii="宋体" w:hAnsi="宋体" w:cs="宋体"/>
          <w:color w:val="auto"/>
          <w:sz w:val="21"/>
          <w:szCs w:val="21"/>
          <w:highlight w:val="none"/>
        </w:rPr>
        <w:t>.工程质量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_Toc43475954 \h </w:instrText>
      </w:r>
      <w:r>
        <w:rPr>
          <w:color w:val="auto"/>
          <w:sz w:val="24"/>
          <w:szCs w:val="32"/>
          <w:highlight w:val="none"/>
        </w:rPr>
        <w:fldChar w:fldCharType="separate"/>
      </w:r>
      <w:r>
        <w:rPr>
          <w:color w:val="auto"/>
          <w:sz w:val="24"/>
          <w:szCs w:val="32"/>
          <w:highlight w:val="none"/>
        </w:rPr>
        <w:t>117</w:t>
      </w:r>
      <w:r>
        <w:rPr>
          <w:color w:val="auto"/>
          <w:sz w:val="24"/>
          <w:szCs w:val="32"/>
          <w:highlight w:val="none"/>
        </w:rPr>
        <w:fldChar w:fldCharType="end"/>
      </w:r>
      <w:r>
        <w:rPr>
          <w:color w:val="auto"/>
          <w:sz w:val="24"/>
          <w:szCs w:val="32"/>
          <w:highlight w:val="none"/>
        </w:rPr>
        <w:fldChar w:fldCharType="end"/>
      </w:r>
    </w:p>
    <w:p w14:paraId="0DA403B3">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"_Toc43475960" </w:instrText>
      </w:r>
      <w:r>
        <w:rPr>
          <w:color w:val="auto"/>
          <w:sz w:val="24"/>
          <w:szCs w:val="32"/>
          <w:highlight w:val="none"/>
        </w:rPr>
        <w:fldChar w:fldCharType="separate"/>
      </w:r>
      <w:r>
        <w:rPr>
          <w:rStyle w:val="49"/>
          <w:rFonts w:ascii="宋体" w:hAnsi="宋体" w:cs="宋体"/>
          <w:color w:val="auto"/>
          <w:sz w:val="21"/>
          <w:szCs w:val="21"/>
          <w:highlight w:val="none"/>
        </w:rPr>
        <w:t>14</w:t>
      </w:r>
      <w:r>
        <w:rPr>
          <w:rStyle w:val="49"/>
          <w:rFonts w:hint="eastAsia" w:ascii="宋体" w:hAnsi="宋体" w:cs="宋体"/>
          <w:color w:val="auto"/>
          <w:sz w:val="21"/>
          <w:szCs w:val="21"/>
          <w:highlight w:val="none"/>
        </w:rPr>
        <w:t>.试验和检验</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_Toc43475960 \h </w:instrText>
      </w:r>
      <w:r>
        <w:rPr>
          <w:color w:val="auto"/>
          <w:sz w:val="24"/>
          <w:szCs w:val="32"/>
          <w:highlight w:val="none"/>
        </w:rPr>
        <w:fldChar w:fldCharType="separate"/>
      </w:r>
      <w:r>
        <w:rPr>
          <w:color w:val="auto"/>
          <w:sz w:val="24"/>
          <w:szCs w:val="32"/>
          <w:highlight w:val="none"/>
        </w:rPr>
        <w:t>119</w:t>
      </w:r>
      <w:r>
        <w:rPr>
          <w:color w:val="auto"/>
          <w:sz w:val="24"/>
          <w:szCs w:val="32"/>
          <w:highlight w:val="none"/>
        </w:rPr>
        <w:fldChar w:fldCharType="end"/>
      </w:r>
      <w:r>
        <w:rPr>
          <w:color w:val="auto"/>
          <w:sz w:val="24"/>
          <w:szCs w:val="32"/>
          <w:highlight w:val="none"/>
        </w:rPr>
        <w:fldChar w:fldCharType="end"/>
      </w:r>
    </w:p>
    <w:p w14:paraId="5C6A0815">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"_Toc43475962" </w:instrText>
      </w:r>
      <w:r>
        <w:rPr>
          <w:color w:val="auto"/>
          <w:sz w:val="24"/>
          <w:szCs w:val="32"/>
          <w:highlight w:val="none"/>
        </w:rPr>
        <w:fldChar w:fldCharType="separate"/>
      </w:r>
      <w:r>
        <w:rPr>
          <w:rStyle w:val="49"/>
          <w:rFonts w:ascii="宋体" w:hAnsi="宋体" w:cs="宋体"/>
          <w:color w:val="auto"/>
          <w:sz w:val="21"/>
          <w:szCs w:val="21"/>
          <w:highlight w:val="none"/>
        </w:rPr>
        <w:t>15</w:t>
      </w:r>
      <w:r>
        <w:rPr>
          <w:rStyle w:val="49"/>
          <w:rFonts w:hint="eastAsia" w:ascii="宋体" w:hAnsi="宋体" w:cs="宋体"/>
          <w:color w:val="auto"/>
          <w:sz w:val="21"/>
          <w:szCs w:val="21"/>
          <w:highlight w:val="none"/>
        </w:rPr>
        <w:t>.变更</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_Toc43475962 \h </w:instrText>
      </w:r>
      <w:r>
        <w:rPr>
          <w:color w:val="auto"/>
          <w:sz w:val="24"/>
          <w:szCs w:val="32"/>
          <w:highlight w:val="none"/>
        </w:rPr>
        <w:fldChar w:fldCharType="separate"/>
      </w:r>
      <w:r>
        <w:rPr>
          <w:color w:val="auto"/>
          <w:sz w:val="24"/>
          <w:szCs w:val="32"/>
          <w:highlight w:val="none"/>
        </w:rPr>
        <w:t>119</w:t>
      </w:r>
      <w:r>
        <w:rPr>
          <w:color w:val="auto"/>
          <w:sz w:val="24"/>
          <w:szCs w:val="32"/>
          <w:highlight w:val="none"/>
        </w:rPr>
        <w:fldChar w:fldCharType="end"/>
      </w:r>
      <w:r>
        <w:rPr>
          <w:color w:val="auto"/>
          <w:sz w:val="24"/>
          <w:szCs w:val="32"/>
          <w:highlight w:val="none"/>
        </w:rPr>
        <w:fldChar w:fldCharType="end"/>
      </w:r>
    </w:p>
    <w:p w14:paraId="09849F74">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"_Toc43475968" </w:instrText>
      </w:r>
      <w:r>
        <w:rPr>
          <w:color w:val="auto"/>
          <w:sz w:val="24"/>
          <w:szCs w:val="32"/>
          <w:highlight w:val="none"/>
        </w:rPr>
        <w:fldChar w:fldCharType="separate"/>
      </w:r>
      <w:r>
        <w:rPr>
          <w:rStyle w:val="49"/>
          <w:rFonts w:ascii="宋体" w:hAnsi="宋体" w:cs="宋体"/>
          <w:color w:val="auto"/>
          <w:sz w:val="21"/>
          <w:szCs w:val="21"/>
          <w:highlight w:val="none"/>
        </w:rPr>
        <w:t>16.</w:t>
      </w:r>
      <w:r>
        <w:rPr>
          <w:rStyle w:val="49"/>
          <w:rFonts w:hint="eastAsia" w:ascii="宋体" w:hAnsi="宋体" w:cs="宋体"/>
          <w:color w:val="auto"/>
          <w:sz w:val="21"/>
          <w:szCs w:val="21"/>
          <w:highlight w:val="none"/>
        </w:rPr>
        <w:t>价格调整</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_Toc43475968 \h </w:instrText>
      </w:r>
      <w:r>
        <w:rPr>
          <w:color w:val="auto"/>
          <w:sz w:val="24"/>
          <w:szCs w:val="32"/>
          <w:highlight w:val="none"/>
        </w:rPr>
        <w:fldChar w:fldCharType="separate"/>
      </w:r>
      <w:r>
        <w:rPr>
          <w:color w:val="auto"/>
          <w:sz w:val="24"/>
          <w:szCs w:val="32"/>
          <w:highlight w:val="none"/>
        </w:rPr>
        <w:t>120</w:t>
      </w:r>
      <w:r>
        <w:rPr>
          <w:color w:val="auto"/>
          <w:sz w:val="24"/>
          <w:szCs w:val="32"/>
          <w:highlight w:val="none"/>
        </w:rPr>
        <w:fldChar w:fldCharType="end"/>
      </w:r>
      <w:r>
        <w:rPr>
          <w:color w:val="auto"/>
          <w:sz w:val="24"/>
          <w:szCs w:val="32"/>
          <w:highlight w:val="none"/>
        </w:rPr>
        <w:fldChar w:fldCharType="end"/>
      </w:r>
    </w:p>
    <w:p w14:paraId="2A984703">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"_Toc43475970" </w:instrText>
      </w:r>
      <w:r>
        <w:rPr>
          <w:color w:val="auto"/>
          <w:sz w:val="24"/>
          <w:szCs w:val="32"/>
          <w:highlight w:val="none"/>
        </w:rPr>
        <w:fldChar w:fldCharType="separate"/>
      </w:r>
      <w:r>
        <w:rPr>
          <w:rStyle w:val="49"/>
          <w:rFonts w:ascii="宋体" w:hAnsi="宋体" w:cs="宋体"/>
          <w:color w:val="auto"/>
          <w:sz w:val="21"/>
          <w:szCs w:val="21"/>
          <w:highlight w:val="none"/>
        </w:rPr>
        <w:t>17.</w:t>
      </w:r>
      <w:r>
        <w:rPr>
          <w:rStyle w:val="49"/>
          <w:rFonts w:hint="eastAsia" w:ascii="宋体" w:hAnsi="宋体" w:cs="宋体"/>
          <w:color w:val="auto"/>
          <w:sz w:val="21"/>
          <w:szCs w:val="21"/>
          <w:highlight w:val="none"/>
        </w:rPr>
        <w:t>计量与支付</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_Toc43475970 \h </w:instrText>
      </w:r>
      <w:r>
        <w:rPr>
          <w:color w:val="auto"/>
          <w:sz w:val="24"/>
          <w:szCs w:val="32"/>
          <w:highlight w:val="none"/>
        </w:rPr>
        <w:fldChar w:fldCharType="separate"/>
      </w:r>
      <w:r>
        <w:rPr>
          <w:color w:val="auto"/>
          <w:sz w:val="24"/>
          <w:szCs w:val="32"/>
          <w:highlight w:val="none"/>
        </w:rPr>
        <w:t>121</w:t>
      </w:r>
      <w:r>
        <w:rPr>
          <w:color w:val="auto"/>
          <w:sz w:val="24"/>
          <w:szCs w:val="32"/>
          <w:highlight w:val="none"/>
        </w:rPr>
        <w:fldChar w:fldCharType="end"/>
      </w:r>
      <w:r>
        <w:rPr>
          <w:color w:val="auto"/>
          <w:sz w:val="24"/>
          <w:szCs w:val="32"/>
          <w:highlight w:val="none"/>
        </w:rPr>
        <w:fldChar w:fldCharType="end"/>
      </w:r>
    </w:p>
    <w:p w14:paraId="1D895C14">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"_Toc43475977" </w:instrText>
      </w:r>
      <w:r>
        <w:rPr>
          <w:color w:val="auto"/>
          <w:sz w:val="24"/>
          <w:szCs w:val="32"/>
          <w:highlight w:val="none"/>
        </w:rPr>
        <w:fldChar w:fldCharType="separate"/>
      </w:r>
      <w:r>
        <w:rPr>
          <w:rStyle w:val="49"/>
          <w:rFonts w:ascii="宋体" w:hAnsi="宋体" w:cs="宋体"/>
          <w:color w:val="auto"/>
          <w:sz w:val="21"/>
          <w:szCs w:val="21"/>
          <w:highlight w:val="none"/>
        </w:rPr>
        <w:t>18</w:t>
      </w:r>
      <w:r>
        <w:rPr>
          <w:rStyle w:val="49"/>
          <w:rFonts w:hint="eastAsia" w:ascii="宋体" w:hAnsi="宋体" w:cs="宋体"/>
          <w:color w:val="auto"/>
          <w:sz w:val="21"/>
          <w:szCs w:val="21"/>
          <w:highlight w:val="none"/>
        </w:rPr>
        <w:t>.交工验收</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_Toc43475977 \h </w:instrText>
      </w:r>
      <w:r>
        <w:rPr>
          <w:color w:val="auto"/>
          <w:sz w:val="24"/>
          <w:szCs w:val="32"/>
          <w:highlight w:val="none"/>
        </w:rPr>
        <w:fldChar w:fldCharType="separate"/>
      </w:r>
      <w:r>
        <w:rPr>
          <w:color w:val="auto"/>
          <w:sz w:val="24"/>
          <w:szCs w:val="32"/>
          <w:highlight w:val="none"/>
        </w:rPr>
        <w:t>124</w:t>
      </w:r>
      <w:r>
        <w:rPr>
          <w:color w:val="auto"/>
          <w:sz w:val="24"/>
          <w:szCs w:val="32"/>
          <w:highlight w:val="none"/>
        </w:rPr>
        <w:fldChar w:fldCharType="end"/>
      </w:r>
      <w:r>
        <w:rPr>
          <w:color w:val="auto"/>
          <w:sz w:val="24"/>
          <w:szCs w:val="32"/>
          <w:highlight w:val="none"/>
        </w:rPr>
        <w:fldChar w:fldCharType="end"/>
      </w:r>
    </w:p>
    <w:p w14:paraId="1EE067F1">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"_Toc43475981" </w:instrText>
      </w:r>
      <w:r>
        <w:rPr>
          <w:color w:val="auto"/>
          <w:sz w:val="24"/>
          <w:szCs w:val="32"/>
          <w:highlight w:val="none"/>
        </w:rPr>
        <w:fldChar w:fldCharType="separate"/>
      </w:r>
      <w:r>
        <w:rPr>
          <w:rStyle w:val="49"/>
          <w:rFonts w:ascii="宋体" w:hAnsi="宋体" w:cs="宋体"/>
          <w:color w:val="auto"/>
          <w:sz w:val="21"/>
          <w:szCs w:val="21"/>
          <w:highlight w:val="none"/>
        </w:rPr>
        <w:t>19</w:t>
      </w:r>
      <w:r>
        <w:rPr>
          <w:rStyle w:val="49"/>
          <w:rFonts w:hint="eastAsia" w:ascii="宋体" w:hAnsi="宋体" w:cs="宋体"/>
          <w:color w:val="auto"/>
          <w:sz w:val="21"/>
          <w:szCs w:val="21"/>
          <w:highlight w:val="none"/>
        </w:rPr>
        <w:t>.缺陷责任与保修责任</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_Toc43475981 \h </w:instrText>
      </w:r>
      <w:r>
        <w:rPr>
          <w:color w:val="auto"/>
          <w:sz w:val="24"/>
          <w:szCs w:val="32"/>
          <w:highlight w:val="none"/>
        </w:rPr>
        <w:fldChar w:fldCharType="separate"/>
      </w:r>
      <w:r>
        <w:rPr>
          <w:color w:val="auto"/>
          <w:sz w:val="24"/>
          <w:szCs w:val="32"/>
          <w:highlight w:val="none"/>
        </w:rPr>
        <w:t>124</w:t>
      </w:r>
      <w:r>
        <w:rPr>
          <w:color w:val="auto"/>
          <w:sz w:val="24"/>
          <w:szCs w:val="32"/>
          <w:highlight w:val="none"/>
        </w:rPr>
        <w:fldChar w:fldCharType="end"/>
      </w:r>
      <w:r>
        <w:rPr>
          <w:color w:val="auto"/>
          <w:sz w:val="24"/>
          <w:szCs w:val="32"/>
          <w:highlight w:val="none"/>
        </w:rPr>
        <w:fldChar w:fldCharType="end"/>
      </w:r>
    </w:p>
    <w:p w14:paraId="4DFD5885">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"_Toc43475985" </w:instrText>
      </w:r>
      <w:r>
        <w:rPr>
          <w:color w:val="auto"/>
          <w:sz w:val="24"/>
          <w:szCs w:val="32"/>
          <w:highlight w:val="none"/>
        </w:rPr>
        <w:fldChar w:fldCharType="separate"/>
      </w:r>
      <w:r>
        <w:rPr>
          <w:rStyle w:val="49"/>
          <w:rFonts w:ascii="宋体" w:hAnsi="宋体" w:cs="宋体"/>
          <w:color w:val="auto"/>
          <w:sz w:val="21"/>
          <w:szCs w:val="21"/>
          <w:highlight w:val="none"/>
        </w:rPr>
        <w:t>20.</w:t>
      </w:r>
      <w:r>
        <w:rPr>
          <w:rStyle w:val="49"/>
          <w:rFonts w:hint="eastAsia" w:ascii="宋体" w:hAnsi="宋体" w:cs="宋体"/>
          <w:color w:val="auto"/>
          <w:sz w:val="21"/>
          <w:szCs w:val="21"/>
          <w:highlight w:val="none"/>
        </w:rPr>
        <w:t>保险</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_Toc43475985 \h </w:instrText>
      </w:r>
      <w:r>
        <w:rPr>
          <w:color w:val="auto"/>
          <w:sz w:val="24"/>
          <w:szCs w:val="32"/>
          <w:highlight w:val="none"/>
        </w:rPr>
        <w:fldChar w:fldCharType="separate"/>
      </w:r>
      <w:r>
        <w:rPr>
          <w:color w:val="auto"/>
          <w:sz w:val="24"/>
          <w:szCs w:val="32"/>
          <w:highlight w:val="none"/>
        </w:rPr>
        <w:t>125</w:t>
      </w:r>
      <w:r>
        <w:rPr>
          <w:color w:val="auto"/>
          <w:sz w:val="24"/>
          <w:szCs w:val="32"/>
          <w:highlight w:val="none"/>
        </w:rPr>
        <w:fldChar w:fldCharType="end"/>
      </w:r>
      <w:r>
        <w:rPr>
          <w:color w:val="auto"/>
          <w:sz w:val="24"/>
          <w:szCs w:val="32"/>
          <w:highlight w:val="none"/>
        </w:rPr>
        <w:fldChar w:fldCharType="end"/>
      </w:r>
    </w:p>
    <w:p w14:paraId="175B81A3">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"_Toc43475990" </w:instrText>
      </w:r>
      <w:r>
        <w:rPr>
          <w:color w:val="auto"/>
          <w:sz w:val="24"/>
          <w:szCs w:val="32"/>
          <w:highlight w:val="none"/>
        </w:rPr>
        <w:fldChar w:fldCharType="separate"/>
      </w:r>
      <w:r>
        <w:rPr>
          <w:rStyle w:val="49"/>
          <w:rFonts w:ascii="宋体" w:hAnsi="宋体" w:cs="宋体"/>
          <w:color w:val="auto"/>
          <w:sz w:val="21"/>
          <w:szCs w:val="21"/>
          <w:highlight w:val="none"/>
        </w:rPr>
        <w:t>21</w:t>
      </w:r>
      <w:r>
        <w:rPr>
          <w:rStyle w:val="49"/>
          <w:rFonts w:hint="eastAsia" w:ascii="宋体" w:hAnsi="宋体" w:cs="宋体"/>
          <w:color w:val="auto"/>
          <w:sz w:val="21"/>
          <w:szCs w:val="21"/>
          <w:highlight w:val="none"/>
        </w:rPr>
        <w:t>.不可抗力</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_Toc43475990 \h </w:instrText>
      </w:r>
      <w:r>
        <w:rPr>
          <w:color w:val="auto"/>
          <w:sz w:val="24"/>
          <w:szCs w:val="32"/>
          <w:highlight w:val="none"/>
        </w:rPr>
        <w:fldChar w:fldCharType="separate"/>
      </w:r>
      <w:r>
        <w:rPr>
          <w:color w:val="auto"/>
          <w:sz w:val="24"/>
          <w:szCs w:val="32"/>
          <w:highlight w:val="none"/>
        </w:rPr>
        <w:t>126</w:t>
      </w:r>
      <w:r>
        <w:rPr>
          <w:color w:val="auto"/>
          <w:sz w:val="24"/>
          <w:szCs w:val="32"/>
          <w:highlight w:val="none"/>
        </w:rPr>
        <w:fldChar w:fldCharType="end"/>
      </w:r>
      <w:r>
        <w:rPr>
          <w:color w:val="auto"/>
          <w:sz w:val="24"/>
          <w:szCs w:val="32"/>
          <w:highlight w:val="none"/>
        </w:rPr>
        <w:fldChar w:fldCharType="end"/>
      </w:r>
    </w:p>
    <w:p w14:paraId="7AE644CB">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"_Toc43475993" </w:instrText>
      </w:r>
      <w:r>
        <w:rPr>
          <w:color w:val="auto"/>
          <w:sz w:val="24"/>
          <w:szCs w:val="32"/>
          <w:highlight w:val="none"/>
        </w:rPr>
        <w:fldChar w:fldCharType="separate"/>
      </w:r>
      <w:r>
        <w:rPr>
          <w:rStyle w:val="49"/>
          <w:rFonts w:ascii="宋体" w:hAnsi="宋体" w:cs="宋体"/>
          <w:color w:val="auto"/>
          <w:sz w:val="21"/>
          <w:szCs w:val="21"/>
          <w:highlight w:val="none"/>
        </w:rPr>
        <w:t>22</w:t>
      </w:r>
      <w:r>
        <w:rPr>
          <w:rStyle w:val="49"/>
          <w:rFonts w:hint="eastAsia" w:ascii="宋体" w:hAnsi="宋体" w:cs="宋体"/>
          <w:color w:val="auto"/>
          <w:sz w:val="21"/>
          <w:szCs w:val="21"/>
          <w:highlight w:val="none"/>
        </w:rPr>
        <w:t>.违约</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_Toc43475993 \h </w:instrText>
      </w:r>
      <w:r>
        <w:rPr>
          <w:color w:val="auto"/>
          <w:sz w:val="24"/>
          <w:szCs w:val="32"/>
          <w:highlight w:val="none"/>
        </w:rPr>
        <w:fldChar w:fldCharType="separate"/>
      </w:r>
      <w:r>
        <w:rPr>
          <w:color w:val="auto"/>
          <w:sz w:val="24"/>
          <w:szCs w:val="32"/>
          <w:highlight w:val="none"/>
        </w:rPr>
        <w:t>127</w:t>
      </w:r>
      <w:r>
        <w:rPr>
          <w:color w:val="auto"/>
          <w:sz w:val="24"/>
          <w:szCs w:val="32"/>
          <w:highlight w:val="none"/>
        </w:rPr>
        <w:fldChar w:fldCharType="end"/>
      </w:r>
      <w:r>
        <w:rPr>
          <w:color w:val="auto"/>
          <w:sz w:val="24"/>
          <w:szCs w:val="32"/>
          <w:highlight w:val="none"/>
        </w:rPr>
        <w:fldChar w:fldCharType="end"/>
      </w:r>
    </w:p>
    <w:p w14:paraId="5F8CBC69">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"_Toc43475996" </w:instrText>
      </w:r>
      <w:r>
        <w:rPr>
          <w:color w:val="auto"/>
          <w:sz w:val="24"/>
          <w:szCs w:val="32"/>
          <w:highlight w:val="none"/>
        </w:rPr>
        <w:fldChar w:fldCharType="separate"/>
      </w:r>
      <w:r>
        <w:rPr>
          <w:rStyle w:val="49"/>
          <w:rFonts w:ascii="宋体" w:hAnsi="宋体" w:cs="宋体"/>
          <w:color w:val="auto"/>
          <w:sz w:val="21"/>
          <w:szCs w:val="21"/>
          <w:highlight w:val="none"/>
        </w:rPr>
        <w:t>23.</w:t>
      </w:r>
      <w:r>
        <w:rPr>
          <w:rStyle w:val="49"/>
          <w:rFonts w:hint="eastAsia" w:ascii="宋体" w:hAnsi="宋体" w:cs="宋体"/>
          <w:color w:val="auto"/>
          <w:sz w:val="21"/>
          <w:szCs w:val="21"/>
          <w:highlight w:val="none"/>
        </w:rPr>
        <w:t>索赔</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_Toc43475996 \h </w:instrText>
      </w:r>
      <w:r>
        <w:rPr>
          <w:color w:val="auto"/>
          <w:sz w:val="24"/>
          <w:szCs w:val="32"/>
          <w:highlight w:val="none"/>
        </w:rPr>
        <w:fldChar w:fldCharType="separate"/>
      </w:r>
      <w:r>
        <w:rPr>
          <w:color w:val="auto"/>
          <w:sz w:val="24"/>
          <w:szCs w:val="32"/>
          <w:highlight w:val="none"/>
        </w:rPr>
        <w:t>128</w:t>
      </w:r>
      <w:r>
        <w:rPr>
          <w:color w:val="auto"/>
          <w:sz w:val="24"/>
          <w:szCs w:val="32"/>
          <w:highlight w:val="none"/>
        </w:rPr>
        <w:fldChar w:fldCharType="end"/>
      </w:r>
      <w:r>
        <w:rPr>
          <w:color w:val="auto"/>
          <w:sz w:val="24"/>
          <w:szCs w:val="32"/>
          <w:highlight w:val="none"/>
        </w:rPr>
        <w:fldChar w:fldCharType="end"/>
      </w:r>
    </w:p>
    <w:p w14:paraId="2EAD2FAE">
      <w:pPr>
        <w:pStyle w:val="28"/>
        <w:tabs>
          <w:tab w:val="right" w:leader="dot" w:pos="10200"/>
        </w:tabs>
        <w:spacing w:line="250" w:lineRule="exact"/>
        <w:ind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"_Toc43475999" </w:instrText>
      </w:r>
      <w:r>
        <w:rPr>
          <w:color w:val="auto"/>
          <w:sz w:val="24"/>
          <w:szCs w:val="32"/>
          <w:highlight w:val="none"/>
        </w:rPr>
        <w:fldChar w:fldCharType="separate"/>
      </w:r>
      <w:r>
        <w:rPr>
          <w:rStyle w:val="49"/>
          <w:rFonts w:ascii="宋体" w:hAnsi="宋体" w:cs="宋体"/>
          <w:color w:val="auto"/>
          <w:sz w:val="21"/>
          <w:szCs w:val="21"/>
          <w:highlight w:val="none"/>
        </w:rPr>
        <w:t>24</w:t>
      </w:r>
      <w:r>
        <w:rPr>
          <w:rStyle w:val="49"/>
          <w:rFonts w:hint="eastAsia" w:ascii="宋体" w:hAnsi="宋体" w:cs="宋体"/>
          <w:color w:val="auto"/>
          <w:sz w:val="21"/>
          <w:szCs w:val="21"/>
          <w:highlight w:val="none"/>
        </w:rPr>
        <w:t>.争议的解决</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_Toc43475999 \h </w:instrText>
      </w:r>
      <w:r>
        <w:rPr>
          <w:color w:val="auto"/>
          <w:sz w:val="24"/>
          <w:szCs w:val="32"/>
          <w:highlight w:val="none"/>
        </w:rPr>
        <w:fldChar w:fldCharType="separate"/>
      </w:r>
      <w:r>
        <w:rPr>
          <w:color w:val="auto"/>
          <w:sz w:val="24"/>
          <w:szCs w:val="32"/>
          <w:highlight w:val="none"/>
        </w:rPr>
        <w:t>128</w:t>
      </w:r>
      <w:r>
        <w:rPr>
          <w:color w:val="auto"/>
          <w:sz w:val="24"/>
          <w:szCs w:val="32"/>
          <w:highlight w:val="none"/>
        </w:rPr>
        <w:fldChar w:fldCharType="end"/>
      </w:r>
      <w:r>
        <w:rPr>
          <w:color w:val="auto"/>
          <w:sz w:val="24"/>
          <w:szCs w:val="32"/>
          <w:highlight w:val="none"/>
        </w:rPr>
        <w:fldChar w:fldCharType="end"/>
      </w:r>
    </w:p>
    <w:p w14:paraId="084A93D7">
      <w:pPr>
        <w:pStyle w:val="33"/>
        <w:tabs>
          <w:tab w:val="right" w:leader="dot" w:pos="10200"/>
        </w:tabs>
        <w:spacing w:line="250" w:lineRule="exact"/>
        <w:ind w:left="0" w:leftChars="0" w:firstLine="960" w:firstLineChars="400"/>
        <w:rPr>
          <w:color w:val="auto"/>
          <w:sz w:val="24"/>
          <w:szCs w:val="32"/>
          <w:highlight w:val="none"/>
        </w:rPr>
      </w:pPr>
      <w:r>
        <w:rPr>
          <w:color w:val="auto"/>
          <w:sz w:val="24"/>
          <w:szCs w:val="32"/>
          <w:highlight w:val="none"/>
        </w:rPr>
        <w:fldChar w:fldCharType="begin"/>
      </w:r>
      <w:r>
        <w:rPr>
          <w:color w:val="auto"/>
          <w:sz w:val="24"/>
          <w:szCs w:val="32"/>
          <w:highlight w:val="none"/>
        </w:rPr>
        <w:instrText xml:space="preserve"> HYPERLINK \l "_Toc43476003" </w:instrText>
      </w:r>
      <w:r>
        <w:rPr>
          <w:color w:val="auto"/>
          <w:sz w:val="24"/>
          <w:szCs w:val="32"/>
          <w:highlight w:val="none"/>
        </w:rPr>
        <w:fldChar w:fldCharType="separate"/>
      </w:r>
      <w:r>
        <w:rPr>
          <w:rStyle w:val="49"/>
          <w:color w:val="auto"/>
          <w:sz w:val="21"/>
          <w:szCs w:val="21"/>
          <w:highlight w:val="none"/>
        </w:rPr>
        <w:t>B.</w:t>
      </w:r>
      <w:r>
        <w:rPr>
          <w:rStyle w:val="49"/>
          <w:rFonts w:hint="eastAsia"/>
          <w:color w:val="auto"/>
          <w:sz w:val="21"/>
          <w:szCs w:val="21"/>
          <w:highlight w:val="none"/>
        </w:rPr>
        <w:t>项目专用合同条款</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_Toc43476003 \h </w:instrText>
      </w:r>
      <w:r>
        <w:rPr>
          <w:color w:val="auto"/>
          <w:sz w:val="24"/>
          <w:szCs w:val="32"/>
          <w:highlight w:val="none"/>
        </w:rPr>
        <w:fldChar w:fldCharType="separate"/>
      </w:r>
      <w:r>
        <w:rPr>
          <w:color w:val="auto"/>
          <w:sz w:val="24"/>
          <w:szCs w:val="32"/>
          <w:highlight w:val="none"/>
        </w:rPr>
        <w:t>130</w:t>
      </w:r>
      <w:r>
        <w:rPr>
          <w:color w:val="auto"/>
          <w:sz w:val="24"/>
          <w:szCs w:val="32"/>
          <w:highlight w:val="none"/>
        </w:rPr>
        <w:fldChar w:fldCharType="end"/>
      </w:r>
      <w:r>
        <w:rPr>
          <w:color w:val="auto"/>
          <w:sz w:val="24"/>
          <w:szCs w:val="32"/>
          <w:highlight w:val="none"/>
        </w:rPr>
        <w:fldChar w:fldCharType="end"/>
      </w:r>
    </w:p>
    <w:p w14:paraId="4CCE1082">
      <w:pPr>
        <w:pStyle w:val="33"/>
        <w:tabs>
          <w:tab w:val="right" w:leader="dot" w:pos="10200"/>
        </w:tabs>
        <w:spacing w:line="250" w:lineRule="exact"/>
        <w:ind w:left="0" w:leftChars="0" w:firstLine="960" w:firstLineChars="4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"_Toc43476004" </w:instrText>
      </w:r>
      <w:r>
        <w:rPr>
          <w:color w:val="auto"/>
          <w:sz w:val="24"/>
          <w:szCs w:val="32"/>
          <w:highlight w:val="none"/>
        </w:rPr>
        <w:fldChar w:fldCharType="separate"/>
      </w:r>
      <w:r>
        <w:rPr>
          <w:rStyle w:val="49"/>
          <w:rFonts w:hint="eastAsia"/>
          <w:color w:val="auto"/>
          <w:sz w:val="21"/>
          <w:szCs w:val="21"/>
          <w:highlight w:val="none"/>
        </w:rPr>
        <w:t>项目专用条款数据表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_Toc43476004 \h </w:instrText>
      </w:r>
      <w:r>
        <w:rPr>
          <w:color w:val="auto"/>
          <w:sz w:val="24"/>
          <w:szCs w:val="32"/>
          <w:highlight w:val="none"/>
        </w:rPr>
        <w:fldChar w:fldCharType="separate"/>
      </w:r>
      <w:r>
        <w:rPr>
          <w:color w:val="auto"/>
          <w:sz w:val="24"/>
          <w:szCs w:val="32"/>
          <w:highlight w:val="none"/>
        </w:rPr>
        <w:t>131</w:t>
      </w:r>
      <w:r>
        <w:rPr>
          <w:color w:val="auto"/>
          <w:sz w:val="24"/>
          <w:szCs w:val="32"/>
          <w:highlight w:val="none"/>
        </w:rPr>
        <w:fldChar w:fldCharType="end"/>
      </w:r>
      <w:r>
        <w:rPr>
          <w:color w:val="auto"/>
          <w:sz w:val="24"/>
          <w:szCs w:val="32"/>
          <w:highlight w:val="none"/>
        </w:rPr>
        <w:fldChar w:fldCharType="end"/>
      </w:r>
    </w:p>
    <w:p w14:paraId="0F9908E6">
      <w:pPr>
        <w:pStyle w:val="28"/>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"_Toc43476005" </w:instrText>
      </w:r>
      <w:r>
        <w:rPr>
          <w:color w:val="auto"/>
          <w:sz w:val="24"/>
          <w:szCs w:val="32"/>
          <w:highlight w:val="none"/>
        </w:rPr>
        <w:fldChar w:fldCharType="separate"/>
      </w:r>
      <w:r>
        <w:rPr>
          <w:rStyle w:val="49"/>
          <w:rFonts w:hint="eastAsia" w:ascii="宋体" w:hAnsi="宋体"/>
          <w:color w:val="auto"/>
          <w:sz w:val="21"/>
          <w:szCs w:val="21"/>
          <w:highlight w:val="none"/>
        </w:rPr>
        <w:t>第三节合同附件格式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_Toc43476005 \h </w:instrText>
      </w:r>
      <w:r>
        <w:rPr>
          <w:color w:val="auto"/>
          <w:sz w:val="24"/>
          <w:szCs w:val="32"/>
          <w:highlight w:val="none"/>
        </w:rPr>
        <w:fldChar w:fldCharType="separate"/>
      </w:r>
      <w:r>
        <w:rPr>
          <w:color w:val="auto"/>
          <w:sz w:val="24"/>
          <w:szCs w:val="32"/>
          <w:highlight w:val="none"/>
        </w:rPr>
        <w:t>183</w:t>
      </w:r>
      <w:r>
        <w:rPr>
          <w:color w:val="auto"/>
          <w:sz w:val="24"/>
          <w:szCs w:val="32"/>
          <w:highlight w:val="none"/>
        </w:rPr>
        <w:fldChar w:fldCharType="end"/>
      </w:r>
      <w:r>
        <w:rPr>
          <w:color w:val="auto"/>
          <w:sz w:val="24"/>
          <w:szCs w:val="32"/>
          <w:highlight w:val="none"/>
        </w:rPr>
        <w:fldChar w:fldCharType="end"/>
      </w:r>
    </w:p>
    <w:p w14:paraId="04550A83">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"_Toc43476006" </w:instrText>
      </w:r>
      <w:r>
        <w:rPr>
          <w:color w:val="auto"/>
          <w:sz w:val="24"/>
          <w:szCs w:val="32"/>
          <w:highlight w:val="none"/>
        </w:rPr>
        <w:fldChar w:fldCharType="separate"/>
      </w:r>
      <w:r>
        <w:rPr>
          <w:rStyle w:val="49"/>
          <w:rFonts w:hint="eastAsia" w:ascii="宋体" w:hAnsi="宋体"/>
          <w:color w:val="auto"/>
          <w:sz w:val="21"/>
          <w:szCs w:val="21"/>
          <w:highlight w:val="none"/>
        </w:rPr>
        <w:t>附件一</w:t>
      </w:r>
      <w:r>
        <w:rPr>
          <w:rStyle w:val="49"/>
          <w:rFonts w:hint="eastAsia" w:ascii="宋体" w:hAnsi="宋体"/>
          <w:color w:val="auto"/>
          <w:sz w:val="21"/>
          <w:szCs w:val="21"/>
          <w:highlight w:val="none"/>
          <w:lang w:val="en-US" w:eastAsia="zh-CN"/>
        </w:rPr>
        <w:t xml:space="preserve"> </w:t>
      </w:r>
      <w:r>
        <w:rPr>
          <w:rStyle w:val="49"/>
          <w:rFonts w:hint="eastAsia" w:ascii="宋体" w:hAnsi="宋体"/>
          <w:color w:val="auto"/>
          <w:sz w:val="21"/>
          <w:szCs w:val="21"/>
          <w:highlight w:val="none"/>
        </w:rPr>
        <w:t>合同协议书</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_Toc43476006 \h </w:instrText>
      </w:r>
      <w:r>
        <w:rPr>
          <w:color w:val="auto"/>
          <w:sz w:val="24"/>
          <w:szCs w:val="32"/>
          <w:highlight w:val="none"/>
        </w:rPr>
        <w:fldChar w:fldCharType="separate"/>
      </w:r>
      <w:r>
        <w:rPr>
          <w:color w:val="auto"/>
          <w:sz w:val="24"/>
          <w:szCs w:val="32"/>
          <w:highlight w:val="none"/>
        </w:rPr>
        <w:t>183</w:t>
      </w:r>
      <w:r>
        <w:rPr>
          <w:color w:val="auto"/>
          <w:sz w:val="24"/>
          <w:szCs w:val="32"/>
          <w:highlight w:val="none"/>
        </w:rPr>
        <w:fldChar w:fldCharType="end"/>
      </w:r>
      <w:r>
        <w:rPr>
          <w:color w:val="auto"/>
          <w:sz w:val="24"/>
          <w:szCs w:val="32"/>
          <w:highlight w:val="none"/>
        </w:rPr>
        <w:fldChar w:fldCharType="end"/>
      </w:r>
    </w:p>
    <w:p w14:paraId="4984A290">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"_Toc43476007" </w:instrText>
      </w:r>
      <w:r>
        <w:rPr>
          <w:color w:val="auto"/>
          <w:sz w:val="24"/>
          <w:szCs w:val="32"/>
          <w:highlight w:val="none"/>
        </w:rPr>
        <w:fldChar w:fldCharType="separate"/>
      </w:r>
      <w:r>
        <w:rPr>
          <w:rStyle w:val="49"/>
          <w:rFonts w:hint="eastAsia" w:ascii="宋体" w:hAnsi="宋体"/>
          <w:color w:val="auto"/>
          <w:sz w:val="21"/>
          <w:szCs w:val="21"/>
          <w:highlight w:val="none"/>
        </w:rPr>
        <w:t>附件二</w:t>
      </w:r>
      <w:r>
        <w:rPr>
          <w:rStyle w:val="49"/>
          <w:rFonts w:hint="eastAsia" w:ascii="宋体" w:hAnsi="宋体"/>
          <w:color w:val="auto"/>
          <w:sz w:val="21"/>
          <w:szCs w:val="21"/>
          <w:highlight w:val="none"/>
          <w:lang w:val="en-US" w:eastAsia="zh-CN"/>
        </w:rPr>
        <w:t xml:space="preserve"> </w:t>
      </w:r>
      <w:r>
        <w:rPr>
          <w:rStyle w:val="49"/>
          <w:rFonts w:hint="eastAsia" w:ascii="宋体" w:hAnsi="宋体"/>
          <w:color w:val="auto"/>
          <w:sz w:val="21"/>
          <w:szCs w:val="21"/>
          <w:highlight w:val="none"/>
        </w:rPr>
        <w:t>廉政合同</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_Toc43476007 \h </w:instrText>
      </w:r>
      <w:r>
        <w:rPr>
          <w:color w:val="auto"/>
          <w:sz w:val="24"/>
          <w:szCs w:val="32"/>
          <w:highlight w:val="none"/>
        </w:rPr>
        <w:fldChar w:fldCharType="separate"/>
      </w:r>
      <w:r>
        <w:rPr>
          <w:color w:val="auto"/>
          <w:sz w:val="24"/>
          <w:szCs w:val="32"/>
          <w:highlight w:val="none"/>
        </w:rPr>
        <w:t>185</w:t>
      </w:r>
      <w:r>
        <w:rPr>
          <w:color w:val="auto"/>
          <w:sz w:val="24"/>
          <w:szCs w:val="32"/>
          <w:highlight w:val="none"/>
        </w:rPr>
        <w:fldChar w:fldCharType="end"/>
      </w:r>
      <w:r>
        <w:rPr>
          <w:color w:val="auto"/>
          <w:sz w:val="24"/>
          <w:szCs w:val="32"/>
          <w:highlight w:val="none"/>
        </w:rPr>
        <w:fldChar w:fldCharType="end"/>
      </w:r>
    </w:p>
    <w:p w14:paraId="5B791EA2">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"_Toc43476008" </w:instrText>
      </w:r>
      <w:r>
        <w:rPr>
          <w:color w:val="auto"/>
          <w:sz w:val="24"/>
          <w:szCs w:val="32"/>
          <w:highlight w:val="none"/>
        </w:rPr>
        <w:fldChar w:fldCharType="separate"/>
      </w:r>
      <w:r>
        <w:rPr>
          <w:rStyle w:val="49"/>
          <w:rFonts w:hint="eastAsia" w:ascii="宋体" w:hAnsi="宋体"/>
          <w:color w:val="auto"/>
          <w:sz w:val="21"/>
          <w:szCs w:val="21"/>
          <w:highlight w:val="none"/>
        </w:rPr>
        <w:t>附件三</w:t>
      </w:r>
      <w:r>
        <w:rPr>
          <w:rStyle w:val="49"/>
          <w:rFonts w:hint="eastAsia" w:ascii="宋体" w:hAnsi="宋体"/>
          <w:color w:val="auto"/>
          <w:sz w:val="21"/>
          <w:szCs w:val="21"/>
          <w:highlight w:val="none"/>
          <w:lang w:val="en-US" w:eastAsia="zh-CN"/>
        </w:rPr>
        <w:t xml:space="preserve"> </w:t>
      </w:r>
      <w:r>
        <w:rPr>
          <w:rStyle w:val="49"/>
          <w:rFonts w:hint="eastAsia" w:ascii="宋体" w:hAnsi="宋体"/>
          <w:color w:val="auto"/>
          <w:sz w:val="21"/>
          <w:szCs w:val="21"/>
          <w:highlight w:val="none"/>
        </w:rPr>
        <w:t>安全生产合同</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_Toc43476008 \h </w:instrText>
      </w:r>
      <w:r>
        <w:rPr>
          <w:color w:val="auto"/>
          <w:sz w:val="24"/>
          <w:szCs w:val="32"/>
          <w:highlight w:val="none"/>
        </w:rPr>
        <w:fldChar w:fldCharType="separate"/>
      </w:r>
      <w:r>
        <w:rPr>
          <w:color w:val="auto"/>
          <w:sz w:val="24"/>
          <w:szCs w:val="32"/>
          <w:highlight w:val="none"/>
        </w:rPr>
        <w:t>187</w:t>
      </w:r>
      <w:r>
        <w:rPr>
          <w:color w:val="auto"/>
          <w:sz w:val="24"/>
          <w:szCs w:val="32"/>
          <w:highlight w:val="none"/>
        </w:rPr>
        <w:fldChar w:fldCharType="end"/>
      </w:r>
      <w:r>
        <w:rPr>
          <w:color w:val="auto"/>
          <w:sz w:val="24"/>
          <w:szCs w:val="32"/>
          <w:highlight w:val="none"/>
        </w:rPr>
        <w:fldChar w:fldCharType="end"/>
      </w:r>
    </w:p>
    <w:p w14:paraId="1F687CA7">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"_Toc43476009" </w:instrText>
      </w:r>
      <w:r>
        <w:rPr>
          <w:color w:val="auto"/>
          <w:sz w:val="24"/>
          <w:szCs w:val="32"/>
          <w:highlight w:val="none"/>
        </w:rPr>
        <w:fldChar w:fldCharType="separate"/>
      </w:r>
      <w:r>
        <w:rPr>
          <w:rStyle w:val="49"/>
          <w:rFonts w:hint="eastAsia" w:ascii="宋体" w:hAnsi="宋体"/>
          <w:color w:val="auto"/>
          <w:sz w:val="21"/>
          <w:szCs w:val="21"/>
          <w:highlight w:val="none"/>
        </w:rPr>
        <w:t>附件四</w:t>
      </w:r>
      <w:r>
        <w:rPr>
          <w:rStyle w:val="49"/>
          <w:rFonts w:hint="eastAsia" w:ascii="宋体" w:hAnsi="宋体"/>
          <w:color w:val="auto"/>
          <w:sz w:val="21"/>
          <w:szCs w:val="21"/>
          <w:highlight w:val="none"/>
          <w:lang w:val="en-US" w:eastAsia="zh-CN"/>
        </w:rPr>
        <w:t xml:space="preserve"> </w:t>
      </w:r>
      <w:r>
        <w:rPr>
          <w:rStyle w:val="49"/>
          <w:rFonts w:hint="eastAsia" w:ascii="宋体" w:hAnsi="宋体"/>
          <w:color w:val="auto"/>
          <w:sz w:val="21"/>
          <w:szCs w:val="21"/>
          <w:highlight w:val="none"/>
        </w:rPr>
        <w:t>其他管理人员和技术人员最低要求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_Toc43476009 \h </w:instrText>
      </w:r>
      <w:r>
        <w:rPr>
          <w:color w:val="auto"/>
          <w:sz w:val="24"/>
          <w:szCs w:val="32"/>
          <w:highlight w:val="none"/>
        </w:rPr>
        <w:fldChar w:fldCharType="separate"/>
      </w:r>
      <w:r>
        <w:rPr>
          <w:color w:val="auto"/>
          <w:sz w:val="24"/>
          <w:szCs w:val="32"/>
          <w:highlight w:val="none"/>
        </w:rPr>
        <w:t>189</w:t>
      </w:r>
      <w:r>
        <w:rPr>
          <w:color w:val="auto"/>
          <w:sz w:val="24"/>
          <w:szCs w:val="32"/>
          <w:highlight w:val="none"/>
        </w:rPr>
        <w:fldChar w:fldCharType="end"/>
      </w:r>
      <w:r>
        <w:rPr>
          <w:color w:val="auto"/>
          <w:sz w:val="24"/>
          <w:szCs w:val="32"/>
          <w:highlight w:val="none"/>
        </w:rPr>
        <w:fldChar w:fldCharType="end"/>
      </w:r>
    </w:p>
    <w:p w14:paraId="4088B48E">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"_Toc43476010" </w:instrText>
      </w:r>
      <w:r>
        <w:rPr>
          <w:color w:val="auto"/>
          <w:sz w:val="24"/>
          <w:szCs w:val="32"/>
          <w:highlight w:val="none"/>
        </w:rPr>
        <w:fldChar w:fldCharType="separate"/>
      </w:r>
      <w:r>
        <w:rPr>
          <w:rStyle w:val="49"/>
          <w:rFonts w:hint="eastAsia" w:ascii="宋体" w:hAnsi="宋体"/>
          <w:color w:val="auto"/>
          <w:sz w:val="21"/>
          <w:szCs w:val="21"/>
          <w:highlight w:val="none"/>
        </w:rPr>
        <w:t>附件五</w:t>
      </w:r>
      <w:r>
        <w:rPr>
          <w:rStyle w:val="49"/>
          <w:rFonts w:hint="eastAsia" w:ascii="宋体" w:hAnsi="宋体"/>
          <w:color w:val="auto"/>
          <w:sz w:val="21"/>
          <w:szCs w:val="21"/>
          <w:highlight w:val="none"/>
          <w:lang w:val="en-US" w:eastAsia="zh-CN"/>
        </w:rPr>
        <w:t xml:space="preserve"> </w:t>
      </w:r>
      <w:r>
        <w:rPr>
          <w:rStyle w:val="49"/>
          <w:rFonts w:hint="eastAsia" w:ascii="宋体" w:hAnsi="宋体"/>
          <w:color w:val="auto"/>
          <w:sz w:val="21"/>
          <w:szCs w:val="21"/>
          <w:highlight w:val="none"/>
        </w:rPr>
        <w:t>主要设备最低要求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_Toc43476010 \h </w:instrText>
      </w:r>
      <w:r>
        <w:rPr>
          <w:color w:val="auto"/>
          <w:sz w:val="24"/>
          <w:szCs w:val="32"/>
          <w:highlight w:val="none"/>
        </w:rPr>
        <w:fldChar w:fldCharType="separate"/>
      </w:r>
      <w:r>
        <w:rPr>
          <w:color w:val="auto"/>
          <w:sz w:val="24"/>
          <w:szCs w:val="32"/>
          <w:highlight w:val="none"/>
        </w:rPr>
        <w:t>190</w:t>
      </w:r>
      <w:r>
        <w:rPr>
          <w:color w:val="auto"/>
          <w:sz w:val="24"/>
          <w:szCs w:val="32"/>
          <w:highlight w:val="none"/>
        </w:rPr>
        <w:fldChar w:fldCharType="end"/>
      </w:r>
      <w:r>
        <w:rPr>
          <w:color w:val="auto"/>
          <w:sz w:val="24"/>
          <w:szCs w:val="32"/>
          <w:highlight w:val="none"/>
        </w:rPr>
        <w:fldChar w:fldCharType="end"/>
      </w:r>
    </w:p>
    <w:p w14:paraId="1682B350">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"_Toc43476012" </w:instrText>
      </w:r>
      <w:r>
        <w:rPr>
          <w:color w:val="auto"/>
          <w:sz w:val="24"/>
          <w:szCs w:val="32"/>
          <w:highlight w:val="none"/>
        </w:rPr>
        <w:fldChar w:fldCharType="separate"/>
      </w:r>
      <w:r>
        <w:rPr>
          <w:rStyle w:val="49"/>
          <w:rFonts w:hint="eastAsia"/>
          <w:color w:val="auto"/>
          <w:sz w:val="21"/>
          <w:szCs w:val="21"/>
          <w:highlight w:val="none"/>
        </w:rPr>
        <w:t>附件六</w:t>
      </w:r>
      <w:r>
        <w:rPr>
          <w:rStyle w:val="49"/>
          <w:rFonts w:hint="eastAsia"/>
          <w:color w:val="auto"/>
          <w:sz w:val="21"/>
          <w:szCs w:val="21"/>
          <w:highlight w:val="none"/>
          <w:lang w:val="en-US" w:eastAsia="zh-CN"/>
        </w:rPr>
        <w:t xml:space="preserve"> </w:t>
      </w:r>
      <w:r>
        <w:rPr>
          <w:rStyle w:val="49"/>
          <w:rFonts w:hint="eastAsia"/>
          <w:color w:val="auto"/>
          <w:sz w:val="21"/>
          <w:szCs w:val="21"/>
          <w:highlight w:val="none"/>
        </w:rPr>
        <w:t>项目经理委托书</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_Toc43476012 \h </w:instrText>
      </w:r>
      <w:r>
        <w:rPr>
          <w:color w:val="auto"/>
          <w:sz w:val="24"/>
          <w:szCs w:val="32"/>
          <w:highlight w:val="none"/>
        </w:rPr>
        <w:fldChar w:fldCharType="separate"/>
      </w:r>
      <w:r>
        <w:rPr>
          <w:color w:val="auto"/>
          <w:sz w:val="24"/>
          <w:szCs w:val="32"/>
          <w:highlight w:val="none"/>
        </w:rPr>
        <w:t>191</w:t>
      </w:r>
      <w:r>
        <w:rPr>
          <w:color w:val="auto"/>
          <w:sz w:val="24"/>
          <w:szCs w:val="32"/>
          <w:highlight w:val="none"/>
        </w:rPr>
        <w:fldChar w:fldCharType="end"/>
      </w:r>
      <w:r>
        <w:rPr>
          <w:color w:val="auto"/>
          <w:sz w:val="24"/>
          <w:szCs w:val="32"/>
          <w:highlight w:val="none"/>
        </w:rPr>
        <w:fldChar w:fldCharType="end"/>
      </w:r>
    </w:p>
    <w:p w14:paraId="3F345F4A">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"_Toc43476013" </w:instrText>
      </w:r>
      <w:r>
        <w:rPr>
          <w:color w:val="auto"/>
          <w:sz w:val="24"/>
          <w:szCs w:val="32"/>
          <w:highlight w:val="none"/>
        </w:rPr>
        <w:fldChar w:fldCharType="separate"/>
      </w:r>
      <w:r>
        <w:rPr>
          <w:rStyle w:val="49"/>
          <w:rFonts w:hint="eastAsia" w:ascii="宋体" w:hAnsi="宋体"/>
          <w:color w:val="auto"/>
          <w:sz w:val="21"/>
          <w:szCs w:val="21"/>
          <w:highlight w:val="none"/>
        </w:rPr>
        <w:t>附件七</w:t>
      </w:r>
      <w:r>
        <w:rPr>
          <w:rStyle w:val="49"/>
          <w:rFonts w:hint="eastAsia" w:ascii="宋体" w:hAnsi="宋体"/>
          <w:color w:val="auto"/>
          <w:sz w:val="21"/>
          <w:szCs w:val="21"/>
          <w:highlight w:val="none"/>
          <w:lang w:val="en-US" w:eastAsia="zh-CN"/>
        </w:rPr>
        <w:t xml:space="preserve"> </w:t>
      </w:r>
      <w:r>
        <w:rPr>
          <w:rStyle w:val="49"/>
          <w:rFonts w:hint="eastAsia" w:ascii="宋体" w:hAnsi="宋体"/>
          <w:color w:val="auto"/>
          <w:sz w:val="21"/>
          <w:szCs w:val="21"/>
          <w:highlight w:val="none"/>
        </w:rPr>
        <w:t>履约担保格式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_Toc43476013 \h </w:instrText>
      </w:r>
      <w:r>
        <w:rPr>
          <w:color w:val="auto"/>
          <w:sz w:val="24"/>
          <w:szCs w:val="32"/>
          <w:highlight w:val="none"/>
        </w:rPr>
        <w:fldChar w:fldCharType="separate"/>
      </w:r>
      <w:r>
        <w:rPr>
          <w:color w:val="auto"/>
          <w:sz w:val="24"/>
          <w:szCs w:val="32"/>
          <w:highlight w:val="none"/>
        </w:rPr>
        <w:t>192</w:t>
      </w:r>
      <w:r>
        <w:rPr>
          <w:color w:val="auto"/>
          <w:sz w:val="24"/>
          <w:szCs w:val="32"/>
          <w:highlight w:val="none"/>
        </w:rPr>
        <w:fldChar w:fldCharType="end"/>
      </w:r>
      <w:r>
        <w:rPr>
          <w:color w:val="auto"/>
          <w:sz w:val="24"/>
          <w:szCs w:val="32"/>
          <w:highlight w:val="none"/>
        </w:rPr>
        <w:fldChar w:fldCharType="end"/>
      </w:r>
    </w:p>
    <w:p w14:paraId="216A7CE4">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"_Toc43476014" </w:instrText>
      </w:r>
      <w:r>
        <w:rPr>
          <w:color w:val="auto"/>
          <w:sz w:val="24"/>
          <w:szCs w:val="32"/>
          <w:highlight w:val="none"/>
        </w:rPr>
        <w:fldChar w:fldCharType="separate"/>
      </w:r>
      <w:r>
        <w:rPr>
          <w:rStyle w:val="49"/>
          <w:rFonts w:hint="eastAsia" w:ascii="宋体" w:hAnsi="宋体"/>
          <w:color w:val="auto"/>
          <w:sz w:val="21"/>
          <w:szCs w:val="21"/>
          <w:highlight w:val="none"/>
        </w:rPr>
        <w:t>附件八</w:t>
      </w:r>
      <w:r>
        <w:rPr>
          <w:rStyle w:val="49"/>
          <w:rFonts w:hint="eastAsia" w:ascii="宋体" w:hAnsi="宋体"/>
          <w:color w:val="auto"/>
          <w:sz w:val="21"/>
          <w:szCs w:val="21"/>
          <w:highlight w:val="none"/>
          <w:lang w:val="en-US" w:eastAsia="zh-CN"/>
        </w:rPr>
        <w:t xml:space="preserve"> </w:t>
      </w:r>
      <w:r>
        <w:rPr>
          <w:rStyle w:val="49"/>
          <w:rFonts w:hint="eastAsia" w:ascii="宋体" w:hAnsi="宋体"/>
          <w:color w:val="auto"/>
          <w:sz w:val="21"/>
          <w:szCs w:val="21"/>
          <w:highlight w:val="none"/>
        </w:rPr>
        <w:t>工程资金监管协议格式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_Toc43476014 \h </w:instrText>
      </w:r>
      <w:r>
        <w:rPr>
          <w:color w:val="auto"/>
          <w:sz w:val="24"/>
          <w:szCs w:val="32"/>
          <w:highlight w:val="none"/>
        </w:rPr>
        <w:fldChar w:fldCharType="separate"/>
      </w:r>
      <w:r>
        <w:rPr>
          <w:color w:val="auto"/>
          <w:sz w:val="24"/>
          <w:szCs w:val="32"/>
          <w:highlight w:val="none"/>
        </w:rPr>
        <w:t>193</w:t>
      </w:r>
      <w:r>
        <w:rPr>
          <w:color w:val="auto"/>
          <w:sz w:val="24"/>
          <w:szCs w:val="32"/>
          <w:highlight w:val="none"/>
        </w:rPr>
        <w:fldChar w:fldCharType="end"/>
      </w:r>
      <w:r>
        <w:rPr>
          <w:color w:val="auto"/>
          <w:sz w:val="24"/>
          <w:szCs w:val="32"/>
          <w:highlight w:val="none"/>
        </w:rPr>
        <w:fldChar w:fldCharType="end"/>
      </w:r>
    </w:p>
    <w:p w14:paraId="65D580DE">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"_Toc43476015" </w:instrText>
      </w:r>
      <w:r>
        <w:rPr>
          <w:color w:val="auto"/>
          <w:sz w:val="24"/>
          <w:szCs w:val="32"/>
          <w:highlight w:val="none"/>
        </w:rPr>
        <w:fldChar w:fldCharType="separate"/>
      </w:r>
      <w:r>
        <w:rPr>
          <w:rStyle w:val="49"/>
          <w:rFonts w:hint="eastAsia" w:ascii="宋体" w:hAnsi="宋体"/>
          <w:color w:val="auto"/>
          <w:sz w:val="21"/>
          <w:szCs w:val="21"/>
          <w:highlight w:val="none"/>
        </w:rPr>
        <w:t>附件九 特殊材料设备供应一览表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_Toc43476015 \h </w:instrText>
      </w:r>
      <w:r>
        <w:rPr>
          <w:color w:val="auto"/>
          <w:sz w:val="24"/>
          <w:szCs w:val="32"/>
          <w:highlight w:val="none"/>
        </w:rPr>
        <w:fldChar w:fldCharType="separate"/>
      </w:r>
      <w:r>
        <w:rPr>
          <w:color w:val="auto"/>
          <w:sz w:val="24"/>
          <w:szCs w:val="32"/>
          <w:highlight w:val="none"/>
        </w:rPr>
        <w:t>195</w:t>
      </w:r>
      <w:r>
        <w:rPr>
          <w:color w:val="auto"/>
          <w:sz w:val="24"/>
          <w:szCs w:val="32"/>
          <w:highlight w:val="none"/>
        </w:rPr>
        <w:fldChar w:fldCharType="end"/>
      </w:r>
      <w:r>
        <w:rPr>
          <w:color w:val="auto"/>
          <w:sz w:val="24"/>
          <w:szCs w:val="32"/>
          <w:highlight w:val="none"/>
        </w:rPr>
        <w:fldChar w:fldCharType="end"/>
      </w:r>
    </w:p>
    <w:p w14:paraId="37173A07">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"_Toc43476016" </w:instrText>
      </w:r>
      <w:r>
        <w:rPr>
          <w:color w:val="auto"/>
          <w:sz w:val="24"/>
          <w:szCs w:val="32"/>
          <w:highlight w:val="none"/>
        </w:rPr>
        <w:fldChar w:fldCharType="separate"/>
      </w:r>
      <w:r>
        <w:rPr>
          <w:rStyle w:val="49"/>
          <w:rFonts w:hint="eastAsia" w:ascii="宋体" w:hAnsi="宋体"/>
          <w:color w:val="auto"/>
          <w:sz w:val="21"/>
          <w:szCs w:val="21"/>
          <w:highlight w:val="none"/>
        </w:rPr>
        <w:t>附件十 统一采购供应材料一览表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_Toc43476016 \h </w:instrText>
      </w:r>
      <w:r>
        <w:rPr>
          <w:color w:val="auto"/>
          <w:sz w:val="24"/>
          <w:szCs w:val="32"/>
          <w:highlight w:val="none"/>
        </w:rPr>
        <w:fldChar w:fldCharType="separate"/>
      </w:r>
      <w:r>
        <w:rPr>
          <w:color w:val="auto"/>
          <w:sz w:val="24"/>
          <w:szCs w:val="32"/>
          <w:highlight w:val="none"/>
        </w:rPr>
        <w:t>196</w:t>
      </w:r>
      <w:r>
        <w:rPr>
          <w:color w:val="auto"/>
          <w:sz w:val="24"/>
          <w:szCs w:val="32"/>
          <w:highlight w:val="none"/>
        </w:rPr>
        <w:fldChar w:fldCharType="end"/>
      </w:r>
      <w:r>
        <w:rPr>
          <w:color w:val="auto"/>
          <w:sz w:val="24"/>
          <w:szCs w:val="32"/>
          <w:highlight w:val="none"/>
        </w:rPr>
        <w:fldChar w:fldCharType="end"/>
      </w:r>
    </w:p>
    <w:p w14:paraId="01FDF047">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"_Toc43476017" </w:instrText>
      </w:r>
      <w:r>
        <w:rPr>
          <w:color w:val="auto"/>
          <w:sz w:val="24"/>
          <w:szCs w:val="32"/>
          <w:highlight w:val="none"/>
        </w:rPr>
        <w:fldChar w:fldCharType="separate"/>
      </w:r>
      <w:r>
        <w:rPr>
          <w:rStyle w:val="49"/>
          <w:rFonts w:hint="eastAsia" w:ascii="宋体" w:hAnsi="宋体"/>
          <w:color w:val="auto"/>
          <w:sz w:val="21"/>
          <w:szCs w:val="21"/>
          <w:highlight w:val="none"/>
        </w:rPr>
        <w:t>附件十一</w:t>
      </w:r>
      <w:r>
        <w:rPr>
          <w:rStyle w:val="49"/>
          <w:rFonts w:hint="eastAsia" w:ascii="宋体" w:hAnsi="宋体"/>
          <w:color w:val="auto"/>
          <w:sz w:val="21"/>
          <w:szCs w:val="21"/>
          <w:highlight w:val="none"/>
          <w:lang w:val="en-US" w:eastAsia="zh-CN"/>
        </w:rPr>
        <w:t xml:space="preserve"> </w:t>
      </w:r>
      <w:r>
        <w:rPr>
          <w:rStyle w:val="49"/>
          <w:rFonts w:hint="eastAsia" w:ascii="宋体" w:hAnsi="宋体"/>
          <w:color w:val="auto"/>
          <w:sz w:val="21"/>
          <w:szCs w:val="21"/>
          <w:highlight w:val="none"/>
        </w:rPr>
        <w:t>承包人违约金一览表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_Toc43476017 \h </w:instrText>
      </w:r>
      <w:r>
        <w:rPr>
          <w:color w:val="auto"/>
          <w:sz w:val="24"/>
          <w:szCs w:val="32"/>
          <w:highlight w:val="none"/>
        </w:rPr>
        <w:fldChar w:fldCharType="separate"/>
      </w:r>
      <w:r>
        <w:rPr>
          <w:color w:val="auto"/>
          <w:sz w:val="24"/>
          <w:szCs w:val="32"/>
          <w:highlight w:val="none"/>
        </w:rPr>
        <w:t>197</w:t>
      </w:r>
      <w:r>
        <w:rPr>
          <w:color w:val="auto"/>
          <w:sz w:val="24"/>
          <w:szCs w:val="32"/>
          <w:highlight w:val="none"/>
        </w:rPr>
        <w:fldChar w:fldCharType="end"/>
      </w:r>
      <w:r>
        <w:rPr>
          <w:color w:val="auto"/>
          <w:sz w:val="24"/>
          <w:szCs w:val="32"/>
          <w:highlight w:val="none"/>
        </w:rPr>
        <w:fldChar w:fldCharType="end"/>
      </w:r>
    </w:p>
    <w:p w14:paraId="1BBE6EFB">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"_Toc43476018" </w:instrText>
      </w:r>
      <w:r>
        <w:rPr>
          <w:color w:val="auto"/>
          <w:sz w:val="24"/>
          <w:szCs w:val="32"/>
          <w:highlight w:val="none"/>
        </w:rPr>
        <w:fldChar w:fldCharType="separate"/>
      </w:r>
      <w:r>
        <w:rPr>
          <w:rStyle w:val="49"/>
          <w:rFonts w:hint="eastAsia"/>
          <w:color w:val="auto"/>
          <w:sz w:val="21"/>
          <w:szCs w:val="21"/>
          <w:highlight w:val="none"/>
        </w:rPr>
        <w:t>附件十二</w:t>
      </w:r>
      <w:r>
        <w:rPr>
          <w:rStyle w:val="49"/>
          <w:rFonts w:hint="eastAsia"/>
          <w:color w:val="auto"/>
          <w:sz w:val="21"/>
          <w:szCs w:val="21"/>
          <w:highlight w:val="none"/>
          <w:lang w:val="en-US" w:eastAsia="zh-CN"/>
        </w:rPr>
        <w:t xml:space="preserve"> </w:t>
      </w:r>
      <w:r>
        <w:rPr>
          <w:rStyle w:val="49"/>
          <w:rFonts w:hint="eastAsia"/>
          <w:color w:val="auto"/>
          <w:sz w:val="21"/>
          <w:szCs w:val="21"/>
          <w:highlight w:val="none"/>
        </w:rPr>
        <w:t>工程质量、安全及文明施工处罚项目一览表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_Toc43476018 \h </w:instrText>
      </w:r>
      <w:r>
        <w:rPr>
          <w:color w:val="auto"/>
          <w:sz w:val="24"/>
          <w:szCs w:val="32"/>
          <w:highlight w:val="none"/>
        </w:rPr>
        <w:fldChar w:fldCharType="separate"/>
      </w:r>
      <w:r>
        <w:rPr>
          <w:color w:val="auto"/>
          <w:sz w:val="24"/>
          <w:szCs w:val="32"/>
          <w:highlight w:val="none"/>
        </w:rPr>
        <w:t>199</w:t>
      </w:r>
      <w:r>
        <w:rPr>
          <w:color w:val="auto"/>
          <w:sz w:val="24"/>
          <w:szCs w:val="32"/>
          <w:highlight w:val="none"/>
        </w:rPr>
        <w:fldChar w:fldCharType="end"/>
      </w:r>
      <w:r>
        <w:rPr>
          <w:color w:val="auto"/>
          <w:sz w:val="24"/>
          <w:szCs w:val="32"/>
          <w:highlight w:val="none"/>
        </w:rPr>
        <w:fldChar w:fldCharType="end"/>
      </w:r>
    </w:p>
    <w:p w14:paraId="1CB055FB">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"_Toc43476019" </w:instrText>
      </w:r>
      <w:r>
        <w:rPr>
          <w:color w:val="auto"/>
          <w:sz w:val="24"/>
          <w:szCs w:val="32"/>
          <w:highlight w:val="none"/>
        </w:rPr>
        <w:fldChar w:fldCharType="separate"/>
      </w:r>
      <w:r>
        <w:rPr>
          <w:rStyle w:val="49"/>
          <w:rFonts w:hint="eastAsia"/>
          <w:color w:val="auto"/>
          <w:sz w:val="21"/>
          <w:szCs w:val="21"/>
          <w:highlight w:val="none"/>
        </w:rPr>
        <w:t>附件十三</w:t>
      </w:r>
      <w:r>
        <w:rPr>
          <w:rStyle w:val="49"/>
          <w:rFonts w:hint="eastAsia"/>
          <w:color w:val="auto"/>
          <w:sz w:val="21"/>
          <w:szCs w:val="21"/>
          <w:highlight w:val="none"/>
          <w:lang w:val="en-US" w:eastAsia="zh-CN"/>
        </w:rPr>
        <w:t xml:space="preserve"> </w:t>
      </w:r>
      <w:r>
        <w:rPr>
          <w:rStyle w:val="49"/>
          <w:rFonts w:hint="eastAsia"/>
          <w:color w:val="auto"/>
          <w:sz w:val="21"/>
          <w:szCs w:val="21"/>
          <w:highlight w:val="none"/>
        </w:rPr>
        <w:t>建设工程农民工工资支付保证书</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_Toc43476019 \h </w:instrText>
      </w:r>
      <w:r>
        <w:rPr>
          <w:color w:val="auto"/>
          <w:sz w:val="24"/>
          <w:szCs w:val="32"/>
          <w:highlight w:val="none"/>
        </w:rPr>
        <w:fldChar w:fldCharType="separate"/>
      </w:r>
      <w:r>
        <w:rPr>
          <w:color w:val="auto"/>
          <w:sz w:val="24"/>
          <w:szCs w:val="32"/>
          <w:highlight w:val="none"/>
        </w:rPr>
        <w:t>207</w:t>
      </w:r>
      <w:r>
        <w:rPr>
          <w:color w:val="auto"/>
          <w:sz w:val="24"/>
          <w:szCs w:val="32"/>
          <w:highlight w:val="none"/>
        </w:rPr>
        <w:fldChar w:fldCharType="end"/>
      </w:r>
      <w:r>
        <w:rPr>
          <w:color w:val="auto"/>
          <w:sz w:val="24"/>
          <w:szCs w:val="32"/>
          <w:highlight w:val="none"/>
        </w:rPr>
        <w:fldChar w:fldCharType="end"/>
      </w:r>
    </w:p>
    <w:p w14:paraId="59AD5F60">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"_Toc43476020" </w:instrText>
      </w:r>
      <w:r>
        <w:rPr>
          <w:color w:val="auto"/>
          <w:sz w:val="24"/>
          <w:szCs w:val="32"/>
          <w:highlight w:val="none"/>
        </w:rPr>
        <w:fldChar w:fldCharType="separate"/>
      </w:r>
      <w:r>
        <w:rPr>
          <w:rStyle w:val="49"/>
          <w:rFonts w:hint="eastAsia"/>
          <w:color w:val="auto"/>
          <w:sz w:val="21"/>
          <w:szCs w:val="21"/>
          <w:highlight w:val="none"/>
        </w:rPr>
        <w:t>附件十四</w:t>
      </w:r>
      <w:r>
        <w:rPr>
          <w:rStyle w:val="49"/>
          <w:rFonts w:hint="eastAsia"/>
          <w:color w:val="auto"/>
          <w:sz w:val="21"/>
          <w:szCs w:val="21"/>
          <w:highlight w:val="none"/>
          <w:lang w:val="en-US" w:eastAsia="zh-CN"/>
        </w:rPr>
        <w:t xml:space="preserve"> </w:t>
      </w:r>
      <w:r>
        <w:rPr>
          <w:rStyle w:val="49"/>
          <w:rFonts w:hint="eastAsia"/>
          <w:color w:val="auto"/>
          <w:sz w:val="21"/>
          <w:szCs w:val="21"/>
          <w:highlight w:val="none"/>
        </w:rPr>
        <w:t>房屋建筑工程质量保修书</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_Toc43476020 \h </w:instrText>
      </w:r>
      <w:r>
        <w:rPr>
          <w:color w:val="auto"/>
          <w:sz w:val="24"/>
          <w:szCs w:val="32"/>
          <w:highlight w:val="none"/>
        </w:rPr>
        <w:fldChar w:fldCharType="separate"/>
      </w:r>
      <w:r>
        <w:rPr>
          <w:color w:val="auto"/>
          <w:sz w:val="24"/>
          <w:szCs w:val="32"/>
          <w:highlight w:val="none"/>
        </w:rPr>
        <w:t>209</w:t>
      </w:r>
      <w:r>
        <w:rPr>
          <w:color w:val="auto"/>
          <w:sz w:val="24"/>
          <w:szCs w:val="32"/>
          <w:highlight w:val="none"/>
        </w:rPr>
        <w:fldChar w:fldCharType="end"/>
      </w:r>
      <w:r>
        <w:rPr>
          <w:color w:val="auto"/>
          <w:sz w:val="24"/>
          <w:szCs w:val="32"/>
          <w:highlight w:val="none"/>
        </w:rPr>
        <w:fldChar w:fldCharType="end"/>
      </w:r>
    </w:p>
    <w:p w14:paraId="6A568523">
      <w:pPr>
        <w:pStyle w:val="33"/>
        <w:tabs>
          <w:tab w:val="right" w:leader="dot" w:pos="10200"/>
        </w:tabs>
        <w:spacing w:line="250" w:lineRule="exact"/>
        <w:ind w:firstLine="240" w:firstLineChars="100"/>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"_Toc43476022" </w:instrText>
      </w:r>
      <w:r>
        <w:rPr>
          <w:color w:val="auto"/>
          <w:sz w:val="24"/>
          <w:szCs w:val="32"/>
          <w:highlight w:val="none"/>
        </w:rPr>
        <w:fldChar w:fldCharType="separate"/>
      </w:r>
      <w:r>
        <w:rPr>
          <w:rStyle w:val="49"/>
          <w:rFonts w:hint="eastAsia"/>
          <w:color w:val="auto"/>
          <w:sz w:val="21"/>
          <w:szCs w:val="21"/>
          <w:highlight w:val="none"/>
        </w:rPr>
        <w:t>附件十五</w:t>
      </w:r>
      <w:r>
        <w:rPr>
          <w:rStyle w:val="49"/>
          <w:rFonts w:hint="eastAsia"/>
          <w:color w:val="auto"/>
          <w:sz w:val="21"/>
          <w:szCs w:val="21"/>
          <w:highlight w:val="none"/>
          <w:lang w:val="en-US" w:eastAsia="zh-CN"/>
        </w:rPr>
        <w:t xml:space="preserve"> </w:t>
      </w:r>
      <w:r>
        <w:rPr>
          <w:rStyle w:val="49"/>
          <w:rFonts w:hint="eastAsia"/>
          <w:color w:val="auto"/>
          <w:sz w:val="21"/>
          <w:szCs w:val="21"/>
          <w:highlight w:val="none"/>
        </w:rPr>
        <w:t>工程结算协议</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_Toc43476022 \h </w:instrText>
      </w:r>
      <w:r>
        <w:rPr>
          <w:color w:val="auto"/>
          <w:sz w:val="24"/>
          <w:szCs w:val="32"/>
          <w:highlight w:val="none"/>
        </w:rPr>
        <w:fldChar w:fldCharType="separate"/>
      </w:r>
      <w:r>
        <w:rPr>
          <w:color w:val="auto"/>
          <w:sz w:val="24"/>
          <w:szCs w:val="32"/>
          <w:highlight w:val="none"/>
        </w:rPr>
        <w:t>210</w:t>
      </w:r>
      <w:r>
        <w:rPr>
          <w:color w:val="auto"/>
          <w:sz w:val="24"/>
          <w:szCs w:val="32"/>
          <w:highlight w:val="none"/>
        </w:rPr>
        <w:fldChar w:fldCharType="end"/>
      </w:r>
      <w:r>
        <w:rPr>
          <w:color w:val="auto"/>
          <w:sz w:val="24"/>
          <w:szCs w:val="32"/>
          <w:highlight w:val="none"/>
        </w:rPr>
        <w:fldChar w:fldCharType="end"/>
      </w:r>
    </w:p>
    <w:p w14:paraId="7EB77304">
      <w:pPr>
        <w:pStyle w:val="28"/>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"_Toc43476023" </w:instrText>
      </w:r>
      <w:r>
        <w:rPr>
          <w:color w:val="auto"/>
          <w:sz w:val="24"/>
          <w:szCs w:val="32"/>
          <w:highlight w:val="none"/>
        </w:rPr>
        <w:fldChar w:fldCharType="separate"/>
      </w:r>
      <w:r>
        <w:rPr>
          <w:rStyle w:val="49"/>
          <w:rFonts w:hint="eastAsia" w:ascii="宋体" w:hAnsi="宋体"/>
          <w:color w:val="auto"/>
          <w:sz w:val="21"/>
          <w:szCs w:val="21"/>
          <w:highlight w:val="none"/>
        </w:rPr>
        <w:t>第五章工程量清单</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_Toc43476023 \h </w:instrText>
      </w:r>
      <w:r>
        <w:rPr>
          <w:color w:val="auto"/>
          <w:sz w:val="24"/>
          <w:szCs w:val="32"/>
          <w:highlight w:val="none"/>
        </w:rPr>
        <w:fldChar w:fldCharType="separate"/>
      </w:r>
      <w:r>
        <w:rPr>
          <w:color w:val="auto"/>
          <w:sz w:val="24"/>
          <w:szCs w:val="32"/>
          <w:highlight w:val="none"/>
        </w:rPr>
        <w:t>234</w:t>
      </w:r>
      <w:r>
        <w:rPr>
          <w:color w:val="auto"/>
          <w:sz w:val="24"/>
          <w:szCs w:val="32"/>
          <w:highlight w:val="none"/>
        </w:rPr>
        <w:fldChar w:fldCharType="end"/>
      </w:r>
      <w:r>
        <w:rPr>
          <w:color w:val="auto"/>
          <w:sz w:val="24"/>
          <w:szCs w:val="32"/>
          <w:highlight w:val="none"/>
        </w:rPr>
        <w:fldChar w:fldCharType="end"/>
      </w:r>
    </w:p>
    <w:p w14:paraId="6F0D4FA9">
      <w:pPr>
        <w:pStyle w:val="33"/>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"_Toc43476024" </w:instrText>
      </w:r>
      <w:r>
        <w:rPr>
          <w:color w:val="auto"/>
          <w:sz w:val="24"/>
          <w:szCs w:val="32"/>
          <w:highlight w:val="none"/>
        </w:rPr>
        <w:fldChar w:fldCharType="separate"/>
      </w:r>
      <w:r>
        <w:rPr>
          <w:rStyle w:val="49"/>
          <w:rFonts w:hint="eastAsia"/>
          <w:color w:val="auto"/>
          <w:sz w:val="21"/>
          <w:szCs w:val="21"/>
          <w:highlight w:val="none"/>
        </w:rPr>
        <w:t>工程量清单（另册）</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_Toc43476024 \h </w:instrText>
      </w:r>
      <w:r>
        <w:rPr>
          <w:color w:val="auto"/>
          <w:sz w:val="24"/>
          <w:szCs w:val="32"/>
          <w:highlight w:val="none"/>
        </w:rPr>
        <w:fldChar w:fldCharType="separate"/>
      </w:r>
      <w:r>
        <w:rPr>
          <w:color w:val="auto"/>
          <w:sz w:val="24"/>
          <w:szCs w:val="32"/>
          <w:highlight w:val="none"/>
        </w:rPr>
        <w:t>234</w:t>
      </w:r>
      <w:r>
        <w:rPr>
          <w:color w:val="auto"/>
          <w:sz w:val="24"/>
          <w:szCs w:val="32"/>
          <w:highlight w:val="none"/>
        </w:rPr>
        <w:fldChar w:fldCharType="end"/>
      </w:r>
      <w:r>
        <w:rPr>
          <w:color w:val="auto"/>
          <w:sz w:val="24"/>
          <w:szCs w:val="32"/>
          <w:highlight w:val="none"/>
        </w:rPr>
        <w:fldChar w:fldCharType="end"/>
      </w:r>
    </w:p>
    <w:p w14:paraId="763053EF">
      <w:pPr>
        <w:pStyle w:val="28"/>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"_Toc43476026" </w:instrText>
      </w:r>
      <w:r>
        <w:rPr>
          <w:color w:val="auto"/>
          <w:sz w:val="24"/>
          <w:szCs w:val="32"/>
          <w:highlight w:val="none"/>
        </w:rPr>
        <w:fldChar w:fldCharType="separate"/>
      </w:r>
      <w:r>
        <w:rPr>
          <w:rStyle w:val="49"/>
          <w:rFonts w:hint="eastAsia"/>
          <w:color w:val="auto"/>
          <w:sz w:val="21"/>
          <w:szCs w:val="21"/>
          <w:highlight w:val="none"/>
        </w:rPr>
        <w:t>第六章图纸（另册）</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_Toc43476026 \h </w:instrText>
      </w:r>
      <w:r>
        <w:rPr>
          <w:color w:val="auto"/>
          <w:sz w:val="24"/>
          <w:szCs w:val="32"/>
          <w:highlight w:val="none"/>
        </w:rPr>
        <w:fldChar w:fldCharType="separate"/>
      </w:r>
      <w:r>
        <w:rPr>
          <w:color w:val="auto"/>
          <w:sz w:val="24"/>
          <w:szCs w:val="32"/>
          <w:highlight w:val="none"/>
        </w:rPr>
        <w:t>236</w:t>
      </w:r>
      <w:r>
        <w:rPr>
          <w:color w:val="auto"/>
          <w:sz w:val="24"/>
          <w:szCs w:val="32"/>
          <w:highlight w:val="none"/>
        </w:rPr>
        <w:fldChar w:fldCharType="end"/>
      </w:r>
      <w:r>
        <w:rPr>
          <w:color w:val="auto"/>
          <w:sz w:val="24"/>
          <w:szCs w:val="32"/>
          <w:highlight w:val="none"/>
        </w:rPr>
        <w:fldChar w:fldCharType="end"/>
      </w:r>
    </w:p>
    <w:p w14:paraId="00E6723D">
      <w:pPr>
        <w:pStyle w:val="28"/>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"_Toc43476028" </w:instrText>
      </w:r>
      <w:r>
        <w:rPr>
          <w:color w:val="auto"/>
          <w:sz w:val="24"/>
          <w:szCs w:val="32"/>
          <w:highlight w:val="none"/>
        </w:rPr>
        <w:fldChar w:fldCharType="separate"/>
      </w:r>
      <w:r>
        <w:rPr>
          <w:rStyle w:val="49"/>
          <w:rFonts w:hint="eastAsia"/>
          <w:color w:val="auto"/>
          <w:sz w:val="21"/>
          <w:szCs w:val="21"/>
          <w:highlight w:val="none"/>
        </w:rPr>
        <w:t>第七章技术规范（自行收集）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_Toc43476028 \h </w:instrText>
      </w:r>
      <w:r>
        <w:rPr>
          <w:color w:val="auto"/>
          <w:sz w:val="24"/>
          <w:szCs w:val="32"/>
          <w:highlight w:val="none"/>
        </w:rPr>
        <w:fldChar w:fldCharType="separate"/>
      </w:r>
      <w:r>
        <w:rPr>
          <w:color w:val="auto"/>
          <w:sz w:val="24"/>
          <w:szCs w:val="32"/>
          <w:highlight w:val="none"/>
        </w:rPr>
        <w:t>238</w:t>
      </w:r>
      <w:r>
        <w:rPr>
          <w:color w:val="auto"/>
          <w:sz w:val="24"/>
          <w:szCs w:val="32"/>
          <w:highlight w:val="none"/>
        </w:rPr>
        <w:fldChar w:fldCharType="end"/>
      </w:r>
      <w:r>
        <w:rPr>
          <w:color w:val="auto"/>
          <w:sz w:val="24"/>
          <w:szCs w:val="32"/>
          <w:highlight w:val="none"/>
        </w:rPr>
        <w:fldChar w:fldCharType="end"/>
      </w:r>
    </w:p>
    <w:p w14:paraId="6A7090CE">
      <w:pPr>
        <w:pStyle w:val="28"/>
        <w:tabs>
          <w:tab w:val="right" w:leader="dot" w:pos="10200"/>
        </w:tabs>
        <w:spacing w:line="250" w:lineRule="exact"/>
        <w:rPr>
          <w:rFonts w:asciiTheme="minorHAnsi" w:hAnsiTheme="minorHAnsi" w:eastAsiaTheme="minorEastAsia" w:cstheme="minorBidi"/>
          <w:color w:val="auto"/>
          <w:sz w:val="24"/>
          <w:szCs w:val="28"/>
          <w:highlight w:val="none"/>
        </w:rPr>
      </w:pPr>
      <w:r>
        <w:rPr>
          <w:color w:val="auto"/>
          <w:sz w:val="24"/>
          <w:szCs w:val="32"/>
          <w:highlight w:val="none"/>
        </w:rPr>
        <w:fldChar w:fldCharType="begin"/>
      </w:r>
      <w:r>
        <w:rPr>
          <w:color w:val="auto"/>
          <w:sz w:val="24"/>
          <w:szCs w:val="32"/>
          <w:highlight w:val="none"/>
        </w:rPr>
        <w:instrText xml:space="preserve"> HYPERLINK \l "_Toc43476029" </w:instrText>
      </w:r>
      <w:r>
        <w:rPr>
          <w:color w:val="auto"/>
          <w:sz w:val="24"/>
          <w:szCs w:val="32"/>
          <w:highlight w:val="none"/>
        </w:rPr>
        <w:fldChar w:fldCharType="separate"/>
      </w:r>
      <w:r>
        <w:rPr>
          <w:rStyle w:val="49"/>
          <w:rFonts w:hint="eastAsia"/>
          <w:color w:val="auto"/>
          <w:sz w:val="21"/>
          <w:szCs w:val="21"/>
          <w:highlight w:val="none"/>
        </w:rPr>
        <w:t>第八章工程量清单计量规则</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_Toc43476029 \h </w:instrText>
      </w:r>
      <w:r>
        <w:rPr>
          <w:color w:val="auto"/>
          <w:sz w:val="24"/>
          <w:szCs w:val="32"/>
          <w:highlight w:val="none"/>
        </w:rPr>
        <w:fldChar w:fldCharType="separate"/>
      </w:r>
      <w:r>
        <w:rPr>
          <w:color w:val="auto"/>
          <w:sz w:val="24"/>
          <w:szCs w:val="32"/>
          <w:highlight w:val="none"/>
        </w:rPr>
        <w:t>239</w:t>
      </w:r>
      <w:r>
        <w:rPr>
          <w:color w:val="auto"/>
          <w:sz w:val="24"/>
          <w:szCs w:val="32"/>
          <w:highlight w:val="none"/>
        </w:rPr>
        <w:fldChar w:fldCharType="end"/>
      </w:r>
      <w:r>
        <w:rPr>
          <w:color w:val="auto"/>
          <w:sz w:val="24"/>
          <w:szCs w:val="32"/>
          <w:highlight w:val="none"/>
        </w:rPr>
        <w:fldChar w:fldCharType="end"/>
      </w:r>
    </w:p>
    <w:p w14:paraId="4DF512CB">
      <w:pPr>
        <w:pStyle w:val="28"/>
        <w:tabs>
          <w:tab w:val="right" w:leader="dot" w:pos="10200"/>
        </w:tabs>
        <w:spacing w:line="250" w:lineRule="exact"/>
        <w:rPr>
          <w:rFonts w:asciiTheme="minorHAnsi" w:hAnsiTheme="minorHAnsi" w:eastAsiaTheme="minorEastAsia" w:cstheme="minorBidi"/>
          <w:color w:val="auto"/>
          <w:szCs w:val="22"/>
          <w:highlight w:val="none"/>
        </w:rPr>
      </w:pPr>
      <w:r>
        <w:rPr>
          <w:color w:val="auto"/>
          <w:sz w:val="24"/>
          <w:szCs w:val="32"/>
          <w:highlight w:val="none"/>
        </w:rPr>
        <w:fldChar w:fldCharType="begin"/>
      </w:r>
      <w:r>
        <w:rPr>
          <w:color w:val="auto"/>
          <w:sz w:val="24"/>
          <w:szCs w:val="32"/>
          <w:highlight w:val="none"/>
        </w:rPr>
        <w:instrText xml:space="preserve"> HYPERLINK \l "_Toc43476031" </w:instrText>
      </w:r>
      <w:r>
        <w:rPr>
          <w:color w:val="auto"/>
          <w:sz w:val="24"/>
          <w:szCs w:val="32"/>
          <w:highlight w:val="none"/>
        </w:rPr>
        <w:fldChar w:fldCharType="separate"/>
      </w:r>
      <w:r>
        <w:rPr>
          <w:rStyle w:val="49"/>
          <w:rFonts w:hint="eastAsia"/>
          <w:color w:val="auto"/>
          <w:sz w:val="21"/>
          <w:szCs w:val="21"/>
          <w:highlight w:val="none"/>
        </w:rPr>
        <w:t>第九章投标文件格式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_Toc43476031 \h </w:instrText>
      </w:r>
      <w:r>
        <w:rPr>
          <w:color w:val="auto"/>
          <w:sz w:val="24"/>
          <w:szCs w:val="32"/>
          <w:highlight w:val="none"/>
        </w:rPr>
        <w:fldChar w:fldCharType="separate"/>
      </w:r>
      <w:r>
        <w:rPr>
          <w:color w:val="auto"/>
          <w:sz w:val="24"/>
          <w:szCs w:val="32"/>
          <w:highlight w:val="none"/>
        </w:rPr>
        <w:t>241</w:t>
      </w:r>
      <w:r>
        <w:rPr>
          <w:color w:val="auto"/>
          <w:sz w:val="24"/>
          <w:szCs w:val="32"/>
          <w:highlight w:val="none"/>
        </w:rPr>
        <w:fldChar w:fldCharType="end"/>
      </w:r>
      <w:r>
        <w:rPr>
          <w:color w:val="auto"/>
          <w:sz w:val="24"/>
          <w:szCs w:val="32"/>
          <w:highlight w:val="none"/>
        </w:rPr>
        <w:fldChar w:fldCharType="end"/>
      </w:r>
    </w:p>
    <w:p w14:paraId="39F07C1E">
      <w:pPr>
        <w:spacing w:line="250" w:lineRule="exact"/>
        <w:ind w:firstLine="1058" w:firstLineChars="504"/>
        <w:rPr>
          <w:rFonts w:ascii="宋体" w:hAnsi="宋体"/>
          <w:color w:val="auto"/>
          <w:sz w:val="32"/>
          <w:szCs w:val="32"/>
          <w:highlight w:val="none"/>
          <w:u w:val="single"/>
        </w:rPr>
      </w:pPr>
      <w:r>
        <w:rPr>
          <w:rFonts w:hint="eastAsia" w:ascii="宋体" w:hAnsi="宋体" w:cs="宋体"/>
          <w:color w:val="auto"/>
          <w:highlight w:val="none"/>
          <w:u w:val="single"/>
        </w:rPr>
        <w:fldChar w:fldCharType="end"/>
      </w:r>
    </w:p>
    <w:p w14:paraId="7152CA25">
      <w:pPr>
        <w:jc w:val="center"/>
        <w:rPr>
          <w:rFonts w:ascii="宋体" w:hAnsi="宋体"/>
          <w:color w:val="auto"/>
          <w:sz w:val="72"/>
          <w:szCs w:val="72"/>
          <w:highlight w:val="none"/>
          <w:u w:val="single"/>
        </w:rPr>
      </w:pPr>
      <w:r>
        <w:rPr>
          <w:rFonts w:hint="eastAsia" w:ascii="宋体" w:hAnsi="宋体"/>
          <w:color w:val="auto"/>
          <w:sz w:val="32"/>
          <w:szCs w:val="32"/>
          <w:highlight w:val="none"/>
          <w:u w:val="single"/>
        </w:rPr>
        <w:br w:type="page"/>
      </w:r>
    </w:p>
    <w:p w14:paraId="3A55B44F">
      <w:pPr>
        <w:jc w:val="center"/>
        <w:rPr>
          <w:rFonts w:ascii="宋体" w:hAnsi="宋体"/>
          <w:color w:val="auto"/>
          <w:sz w:val="72"/>
          <w:szCs w:val="72"/>
          <w:highlight w:val="none"/>
          <w:u w:val="single"/>
        </w:rPr>
      </w:pPr>
    </w:p>
    <w:p w14:paraId="22993121">
      <w:pPr>
        <w:jc w:val="center"/>
        <w:rPr>
          <w:rFonts w:ascii="宋体" w:hAnsi="宋体"/>
          <w:color w:val="auto"/>
          <w:sz w:val="72"/>
          <w:szCs w:val="72"/>
          <w:highlight w:val="none"/>
          <w:u w:val="single"/>
        </w:rPr>
      </w:pPr>
    </w:p>
    <w:p w14:paraId="7216280C">
      <w:pPr>
        <w:jc w:val="center"/>
        <w:rPr>
          <w:rFonts w:ascii="宋体" w:hAnsi="宋体"/>
          <w:color w:val="auto"/>
          <w:sz w:val="72"/>
          <w:szCs w:val="72"/>
          <w:highlight w:val="none"/>
          <w:u w:val="single"/>
        </w:rPr>
      </w:pPr>
    </w:p>
    <w:p w14:paraId="0B856977">
      <w:pPr>
        <w:jc w:val="center"/>
        <w:rPr>
          <w:rFonts w:ascii="宋体" w:hAnsi="宋体"/>
          <w:color w:val="auto"/>
          <w:sz w:val="72"/>
          <w:szCs w:val="72"/>
          <w:highlight w:val="none"/>
          <w:u w:val="single"/>
        </w:rPr>
      </w:pPr>
    </w:p>
    <w:p w14:paraId="40417E48">
      <w:pPr>
        <w:jc w:val="center"/>
        <w:rPr>
          <w:rFonts w:ascii="宋体" w:hAnsi="宋体"/>
          <w:color w:val="auto"/>
          <w:sz w:val="72"/>
          <w:szCs w:val="72"/>
          <w:highlight w:val="none"/>
          <w:u w:val="single"/>
        </w:rPr>
      </w:pPr>
    </w:p>
    <w:p w14:paraId="1E8044B1">
      <w:pPr>
        <w:jc w:val="center"/>
        <w:rPr>
          <w:rFonts w:ascii="宋体" w:hAnsi="宋体"/>
          <w:color w:val="auto"/>
          <w:sz w:val="72"/>
          <w:szCs w:val="72"/>
          <w:highlight w:val="none"/>
          <w:u w:val="single"/>
        </w:rPr>
      </w:pPr>
    </w:p>
    <w:p w14:paraId="4A32FB41">
      <w:pPr>
        <w:jc w:val="center"/>
        <w:rPr>
          <w:rFonts w:ascii="宋体" w:hAnsi="宋体"/>
          <w:color w:val="auto"/>
          <w:sz w:val="72"/>
          <w:szCs w:val="72"/>
          <w:highlight w:val="none"/>
        </w:rPr>
      </w:pPr>
      <w:r>
        <w:rPr>
          <w:rFonts w:hint="eastAsia" w:ascii="宋体" w:hAnsi="宋体"/>
          <w:color w:val="auto"/>
          <w:sz w:val="72"/>
          <w:szCs w:val="72"/>
          <w:highlight w:val="none"/>
        </w:rPr>
        <w:t>第  一  卷</w:t>
      </w:r>
    </w:p>
    <w:p w14:paraId="4783D7BB">
      <w:pPr>
        <w:jc w:val="center"/>
        <w:rPr>
          <w:rFonts w:ascii="宋体" w:hAnsi="宋体"/>
          <w:color w:val="auto"/>
          <w:sz w:val="72"/>
          <w:szCs w:val="72"/>
          <w:highlight w:val="none"/>
        </w:rPr>
      </w:pPr>
    </w:p>
    <w:p w14:paraId="66A870D7">
      <w:pPr>
        <w:jc w:val="center"/>
        <w:rPr>
          <w:rFonts w:ascii="宋体" w:hAnsi="宋体"/>
          <w:color w:val="auto"/>
          <w:sz w:val="72"/>
          <w:szCs w:val="72"/>
          <w:highlight w:val="none"/>
        </w:rPr>
      </w:pPr>
    </w:p>
    <w:p w14:paraId="6B11FF88">
      <w:pPr>
        <w:jc w:val="center"/>
        <w:rPr>
          <w:rFonts w:ascii="宋体" w:hAnsi="宋体"/>
          <w:color w:val="auto"/>
          <w:sz w:val="72"/>
          <w:szCs w:val="72"/>
          <w:highlight w:val="none"/>
        </w:rPr>
      </w:pPr>
    </w:p>
    <w:p w14:paraId="48FDC6DC">
      <w:pPr>
        <w:jc w:val="center"/>
        <w:rPr>
          <w:rFonts w:ascii="宋体" w:hAnsi="宋体"/>
          <w:color w:val="auto"/>
          <w:sz w:val="72"/>
          <w:szCs w:val="72"/>
          <w:highlight w:val="none"/>
        </w:rPr>
      </w:pPr>
    </w:p>
    <w:p w14:paraId="5BE02578">
      <w:pPr>
        <w:jc w:val="center"/>
        <w:rPr>
          <w:rFonts w:ascii="宋体" w:hAnsi="宋体"/>
          <w:color w:val="auto"/>
          <w:sz w:val="72"/>
          <w:szCs w:val="72"/>
          <w:highlight w:val="none"/>
        </w:rPr>
      </w:pPr>
    </w:p>
    <w:p w14:paraId="2DBD0641">
      <w:pPr>
        <w:jc w:val="center"/>
        <w:rPr>
          <w:rFonts w:ascii="宋体" w:hAnsi="宋体"/>
          <w:color w:val="auto"/>
          <w:sz w:val="72"/>
          <w:szCs w:val="72"/>
          <w:highlight w:val="none"/>
        </w:rPr>
      </w:pPr>
    </w:p>
    <w:p w14:paraId="1F42F0EC">
      <w:pPr>
        <w:jc w:val="center"/>
        <w:rPr>
          <w:rFonts w:ascii="宋体" w:hAnsi="宋体"/>
          <w:color w:val="auto"/>
          <w:sz w:val="72"/>
          <w:szCs w:val="72"/>
          <w:highlight w:val="none"/>
        </w:rPr>
      </w:pPr>
    </w:p>
    <w:p w14:paraId="3B0B04E5">
      <w:pPr>
        <w:jc w:val="center"/>
        <w:rPr>
          <w:rFonts w:ascii="宋体" w:hAnsi="宋体"/>
          <w:color w:val="auto"/>
          <w:sz w:val="72"/>
          <w:szCs w:val="72"/>
          <w:highlight w:val="none"/>
          <w:u w:val="single"/>
        </w:rPr>
      </w:pPr>
    </w:p>
    <w:p w14:paraId="3FE87A6D">
      <w:pPr>
        <w:jc w:val="center"/>
        <w:rPr>
          <w:rFonts w:ascii="宋体" w:hAnsi="宋体"/>
          <w:color w:val="auto"/>
          <w:sz w:val="72"/>
          <w:szCs w:val="72"/>
          <w:highlight w:val="none"/>
          <w:u w:val="single"/>
        </w:rPr>
      </w:pPr>
    </w:p>
    <w:p w14:paraId="29D91635">
      <w:pPr>
        <w:jc w:val="center"/>
        <w:rPr>
          <w:rFonts w:ascii="宋体" w:hAnsi="宋体"/>
          <w:color w:val="auto"/>
          <w:sz w:val="72"/>
          <w:szCs w:val="72"/>
          <w:highlight w:val="none"/>
          <w:u w:val="single"/>
        </w:rPr>
      </w:pPr>
    </w:p>
    <w:p w14:paraId="0B0F27F8">
      <w:pPr>
        <w:jc w:val="center"/>
        <w:rPr>
          <w:rFonts w:ascii="宋体" w:hAnsi="宋体"/>
          <w:color w:val="auto"/>
          <w:sz w:val="72"/>
          <w:szCs w:val="72"/>
          <w:highlight w:val="none"/>
          <w:u w:val="single"/>
        </w:rPr>
      </w:pPr>
    </w:p>
    <w:p w14:paraId="629C3822">
      <w:pPr>
        <w:jc w:val="center"/>
        <w:rPr>
          <w:rFonts w:ascii="宋体" w:hAnsi="宋体"/>
          <w:color w:val="auto"/>
          <w:sz w:val="72"/>
          <w:szCs w:val="72"/>
          <w:highlight w:val="none"/>
          <w:u w:val="single"/>
        </w:rPr>
      </w:pPr>
    </w:p>
    <w:p w14:paraId="5B2609AF">
      <w:pPr>
        <w:jc w:val="center"/>
        <w:rPr>
          <w:rFonts w:ascii="宋体" w:hAnsi="宋体"/>
          <w:color w:val="auto"/>
          <w:sz w:val="72"/>
          <w:szCs w:val="72"/>
          <w:highlight w:val="none"/>
          <w:u w:val="single"/>
        </w:rPr>
      </w:pPr>
    </w:p>
    <w:p w14:paraId="51035058">
      <w:pPr>
        <w:jc w:val="center"/>
        <w:rPr>
          <w:rFonts w:ascii="宋体" w:hAnsi="宋体"/>
          <w:color w:val="auto"/>
          <w:sz w:val="72"/>
          <w:szCs w:val="72"/>
          <w:highlight w:val="none"/>
          <w:u w:val="single"/>
        </w:rPr>
      </w:pPr>
    </w:p>
    <w:p w14:paraId="0357868F">
      <w:pPr>
        <w:jc w:val="center"/>
        <w:rPr>
          <w:rFonts w:ascii="宋体" w:hAnsi="宋体"/>
          <w:color w:val="auto"/>
          <w:sz w:val="52"/>
          <w:szCs w:val="52"/>
          <w:highlight w:val="none"/>
        </w:rPr>
      </w:pPr>
      <w:r>
        <w:rPr>
          <w:rFonts w:hint="eastAsia" w:ascii="宋体" w:hAnsi="宋体"/>
          <w:color w:val="auto"/>
          <w:sz w:val="52"/>
          <w:szCs w:val="52"/>
          <w:highlight w:val="none"/>
        </w:rPr>
        <w:t>第一章  招标公告</w:t>
      </w:r>
    </w:p>
    <w:p w14:paraId="0A015811">
      <w:pPr>
        <w:jc w:val="center"/>
        <w:rPr>
          <w:rFonts w:ascii="宋体" w:hAnsi="宋体"/>
          <w:color w:val="auto"/>
          <w:sz w:val="72"/>
          <w:szCs w:val="72"/>
          <w:highlight w:val="none"/>
        </w:rPr>
      </w:pPr>
    </w:p>
    <w:p w14:paraId="3478A47F">
      <w:pPr>
        <w:jc w:val="center"/>
        <w:rPr>
          <w:rFonts w:ascii="宋体" w:hAnsi="宋体"/>
          <w:color w:val="auto"/>
          <w:sz w:val="72"/>
          <w:szCs w:val="72"/>
          <w:highlight w:val="none"/>
        </w:rPr>
      </w:pPr>
    </w:p>
    <w:p w14:paraId="35E11453">
      <w:pPr>
        <w:jc w:val="center"/>
        <w:rPr>
          <w:rFonts w:ascii="宋体" w:hAnsi="宋体"/>
          <w:color w:val="auto"/>
          <w:sz w:val="72"/>
          <w:szCs w:val="72"/>
          <w:highlight w:val="none"/>
        </w:rPr>
      </w:pPr>
    </w:p>
    <w:p w14:paraId="0355C24F">
      <w:pPr>
        <w:jc w:val="center"/>
        <w:rPr>
          <w:rFonts w:ascii="宋体" w:hAnsi="宋体"/>
          <w:color w:val="auto"/>
          <w:sz w:val="72"/>
          <w:szCs w:val="72"/>
          <w:highlight w:val="none"/>
        </w:rPr>
      </w:pPr>
    </w:p>
    <w:p w14:paraId="2A6B7A6F">
      <w:pPr>
        <w:jc w:val="center"/>
        <w:rPr>
          <w:rFonts w:ascii="宋体" w:hAnsi="宋体"/>
          <w:color w:val="auto"/>
          <w:sz w:val="72"/>
          <w:szCs w:val="72"/>
          <w:highlight w:val="none"/>
        </w:rPr>
      </w:pPr>
    </w:p>
    <w:p w14:paraId="208C999E">
      <w:pPr>
        <w:jc w:val="center"/>
        <w:rPr>
          <w:rFonts w:ascii="宋体" w:hAnsi="宋体"/>
          <w:color w:val="auto"/>
          <w:sz w:val="72"/>
          <w:szCs w:val="72"/>
          <w:highlight w:val="none"/>
        </w:rPr>
      </w:pPr>
    </w:p>
    <w:p w14:paraId="3952E47D">
      <w:pPr>
        <w:jc w:val="center"/>
        <w:rPr>
          <w:rFonts w:ascii="宋体" w:hAnsi="宋体"/>
          <w:color w:val="auto"/>
          <w:sz w:val="72"/>
          <w:szCs w:val="72"/>
          <w:highlight w:val="none"/>
        </w:rPr>
      </w:pPr>
    </w:p>
    <w:p w14:paraId="72EB338A">
      <w:pPr>
        <w:pStyle w:val="2"/>
        <w:numPr>
          <w:ilvl w:val="0"/>
          <w:numId w:val="2"/>
        </w:numPr>
        <w:adjustRightInd w:val="0"/>
        <w:snapToGrid w:val="0"/>
        <w:spacing w:before="120" w:line="240" w:lineRule="auto"/>
        <w:jc w:val="center"/>
        <w:rPr>
          <w:rFonts w:ascii="宋体" w:hAnsi="宋体"/>
          <w:color w:val="auto"/>
          <w:sz w:val="36"/>
          <w:highlight w:val="none"/>
        </w:rPr>
        <w:sectPr>
          <w:footerReference r:id="rId12" w:type="first"/>
          <w:footerReference r:id="rId11" w:type="default"/>
          <w:pgSz w:w="11910" w:h="16840"/>
          <w:pgMar w:top="941" w:right="720" w:bottom="1179" w:left="980" w:header="707" w:footer="998" w:gutter="0"/>
          <w:pgNumType w:start="1"/>
          <w:cols w:space="720" w:num="1"/>
        </w:sectPr>
      </w:pPr>
    </w:p>
    <w:p w14:paraId="19736EE0">
      <w:pPr>
        <w:pStyle w:val="2"/>
        <w:numPr>
          <w:ilvl w:val="0"/>
          <w:numId w:val="2"/>
        </w:numPr>
        <w:adjustRightInd w:val="0"/>
        <w:snapToGrid w:val="0"/>
        <w:spacing w:before="120" w:after="100" w:line="240" w:lineRule="auto"/>
        <w:jc w:val="center"/>
        <w:rPr>
          <w:rFonts w:ascii="宋体" w:hAnsi="宋体"/>
          <w:color w:val="auto"/>
          <w:sz w:val="36"/>
          <w:highlight w:val="none"/>
        </w:rPr>
      </w:pPr>
      <w:bookmarkStart w:id="3" w:name="_Toc43475653"/>
      <w:bookmarkStart w:id="4" w:name="_Toc11768"/>
      <w:r>
        <w:rPr>
          <w:rFonts w:ascii="宋体" w:hAnsi="宋体"/>
          <w:color w:val="auto"/>
          <w:sz w:val="36"/>
          <w:highlight w:val="none"/>
        </w:rPr>
        <w:t>招标公告</w:t>
      </w:r>
      <w:bookmarkEnd w:id="3"/>
      <w:bookmarkEnd w:id="4"/>
    </w:p>
    <w:p w14:paraId="7C14BE51">
      <w:pPr>
        <w:pStyle w:val="75"/>
        <w:rPr>
          <w:rFonts w:cs="宋体"/>
          <w:color w:val="auto"/>
          <w:sz w:val="32"/>
          <w:szCs w:val="32"/>
          <w:highlight w:val="none"/>
        </w:rPr>
      </w:pPr>
      <w:bookmarkStart w:id="5" w:name="_Toc424739344"/>
      <w:r>
        <w:rPr>
          <w:rFonts w:hint="eastAsia" w:cs="宋体"/>
          <w:color w:val="auto"/>
          <w:sz w:val="32"/>
          <w:szCs w:val="32"/>
          <w:highlight w:val="none"/>
          <w:lang w:eastAsia="zh-CN"/>
        </w:rPr>
        <w:t>乐昌市两江镇Y791线蛇岭至茶坪改建工程（单改双）施工（第三次）</w:t>
      </w:r>
      <w:r>
        <w:rPr>
          <w:rFonts w:hint="eastAsia" w:cs="宋体"/>
          <w:color w:val="auto"/>
          <w:sz w:val="32"/>
          <w:szCs w:val="32"/>
          <w:highlight w:val="none"/>
        </w:rPr>
        <w:t>招标公告</w:t>
      </w:r>
    </w:p>
    <w:p w14:paraId="2DE5E6C9">
      <w:pPr>
        <w:pStyle w:val="3"/>
        <w:spacing w:line="400" w:lineRule="atLeast"/>
        <w:rPr>
          <w:rFonts w:ascii="宋体" w:hAnsi="宋体" w:eastAsia="宋体" w:cs="黑体"/>
          <w:bCs w:val="0"/>
          <w:color w:val="auto"/>
          <w:sz w:val="28"/>
          <w:szCs w:val="28"/>
          <w:highlight w:val="none"/>
        </w:rPr>
      </w:pPr>
      <w:bookmarkStart w:id="6" w:name="_Toc43475654"/>
      <w:bookmarkStart w:id="7" w:name="_Toc30127"/>
      <w:r>
        <w:rPr>
          <w:rFonts w:hint="eastAsia" w:ascii="宋体" w:hAnsi="宋体" w:eastAsia="宋体" w:cs="黑体"/>
          <w:bCs w:val="0"/>
          <w:color w:val="auto"/>
          <w:sz w:val="28"/>
          <w:szCs w:val="28"/>
          <w:highlight w:val="none"/>
        </w:rPr>
        <w:t>1.招标条件</w:t>
      </w:r>
      <w:bookmarkEnd w:id="5"/>
      <w:bookmarkEnd w:id="6"/>
      <w:bookmarkEnd w:id="7"/>
    </w:p>
    <w:p w14:paraId="14547FED">
      <w:pPr>
        <w:spacing w:line="360" w:lineRule="auto"/>
        <w:ind w:firstLine="480" w:firstLineChars="200"/>
        <w:rPr>
          <w:rFonts w:ascii="宋体" w:hAnsi="宋体" w:cs="宋体"/>
          <w:color w:val="auto"/>
          <w:sz w:val="24"/>
          <w:highlight w:val="none"/>
        </w:rPr>
      </w:pPr>
      <w:bookmarkStart w:id="8" w:name="_Toc544"/>
      <w:bookmarkStart w:id="9" w:name="_Toc424739345"/>
      <w:r>
        <w:rPr>
          <w:rFonts w:hint="eastAsia" w:hAnsi="宋体"/>
          <w:color w:val="auto"/>
          <w:sz w:val="24"/>
          <w:highlight w:val="none"/>
        </w:rPr>
        <w:t>本招标项目</w:t>
      </w:r>
      <w:r>
        <w:rPr>
          <w:rFonts w:hint="eastAsia"/>
          <w:color w:val="auto"/>
          <w:sz w:val="24"/>
          <w:szCs w:val="24"/>
          <w:highlight w:val="none"/>
          <w:u w:val="single"/>
        </w:rPr>
        <w:t>乐昌市两江镇Y791线蛇岭至茶坪改建工程（单改双）</w:t>
      </w:r>
      <w:r>
        <w:rPr>
          <w:rFonts w:hint="eastAsia" w:hAnsi="宋体"/>
          <w:color w:val="auto"/>
          <w:sz w:val="24"/>
          <w:highlight w:val="none"/>
        </w:rPr>
        <w:t>已由</w:t>
      </w:r>
      <w:r>
        <w:rPr>
          <w:rFonts w:hint="eastAsia" w:hAnsi="宋体"/>
          <w:color w:val="auto"/>
          <w:sz w:val="24"/>
          <w:highlight w:val="none"/>
          <w:u w:val="single"/>
          <w:lang w:eastAsia="zh-CN"/>
        </w:rPr>
        <w:t>乐昌市发展和改革局</w:t>
      </w:r>
      <w:r>
        <w:rPr>
          <w:rFonts w:hint="eastAsia"/>
          <w:color w:val="auto"/>
          <w:spacing w:val="9"/>
          <w:sz w:val="24"/>
          <w:highlight w:val="none"/>
        </w:rPr>
        <w:t>以</w:t>
      </w:r>
      <w:r>
        <w:rPr>
          <w:rFonts w:hint="eastAsia"/>
          <w:color w:val="auto"/>
          <w:sz w:val="24"/>
          <w:highlight w:val="none"/>
          <w:u w:val="single"/>
        </w:rPr>
        <w:t>《</w:t>
      </w:r>
      <w:r>
        <w:rPr>
          <w:rFonts w:hint="eastAsia" w:hAnsi="宋体"/>
          <w:color w:val="auto"/>
          <w:sz w:val="24"/>
          <w:highlight w:val="none"/>
          <w:u w:val="single"/>
          <w:lang w:eastAsia="zh-CN"/>
        </w:rPr>
        <w:t>乐昌市发展和改革局</w:t>
      </w:r>
      <w:r>
        <w:rPr>
          <w:rFonts w:hint="eastAsia"/>
          <w:color w:val="auto"/>
          <w:sz w:val="24"/>
          <w:highlight w:val="none"/>
          <w:u w:val="single"/>
          <w:lang w:eastAsia="zh-CN"/>
        </w:rPr>
        <w:t>关于乐昌市两江镇Y791线蛇岭至茶坪改建工程（单改双）可行性研究报告的批复</w:t>
      </w:r>
      <w:r>
        <w:rPr>
          <w:rFonts w:hint="eastAsia"/>
          <w:color w:val="auto"/>
          <w:sz w:val="24"/>
          <w:highlight w:val="none"/>
          <w:u w:val="single"/>
        </w:rPr>
        <w:t>》（</w:t>
      </w:r>
      <w:r>
        <w:rPr>
          <w:rFonts w:hint="eastAsia"/>
          <w:color w:val="auto"/>
          <w:sz w:val="24"/>
          <w:highlight w:val="none"/>
          <w:u w:val="single"/>
          <w:lang w:eastAsia="zh-CN"/>
        </w:rPr>
        <w:t>乐发改投审〔2024〕23号</w:t>
      </w:r>
      <w:r>
        <w:rPr>
          <w:rFonts w:hint="eastAsia"/>
          <w:color w:val="auto"/>
          <w:sz w:val="24"/>
          <w:highlight w:val="none"/>
          <w:u w:val="single"/>
        </w:rPr>
        <w:t>）</w:t>
      </w:r>
      <w:r>
        <w:rPr>
          <w:rFonts w:hint="eastAsia" w:hAnsi="宋体"/>
          <w:color w:val="auto"/>
          <w:sz w:val="24"/>
          <w:highlight w:val="none"/>
        </w:rPr>
        <w:t>批准建设，</w:t>
      </w:r>
      <w:r>
        <w:rPr>
          <w:rFonts w:hint="eastAsia" w:ascii="宋体" w:hAnsi="宋体" w:cs="宋体"/>
          <w:color w:val="auto"/>
          <w:sz w:val="24"/>
          <w:highlight w:val="none"/>
        </w:rPr>
        <w:t>施工图设计已由</w:t>
      </w:r>
      <w:r>
        <w:rPr>
          <w:rFonts w:hint="eastAsia" w:ascii="宋体" w:hAnsi="宋体" w:cs="宋体"/>
          <w:color w:val="auto"/>
          <w:sz w:val="24"/>
          <w:highlight w:val="none"/>
          <w:u w:val="single"/>
          <w:lang w:val="en-US" w:eastAsia="zh-CN"/>
        </w:rPr>
        <w:t>乐昌市</w:t>
      </w:r>
      <w:r>
        <w:rPr>
          <w:rFonts w:hint="eastAsia" w:ascii="宋体" w:hAnsi="宋体" w:cs="宋体"/>
          <w:color w:val="auto"/>
          <w:sz w:val="24"/>
          <w:highlight w:val="none"/>
          <w:u w:val="single"/>
        </w:rPr>
        <w:t>交通运输局</w:t>
      </w:r>
      <w:r>
        <w:rPr>
          <w:rFonts w:hint="eastAsia" w:ascii="宋体" w:hAnsi="宋体" w:cs="宋体"/>
          <w:color w:val="auto"/>
          <w:sz w:val="24"/>
          <w:highlight w:val="none"/>
        </w:rPr>
        <w:t>以</w:t>
      </w:r>
      <w:r>
        <w:rPr>
          <w:rFonts w:hint="eastAsia"/>
          <w:color w:val="auto"/>
          <w:sz w:val="24"/>
          <w:highlight w:val="none"/>
          <w:u w:val="single"/>
        </w:rPr>
        <w:t>《</w:t>
      </w:r>
      <w:r>
        <w:rPr>
          <w:rFonts w:hint="eastAsia" w:ascii="宋体" w:hAnsi="宋体" w:cs="宋体"/>
          <w:color w:val="auto"/>
          <w:sz w:val="24"/>
          <w:highlight w:val="none"/>
          <w:u w:val="single"/>
          <w:lang w:eastAsia="zh-CN"/>
        </w:rPr>
        <w:t>关于乐昌市两江镇</w:t>
      </w:r>
      <w:r>
        <w:rPr>
          <w:rFonts w:hint="eastAsia"/>
          <w:color w:val="auto"/>
          <w:sz w:val="24"/>
          <w:highlight w:val="none"/>
          <w:u w:val="single"/>
          <w:lang w:eastAsia="zh-CN"/>
        </w:rPr>
        <w:t>Y</w:t>
      </w:r>
      <w:r>
        <w:rPr>
          <w:rFonts w:hint="eastAsia" w:ascii="宋体" w:hAnsi="宋体" w:cs="宋体"/>
          <w:color w:val="auto"/>
          <w:sz w:val="24"/>
          <w:highlight w:val="none"/>
          <w:u w:val="single"/>
          <w:lang w:eastAsia="zh-CN"/>
        </w:rPr>
        <w:t>791线蛇岭至茶坪改建工程(单改双)施工图设计的批复</w:t>
      </w:r>
      <w:r>
        <w:rPr>
          <w:rFonts w:hint="eastAsia"/>
          <w:color w:val="auto"/>
          <w:sz w:val="24"/>
          <w:highlight w:val="none"/>
          <w:u w:val="single"/>
        </w:rPr>
        <w:t>》（</w:t>
      </w:r>
      <w:r>
        <w:rPr>
          <w:rFonts w:hint="eastAsia"/>
          <w:color w:val="auto"/>
          <w:sz w:val="24"/>
          <w:highlight w:val="none"/>
          <w:u w:val="single"/>
          <w:lang w:eastAsia="zh-CN"/>
        </w:rPr>
        <w:t>乐</w:t>
      </w:r>
      <w:r>
        <w:rPr>
          <w:rFonts w:hint="eastAsia"/>
          <w:color w:val="auto"/>
          <w:sz w:val="24"/>
          <w:highlight w:val="none"/>
          <w:u w:val="single"/>
          <w:lang w:val="en-US" w:eastAsia="zh-CN"/>
        </w:rPr>
        <w:t>交字</w:t>
      </w:r>
      <w:r>
        <w:rPr>
          <w:rFonts w:hint="eastAsia" w:hAnsi="宋体"/>
          <w:color w:val="auto"/>
          <w:sz w:val="24"/>
          <w:highlight w:val="none"/>
          <w:u w:val="single"/>
        </w:rPr>
        <w:t>〔202</w:t>
      </w:r>
      <w:r>
        <w:rPr>
          <w:rFonts w:hint="eastAsia" w:hAnsi="宋体"/>
          <w:color w:val="auto"/>
          <w:sz w:val="24"/>
          <w:highlight w:val="none"/>
          <w:u w:val="single"/>
          <w:lang w:val="en-US" w:eastAsia="zh-CN"/>
        </w:rPr>
        <w:t>4</w:t>
      </w:r>
      <w:r>
        <w:rPr>
          <w:rFonts w:hint="eastAsia" w:hAnsi="宋体"/>
          <w:color w:val="auto"/>
          <w:sz w:val="24"/>
          <w:highlight w:val="none"/>
          <w:u w:val="single"/>
        </w:rPr>
        <w:t>〕</w:t>
      </w:r>
      <w:r>
        <w:rPr>
          <w:rFonts w:hint="eastAsia" w:hAnsi="宋体"/>
          <w:color w:val="auto"/>
          <w:sz w:val="24"/>
          <w:highlight w:val="none"/>
          <w:u w:val="single"/>
          <w:lang w:val="en-US" w:eastAsia="zh-CN"/>
        </w:rPr>
        <w:t>49</w:t>
      </w:r>
      <w:r>
        <w:rPr>
          <w:rFonts w:hint="eastAsia" w:hAnsi="宋体"/>
          <w:color w:val="auto"/>
          <w:sz w:val="24"/>
          <w:highlight w:val="none"/>
          <w:u w:val="single"/>
        </w:rPr>
        <w:t>号</w:t>
      </w:r>
      <w:r>
        <w:rPr>
          <w:rFonts w:hint="eastAsia" w:hAnsi="宋体"/>
          <w:color w:val="auto"/>
          <w:sz w:val="24"/>
          <w:highlight w:val="none"/>
          <w:u w:val="single"/>
          <w:lang w:eastAsia="zh-CN"/>
        </w:rPr>
        <w:t>）</w:t>
      </w:r>
      <w:r>
        <w:rPr>
          <w:rFonts w:hint="eastAsia" w:ascii="宋体" w:hAnsi="宋体" w:cs="宋体"/>
          <w:color w:val="auto"/>
          <w:sz w:val="24"/>
          <w:highlight w:val="none"/>
        </w:rPr>
        <w:t>批复，</w:t>
      </w:r>
      <w:r>
        <w:rPr>
          <w:rFonts w:hint="eastAsia" w:hAnsi="宋体"/>
          <w:color w:val="auto"/>
          <w:sz w:val="24"/>
          <w:highlight w:val="none"/>
        </w:rPr>
        <w:t>项目代码为</w:t>
      </w:r>
      <w:r>
        <w:rPr>
          <w:rFonts w:hint="eastAsia" w:hAnsi="宋体"/>
          <w:color w:val="auto"/>
          <w:sz w:val="24"/>
          <w:highlight w:val="none"/>
          <w:u w:val="single"/>
          <w:lang w:eastAsia="zh-CN"/>
        </w:rPr>
        <w:t>2403-440281-18-01-464218</w:t>
      </w:r>
      <w:r>
        <w:rPr>
          <w:rFonts w:hint="eastAsia" w:hAnsi="宋体"/>
          <w:color w:val="auto"/>
          <w:sz w:val="24"/>
          <w:highlight w:val="none"/>
          <w:u w:val="none"/>
          <w:lang w:eastAsia="zh-CN"/>
        </w:rPr>
        <w:t>；</w:t>
      </w:r>
      <w:r>
        <w:rPr>
          <w:rFonts w:hint="eastAsia" w:hAnsi="宋体"/>
          <w:color w:val="auto"/>
          <w:sz w:val="24"/>
          <w:highlight w:val="none"/>
        </w:rPr>
        <w:t>项目业主为</w:t>
      </w:r>
      <w:r>
        <w:rPr>
          <w:rFonts w:hint="eastAsia" w:hAnsi="宋体"/>
          <w:color w:val="auto"/>
          <w:sz w:val="24"/>
          <w:highlight w:val="none"/>
          <w:u w:val="single"/>
          <w:lang w:eastAsia="zh-CN"/>
        </w:rPr>
        <w:t>乐昌市两江镇人民政府</w:t>
      </w:r>
      <w:r>
        <w:rPr>
          <w:rFonts w:hint="eastAsia" w:hAnsi="宋体"/>
          <w:color w:val="auto"/>
          <w:sz w:val="24"/>
          <w:highlight w:val="none"/>
        </w:rPr>
        <w:t>，建设资金来源于</w:t>
      </w:r>
      <w:r>
        <w:rPr>
          <w:rFonts w:hint="eastAsia" w:hAnsi="宋体"/>
          <w:color w:val="auto"/>
          <w:sz w:val="24"/>
          <w:highlight w:val="none"/>
          <w:u w:val="single"/>
        </w:rPr>
        <w:t>2024年省级涉农整合转移支付资金（农村公路建设养护资金）（粤财综[2023]64号）</w:t>
      </w:r>
      <w:r>
        <w:rPr>
          <w:rFonts w:hint="eastAsia" w:hAnsi="宋体"/>
          <w:color w:val="auto"/>
          <w:sz w:val="24"/>
          <w:highlight w:val="none"/>
        </w:rPr>
        <w:t>。招标人为</w:t>
      </w:r>
      <w:r>
        <w:rPr>
          <w:rFonts w:hint="eastAsia" w:hAnsi="宋体"/>
          <w:color w:val="auto"/>
          <w:sz w:val="24"/>
          <w:highlight w:val="none"/>
          <w:u w:val="single"/>
          <w:lang w:eastAsia="zh-CN"/>
        </w:rPr>
        <w:t>乐昌市两江镇人民政府</w:t>
      </w:r>
      <w:r>
        <w:rPr>
          <w:rFonts w:hint="eastAsia" w:hAnsi="宋体"/>
          <w:color w:val="auto"/>
          <w:sz w:val="24"/>
          <w:highlight w:val="none"/>
        </w:rPr>
        <w:t>，现依法对该项目的</w:t>
      </w:r>
      <w:r>
        <w:rPr>
          <w:rFonts w:hint="eastAsia" w:hAnsi="宋体"/>
          <w:color w:val="auto"/>
          <w:sz w:val="24"/>
          <w:highlight w:val="none"/>
          <w:u w:val="single"/>
        </w:rPr>
        <w:t>施工</w:t>
      </w:r>
      <w:r>
        <w:rPr>
          <w:rFonts w:hint="eastAsia" w:hAnsi="宋体"/>
          <w:color w:val="auto"/>
          <w:sz w:val="24"/>
          <w:highlight w:val="none"/>
        </w:rPr>
        <w:t>采用资格后审方式进行公开招标。</w:t>
      </w:r>
    </w:p>
    <w:p w14:paraId="4AEEE7ED">
      <w:pPr>
        <w:pStyle w:val="3"/>
        <w:spacing w:line="400" w:lineRule="atLeast"/>
        <w:rPr>
          <w:rFonts w:ascii="宋体" w:hAnsi="宋体" w:eastAsia="宋体" w:cs="黑体"/>
          <w:bCs w:val="0"/>
          <w:color w:val="auto"/>
          <w:sz w:val="28"/>
          <w:szCs w:val="28"/>
          <w:highlight w:val="none"/>
        </w:rPr>
      </w:pPr>
      <w:bookmarkStart w:id="10" w:name="_Toc43475655"/>
    </w:p>
    <w:p w14:paraId="3B5CF26E">
      <w:pPr>
        <w:pStyle w:val="3"/>
        <w:spacing w:line="400" w:lineRule="atLeast"/>
        <w:rPr>
          <w:rFonts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2.项目概况与招标范围</w:t>
      </w:r>
      <w:bookmarkEnd w:id="8"/>
      <w:bookmarkEnd w:id="9"/>
      <w:bookmarkEnd w:id="10"/>
    </w:p>
    <w:p w14:paraId="69EA8BF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2.1 </w:t>
      </w:r>
      <w:r>
        <w:rPr>
          <w:rFonts w:ascii="宋体" w:hAnsi="宋体"/>
          <w:color w:val="auto"/>
          <w:sz w:val="24"/>
          <w:highlight w:val="none"/>
        </w:rPr>
        <w:t>项目概况与招标</w:t>
      </w:r>
      <w:r>
        <w:rPr>
          <w:rFonts w:hint="eastAsia" w:ascii="宋体" w:hAnsi="宋体"/>
          <w:color w:val="auto"/>
          <w:sz w:val="24"/>
          <w:highlight w:val="none"/>
        </w:rPr>
        <w:t>范围</w:t>
      </w:r>
    </w:p>
    <w:p w14:paraId="5BD89FC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 建设地点：</w:t>
      </w:r>
      <w:r>
        <w:rPr>
          <w:rFonts w:hint="eastAsia" w:ascii="宋体" w:hAnsi="宋体"/>
          <w:color w:val="auto"/>
          <w:sz w:val="24"/>
          <w:szCs w:val="24"/>
          <w:highlight w:val="none"/>
          <w:u w:val="single"/>
          <w:lang w:val="en-US" w:eastAsia="zh-CN"/>
        </w:rPr>
        <w:t>乐昌市两江镇茶坪村Y791线</w:t>
      </w:r>
      <w:r>
        <w:rPr>
          <w:rFonts w:hint="eastAsia" w:ascii="宋体" w:hAnsi="宋体"/>
          <w:color w:val="auto"/>
          <w:sz w:val="24"/>
          <w:highlight w:val="none"/>
        </w:rPr>
        <w:t>。</w:t>
      </w:r>
    </w:p>
    <w:p w14:paraId="1B893753">
      <w:pPr>
        <w:widowControl/>
        <w:spacing w:line="360" w:lineRule="auto"/>
        <w:ind w:firstLine="48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2.1.2 建设内容及规模：</w:t>
      </w:r>
      <w:r>
        <w:rPr>
          <w:rFonts w:hint="eastAsia" w:ascii="宋体" w:hAnsi="宋体"/>
          <w:color w:val="auto"/>
          <w:sz w:val="24"/>
          <w:highlight w:val="none"/>
          <w:u w:val="single"/>
        </w:rPr>
        <w:t>本项目路线全长11.192km，起点位于蛇岭(K0+000)，路线起点街接省道S518线，途径桑树坪村、茶坪村等，终点位于白家坑口桥(K11+192)</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总体上按四级公路，路基宽度6.5m，路面宽6.0m</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设计速度20km/h的标准进行改建，困难路段适当降低路线指标要求</w:t>
      </w:r>
      <w:r>
        <w:rPr>
          <w:rFonts w:hint="eastAsia" w:ascii="宋体" w:hAnsi="宋体"/>
          <w:color w:val="auto"/>
          <w:sz w:val="24"/>
          <w:szCs w:val="24"/>
          <w:highlight w:val="none"/>
          <w:u w:val="single"/>
          <w:lang w:val="en-US" w:eastAsia="zh-CN"/>
        </w:rPr>
        <w:t>，项目采用水泥混凝土路面</w:t>
      </w:r>
      <w:r>
        <w:rPr>
          <w:rFonts w:hint="eastAsia" w:ascii="宋体" w:hAnsi="宋体"/>
          <w:color w:val="auto"/>
          <w:sz w:val="24"/>
          <w:szCs w:val="24"/>
          <w:highlight w:val="none"/>
          <w:u w:val="none"/>
          <w:lang w:val="en-US" w:eastAsia="zh-CN"/>
        </w:rPr>
        <w:t>。</w:t>
      </w:r>
    </w:p>
    <w:p w14:paraId="0C3B715F">
      <w:pPr>
        <w:spacing w:line="400" w:lineRule="atLeast"/>
        <w:ind w:firstLine="480" w:firstLineChars="200"/>
        <w:rPr>
          <w:rFonts w:ascii="宋体" w:hAnsi="宋体" w:cs="Arial"/>
          <w:color w:val="auto"/>
          <w:sz w:val="24"/>
          <w:highlight w:val="none"/>
        </w:rPr>
      </w:pPr>
      <w:r>
        <w:rPr>
          <w:rFonts w:hint="eastAsia" w:ascii="宋体" w:hAnsi="宋体"/>
          <w:color w:val="auto"/>
          <w:sz w:val="24"/>
          <w:highlight w:val="none"/>
        </w:rPr>
        <w:t>2.1.3 招标范</w:t>
      </w:r>
      <w:r>
        <w:rPr>
          <w:rFonts w:hint="eastAsia" w:ascii="宋体" w:hAnsi="宋体" w:cs="Arial"/>
          <w:color w:val="auto"/>
          <w:sz w:val="24"/>
          <w:highlight w:val="none"/>
        </w:rPr>
        <w:t>围</w:t>
      </w:r>
      <w:r>
        <w:rPr>
          <w:rFonts w:hint="eastAsia" w:ascii="宋体" w:hAnsi="宋体"/>
          <w:color w:val="auto"/>
          <w:sz w:val="24"/>
          <w:highlight w:val="none"/>
        </w:rPr>
        <w:t>：</w:t>
      </w:r>
      <w:r>
        <w:rPr>
          <w:rFonts w:hint="eastAsia" w:ascii="宋体" w:hAnsi="宋体"/>
          <w:color w:val="auto"/>
          <w:sz w:val="24"/>
          <w:highlight w:val="none"/>
          <w:u w:val="single"/>
        </w:rPr>
        <w:t>本项目施工图设计和工程量清单范围内的工程施工</w:t>
      </w:r>
      <w:r>
        <w:rPr>
          <w:rFonts w:hint="eastAsia" w:ascii="宋体" w:hAnsi="宋体"/>
          <w:color w:val="auto"/>
          <w:sz w:val="24"/>
          <w:highlight w:val="none"/>
        </w:rPr>
        <w:t>。</w:t>
      </w:r>
    </w:p>
    <w:p w14:paraId="393D7287">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 xml:space="preserve">2.1.4 </w:t>
      </w:r>
      <w:r>
        <w:rPr>
          <w:rFonts w:hint="eastAsia" w:ascii="宋体" w:hAnsi="宋体" w:cs="Arial"/>
          <w:color w:val="auto"/>
          <w:sz w:val="24"/>
          <w:highlight w:val="none"/>
        </w:rPr>
        <w:t>计划工期：</w:t>
      </w:r>
      <w:r>
        <w:rPr>
          <w:rFonts w:hint="eastAsia" w:ascii="宋体" w:hAnsi="宋体"/>
          <w:color w:val="auto"/>
          <w:kern w:val="0"/>
          <w:sz w:val="24"/>
          <w:highlight w:val="none"/>
          <w:u w:val="single"/>
          <w:lang w:val="en-US" w:eastAsia="zh-CN"/>
        </w:rPr>
        <w:t>180日历天</w:t>
      </w:r>
      <w:r>
        <w:rPr>
          <w:rFonts w:hint="eastAsia" w:ascii="宋体" w:hAnsi="宋体"/>
          <w:color w:val="auto"/>
          <w:sz w:val="24"/>
          <w:highlight w:val="none"/>
        </w:rPr>
        <w:t>；实际开工时间以监理签发开工令为准。</w:t>
      </w:r>
    </w:p>
    <w:p w14:paraId="139CC436">
      <w:pPr>
        <w:pageBreakBefore w:val="0"/>
        <w:widowControl w:val="0"/>
        <w:kinsoku/>
        <w:overflowPunct/>
        <w:autoSpaceDE/>
        <w:autoSpaceDN/>
        <w:bidi w:val="0"/>
        <w:adjustRightInd w:val="0"/>
        <w:snapToGrid w:val="0"/>
        <w:spacing w:line="3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2.1.5 </w:t>
      </w:r>
      <w:r>
        <w:rPr>
          <w:rFonts w:hint="eastAsia" w:ascii="宋体" w:hAnsi="宋体" w:cs="宋体"/>
          <w:color w:val="auto"/>
          <w:sz w:val="24"/>
          <w:highlight w:val="none"/>
          <w:lang w:eastAsia="zh-CN"/>
        </w:rPr>
        <w:t>项目估算总投资</w:t>
      </w:r>
      <w:r>
        <w:rPr>
          <w:rFonts w:hint="eastAsia" w:ascii="宋体" w:hAnsi="宋体" w:cs="宋体"/>
          <w:color w:val="auto"/>
          <w:sz w:val="24"/>
          <w:highlight w:val="none"/>
          <w:u w:val="single"/>
          <w:lang w:eastAsia="zh-CN"/>
        </w:rPr>
        <w:t>1302.58</w:t>
      </w:r>
      <w:r>
        <w:rPr>
          <w:rFonts w:hint="eastAsia" w:ascii="宋体" w:hAnsi="宋体" w:cs="宋体"/>
          <w:color w:val="auto"/>
          <w:sz w:val="24"/>
          <w:highlight w:val="none"/>
          <w:lang w:eastAsia="zh-CN"/>
        </w:rPr>
        <w:t>万元，其中建安费</w:t>
      </w:r>
      <w:r>
        <w:rPr>
          <w:rFonts w:hint="eastAsia" w:ascii="宋体" w:hAnsi="宋体" w:cs="宋体"/>
          <w:color w:val="auto"/>
          <w:sz w:val="24"/>
          <w:highlight w:val="none"/>
          <w:u w:val="single"/>
          <w:lang w:eastAsia="zh-CN"/>
        </w:rPr>
        <w:t>9598194.46</w:t>
      </w:r>
      <w:r>
        <w:rPr>
          <w:rFonts w:hint="eastAsia" w:ascii="宋体" w:hAnsi="宋体" w:cs="宋体"/>
          <w:color w:val="auto"/>
          <w:sz w:val="24"/>
          <w:highlight w:val="none"/>
          <w:lang w:eastAsia="zh-CN"/>
        </w:rPr>
        <w:t>元。</w:t>
      </w:r>
    </w:p>
    <w:p w14:paraId="4CFACCAA">
      <w:pPr>
        <w:spacing w:line="400" w:lineRule="atLeast"/>
        <w:ind w:firstLine="480" w:firstLineChars="200"/>
        <w:rPr>
          <w:color w:val="auto"/>
          <w:highlight w:val="none"/>
        </w:rPr>
      </w:pPr>
      <w:r>
        <w:rPr>
          <w:rFonts w:hint="eastAsia" w:ascii="宋体" w:hAnsi="宋体"/>
          <w:color w:val="auto"/>
          <w:sz w:val="24"/>
          <w:highlight w:val="none"/>
        </w:rPr>
        <w:t>2.2 标段划分：本次施工招标只设一个标段。</w:t>
      </w:r>
    </w:p>
    <w:tbl>
      <w:tblPr>
        <w:tblStyle w:val="42"/>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850"/>
        <w:gridCol w:w="709"/>
        <w:gridCol w:w="850"/>
        <w:gridCol w:w="1005"/>
        <w:gridCol w:w="2605"/>
        <w:gridCol w:w="1529"/>
      </w:tblGrid>
      <w:tr w14:paraId="0901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35" w:type="dxa"/>
            <w:vAlign w:val="center"/>
          </w:tcPr>
          <w:p w14:paraId="18216F1B">
            <w:pPr>
              <w:adjustRightInd w:val="0"/>
              <w:snapToGrid w:val="0"/>
              <w:spacing w:line="400" w:lineRule="atLeast"/>
              <w:jc w:val="center"/>
              <w:rPr>
                <w:rFonts w:ascii="宋体" w:hAnsi="宋体" w:cs="宋体"/>
                <w:color w:val="auto"/>
                <w:sz w:val="24"/>
                <w:szCs w:val="24"/>
                <w:highlight w:val="none"/>
              </w:rPr>
            </w:pPr>
            <w:bookmarkStart w:id="11" w:name="_Toc20608"/>
            <w:bookmarkStart w:id="12" w:name="_Toc424739346"/>
            <w:bookmarkStart w:id="13" w:name="_Toc43475656"/>
            <w:r>
              <w:rPr>
                <w:rFonts w:hint="eastAsia" w:ascii="宋体" w:hAnsi="宋体" w:cs="宋体"/>
                <w:color w:val="auto"/>
                <w:sz w:val="24"/>
                <w:szCs w:val="24"/>
                <w:highlight w:val="none"/>
              </w:rPr>
              <w:t>标段类别</w:t>
            </w:r>
          </w:p>
        </w:tc>
        <w:tc>
          <w:tcPr>
            <w:tcW w:w="850" w:type="dxa"/>
            <w:vAlign w:val="center"/>
          </w:tcPr>
          <w:p w14:paraId="7B022F74">
            <w:pPr>
              <w:adjustRightInd w:val="0"/>
              <w:snapToGrid w:val="0"/>
              <w:spacing w:line="40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标段</w:t>
            </w:r>
          </w:p>
        </w:tc>
        <w:tc>
          <w:tcPr>
            <w:tcW w:w="709" w:type="dxa"/>
            <w:vAlign w:val="center"/>
          </w:tcPr>
          <w:p w14:paraId="7328ACDF">
            <w:pPr>
              <w:adjustRightInd w:val="0"/>
              <w:snapToGrid w:val="0"/>
              <w:spacing w:line="40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起讫桩号</w:t>
            </w:r>
          </w:p>
        </w:tc>
        <w:tc>
          <w:tcPr>
            <w:tcW w:w="850" w:type="dxa"/>
            <w:vAlign w:val="center"/>
          </w:tcPr>
          <w:p w14:paraId="588ECF5A">
            <w:pPr>
              <w:adjustRightInd w:val="0"/>
              <w:snapToGrid w:val="0"/>
              <w:spacing w:line="40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长度（km）</w:t>
            </w:r>
          </w:p>
        </w:tc>
        <w:tc>
          <w:tcPr>
            <w:tcW w:w="1005" w:type="dxa"/>
            <w:vAlign w:val="center"/>
          </w:tcPr>
          <w:p w14:paraId="5D1473F4">
            <w:pPr>
              <w:adjustRightInd w:val="0"/>
              <w:snapToGrid w:val="0"/>
              <w:spacing w:line="40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主要工程项目</w:t>
            </w:r>
          </w:p>
        </w:tc>
        <w:tc>
          <w:tcPr>
            <w:tcW w:w="2605" w:type="dxa"/>
            <w:vAlign w:val="center"/>
          </w:tcPr>
          <w:p w14:paraId="26C354FE">
            <w:pPr>
              <w:adjustRightInd w:val="0"/>
              <w:snapToGrid w:val="0"/>
              <w:spacing w:line="40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对投标人资质要求</w:t>
            </w:r>
          </w:p>
        </w:tc>
        <w:tc>
          <w:tcPr>
            <w:tcW w:w="1529" w:type="dxa"/>
            <w:vAlign w:val="center"/>
          </w:tcPr>
          <w:p w14:paraId="27D1A177">
            <w:pPr>
              <w:adjustRightInd w:val="0"/>
              <w:snapToGrid w:val="0"/>
              <w:spacing w:line="40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3210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649" w:type="dxa"/>
            <w:gridSpan w:val="5"/>
            <w:shd w:val="clear" w:color="auto" w:fill="FFFFFF" w:themeFill="background1"/>
            <w:vAlign w:val="center"/>
          </w:tcPr>
          <w:p w14:paraId="20B4E2A7">
            <w:pPr>
              <w:adjustRightInd w:val="0"/>
              <w:snapToGrid w:val="0"/>
              <w:spacing w:line="40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标段的划分及主要工程项目情况详见本招标公告2.1及2.2条</w:t>
            </w:r>
          </w:p>
        </w:tc>
        <w:tc>
          <w:tcPr>
            <w:tcW w:w="2605" w:type="dxa"/>
            <w:vAlign w:val="center"/>
          </w:tcPr>
          <w:p w14:paraId="2600C34B">
            <w:pPr>
              <w:adjustRightInd w:val="0"/>
              <w:snapToGrid w:val="0"/>
              <w:spacing w:line="40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具备住房城乡建设主管部门核发的公路工程施工总承包三级以上（含三级）资质。</w:t>
            </w:r>
          </w:p>
        </w:tc>
        <w:tc>
          <w:tcPr>
            <w:tcW w:w="1529" w:type="dxa"/>
            <w:vAlign w:val="center"/>
          </w:tcPr>
          <w:p w14:paraId="2DD172A4">
            <w:pPr>
              <w:adjustRightInd w:val="0"/>
              <w:snapToGrid w:val="0"/>
              <w:spacing w:line="40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资格审查条件见招标文件附录1至附录7</w:t>
            </w:r>
          </w:p>
        </w:tc>
      </w:tr>
    </w:tbl>
    <w:p w14:paraId="72B56467">
      <w:pPr>
        <w:pStyle w:val="3"/>
        <w:spacing w:line="400" w:lineRule="atLeast"/>
        <w:rPr>
          <w:rFonts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3.投标人资格要求</w:t>
      </w:r>
      <w:bookmarkEnd w:id="11"/>
      <w:bookmarkEnd w:id="12"/>
      <w:bookmarkEnd w:id="13"/>
    </w:p>
    <w:p w14:paraId="5BAFFAAD">
      <w:pPr>
        <w:pStyle w:val="15"/>
        <w:spacing w:line="400" w:lineRule="atLeast"/>
        <w:ind w:firstLine="480" w:firstLineChars="200"/>
        <w:rPr>
          <w:rFonts w:ascii="宋体" w:hAnsi="宋体"/>
          <w:color w:val="auto"/>
          <w:sz w:val="24"/>
          <w:highlight w:val="none"/>
          <w:u w:val="single"/>
        </w:rPr>
      </w:pPr>
      <w:r>
        <w:rPr>
          <w:rFonts w:hint="eastAsia" w:ascii="宋体" w:hAnsi="宋体"/>
          <w:color w:val="auto"/>
          <w:sz w:val="24"/>
          <w:highlight w:val="none"/>
        </w:rPr>
        <w:t xml:space="preserve">3.1 </w:t>
      </w:r>
      <w:r>
        <w:rPr>
          <w:rFonts w:hint="eastAsia" w:ascii="宋体" w:hAnsi="宋体" w:cs="宋体"/>
          <w:color w:val="auto"/>
          <w:sz w:val="24"/>
          <w:highlight w:val="none"/>
        </w:rPr>
        <w:t>本次招标要求投标人须具备</w:t>
      </w:r>
      <w:r>
        <w:rPr>
          <w:rFonts w:hint="eastAsia" w:ascii="宋体" w:hAnsi="宋体" w:cs="宋体"/>
          <w:color w:val="auto"/>
          <w:sz w:val="24"/>
          <w:highlight w:val="none"/>
          <w:u w:val="single"/>
        </w:rPr>
        <w:t>上述第2.2款表中所列相应</w:t>
      </w:r>
      <w:r>
        <w:rPr>
          <w:rFonts w:hint="eastAsia" w:ascii="宋体" w:hAnsi="宋体" w:cs="宋体"/>
          <w:color w:val="auto"/>
          <w:kern w:val="0"/>
          <w:sz w:val="24"/>
          <w:highlight w:val="none"/>
        </w:rPr>
        <w:t>资质、</w:t>
      </w:r>
      <w:r>
        <w:rPr>
          <w:rFonts w:hint="eastAsia" w:ascii="宋体" w:hAnsi="宋体" w:cs="宋体"/>
          <w:color w:val="auto"/>
          <w:sz w:val="24"/>
          <w:highlight w:val="none"/>
        </w:rPr>
        <w:t>业绩，并在人员、设备、资金等方面具有相应的施工能力。</w:t>
      </w:r>
    </w:p>
    <w:p w14:paraId="42106E6F">
      <w:pPr>
        <w:wordWrap w:val="0"/>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投标人应进入交通运输部“全国公路建设市场信用信息管理系统（http：//glxy.mot.gov.cn）”中的公路工程施工资质企业名录，且投标人名称和资质与该名录中的相应企业名称和资质完全一致。</w:t>
      </w:r>
    </w:p>
    <w:p w14:paraId="78F5B83F">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3.2 本次招标</w:t>
      </w:r>
      <w:r>
        <w:rPr>
          <w:rFonts w:hint="eastAsia" w:ascii="宋体" w:hAnsi="宋体"/>
          <w:color w:val="auto"/>
          <w:sz w:val="24"/>
          <w:highlight w:val="none"/>
          <w:u w:val="single"/>
        </w:rPr>
        <w:t>不接受</w:t>
      </w:r>
      <w:r>
        <w:rPr>
          <w:rFonts w:hint="eastAsia" w:ascii="宋体" w:hAnsi="宋体"/>
          <w:color w:val="auto"/>
          <w:sz w:val="24"/>
          <w:highlight w:val="none"/>
        </w:rPr>
        <w:t>联合体投标。</w:t>
      </w:r>
    </w:p>
    <w:p w14:paraId="561F5FCB">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3.3 在本次招标中，每个投标人可对</w:t>
      </w:r>
      <w:r>
        <w:rPr>
          <w:rFonts w:hint="eastAsia" w:ascii="宋体" w:hAnsi="宋体"/>
          <w:color w:val="auto"/>
          <w:sz w:val="24"/>
          <w:highlight w:val="none"/>
          <w:u w:val="single"/>
        </w:rPr>
        <w:t xml:space="preserve"> 1 </w:t>
      </w:r>
      <w:r>
        <w:rPr>
          <w:rFonts w:hint="eastAsia" w:ascii="宋体" w:hAnsi="宋体"/>
          <w:color w:val="auto"/>
          <w:sz w:val="24"/>
          <w:highlight w:val="none"/>
        </w:rPr>
        <w:t>个标段投标，且只允许中</w:t>
      </w:r>
      <w:r>
        <w:rPr>
          <w:rFonts w:hint="eastAsia" w:ascii="宋体" w:hAnsi="宋体"/>
          <w:color w:val="auto"/>
          <w:sz w:val="24"/>
          <w:highlight w:val="none"/>
          <w:u w:val="single"/>
        </w:rPr>
        <w:t xml:space="preserve"> 1</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个标。</w:t>
      </w:r>
    </w:p>
    <w:p w14:paraId="0B70C25F">
      <w:pPr>
        <w:pStyle w:val="15"/>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14:paraId="59B6093D">
      <w:pPr>
        <w:pStyle w:val="36"/>
        <w:widowControl/>
        <w:spacing w:line="380" w:lineRule="exact"/>
        <w:ind w:firstLine="480"/>
        <w:rPr>
          <w:rFonts w:hint="eastAsia" w:ascii="宋体" w:hAnsi="宋体" w:cs="宋体"/>
          <w:color w:val="auto"/>
          <w:highlight w:val="none"/>
        </w:rPr>
      </w:pPr>
      <w:r>
        <w:rPr>
          <w:rFonts w:hint="eastAsia" w:ascii="宋体" w:hAnsi="宋体" w:cs="宋体"/>
          <w:color w:val="auto"/>
          <w:highlight w:val="none"/>
        </w:rPr>
        <w:t>注：①单位负责人是指：单位的法定代表人或者法律、行政法规规定代表单位行使职权的主要负责人；②控股是指：</w:t>
      </w:r>
      <w:r>
        <w:rPr>
          <w:rFonts w:hint="eastAsia" w:ascii="宋体" w:hAnsi="宋体" w:cs="宋体"/>
          <w:color w:val="auto"/>
          <w:highlight w:val="none"/>
          <w:lang w:eastAsia="zh-CN"/>
        </w:rPr>
        <w:t>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r>
        <w:rPr>
          <w:rFonts w:hint="eastAsia" w:ascii="宋体" w:hAnsi="宋体" w:cs="宋体"/>
          <w:color w:val="auto"/>
          <w:highlight w:val="none"/>
        </w:rPr>
        <w:t>；③管理关系是指：不具有出资持股关系的其它单位之间存在的管理与被管理关系。</w:t>
      </w:r>
    </w:p>
    <w:p w14:paraId="7CDFF009">
      <w:pPr>
        <w:pStyle w:val="15"/>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3.5 在“信用中国”网站（http</w:t>
      </w:r>
      <w:r>
        <w:rPr>
          <w:rFonts w:hint="eastAsia" w:ascii="宋体" w:hAnsi="宋体"/>
          <w:color w:val="auto"/>
          <w:sz w:val="24"/>
          <w:highlight w:val="none"/>
          <w:lang w:val="en-US" w:eastAsia="zh-CN"/>
        </w:rPr>
        <w:t>s</w:t>
      </w:r>
      <w:r>
        <w:rPr>
          <w:rFonts w:hint="eastAsia" w:ascii="宋体" w:hAnsi="宋体"/>
          <w:color w:val="auto"/>
          <w:sz w:val="24"/>
          <w:highlight w:val="none"/>
          <w:lang w:eastAsia="zh-CN"/>
        </w:rPr>
        <w:t>：</w:t>
      </w:r>
      <w:r>
        <w:rPr>
          <w:rFonts w:hint="eastAsia" w:ascii="宋体" w:hAnsi="宋体"/>
          <w:color w:val="auto"/>
          <w:sz w:val="24"/>
          <w:highlight w:val="none"/>
        </w:rPr>
        <w:t>//www.creditchina.gov.cn/）中被列入失信被执行人名单的投标人、在国家企业信用信息公示系统（http</w:t>
      </w:r>
      <w:r>
        <w:rPr>
          <w:rFonts w:hint="eastAsia" w:ascii="宋体" w:hAnsi="宋体"/>
          <w:color w:val="auto"/>
          <w:sz w:val="24"/>
          <w:highlight w:val="none"/>
          <w:lang w:val="en-US" w:eastAsia="zh-CN"/>
        </w:rPr>
        <w:t>s：</w:t>
      </w:r>
      <w:r>
        <w:rPr>
          <w:rFonts w:hint="eastAsia" w:ascii="宋体" w:hAnsi="宋体"/>
          <w:color w:val="auto"/>
          <w:sz w:val="24"/>
          <w:highlight w:val="none"/>
        </w:rPr>
        <w:t>//www.gsxt.gov.cn/）中被列入严重违法失信企业名单的投标人，均按否决投标处理。</w:t>
      </w:r>
    </w:p>
    <w:p w14:paraId="5C9FB74E">
      <w:pPr>
        <w:pStyle w:val="15"/>
        <w:spacing w:line="400" w:lineRule="atLeast"/>
        <w:ind w:firstLine="480" w:firstLineChars="200"/>
        <w:rPr>
          <w:rFonts w:ascii="宋体" w:hAnsi="宋体"/>
          <w:b w:val="0"/>
          <w:bCs w:val="0"/>
          <w:color w:val="auto"/>
          <w:sz w:val="24"/>
          <w:highlight w:val="none"/>
        </w:rPr>
      </w:pPr>
      <w:r>
        <w:rPr>
          <w:rFonts w:hint="eastAsia" w:ascii="宋体" w:hAnsi="宋体"/>
          <w:b w:val="0"/>
          <w:bCs w:val="0"/>
          <w:color w:val="auto"/>
          <w:sz w:val="24"/>
          <w:highlight w:val="none"/>
        </w:rPr>
        <w:t>3.6 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rFonts w:ascii="宋体" w:hAnsi="宋体"/>
          <w:b w:val="0"/>
          <w:bCs w:val="0"/>
          <w:color w:val="auto"/>
          <w:sz w:val="24"/>
          <w:highlight w:val="none"/>
        </w:rPr>
        <w:t>。</w:t>
      </w:r>
    </w:p>
    <w:p w14:paraId="0732582F">
      <w:pPr>
        <w:pStyle w:val="3"/>
        <w:spacing w:line="400" w:lineRule="atLeast"/>
        <w:rPr>
          <w:rFonts w:ascii="宋体" w:hAnsi="宋体" w:eastAsia="宋体" w:cs="黑体"/>
          <w:bCs w:val="0"/>
          <w:color w:val="auto"/>
          <w:sz w:val="28"/>
          <w:szCs w:val="28"/>
          <w:highlight w:val="none"/>
        </w:rPr>
      </w:pPr>
      <w:bookmarkStart w:id="14" w:name="_Toc424739347"/>
      <w:bookmarkStart w:id="15" w:name="_Toc43475657"/>
      <w:bookmarkStart w:id="16" w:name="_Toc28412"/>
    </w:p>
    <w:p w14:paraId="7D831250">
      <w:pPr>
        <w:pStyle w:val="3"/>
        <w:spacing w:line="400" w:lineRule="atLeast"/>
        <w:rPr>
          <w:rFonts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4.</w:t>
      </w:r>
      <w:bookmarkEnd w:id="14"/>
      <w:r>
        <w:rPr>
          <w:rFonts w:hint="eastAsia" w:ascii="宋体" w:hAnsi="宋体" w:eastAsia="宋体" w:cs="黑体"/>
          <w:bCs w:val="0"/>
          <w:color w:val="auto"/>
          <w:sz w:val="28"/>
          <w:szCs w:val="28"/>
          <w:highlight w:val="none"/>
        </w:rPr>
        <w:t>招标文件的获取</w:t>
      </w:r>
      <w:bookmarkEnd w:id="15"/>
      <w:bookmarkEnd w:id="16"/>
    </w:p>
    <w:p w14:paraId="3987D540">
      <w:pPr>
        <w:pStyle w:val="73"/>
        <w:widowControl/>
        <w:snapToGrid w:val="0"/>
        <w:spacing w:line="400" w:lineRule="atLeast"/>
        <w:ind w:firstLine="480"/>
        <w:rPr>
          <w:rFonts w:hAnsi="宋体" w:cs="Tahoma"/>
          <w:color w:val="auto"/>
          <w:kern w:val="0"/>
          <w:highlight w:val="none"/>
        </w:rPr>
      </w:pPr>
      <w:r>
        <w:rPr>
          <w:rFonts w:hint="eastAsia" w:hAnsi="宋体" w:cs="Tahoma"/>
          <w:color w:val="auto"/>
          <w:kern w:val="0"/>
          <w:highlight w:val="none"/>
        </w:rPr>
        <w:t xml:space="preserve">4.1 </w:t>
      </w:r>
      <w:r>
        <w:rPr>
          <w:rFonts w:hint="eastAsia" w:ascii="宋体" w:hAnsi="宋体" w:cs="宋体"/>
          <w:color w:val="auto"/>
          <w:sz w:val="24"/>
          <w:highlight w:val="none"/>
        </w:rPr>
        <w:t>本次招标实行全过程电子投标形式。自招标公告发布之日起至获取招标文件截止时间（见“重要事项时间地点一览表”），投标人须登录全国公共资源交易平台 （广东省·韶关市）（https://ygp.gdzwfw.gov.cn/ggzy-portal/#/440200/index），使用建设工程交易系统进行获取招标文件，并于电子投标截止时间（见“重要事项时间地点一览表”）前将投标文件上传到建设工程交易系统（上传后系统将自动加密）完成电子投标。投标人可登录全国公共资源交易平台（广东省·韶关市）（https://ygp.gdzwfw.gov.cn/ggzy-portal/#/440200/index），在【服务指南】栏目中下载《韶关市公共资源建设工程交易系统-投标人操作指南》，了解电子投标操作流程。技术咨询电话：0751-8379671 伍先生，业务咨询电话：0751-8633211、8633071。</w:t>
      </w:r>
    </w:p>
    <w:p w14:paraId="704AF053">
      <w:pPr>
        <w:pStyle w:val="73"/>
        <w:widowControl/>
        <w:snapToGrid w:val="0"/>
        <w:spacing w:line="400" w:lineRule="atLeast"/>
        <w:ind w:firstLine="480"/>
        <w:jc w:val="left"/>
        <w:rPr>
          <w:rFonts w:hAnsi="宋体" w:cs="Tahoma"/>
          <w:color w:val="auto"/>
          <w:kern w:val="0"/>
          <w:highlight w:val="none"/>
        </w:rPr>
      </w:pPr>
      <w:r>
        <w:rPr>
          <w:rFonts w:hint="eastAsia" w:hAnsi="宋体" w:cs="Tahoma"/>
          <w:color w:val="auto"/>
          <w:kern w:val="0"/>
          <w:highlight w:val="none"/>
        </w:rPr>
        <w:t>4.2 只有申领了数字证书（CA）、“粤企签”或GDCA/SZCA/NETCA等符合法律法规规定的电子印章，并在交易平台中完成企业信息数据入库的投标人，方可在交易平台获取招标文件和电子投标。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已入库企业有关信息（如单位名称、基本账号、资质、人员等）发生变化的，须及时在交易平台进行相应变更。投标人未及时变更信息而造成的损失和后果，由投标人自行承担。</w:t>
      </w:r>
    </w:p>
    <w:p w14:paraId="119B8DD8">
      <w:pPr>
        <w:pStyle w:val="73"/>
        <w:widowControl/>
        <w:snapToGrid w:val="0"/>
        <w:spacing w:line="400" w:lineRule="atLeast"/>
        <w:ind w:firstLine="480"/>
        <w:jc w:val="left"/>
        <w:rPr>
          <w:rFonts w:hAnsi="宋体" w:cs="Tahoma"/>
          <w:color w:val="auto"/>
          <w:kern w:val="0"/>
          <w:highlight w:val="none"/>
        </w:rPr>
      </w:pPr>
      <w:r>
        <w:rPr>
          <w:rFonts w:hint="eastAsia" w:hAnsi="宋体" w:cs="Tahoma"/>
          <w:b/>
          <w:bCs/>
          <w:color w:val="auto"/>
          <w:kern w:val="0"/>
          <w:highlight w:val="none"/>
        </w:rPr>
        <w:t>电子印章：</w:t>
      </w:r>
      <w:r>
        <w:rPr>
          <w:rFonts w:hint="eastAsia" w:hAnsi="宋体" w:cs="Tahoma"/>
          <w:color w:val="auto"/>
          <w:kern w:val="0"/>
          <w:highlight w:val="none"/>
        </w:rPr>
        <w:t>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5FC81961">
      <w:pPr>
        <w:pStyle w:val="58"/>
        <w:spacing w:line="440" w:lineRule="exact"/>
        <w:rPr>
          <w:rFonts w:ascii="宋体" w:hAnsi="宋体" w:cs="宋体"/>
          <w:bCs/>
          <w:color w:val="auto"/>
          <w:highlight w:val="none"/>
        </w:rPr>
      </w:pPr>
      <w:bookmarkStart w:id="17" w:name="OLE_LINK4"/>
      <w:bookmarkStart w:id="18" w:name="_Toc26909"/>
      <w:r>
        <w:rPr>
          <w:rFonts w:hint="eastAsia" w:ascii="宋体" w:hAnsi="宋体" w:cs="宋体"/>
          <w:bCs/>
          <w:color w:val="auto"/>
          <w:highlight w:val="none"/>
        </w:rPr>
        <w:t>4.3 投标保证金</w:t>
      </w:r>
    </w:p>
    <w:p w14:paraId="7598458F">
      <w:pPr>
        <w:pStyle w:val="58"/>
        <w:spacing w:line="440" w:lineRule="exact"/>
        <w:rPr>
          <w:rFonts w:ascii="宋体" w:hAnsi="宋体" w:cs="宋体"/>
          <w:bCs/>
          <w:color w:val="auto"/>
          <w:highlight w:val="none"/>
        </w:rPr>
      </w:pPr>
      <w:r>
        <w:rPr>
          <w:rFonts w:hint="eastAsia" w:ascii="宋体" w:hAnsi="宋体" w:cs="宋体"/>
          <w:bCs/>
          <w:color w:val="auto"/>
          <w:highlight w:val="none"/>
        </w:rPr>
        <w:t>4.3.1 投标人须缴纳金额为人民币</w:t>
      </w:r>
      <w:r>
        <w:rPr>
          <w:rFonts w:hint="eastAsia" w:ascii="宋体" w:hAnsi="宋体" w:cs="宋体"/>
          <w:bCs/>
          <w:color w:val="auto"/>
          <w:highlight w:val="none"/>
          <w:u w:val="single"/>
          <w:lang w:val="en-US" w:eastAsia="zh-CN"/>
        </w:rPr>
        <w:t>150000.00</w:t>
      </w:r>
      <w:r>
        <w:rPr>
          <w:rFonts w:hint="eastAsia" w:ascii="宋体" w:hAnsi="宋体" w:cs="宋体"/>
          <w:bCs/>
          <w:color w:val="auto"/>
          <w:highlight w:val="none"/>
          <w:u w:val="none"/>
        </w:rPr>
        <w:t>元</w:t>
      </w:r>
      <w:r>
        <w:rPr>
          <w:rFonts w:hint="eastAsia" w:ascii="宋体" w:hAnsi="宋体" w:cs="宋体"/>
          <w:bCs/>
          <w:color w:val="auto"/>
          <w:highlight w:val="none"/>
        </w:rPr>
        <w:t>的投标保证。</w:t>
      </w:r>
    </w:p>
    <w:p w14:paraId="4B35E951">
      <w:pPr>
        <w:pStyle w:val="58"/>
        <w:spacing w:line="440" w:lineRule="exact"/>
        <w:rPr>
          <w:rFonts w:ascii="宋体" w:hAnsi="宋体" w:cs="宋体"/>
          <w:bCs/>
          <w:color w:val="auto"/>
          <w:highlight w:val="none"/>
        </w:rPr>
      </w:pPr>
      <w:r>
        <w:rPr>
          <w:rFonts w:hint="eastAsia" w:ascii="宋体" w:hAnsi="宋体" w:cs="宋体"/>
          <w:bCs/>
          <w:color w:val="auto"/>
          <w:highlight w:val="none"/>
        </w:rPr>
        <w:t>4.3.2 投标保证的形式包括投标保证金、投标保证担保、投标保证保险三种，由投标人自主选择。</w:t>
      </w:r>
    </w:p>
    <w:p w14:paraId="355FDEA9">
      <w:pPr>
        <w:pStyle w:val="58"/>
        <w:spacing w:line="440" w:lineRule="exact"/>
        <w:rPr>
          <w:rFonts w:ascii="宋体" w:hAnsi="宋体" w:cs="宋体"/>
          <w:bCs/>
          <w:color w:val="auto"/>
          <w:highlight w:val="none"/>
        </w:rPr>
      </w:pPr>
      <w:r>
        <w:rPr>
          <w:rFonts w:hint="eastAsia" w:ascii="宋体" w:hAnsi="宋体" w:cs="宋体"/>
          <w:bCs/>
          <w:color w:val="auto"/>
          <w:highlight w:val="none"/>
        </w:rPr>
        <w:t>（1）采用投标保证金的，投标人在交易平台获取招标文件后，即可在交易平台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14:paraId="72CB5A62">
      <w:pPr>
        <w:pStyle w:val="58"/>
        <w:spacing w:line="440" w:lineRule="exact"/>
        <w:rPr>
          <w:rFonts w:ascii="宋体" w:hAnsi="宋体" w:cs="宋体"/>
          <w:bCs/>
          <w:color w:val="auto"/>
          <w:highlight w:val="none"/>
        </w:rPr>
      </w:pPr>
      <w:r>
        <w:rPr>
          <w:rFonts w:hint="eastAsia" w:ascii="宋体" w:hAnsi="宋体" w:cs="宋体"/>
          <w:bCs/>
          <w:color w:val="auto"/>
          <w:highlight w:val="none"/>
        </w:rPr>
        <w:t>（2）采用投标保证担保的，投标人应提交有效的电子保函，电子保函的有效期不得短于投标有效期。投标人必须在投标保证担保截止时间（详见“重要事项时间地点一览表”）前，在交易平台完成网上办理电子保函。</w:t>
      </w:r>
    </w:p>
    <w:p w14:paraId="0BC1D7C9">
      <w:pPr>
        <w:pStyle w:val="58"/>
        <w:spacing w:line="440" w:lineRule="exact"/>
        <w:rPr>
          <w:rFonts w:ascii="宋体" w:hAnsi="宋体" w:cs="宋体"/>
          <w:bCs/>
          <w:color w:val="auto"/>
          <w:highlight w:val="none"/>
        </w:rPr>
      </w:pPr>
      <w:r>
        <w:rPr>
          <w:rFonts w:hint="eastAsia" w:ascii="宋体" w:hAnsi="宋体" w:cs="宋体"/>
          <w:bCs/>
          <w:color w:val="auto"/>
          <w:highlight w:val="none"/>
        </w:rPr>
        <w:t>（3）采用投标保证保险的，投标人须在投标保证保险投保截止时间（见“重要事项时间地点一览表”）前，在交易平台完成网上投保。投标人可在交易平台选择保险机构、录入投保信息、支付保费、打印电子保单，电子保单的有效期不得短于投标有效期。逾期投保的，其投标无效。</w:t>
      </w:r>
    </w:p>
    <w:p w14:paraId="041B7BD0">
      <w:pPr>
        <w:pStyle w:val="58"/>
        <w:spacing w:line="440" w:lineRule="exact"/>
        <w:rPr>
          <w:rFonts w:ascii="宋体" w:hAnsi="宋体" w:cs="宋体"/>
          <w:bCs/>
          <w:color w:val="auto"/>
          <w:highlight w:val="none"/>
        </w:rPr>
      </w:pPr>
      <w:r>
        <w:rPr>
          <w:rFonts w:hint="eastAsia" w:ascii="宋体" w:hAnsi="宋体" w:cs="宋体"/>
          <w:bCs/>
          <w:color w:val="auto"/>
          <w:highlight w:val="none"/>
        </w:rPr>
        <w:t>温馨提醒：投标人采用投标保证担保或投标保证保险的，为避免在评标过程中因有效期发生争议，建议投标人将电子保函或电子保单有效期设置为较招标文件规定的投标有效期延长不少于20个日历天。</w:t>
      </w:r>
    </w:p>
    <w:p w14:paraId="2F219ACA">
      <w:pPr>
        <w:pStyle w:val="58"/>
        <w:spacing w:line="440" w:lineRule="exact"/>
        <w:rPr>
          <w:rFonts w:ascii="宋体" w:hAnsi="宋体" w:cs="宋体"/>
          <w:bCs/>
          <w:color w:val="auto"/>
          <w:highlight w:val="none"/>
        </w:rPr>
      </w:pPr>
      <w:r>
        <w:rPr>
          <w:rFonts w:hint="eastAsia" w:ascii="宋体" w:hAnsi="宋体" w:cs="宋体"/>
          <w:bCs/>
          <w:color w:val="auto"/>
          <w:highlight w:val="none"/>
        </w:rPr>
        <w:t>4.3.3</w:t>
      </w:r>
      <w:r>
        <w:rPr>
          <w:rFonts w:hint="eastAsia" w:ascii="宋体" w:hAnsi="宋体" w:cs="宋体"/>
          <w:bCs/>
          <w:color w:val="auto"/>
          <w:highlight w:val="none"/>
          <w:lang w:val="en-US" w:eastAsia="zh-CN"/>
        </w:rPr>
        <w:t xml:space="preserve"> </w:t>
      </w:r>
      <w:r>
        <w:rPr>
          <w:rFonts w:hint="eastAsia" w:ascii="宋体" w:hAnsi="宋体" w:cs="宋体"/>
          <w:bCs/>
          <w:color w:val="auto"/>
          <w:highlight w:val="none"/>
        </w:rPr>
        <w:t>若投标人因自身原因未能正确完成电子投标、缴纳投标保证的，其投标无效。</w:t>
      </w:r>
    </w:p>
    <w:p w14:paraId="630167C0">
      <w:pPr>
        <w:pStyle w:val="58"/>
        <w:spacing w:line="440" w:lineRule="exact"/>
        <w:rPr>
          <w:rFonts w:ascii="宋体" w:hAnsi="宋体" w:cs="宋体"/>
          <w:bCs/>
          <w:color w:val="auto"/>
          <w:highlight w:val="none"/>
        </w:rPr>
      </w:pPr>
      <w:r>
        <w:rPr>
          <w:rFonts w:hint="eastAsia" w:ascii="宋体" w:hAnsi="宋体" w:cs="宋体"/>
          <w:bCs/>
          <w:color w:val="auto"/>
          <w:highlight w:val="none"/>
        </w:rPr>
        <w:t xml:space="preserve">4.4 </w:t>
      </w:r>
      <w:r>
        <w:rPr>
          <w:rFonts w:hint="eastAsia" w:ascii="宋体" w:hAnsi="宋体" w:cs="宋体"/>
          <w:color w:val="auto"/>
          <w:sz w:val="24"/>
          <w:highlight w:val="none"/>
        </w:rPr>
        <w:t>投标人自行在</w:t>
      </w:r>
      <w:r>
        <w:rPr>
          <w:rFonts w:hint="eastAsia" w:ascii="宋体" w:hAnsi="宋体" w:cs="宋体"/>
          <w:snapToGrid w:val="0"/>
          <w:color w:val="auto"/>
          <w:kern w:val="0"/>
          <w:sz w:val="24"/>
          <w:highlight w:val="none"/>
        </w:rPr>
        <w:t>全国公共资源交易平台（广东省·韶关市）（https://ygp.gdzwfw.gov.cn/ggzy-portal/#/440200/index）</w:t>
      </w:r>
      <w:r>
        <w:rPr>
          <w:rFonts w:hint="eastAsia" w:ascii="宋体" w:hAnsi="宋体" w:cs="宋体"/>
          <w:color w:val="auto"/>
          <w:sz w:val="24"/>
          <w:highlight w:val="none"/>
        </w:rPr>
        <w:t>下载招标文件、工程量清单、图纸等相关资料</w:t>
      </w:r>
      <w:r>
        <w:rPr>
          <w:rFonts w:hint="eastAsia" w:ascii="宋体" w:hAnsi="宋体" w:cs="宋体"/>
          <w:bCs/>
          <w:color w:val="auto"/>
          <w:highlight w:val="none"/>
        </w:rPr>
        <w:t>。</w:t>
      </w:r>
      <w:bookmarkEnd w:id="17"/>
    </w:p>
    <w:p w14:paraId="0D05112A">
      <w:pPr>
        <w:pStyle w:val="58"/>
        <w:spacing w:line="440" w:lineRule="exact"/>
        <w:rPr>
          <w:rFonts w:ascii="宋体" w:hAnsi="宋体" w:cs="宋体"/>
          <w:bCs/>
          <w:color w:val="auto"/>
          <w:highlight w:val="none"/>
        </w:rPr>
      </w:pPr>
    </w:p>
    <w:p w14:paraId="6892EE4C">
      <w:pPr>
        <w:spacing w:line="440" w:lineRule="exact"/>
        <w:outlineLvl w:val="0"/>
        <w:rPr>
          <w:rFonts w:ascii="宋体" w:hAnsi="宋体" w:cs="宋体"/>
          <w:b/>
          <w:color w:val="auto"/>
          <w:sz w:val="28"/>
          <w:szCs w:val="28"/>
          <w:highlight w:val="none"/>
        </w:rPr>
      </w:pPr>
      <w:r>
        <w:rPr>
          <w:rFonts w:hint="eastAsia" w:ascii="宋体" w:hAnsi="宋体" w:cs="黑体"/>
          <w:color w:val="auto"/>
          <w:sz w:val="28"/>
          <w:szCs w:val="28"/>
          <w:highlight w:val="none"/>
        </w:rPr>
        <w:t>5.</w:t>
      </w:r>
      <w:bookmarkEnd w:id="18"/>
      <w:bookmarkStart w:id="19" w:name="_Toc43475658"/>
      <w:bookmarkStart w:id="20" w:name="_Toc5243"/>
      <w:r>
        <w:rPr>
          <w:rFonts w:hint="eastAsia" w:ascii="宋体" w:hAnsi="宋体" w:cs="宋体"/>
          <w:b/>
          <w:color w:val="auto"/>
          <w:sz w:val="28"/>
          <w:szCs w:val="28"/>
          <w:highlight w:val="none"/>
        </w:rPr>
        <w:t>电子投标及相关事宜</w:t>
      </w:r>
    </w:p>
    <w:p w14:paraId="60B1306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5.1 </w:t>
      </w:r>
      <w:r>
        <w:rPr>
          <w:rFonts w:hint="eastAsia" w:ascii="宋体" w:hAnsi="宋体" w:cs="宋体"/>
          <w:color w:val="auto"/>
          <w:sz w:val="24"/>
          <w:highlight w:val="none"/>
          <w:shd w:val="clear" w:color="auto" w:fill="FFFFFF"/>
        </w:rPr>
        <w:t>招标人不集中现场踏勘。投标人需要了解现场情况的，可自行进行现场踏勘。招标人不集中组织答疑，实行网上答疑。</w:t>
      </w:r>
      <w:r>
        <w:rPr>
          <w:rFonts w:hint="eastAsia" w:ascii="宋体" w:hAnsi="宋体" w:cs="宋体"/>
          <w:color w:val="auto"/>
          <w:sz w:val="24"/>
          <w:highlight w:val="none"/>
        </w:rPr>
        <w:t>投标人若对招标文件、工程量清单等资料有疑问，应在提问截止时间（见“重要事项时间地点一览表”）前使用交易平台提出问题。未在指定时间前、未采用指定方式提出的，招标人不予受理。</w:t>
      </w:r>
    </w:p>
    <w:p w14:paraId="6592F1B3">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2 招标人在答疑时间（详见“重要事项时间地点一览表”）内，一次性对收到的所有问题作出答复，并形成答疑书在发布招标公告的媒介上公开发布。答疑书一旦发布，即视所有潜在投标人已经知悉答疑书内容，投标人未及时关注而造成的损失和后果，由投标人自行承担。</w:t>
      </w:r>
    </w:p>
    <w:p w14:paraId="5DFAD3D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5.3 </w:t>
      </w:r>
      <w:r>
        <w:rPr>
          <w:rFonts w:hint="eastAsia" w:ascii="宋体" w:hAnsi="宋体" w:cs="宋体"/>
          <w:color w:val="auto"/>
          <w:sz w:val="24"/>
          <w:highlight w:val="none"/>
        </w:rPr>
        <w:t>投标人必须在规定的截止时间前使用交易平台完成网上获取招标文件、缴纳投标保证和全流程电子投标。只有满足以上所有条件，方为有效投标。</w:t>
      </w:r>
    </w:p>
    <w:p w14:paraId="6585489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rPr>
        <w:t>根据《关于全面启用全流程电子化招标投标的通知》（韶交易发〔2022〕24 号）文件，自2022年11月28日起，进入交易平台以招标方式进行交易的项目将全面启用全流程电子化招标投标。投标人可通过交易平台在线办理电子保函、保证保险和投标及下载中标通知书等业务。全流程电子化招标投标项目不再接收纸质投标文件，也不接收纸质保函等单证资料。</w:t>
      </w:r>
    </w:p>
    <w:p w14:paraId="40C7FF1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5C8BC87B">
      <w:pPr>
        <w:spacing w:line="400" w:lineRule="atLeast"/>
        <w:ind w:firstLine="480" w:firstLineChars="200"/>
        <w:rPr>
          <w:rFonts w:ascii="宋体" w:hAnsi="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开标时间和地点：见“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14:paraId="220521D2">
      <w:pPr>
        <w:pStyle w:val="52"/>
        <w:spacing w:line="400" w:lineRule="atLeast"/>
        <w:rPr>
          <w:rFonts w:ascii="宋体" w:hAnsi="宋体" w:cs="Times New Roman"/>
          <w:color w:val="auto"/>
          <w:sz w:val="24"/>
          <w:szCs w:val="24"/>
          <w:highlight w:val="none"/>
        </w:rPr>
      </w:pPr>
    </w:p>
    <w:p w14:paraId="5E46CA4B">
      <w:pPr>
        <w:pStyle w:val="3"/>
        <w:spacing w:line="400" w:lineRule="atLeast"/>
        <w:rPr>
          <w:rFonts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6.发布公告的媒介</w:t>
      </w:r>
      <w:bookmarkEnd w:id="19"/>
      <w:bookmarkEnd w:id="20"/>
    </w:p>
    <w:p w14:paraId="1273B0F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bookmarkStart w:id="21" w:name="_Toc19457"/>
      <w:r>
        <w:rPr>
          <w:rFonts w:hint="eastAsia" w:ascii="宋体" w:hAnsi="宋体" w:cs="宋体"/>
          <w:color w:val="auto"/>
          <w:sz w:val="24"/>
          <w:highlight w:val="none"/>
        </w:rPr>
        <w:t>本次招标公告同时在</w:t>
      </w:r>
      <w:r>
        <w:rPr>
          <w:rFonts w:hint="eastAsia" w:ascii="宋体" w:hAnsi="宋体" w:cs="宋体"/>
          <w:color w:val="auto"/>
          <w:sz w:val="24"/>
          <w:highlight w:val="none"/>
          <w:u w:val="single"/>
        </w:rPr>
        <w:t>广东省招标投标监管网（</w:t>
      </w:r>
      <w:r>
        <w:rPr>
          <w:color w:val="auto"/>
          <w:highlight w:val="none"/>
        </w:rPr>
        <w:fldChar w:fldCharType="begin"/>
      </w:r>
      <w:r>
        <w:rPr>
          <w:color w:val="auto"/>
          <w:highlight w:val="none"/>
        </w:rPr>
        <w:instrText xml:space="preserve"> HYPERLINK "http://www.gdtzzs.gov.cn/" </w:instrText>
      </w:r>
      <w:r>
        <w:rPr>
          <w:color w:val="auto"/>
          <w:highlight w:val="none"/>
        </w:rPr>
        <w:fldChar w:fldCharType="separate"/>
      </w:r>
      <w:r>
        <w:rPr>
          <w:rFonts w:hint="eastAsia" w:ascii="宋体" w:hAnsi="宋体" w:cs="宋体"/>
          <w:color w:val="auto"/>
          <w:sz w:val="24"/>
          <w:highlight w:val="none"/>
          <w:u w:val="single"/>
        </w:rPr>
        <w:t>http://zbtb.gd.gov.cn</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全国公共资源交易平台（广东省·韶关市）（https://ygp.gdzwfw.gov.cn/ggzy-portal/#/440200/index）</w:t>
      </w:r>
      <w:r>
        <w:rPr>
          <w:rFonts w:hint="eastAsia" w:ascii="宋体" w:hAnsi="宋体" w:cs="宋体"/>
          <w:color w:val="auto"/>
          <w:sz w:val="24"/>
          <w:highlight w:val="none"/>
        </w:rPr>
        <w:t>上发布。如公告详细内容不一致者，以</w:t>
      </w:r>
      <w:r>
        <w:rPr>
          <w:rFonts w:hint="eastAsia" w:ascii="宋体" w:hAnsi="宋体" w:cs="宋体"/>
          <w:color w:val="auto"/>
          <w:sz w:val="24"/>
          <w:highlight w:val="none"/>
          <w:u w:val="single"/>
          <w:lang w:eastAsia="zh-CN"/>
        </w:rPr>
        <w:t>全国公共资源交易平台（广东省·韶关市）（https://ygp.gdzwfw.gov.cn/ggzy-portal/#/440200/index）</w:t>
      </w:r>
      <w:r>
        <w:rPr>
          <w:rFonts w:hint="eastAsia" w:ascii="宋体" w:hAnsi="宋体" w:cs="宋体"/>
          <w:color w:val="auto"/>
          <w:sz w:val="24"/>
          <w:highlight w:val="none"/>
        </w:rPr>
        <w:t>公告为准。</w:t>
      </w:r>
    </w:p>
    <w:p w14:paraId="56E8C18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在规定的</w:t>
      </w:r>
      <w:r>
        <w:rPr>
          <w:rFonts w:hint="eastAsia" w:ascii="宋体" w:hAnsi="宋体" w:cs="宋体"/>
          <w:color w:val="auto"/>
          <w:sz w:val="24"/>
          <w:highlight w:val="none"/>
          <w:lang w:eastAsia="zh-CN"/>
        </w:rPr>
        <w:t>获取招标文件</w:t>
      </w:r>
      <w:r>
        <w:rPr>
          <w:rFonts w:hint="eastAsia" w:ascii="宋体" w:hAnsi="宋体" w:cs="宋体"/>
          <w:color w:val="auto"/>
          <w:sz w:val="24"/>
          <w:highlight w:val="none"/>
        </w:rPr>
        <w:t>期间，如本标段获取招标文件的投标人不足3家时，招标人依法有权选择以下任一方式：</w:t>
      </w:r>
      <w:r>
        <w:rPr>
          <w:rFonts w:hint="eastAsia" w:ascii="宋体" w:hAnsi="宋体" w:cs="宋体"/>
          <w:color w:val="auto"/>
          <w:sz w:val="24"/>
          <w:highlight w:val="none"/>
          <w:u w:val="single"/>
        </w:rPr>
        <w:t>（1）在</w:t>
      </w:r>
      <w:r>
        <w:rPr>
          <w:rFonts w:hint="eastAsia" w:ascii="宋体" w:hAnsi="宋体" w:cs="宋体"/>
          <w:color w:val="auto"/>
          <w:sz w:val="24"/>
          <w:highlight w:val="none"/>
          <w:u w:val="single"/>
          <w:lang w:val="en-US" w:eastAsia="zh-CN"/>
        </w:rPr>
        <w:t>广东省招标投标监管网及</w:t>
      </w:r>
      <w:r>
        <w:rPr>
          <w:rFonts w:hint="eastAsia" w:ascii="宋体" w:hAnsi="宋体" w:cs="宋体"/>
          <w:color w:val="auto"/>
          <w:sz w:val="24"/>
          <w:highlight w:val="none"/>
          <w:u w:val="single"/>
          <w:lang w:eastAsia="zh-CN"/>
        </w:rPr>
        <w:t>全国公共资源交易平台（广东省·韶关市）</w:t>
      </w:r>
      <w:r>
        <w:rPr>
          <w:rFonts w:hint="eastAsia" w:ascii="宋体" w:hAnsi="宋体" w:cs="宋体"/>
          <w:color w:val="auto"/>
          <w:sz w:val="24"/>
          <w:highlight w:val="none"/>
          <w:u w:val="single"/>
          <w:lang w:val="en-US" w:eastAsia="zh-CN"/>
        </w:rPr>
        <w:t>网站</w:t>
      </w:r>
      <w:r>
        <w:rPr>
          <w:rFonts w:hint="eastAsia" w:ascii="宋体" w:hAnsi="宋体" w:cs="宋体"/>
          <w:color w:val="auto"/>
          <w:sz w:val="24"/>
          <w:highlight w:val="none"/>
        </w:rPr>
        <w:t>发布公告延长</w:t>
      </w:r>
      <w:r>
        <w:rPr>
          <w:rFonts w:hint="eastAsia" w:ascii="宋体" w:hAnsi="宋体" w:cs="宋体"/>
          <w:color w:val="auto"/>
          <w:sz w:val="24"/>
          <w:highlight w:val="none"/>
          <w:lang w:eastAsia="zh-CN"/>
        </w:rPr>
        <w:t>获取招标文件</w:t>
      </w:r>
      <w:r>
        <w:rPr>
          <w:rFonts w:hint="eastAsia" w:ascii="宋体" w:hAnsi="宋体" w:cs="宋体"/>
          <w:color w:val="auto"/>
          <w:sz w:val="24"/>
          <w:highlight w:val="none"/>
        </w:rPr>
        <w:t>时间，在延期</w:t>
      </w:r>
      <w:r>
        <w:rPr>
          <w:rFonts w:hint="eastAsia" w:ascii="宋体" w:hAnsi="宋体" w:cs="宋体"/>
          <w:color w:val="auto"/>
          <w:sz w:val="24"/>
          <w:highlight w:val="none"/>
          <w:lang w:eastAsia="zh-CN"/>
        </w:rPr>
        <w:t>获取招标文件</w:t>
      </w:r>
      <w:r>
        <w:rPr>
          <w:rFonts w:hint="eastAsia" w:ascii="宋体" w:hAnsi="宋体" w:cs="宋体"/>
          <w:color w:val="auto"/>
          <w:sz w:val="24"/>
          <w:highlight w:val="none"/>
        </w:rPr>
        <w:t>时间内，已</w:t>
      </w:r>
      <w:r>
        <w:rPr>
          <w:rFonts w:hint="eastAsia" w:ascii="宋体" w:hAnsi="宋体" w:cs="宋体"/>
          <w:color w:val="auto"/>
          <w:sz w:val="24"/>
          <w:highlight w:val="none"/>
          <w:lang w:eastAsia="zh-CN"/>
        </w:rPr>
        <w:t>获取招标文件</w:t>
      </w:r>
      <w:r>
        <w:rPr>
          <w:rFonts w:hint="eastAsia" w:ascii="宋体" w:hAnsi="宋体" w:cs="宋体"/>
          <w:color w:val="auto"/>
          <w:sz w:val="24"/>
          <w:highlight w:val="none"/>
        </w:rPr>
        <w:t>投标人的资料仍有效并可自行补充资料，未</w:t>
      </w:r>
      <w:r>
        <w:rPr>
          <w:rFonts w:hint="eastAsia" w:ascii="宋体" w:hAnsi="宋体" w:cs="宋体"/>
          <w:color w:val="auto"/>
          <w:sz w:val="24"/>
          <w:highlight w:val="none"/>
          <w:lang w:eastAsia="zh-CN"/>
        </w:rPr>
        <w:t>获取招标文件</w:t>
      </w:r>
      <w:r>
        <w:rPr>
          <w:rFonts w:hint="eastAsia" w:ascii="宋体" w:hAnsi="宋体" w:cs="宋体"/>
          <w:color w:val="auto"/>
          <w:sz w:val="24"/>
          <w:highlight w:val="none"/>
        </w:rPr>
        <w:t>的投标人可根据公告的约定进行</w:t>
      </w:r>
      <w:r>
        <w:rPr>
          <w:rFonts w:hint="eastAsia" w:ascii="宋体" w:hAnsi="宋体" w:cs="宋体"/>
          <w:color w:val="auto"/>
          <w:sz w:val="24"/>
          <w:highlight w:val="none"/>
          <w:lang w:eastAsia="zh-CN"/>
        </w:rPr>
        <w:t>获取招标文件</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）依法重新组织招标或不再招标。</w:t>
      </w:r>
    </w:p>
    <w:p w14:paraId="196EC3FA">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保证金缴纳截止时间到期后，若建设工程交易系统显示成功缴纳投标保证金的投标人数量少于3家时，招标人将取消于次日召开的项目开标会，重新组织招标。投标人可在投标保证金缴纳截止时间起至电子投标截止时间前自行登录</w:t>
      </w:r>
      <w:r>
        <w:rPr>
          <w:rFonts w:hint="eastAsia" w:ascii="宋体" w:hAnsi="宋体" w:cs="宋体"/>
          <w:color w:val="auto"/>
          <w:kern w:val="0"/>
          <w:sz w:val="24"/>
          <w:highlight w:val="none"/>
          <w:lang w:eastAsia="zh-CN"/>
        </w:rPr>
        <w:t>全国公共资源交易平台（广东省·韶关市）（https://ygp.gdzwfw.gov.cn/ggzy-portal/#/440200/index）</w:t>
      </w:r>
      <w:r>
        <w:rPr>
          <w:rFonts w:hint="eastAsia" w:ascii="宋体" w:hAnsi="宋体" w:cs="宋体"/>
          <w:color w:val="auto"/>
          <w:kern w:val="0"/>
          <w:sz w:val="24"/>
          <w:highlight w:val="none"/>
        </w:rPr>
        <w:t>查询是否发布了取消项目开标会的相关信息。</w:t>
      </w:r>
    </w:p>
    <w:p w14:paraId="079087C0">
      <w:pPr>
        <w:pStyle w:val="3"/>
        <w:keepNext/>
        <w:keepLines/>
        <w:pageBreakBefore w:val="0"/>
        <w:widowControl w:val="0"/>
        <w:kinsoku/>
        <w:wordWrap/>
        <w:overflowPunct/>
        <w:topLinePunct w:val="0"/>
        <w:autoSpaceDE/>
        <w:autoSpaceDN/>
        <w:bidi w:val="0"/>
        <w:adjustRightInd/>
        <w:snapToGrid/>
        <w:spacing w:line="240" w:lineRule="auto"/>
        <w:textAlignment w:val="auto"/>
        <w:rPr>
          <w:rFonts w:ascii="宋体" w:hAnsi="宋体" w:eastAsia="宋体" w:cs="黑体"/>
          <w:bCs w:val="0"/>
          <w:color w:val="auto"/>
          <w:sz w:val="28"/>
          <w:szCs w:val="28"/>
          <w:highlight w:val="none"/>
        </w:rPr>
      </w:pPr>
      <w:bookmarkStart w:id="22" w:name="_Toc43475659"/>
    </w:p>
    <w:p w14:paraId="09CE771A">
      <w:pPr>
        <w:pStyle w:val="3"/>
        <w:spacing w:line="400" w:lineRule="atLeast"/>
        <w:rPr>
          <w:rFonts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7.</w:t>
      </w:r>
      <w:bookmarkStart w:id="23" w:name="_Toc13961"/>
      <w:bookmarkStart w:id="24" w:name="_Toc435045826"/>
      <w:bookmarkStart w:id="25" w:name="_Toc328560386"/>
      <w:r>
        <w:rPr>
          <w:rFonts w:hint="eastAsia" w:ascii="宋体" w:hAnsi="宋体" w:eastAsia="宋体" w:cs="黑体"/>
          <w:bCs w:val="0"/>
          <w:color w:val="auto"/>
          <w:sz w:val="28"/>
          <w:szCs w:val="28"/>
          <w:highlight w:val="none"/>
        </w:rPr>
        <w:t>联系方式</w:t>
      </w:r>
      <w:bookmarkEnd w:id="21"/>
      <w:bookmarkEnd w:id="22"/>
      <w:bookmarkEnd w:id="23"/>
    </w:p>
    <w:bookmarkEnd w:id="24"/>
    <w:bookmarkEnd w:id="25"/>
    <w:tbl>
      <w:tblPr>
        <w:tblStyle w:val="43"/>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14:paraId="1C85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926" w:type="dxa"/>
            <w:tcBorders>
              <w:tl2br w:val="nil"/>
              <w:tr2bl w:val="nil"/>
            </w:tcBorders>
          </w:tcPr>
          <w:p w14:paraId="2FD0F7B6">
            <w:pPr>
              <w:spacing w:line="420" w:lineRule="exac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highlight w:val="none"/>
                <w:lang w:bidi="ar"/>
              </w:rPr>
              <w:t>招</w:t>
            </w:r>
            <w:r>
              <w:rPr>
                <w:rFonts w:hint="eastAsia" w:ascii="宋体" w:hAnsi="宋体" w:cs="宋体"/>
                <w:color w:val="auto"/>
                <w:kern w:val="0"/>
                <w:sz w:val="24"/>
                <w:highlight w:val="none"/>
                <w:lang w:val="en-US" w:eastAsia="zh-CN" w:bidi="ar"/>
              </w:rPr>
              <w:t xml:space="preserve"> </w:t>
            </w:r>
            <w:r>
              <w:rPr>
                <w:rFonts w:hint="eastAsia" w:ascii="宋体" w:hAnsi="宋体" w:cs="宋体"/>
                <w:color w:val="auto"/>
                <w:kern w:val="0"/>
                <w:sz w:val="24"/>
                <w:highlight w:val="none"/>
                <w:lang w:bidi="ar"/>
              </w:rPr>
              <w:t>标</w:t>
            </w:r>
            <w:r>
              <w:rPr>
                <w:rFonts w:hint="eastAsia" w:ascii="宋体" w:hAnsi="宋体" w:cs="宋体"/>
                <w:color w:val="auto"/>
                <w:kern w:val="0"/>
                <w:sz w:val="24"/>
                <w:highlight w:val="none"/>
                <w:lang w:val="en-US" w:eastAsia="zh-CN" w:bidi="ar"/>
              </w:rPr>
              <w:t xml:space="preserve"> </w:t>
            </w:r>
            <w:r>
              <w:rPr>
                <w:rFonts w:hint="eastAsia" w:ascii="宋体" w:hAnsi="宋体" w:cs="宋体"/>
                <w:color w:val="auto"/>
                <w:kern w:val="0"/>
                <w:sz w:val="24"/>
                <w:szCs w:val="24"/>
                <w:highlight w:val="none"/>
                <w:lang w:bidi="ar"/>
              </w:rPr>
              <w:t>人：</w:t>
            </w:r>
            <w:r>
              <w:rPr>
                <w:rFonts w:hint="eastAsia" w:ascii="宋体" w:hAnsi="宋体" w:cs="宋体"/>
                <w:color w:val="auto"/>
                <w:kern w:val="0"/>
                <w:sz w:val="24"/>
                <w:szCs w:val="24"/>
                <w:highlight w:val="none"/>
                <w:lang w:eastAsia="zh-CN" w:bidi="ar"/>
              </w:rPr>
              <w:t>乐昌市两江镇人民政府</w:t>
            </w:r>
          </w:p>
          <w:p w14:paraId="29C8393A">
            <w:pPr>
              <w:spacing w:line="420" w:lineRule="exac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地 </w:t>
            </w:r>
            <w:r>
              <w:rPr>
                <w:rFonts w:hint="eastAsia" w:ascii="宋体" w:hAnsi="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bidi="ar"/>
              </w:rPr>
              <w:t xml:space="preserve"> 址：</w:t>
            </w:r>
            <w:r>
              <w:rPr>
                <w:rFonts w:hint="eastAsia" w:ascii="宋体" w:hAnsi="宋体" w:cs="宋体"/>
                <w:color w:val="auto"/>
                <w:kern w:val="0"/>
                <w:sz w:val="24"/>
                <w:szCs w:val="24"/>
                <w:highlight w:val="none"/>
                <w:lang w:eastAsia="zh-CN" w:bidi="ar"/>
              </w:rPr>
              <w:t>乐昌市两江镇人民政府</w:t>
            </w:r>
          </w:p>
          <w:p w14:paraId="44A9C3C6">
            <w:pPr>
              <w:spacing w:line="420" w:lineRule="exac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联 系 人：</w:t>
            </w:r>
            <w:r>
              <w:rPr>
                <w:rFonts w:hint="eastAsia" w:ascii="宋体" w:hAnsi="宋体" w:cs="宋体"/>
                <w:color w:val="auto"/>
                <w:kern w:val="0"/>
                <w:sz w:val="24"/>
                <w:szCs w:val="24"/>
                <w:highlight w:val="none"/>
                <w:lang w:val="en-US" w:eastAsia="zh-CN" w:bidi="ar"/>
              </w:rPr>
              <w:t>邓</w:t>
            </w:r>
            <w:r>
              <w:rPr>
                <w:rFonts w:hint="eastAsia" w:ascii="宋体" w:hAnsi="宋体" w:cs="宋体"/>
                <w:color w:val="auto"/>
                <w:kern w:val="0"/>
                <w:sz w:val="24"/>
                <w:szCs w:val="24"/>
                <w:highlight w:val="none"/>
                <w:lang w:bidi="ar"/>
              </w:rPr>
              <w:t>工</w:t>
            </w:r>
          </w:p>
          <w:p w14:paraId="4D579035">
            <w:pPr>
              <w:spacing w:line="420" w:lineRule="exac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szCs w:val="24"/>
                <w:highlight w:val="none"/>
                <w:lang w:bidi="ar"/>
              </w:rPr>
              <w:t>电    话：</w:t>
            </w:r>
            <w:r>
              <w:rPr>
                <w:rFonts w:hint="eastAsia" w:ascii="宋体" w:hAnsi="宋体" w:cs="宋体"/>
                <w:color w:val="auto"/>
                <w:sz w:val="24"/>
                <w:szCs w:val="24"/>
                <w:highlight w:val="none"/>
                <w:lang w:val="en-US" w:eastAsia="zh-CN"/>
              </w:rPr>
              <w:t>0751-5740178</w:t>
            </w:r>
          </w:p>
        </w:tc>
        <w:tc>
          <w:tcPr>
            <w:tcW w:w="4926" w:type="dxa"/>
            <w:tcBorders>
              <w:tl2br w:val="nil"/>
              <w:tr2bl w:val="nil"/>
            </w:tcBorders>
          </w:tcPr>
          <w:p w14:paraId="3C93F72F">
            <w:pPr>
              <w:spacing w:line="420" w:lineRule="exac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招标代理机构：</w:t>
            </w:r>
            <w:r>
              <w:rPr>
                <w:rFonts w:hint="eastAsia" w:ascii="宋体" w:hAnsi="宋体" w:cs="宋体"/>
                <w:color w:val="auto"/>
                <w:kern w:val="0"/>
                <w:sz w:val="24"/>
                <w:highlight w:val="none"/>
                <w:lang w:eastAsia="zh-CN" w:bidi="ar"/>
              </w:rPr>
              <w:t>韶关市中利工程咨询有限公司</w:t>
            </w:r>
          </w:p>
          <w:p w14:paraId="0D965BE3">
            <w:pPr>
              <w:spacing w:line="420" w:lineRule="exact"/>
              <w:ind w:left="1200" w:hanging="1200" w:hangingChars="5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地    址：</w:t>
            </w:r>
            <w:r>
              <w:rPr>
                <w:rFonts w:hint="eastAsia" w:ascii="宋体" w:hAnsi="宋体" w:cs="宋体"/>
                <w:color w:val="auto"/>
                <w:kern w:val="0"/>
                <w:sz w:val="24"/>
                <w:highlight w:val="none"/>
              </w:rPr>
              <w:t>韶关市武江区沐阳东路12号卓越雅苑5幢301</w:t>
            </w:r>
          </w:p>
          <w:p w14:paraId="32D34623">
            <w:pPr>
              <w:spacing w:line="42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联 系 人：</w:t>
            </w:r>
            <w:r>
              <w:rPr>
                <w:rFonts w:hint="eastAsia" w:ascii="宋体" w:hAnsi="宋体" w:cs="宋体"/>
                <w:color w:val="auto"/>
                <w:kern w:val="0"/>
                <w:sz w:val="24"/>
                <w:highlight w:val="none"/>
                <w:lang w:val="en-US" w:eastAsia="zh-CN" w:bidi="ar"/>
              </w:rPr>
              <w:t>文工、张</w:t>
            </w:r>
            <w:r>
              <w:rPr>
                <w:rFonts w:hint="eastAsia" w:ascii="宋体" w:hAnsi="宋体" w:cs="宋体"/>
                <w:color w:val="auto"/>
                <w:kern w:val="0"/>
                <w:sz w:val="24"/>
                <w:highlight w:val="none"/>
                <w:lang w:bidi="ar"/>
              </w:rPr>
              <w:t>工</w:t>
            </w:r>
          </w:p>
          <w:p w14:paraId="001C14D2">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lang w:bidi="ar"/>
              </w:rPr>
              <w:t>电    话：0751-8767033</w:t>
            </w:r>
          </w:p>
        </w:tc>
      </w:tr>
    </w:tbl>
    <w:p w14:paraId="49723952">
      <w:pPr>
        <w:pStyle w:val="3"/>
        <w:numPr>
          <w:ilvl w:val="0"/>
          <w:numId w:val="4"/>
        </w:numPr>
        <w:spacing w:before="140" w:after="140" w:line="240" w:lineRule="auto"/>
        <w:rPr>
          <w:rFonts w:ascii="宋体" w:hAnsi="宋体" w:eastAsia="宋体" w:cs="黑体"/>
          <w:color w:val="auto"/>
          <w:sz w:val="30"/>
          <w:szCs w:val="30"/>
          <w:highlight w:val="none"/>
        </w:rPr>
      </w:pPr>
      <w:r>
        <w:rPr>
          <w:rFonts w:hint="eastAsia" w:ascii="宋体" w:hAnsi="宋体" w:eastAsia="宋体" w:cs="黑体"/>
          <w:b w:val="0"/>
          <w:bCs w:val="0"/>
          <w:color w:val="auto"/>
          <w:sz w:val="30"/>
          <w:szCs w:val="30"/>
          <w:highlight w:val="none"/>
        </w:rPr>
        <w:br w:type="page"/>
      </w:r>
      <w:r>
        <w:rPr>
          <w:rFonts w:hint="eastAsia" w:ascii="宋体" w:hAnsi="宋体" w:eastAsia="宋体" w:cs="黑体"/>
          <w:color w:val="auto"/>
          <w:sz w:val="30"/>
          <w:szCs w:val="30"/>
          <w:highlight w:val="none"/>
        </w:rPr>
        <w:t>重要事项时间地点一览表</w:t>
      </w:r>
    </w:p>
    <w:tbl>
      <w:tblPr>
        <w:tblStyle w:val="42"/>
        <w:tblW w:w="9106"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7"/>
        <w:gridCol w:w="1285"/>
        <w:gridCol w:w="7404"/>
      </w:tblGrid>
      <w:tr w14:paraId="02E06A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4" w:hRule="exact"/>
        </w:trPr>
        <w:tc>
          <w:tcPr>
            <w:tcW w:w="417" w:type="dxa"/>
            <w:tcBorders>
              <w:top w:val="single" w:color="080000" w:sz="4" w:space="0"/>
              <w:left w:val="single" w:color="080000" w:sz="4" w:space="0"/>
              <w:bottom w:val="single" w:color="080000" w:sz="4" w:space="0"/>
              <w:right w:val="single" w:color="080000" w:sz="4" w:space="0"/>
            </w:tcBorders>
            <w:vAlign w:val="center"/>
          </w:tcPr>
          <w:p w14:paraId="2975565A">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285" w:type="dxa"/>
            <w:tcBorders>
              <w:top w:val="single" w:color="080000" w:sz="4" w:space="0"/>
              <w:left w:val="single" w:color="080000" w:sz="4" w:space="0"/>
              <w:bottom w:val="single" w:color="080000" w:sz="4" w:space="0"/>
              <w:right w:val="single" w:color="080000" w:sz="4" w:space="0"/>
            </w:tcBorders>
            <w:vAlign w:val="center"/>
          </w:tcPr>
          <w:p w14:paraId="19BFF9BE">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招标公告</w:t>
            </w:r>
          </w:p>
          <w:p w14:paraId="7420C661">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发布时间 </w:t>
            </w:r>
          </w:p>
        </w:tc>
        <w:tc>
          <w:tcPr>
            <w:tcW w:w="7404" w:type="dxa"/>
            <w:tcBorders>
              <w:top w:val="single" w:color="080000" w:sz="4" w:space="0"/>
              <w:left w:val="single" w:color="080000" w:sz="4" w:space="0"/>
              <w:bottom w:val="single" w:color="080000" w:sz="4" w:space="0"/>
              <w:right w:val="single" w:color="080000" w:sz="4" w:space="0"/>
            </w:tcBorders>
            <w:vAlign w:val="center"/>
          </w:tcPr>
          <w:p w14:paraId="195CE706">
            <w:pPr>
              <w:pStyle w:val="73"/>
              <w:wordWrap w:val="0"/>
              <w:adjustRightInd w:val="0"/>
              <w:snapToGrid w:val="0"/>
              <w:spacing w:line="400" w:lineRule="exact"/>
              <w:jc w:val="left"/>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26</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20</w:t>
            </w:r>
            <w:bookmarkStart w:id="1754" w:name="_GoBack"/>
            <w:bookmarkEnd w:id="1754"/>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分</w:t>
            </w:r>
          </w:p>
        </w:tc>
      </w:tr>
      <w:tr w14:paraId="531C4B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3" w:hRule="exact"/>
        </w:trPr>
        <w:tc>
          <w:tcPr>
            <w:tcW w:w="417" w:type="dxa"/>
            <w:tcBorders>
              <w:top w:val="single" w:color="080000" w:sz="4" w:space="0"/>
              <w:left w:val="single" w:color="080000" w:sz="4" w:space="0"/>
              <w:bottom w:val="single" w:color="080000" w:sz="4" w:space="0"/>
              <w:right w:val="single" w:color="080000" w:sz="4" w:space="0"/>
            </w:tcBorders>
            <w:vAlign w:val="center"/>
          </w:tcPr>
          <w:p w14:paraId="0A7DC99B">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285" w:type="dxa"/>
            <w:tcBorders>
              <w:top w:val="single" w:color="080000" w:sz="4" w:space="0"/>
              <w:left w:val="single" w:color="080000" w:sz="4" w:space="0"/>
              <w:bottom w:val="single" w:color="080000" w:sz="4" w:space="0"/>
              <w:right w:val="single" w:color="080000" w:sz="4" w:space="0"/>
            </w:tcBorders>
            <w:vAlign w:val="center"/>
          </w:tcPr>
          <w:p w14:paraId="6EF0295E">
            <w:pPr>
              <w:pStyle w:val="73"/>
              <w:wordWrap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获取招标文件截止时间</w:t>
            </w:r>
          </w:p>
        </w:tc>
        <w:tc>
          <w:tcPr>
            <w:tcW w:w="7404" w:type="dxa"/>
            <w:tcBorders>
              <w:top w:val="single" w:color="080000" w:sz="4" w:space="0"/>
              <w:left w:val="single" w:color="080000" w:sz="4" w:space="0"/>
              <w:bottom w:val="single" w:color="080000" w:sz="4" w:space="0"/>
              <w:right w:val="single" w:color="080000" w:sz="4" w:space="0"/>
            </w:tcBorders>
            <w:vAlign w:val="center"/>
          </w:tcPr>
          <w:p w14:paraId="74C92541">
            <w:pPr>
              <w:pStyle w:val="73"/>
              <w:wordWrap w:val="0"/>
              <w:adjustRightInd w:val="0"/>
              <w:snapToGrid w:val="0"/>
              <w:spacing w:line="400" w:lineRule="exact"/>
              <w:jc w:val="left"/>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24</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0</w:t>
            </w:r>
            <w:r>
              <w:rPr>
                <w:rFonts w:hint="eastAsia" w:ascii="宋体" w:hAnsi="宋体" w:eastAsia="宋体" w:cs="宋体"/>
                <w:snapToGrid w:val="0"/>
                <w:color w:val="auto"/>
                <w:kern w:val="0"/>
                <w:sz w:val="24"/>
                <w:szCs w:val="24"/>
                <w:highlight w:val="none"/>
                <w:u w:val="single"/>
              </w:rPr>
              <w:t xml:space="preserve">0 </w:t>
            </w:r>
            <w:r>
              <w:rPr>
                <w:rFonts w:hint="eastAsia" w:ascii="宋体" w:hAnsi="宋体" w:eastAsia="宋体" w:cs="宋体"/>
                <w:snapToGrid w:val="0"/>
                <w:color w:val="auto"/>
                <w:kern w:val="0"/>
                <w:sz w:val="24"/>
                <w:szCs w:val="24"/>
                <w:highlight w:val="none"/>
              </w:rPr>
              <w:t>分</w:t>
            </w:r>
          </w:p>
        </w:tc>
      </w:tr>
      <w:tr w14:paraId="5CAC35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6" w:hRule="exact"/>
        </w:trPr>
        <w:tc>
          <w:tcPr>
            <w:tcW w:w="417" w:type="dxa"/>
            <w:tcBorders>
              <w:top w:val="single" w:color="080000" w:sz="4" w:space="0"/>
              <w:left w:val="single" w:color="080000" w:sz="4" w:space="0"/>
              <w:bottom w:val="single" w:color="080000" w:sz="4" w:space="0"/>
              <w:right w:val="single" w:color="080000" w:sz="4" w:space="0"/>
            </w:tcBorders>
            <w:vAlign w:val="center"/>
          </w:tcPr>
          <w:p w14:paraId="2ABDC688">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285" w:type="dxa"/>
            <w:tcBorders>
              <w:top w:val="single" w:color="080000" w:sz="4" w:space="0"/>
              <w:left w:val="single" w:color="080000" w:sz="4" w:space="0"/>
              <w:bottom w:val="single" w:color="080000" w:sz="4" w:space="0"/>
              <w:right w:val="single" w:color="080000" w:sz="4" w:space="0"/>
            </w:tcBorders>
            <w:vAlign w:val="center"/>
          </w:tcPr>
          <w:p w14:paraId="7CB2A6AE">
            <w:pPr>
              <w:pStyle w:val="73"/>
              <w:wordWrap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14:paraId="28283AB2">
            <w:pPr>
              <w:pStyle w:val="73"/>
              <w:wordWrap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截止时间 </w:t>
            </w:r>
          </w:p>
        </w:tc>
        <w:tc>
          <w:tcPr>
            <w:tcW w:w="7404" w:type="dxa"/>
            <w:tcBorders>
              <w:top w:val="single" w:color="080000" w:sz="4" w:space="0"/>
              <w:left w:val="single" w:color="080000" w:sz="4" w:space="0"/>
              <w:bottom w:val="single" w:color="080000" w:sz="4" w:space="0"/>
              <w:right w:val="single" w:color="080000" w:sz="4" w:space="0"/>
            </w:tcBorders>
            <w:vAlign w:val="center"/>
          </w:tcPr>
          <w:p w14:paraId="34C5A951">
            <w:pPr>
              <w:pStyle w:val="73"/>
              <w:wordWrap w:val="0"/>
              <w:adjustRightInd w:val="0"/>
              <w:snapToGrid w:val="0"/>
              <w:spacing w:line="400" w:lineRule="exact"/>
              <w:jc w:val="left"/>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05</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14:paraId="3F3FEF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3" w:hRule="exact"/>
        </w:trPr>
        <w:tc>
          <w:tcPr>
            <w:tcW w:w="417" w:type="dxa"/>
            <w:tcBorders>
              <w:top w:val="single" w:color="080000" w:sz="4" w:space="0"/>
              <w:left w:val="single" w:color="080000" w:sz="4" w:space="0"/>
              <w:bottom w:val="single" w:color="080000" w:sz="4" w:space="0"/>
              <w:right w:val="single" w:color="080000" w:sz="4" w:space="0"/>
            </w:tcBorders>
            <w:vAlign w:val="center"/>
          </w:tcPr>
          <w:p w14:paraId="5C12EF4A">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285" w:type="dxa"/>
            <w:tcBorders>
              <w:top w:val="single" w:color="080000" w:sz="4" w:space="0"/>
              <w:left w:val="single" w:color="080000" w:sz="4" w:space="0"/>
              <w:bottom w:val="single" w:color="080000" w:sz="4" w:space="0"/>
              <w:right w:val="single" w:color="080000" w:sz="4" w:space="0"/>
            </w:tcBorders>
            <w:vAlign w:val="center"/>
          </w:tcPr>
          <w:p w14:paraId="40C6ED08">
            <w:pPr>
              <w:pStyle w:val="73"/>
              <w:wordWrap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14:paraId="2A9563DE">
            <w:pPr>
              <w:pStyle w:val="73"/>
              <w:wordWrap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404" w:type="dxa"/>
            <w:tcBorders>
              <w:top w:val="single" w:color="080000" w:sz="4" w:space="0"/>
              <w:left w:val="single" w:color="080000" w:sz="4" w:space="0"/>
              <w:bottom w:val="single" w:color="080000" w:sz="4" w:space="0"/>
              <w:right w:val="single" w:color="080000" w:sz="4" w:space="0"/>
            </w:tcBorders>
            <w:vAlign w:val="center"/>
          </w:tcPr>
          <w:p w14:paraId="198EC014">
            <w:pPr>
              <w:pStyle w:val="73"/>
              <w:wordWrap w:val="0"/>
              <w:adjustRightInd w:val="0"/>
              <w:snapToGrid w:val="0"/>
              <w:spacing w:line="400" w:lineRule="exact"/>
              <w:jc w:val="left"/>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05</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14:paraId="4DA399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94" w:hRule="exact"/>
        </w:trPr>
        <w:tc>
          <w:tcPr>
            <w:tcW w:w="417" w:type="dxa"/>
            <w:tcBorders>
              <w:top w:val="single" w:color="080000" w:sz="4" w:space="0"/>
              <w:left w:val="single" w:color="080000" w:sz="4" w:space="0"/>
              <w:bottom w:val="single" w:color="080000" w:sz="4" w:space="0"/>
              <w:right w:val="single" w:color="080000" w:sz="4" w:space="0"/>
            </w:tcBorders>
            <w:vAlign w:val="center"/>
          </w:tcPr>
          <w:p w14:paraId="6C3E4395">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bookmarkStart w:id="26" w:name="OLE_LINK5" w:colFirst="1" w:colLast="2"/>
            <w:r>
              <w:rPr>
                <w:rFonts w:hint="eastAsia" w:ascii="宋体" w:hAnsi="宋体" w:eastAsia="宋体" w:cs="宋体"/>
                <w:snapToGrid w:val="0"/>
                <w:color w:val="auto"/>
                <w:kern w:val="0"/>
                <w:sz w:val="24"/>
                <w:szCs w:val="24"/>
                <w:highlight w:val="none"/>
              </w:rPr>
              <w:t>5</w:t>
            </w:r>
          </w:p>
        </w:tc>
        <w:tc>
          <w:tcPr>
            <w:tcW w:w="1285" w:type="dxa"/>
            <w:tcBorders>
              <w:top w:val="single" w:color="080000" w:sz="4" w:space="0"/>
              <w:left w:val="single" w:color="080000" w:sz="4" w:space="0"/>
              <w:bottom w:val="single" w:color="080000" w:sz="4" w:space="0"/>
              <w:right w:val="single" w:color="080000" w:sz="4" w:space="0"/>
            </w:tcBorders>
            <w:vAlign w:val="center"/>
          </w:tcPr>
          <w:p w14:paraId="3C2E0C57">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14:paraId="7B222141">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404" w:type="dxa"/>
            <w:tcBorders>
              <w:top w:val="single" w:color="080000" w:sz="4" w:space="0"/>
              <w:left w:val="single" w:color="080000" w:sz="4" w:space="0"/>
              <w:bottom w:val="single" w:color="080000" w:sz="4" w:space="0"/>
              <w:right w:val="single" w:color="080000" w:sz="4" w:space="0"/>
            </w:tcBorders>
            <w:vAlign w:val="center"/>
          </w:tcPr>
          <w:p w14:paraId="6CFB1948">
            <w:pPr>
              <w:pStyle w:val="73"/>
              <w:wordWrap w:val="0"/>
              <w:adjustRightInd w:val="0"/>
              <w:snapToGrid w:val="0"/>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23</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0</w:t>
            </w:r>
            <w:r>
              <w:rPr>
                <w:rFonts w:hint="eastAsia" w:ascii="宋体" w:hAnsi="宋体" w:eastAsia="宋体" w:cs="宋体"/>
                <w:snapToGrid w:val="0"/>
                <w:color w:val="auto"/>
                <w:kern w:val="0"/>
                <w:sz w:val="24"/>
                <w:szCs w:val="24"/>
                <w:highlight w:val="none"/>
                <w:u w:val="single"/>
              </w:rPr>
              <w:t xml:space="preserve">0 </w:t>
            </w:r>
            <w:r>
              <w:rPr>
                <w:rFonts w:hint="eastAsia" w:ascii="宋体" w:hAnsi="宋体" w:eastAsia="宋体" w:cs="宋体"/>
                <w:snapToGrid w:val="0"/>
                <w:color w:val="auto"/>
                <w:kern w:val="0"/>
                <w:sz w:val="24"/>
                <w:szCs w:val="24"/>
                <w:highlight w:val="none"/>
              </w:rPr>
              <w:t>分；</w:t>
            </w:r>
          </w:p>
          <w:p w14:paraId="02678EC3">
            <w:pPr>
              <w:pStyle w:val="73"/>
              <w:wordWrap w:val="0"/>
              <w:adjustRightInd w:val="0"/>
              <w:snapToGrid w:val="0"/>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u w:val="single"/>
                <w:lang w:val="en-US" w:eastAsia="zh-CN"/>
              </w:rPr>
              <w:t>23</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0</w:t>
            </w:r>
            <w:r>
              <w:rPr>
                <w:rFonts w:hint="eastAsia" w:ascii="宋体" w:hAnsi="宋体" w:eastAsia="宋体" w:cs="宋体"/>
                <w:snapToGrid w:val="0"/>
                <w:color w:val="auto"/>
                <w:kern w:val="0"/>
                <w:sz w:val="24"/>
                <w:szCs w:val="24"/>
                <w:highlight w:val="none"/>
                <w:u w:val="single"/>
              </w:rPr>
              <w:t xml:space="preserve">0 </w:t>
            </w:r>
            <w:r>
              <w:rPr>
                <w:rFonts w:hint="eastAsia" w:ascii="宋体" w:hAnsi="宋体" w:eastAsia="宋体" w:cs="宋体"/>
                <w:snapToGrid w:val="0"/>
                <w:color w:val="auto"/>
                <w:kern w:val="0"/>
                <w:sz w:val="24"/>
                <w:szCs w:val="24"/>
                <w:highlight w:val="none"/>
              </w:rPr>
              <w:t>分；</w:t>
            </w:r>
          </w:p>
          <w:p w14:paraId="76F814EE">
            <w:pPr>
              <w:pStyle w:val="35"/>
              <w:wordWrap w:val="0"/>
              <w:adjustRightInd w:val="0"/>
              <w:snapToGrid w:val="0"/>
              <w:spacing w:line="400" w:lineRule="exact"/>
              <w:ind w:firstLine="240" w:firstLineChars="1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投标保证保险投保截止时间：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23</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0</w:t>
            </w:r>
            <w:r>
              <w:rPr>
                <w:rFonts w:hint="eastAsia" w:ascii="宋体" w:hAnsi="宋体" w:eastAsia="宋体" w:cs="宋体"/>
                <w:snapToGrid w:val="0"/>
                <w:color w:val="auto"/>
                <w:kern w:val="0"/>
                <w:sz w:val="24"/>
                <w:szCs w:val="24"/>
                <w:highlight w:val="none"/>
                <w:u w:val="single"/>
              </w:rPr>
              <w:t xml:space="preserve">0 </w:t>
            </w:r>
            <w:r>
              <w:rPr>
                <w:rFonts w:hint="eastAsia" w:ascii="宋体" w:hAnsi="宋体" w:eastAsia="宋体" w:cs="宋体"/>
                <w:snapToGrid w:val="0"/>
                <w:color w:val="auto"/>
                <w:kern w:val="0"/>
                <w:sz w:val="24"/>
                <w:szCs w:val="24"/>
                <w:highlight w:val="none"/>
              </w:rPr>
              <w:t>分。</w:t>
            </w:r>
          </w:p>
        </w:tc>
      </w:tr>
      <w:bookmarkEnd w:id="26"/>
      <w:tr w14:paraId="32F6D1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4" w:hRule="exact"/>
        </w:trPr>
        <w:tc>
          <w:tcPr>
            <w:tcW w:w="417" w:type="dxa"/>
            <w:tcBorders>
              <w:top w:val="single" w:color="080000" w:sz="4" w:space="0"/>
              <w:left w:val="single" w:color="080000" w:sz="4" w:space="0"/>
              <w:bottom w:val="single" w:color="080000" w:sz="4" w:space="0"/>
              <w:right w:val="single" w:color="080000" w:sz="4" w:space="0"/>
            </w:tcBorders>
            <w:vAlign w:val="center"/>
          </w:tcPr>
          <w:p w14:paraId="0048F72A">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285" w:type="dxa"/>
            <w:tcBorders>
              <w:top w:val="single" w:color="080000" w:sz="4" w:space="0"/>
              <w:left w:val="single" w:color="080000" w:sz="4" w:space="0"/>
              <w:bottom w:val="single" w:color="080000" w:sz="4" w:space="0"/>
              <w:right w:val="single" w:color="080000" w:sz="4" w:space="0"/>
            </w:tcBorders>
            <w:vAlign w:val="center"/>
          </w:tcPr>
          <w:p w14:paraId="15A2D788">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14:paraId="3C96B5EE">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截止时间 </w:t>
            </w:r>
          </w:p>
        </w:tc>
        <w:tc>
          <w:tcPr>
            <w:tcW w:w="7404" w:type="dxa"/>
            <w:tcBorders>
              <w:top w:val="single" w:color="080000" w:sz="4" w:space="0"/>
              <w:left w:val="single" w:color="080000" w:sz="4" w:space="0"/>
              <w:bottom w:val="single" w:color="080000" w:sz="4" w:space="0"/>
              <w:right w:val="single" w:color="080000" w:sz="4" w:space="0"/>
            </w:tcBorders>
            <w:vAlign w:val="center"/>
          </w:tcPr>
          <w:p w14:paraId="412DD3FE">
            <w:pPr>
              <w:pStyle w:val="35"/>
              <w:wordWrap w:val="0"/>
              <w:adjustRightInd w:val="0"/>
              <w:snapToGrid w:val="0"/>
              <w:spacing w:line="400" w:lineRule="exact"/>
              <w:ind w:firstLine="120" w:firstLineChars="50"/>
              <w:jc w:val="left"/>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24</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0</w:t>
            </w:r>
            <w:r>
              <w:rPr>
                <w:rFonts w:hint="eastAsia" w:ascii="宋体" w:hAnsi="宋体" w:eastAsia="宋体" w:cs="宋体"/>
                <w:snapToGrid w:val="0"/>
                <w:color w:val="auto"/>
                <w:kern w:val="0"/>
                <w:sz w:val="24"/>
                <w:szCs w:val="24"/>
                <w:highlight w:val="none"/>
                <w:u w:val="single"/>
              </w:rPr>
              <w:t xml:space="preserve">0 </w:t>
            </w:r>
            <w:r>
              <w:rPr>
                <w:rFonts w:hint="eastAsia" w:ascii="宋体" w:hAnsi="宋体" w:eastAsia="宋体" w:cs="宋体"/>
                <w:snapToGrid w:val="0"/>
                <w:color w:val="auto"/>
                <w:kern w:val="0"/>
                <w:sz w:val="24"/>
                <w:szCs w:val="24"/>
                <w:highlight w:val="none"/>
              </w:rPr>
              <w:t>分</w:t>
            </w:r>
          </w:p>
        </w:tc>
      </w:tr>
      <w:tr w14:paraId="673A64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0" w:hRule="exact"/>
        </w:trPr>
        <w:tc>
          <w:tcPr>
            <w:tcW w:w="417" w:type="dxa"/>
            <w:tcBorders>
              <w:top w:val="single" w:color="080000" w:sz="4" w:space="0"/>
              <w:left w:val="single" w:color="080000" w:sz="4" w:space="0"/>
              <w:bottom w:val="single" w:color="080000" w:sz="4" w:space="0"/>
              <w:right w:val="single" w:color="080000" w:sz="4" w:space="0"/>
            </w:tcBorders>
            <w:vAlign w:val="center"/>
          </w:tcPr>
          <w:p w14:paraId="4EE25639">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285" w:type="dxa"/>
            <w:tcBorders>
              <w:top w:val="single" w:color="080000" w:sz="4" w:space="0"/>
              <w:left w:val="single" w:color="080000" w:sz="4" w:space="0"/>
              <w:bottom w:val="single" w:color="080000" w:sz="4" w:space="0"/>
              <w:right w:val="single" w:color="080000" w:sz="4" w:space="0"/>
            </w:tcBorders>
            <w:vAlign w:val="center"/>
          </w:tcPr>
          <w:p w14:paraId="7A6B183F">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投标相关资料（如有）递交时间</w:t>
            </w:r>
          </w:p>
        </w:tc>
        <w:tc>
          <w:tcPr>
            <w:tcW w:w="7404" w:type="dxa"/>
            <w:tcBorders>
              <w:top w:val="single" w:color="080000" w:sz="4" w:space="0"/>
              <w:left w:val="single" w:color="080000" w:sz="4" w:space="0"/>
              <w:bottom w:val="single" w:color="080000" w:sz="4" w:space="0"/>
              <w:right w:val="single" w:color="080000" w:sz="4" w:space="0"/>
            </w:tcBorders>
            <w:vAlign w:val="center"/>
          </w:tcPr>
          <w:p w14:paraId="0EBE287E">
            <w:pPr>
              <w:pStyle w:val="35"/>
              <w:wordWrap w:val="0"/>
              <w:adjustRightInd w:val="0"/>
              <w:snapToGrid w:val="0"/>
              <w:spacing w:line="400" w:lineRule="exact"/>
              <w:jc w:val="left"/>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24</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0</w:t>
            </w:r>
            <w:r>
              <w:rPr>
                <w:rFonts w:hint="eastAsia" w:ascii="宋体" w:hAnsi="宋体" w:eastAsia="宋体" w:cs="宋体"/>
                <w:snapToGrid w:val="0"/>
                <w:color w:val="auto"/>
                <w:kern w:val="0"/>
                <w:sz w:val="24"/>
                <w:szCs w:val="24"/>
                <w:highlight w:val="none"/>
                <w:u w:val="single"/>
              </w:rPr>
              <w:t xml:space="preserve">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u w:val="single"/>
              </w:rPr>
              <w:t>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24</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0</w:t>
            </w:r>
            <w:r>
              <w:rPr>
                <w:rFonts w:hint="eastAsia" w:ascii="宋体" w:hAnsi="宋体" w:eastAsia="宋体" w:cs="宋体"/>
                <w:snapToGrid w:val="0"/>
                <w:color w:val="auto"/>
                <w:kern w:val="0"/>
                <w:sz w:val="24"/>
                <w:szCs w:val="24"/>
                <w:highlight w:val="none"/>
                <w:u w:val="single"/>
              </w:rPr>
              <w:t>0</w:t>
            </w:r>
            <w:r>
              <w:rPr>
                <w:rFonts w:hint="eastAsia" w:ascii="宋体" w:hAnsi="宋体" w:eastAsia="宋体" w:cs="宋体"/>
                <w:snapToGrid w:val="0"/>
                <w:color w:val="auto"/>
                <w:kern w:val="0"/>
                <w:sz w:val="24"/>
                <w:szCs w:val="24"/>
                <w:highlight w:val="none"/>
              </w:rPr>
              <w:t>分</w:t>
            </w:r>
          </w:p>
        </w:tc>
      </w:tr>
      <w:tr w14:paraId="3EDCEA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8" w:hRule="atLeast"/>
        </w:trPr>
        <w:tc>
          <w:tcPr>
            <w:tcW w:w="417" w:type="dxa"/>
            <w:tcBorders>
              <w:top w:val="single" w:color="080000" w:sz="4" w:space="0"/>
              <w:left w:val="single" w:color="080000" w:sz="4" w:space="0"/>
              <w:bottom w:val="single" w:color="080000" w:sz="4" w:space="0"/>
              <w:right w:val="single" w:color="080000" w:sz="4" w:space="0"/>
            </w:tcBorders>
            <w:vAlign w:val="center"/>
          </w:tcPr>
          <w:p w14:paraId="63377BDF">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285" w:type="dxa"/>
            <w:tcBorders>
              <w:top w:val="single" w:color="080000" w:sz="4" w:space="0"/>
              <w:left w:val="single" w:color="080000" w:sz="4" w:space="0"/>
              <w:bottom w:val="single" w:color="080000" w:sz="4" w:space="0"/>
              <w:right w:val="single" w:color="080000" w:sz="4" w:space="0"/>
            </w:tcBorders>
            <w:vAlign w:val="center"/>
          </w:tcPr>
          <w:p w14:paraId="7661ACCC">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投标相关资料（如有）递交地点</w:t>
            </w:r>
          </w:p>
        </w:tc>
        <w:tc>
          <w:tcPr>
            <w:tcW w:w="7404" w:type="dxa"/>
            <w:tcBorders>
              <w:top w:val="single" w:color="080000" w:sz="4" w:space="0"/>
              <w:left w:val="single" w:color="080000" w:sz="4" w:space="0"/>
              <w:bottom w:val="single" w:color="080000" w:sz="4" w:space="0"/>
              <w:right w:val="single" w:color="080000" w:sz="4" w:space="0"/>
            </w:tcBorders>
            <w:vAlign w:val="center"/>
          </w:tcPr>
          <w:p w14:paraId="653A530E">
            <w:pPr>
              <w:keepNext w:val="0"/>
              <w:keepLines w:val="0"/>
              <w:pageBreakBefore w:val="0"/>
              <w:widowControl w:val="0"/>
              <w:kinsoku/>
              <w:wordWrap w:val="0"/>
              <w:overflowPunct/>
              <w:topLinePunct w:val="0"/>
              <w:autoSpaceDE/>
              <w:autoSpaceDN/>
              <w:bidi w:val="0"/>
              <w:adjustRightInd w:val="0"/>
              <w:snapToGrid w:val="0"/>
              <w:spacing w:line="360" w:lineRule="exact"/>
              <w:ind w:firstLine="240" w:firstLineChars="1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递交场所：韶关市公共资源交易中心；</w:t>
            </w:r>
          </w:p>
          <w:p w14:paraId="33C4566B">
            <w:pPr>
              <w:keepNext w:val="0"/>
              <w:keepLines w:val="0"/>
              <w:pageBreakBefore w:val="0"/>
              <w:widowControl w:val="0"/>
              <w:kinsoku/>
              <w:wordWrap w:val="0"/>
              <w:overflowPunct/>
              <w:topLinePunct w:val="0"/>
              <w:autoSpaceDE/>
              <w:autoSpaceDN/>
              <w:bidi w:val="0"/>
              <w:adjustRightInd w:val="0"/>
              <w:snapToGrid w:val="0"/>
              <w:spacing w:line="36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kern w:val="0"/>
                <w:sz w:val="24"/>
                <w:szCs w:val="24"/>
                <w:highlight w:val="none"/>
              </w:rPr>
              <w:t>韶关市公共资源交易中心乐昌分中心（地址：乐昌市昌山北路23号），具体递交场所以当日现场通知为准。</w:t>
            </w:r>
          </w:p>
        </w:tc>
      </w:tr>
      <w:tr w14:paraId="030DD9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49" w:hRule="atLeast"/>
        </w:trPr>
        <w:tc>
          <w:tcPr>
            <w:tcW w:w="417" w:type="dxa"/>
            <w:tcBorders>
              <w:top w:val="single" w:color="080000" w:sz="4" w:space="0"/>
              <w:left w:val="single" w:color="080000" w:sz="4" w:space="0"/>
              <w:bottom w:val="single" w:color="080000" w:sz="4" w:space="0"/>
              <w:right w:val="single" w:color="080000" w:sz="4" w:space="0"/>
            </w:tcBorders>
            <w:vAlign w:val="center"/>
          </w:tcPr>
          <w:p w14:paraId="34BCAA74">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285" w:type="dxa"/>
            <w:tcBorders>
              <w:top w:val="single" w:color="080000" w:sz="4" w:space="0"/>
              <w:left w:val="single" w:color="080000" w:sz="4" w:space="0"/>
              <w:bottom w:val="single" w:color="080000" w:sz="4" w:space="0"/>
              <w:right w:val="single" w:color="080000" w:sz="4" w:space="0"/>
            </w:tcBorders>
            <w:vAlign w:val="center"/>
          </w:tcPr>
          <w:p w14:paraId="0A31F0E9">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开标时间 </w:t>
            </w:r>
          </w:p>
        </w:tc>
        <w:tc>
          <w:tcPr>
            <w:tcW w:w="7404" w:type="dxa"/>
            <w:tcBorders>
              <w:top w:val="single" w:color="080000" w:sz="4" w:space="0"/>
              <w:left w:val="single" w:color="080000" w:sz="4" w:space="0"/>
              <w:bottom w:val="single" w:color="080000" w:sz="4" w:space="0"/>
              <w:right w:val="single" w:color="080000" w:sz="4" w:space="0"/>
            </w:tcBorders>
            <w:vAlign w:val="center"/>
          </w:tcPr>
          <w:p w14:paraId="5DB9EBFA">
            <w:pPr>
              <w:pStyle w:val="35"/>
              <w:wordWrap w:val="0"/>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24</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0</w:t>
            </w:r>
            <w:r>
              <w:rPr>
                <w:rFonts w:hint="eastAsia" w:ascii="宋体" w:hAnsi="宋体" w:eastAsia="宋体" w:cs="宋体"/>
                <w:snapToGrid w:val="0"/>
                <w:color w:val="auto"/>
                <w:kern w:val="0"/>
                <w:sz w:val="24"/>
                <w:szCs w:val="24"/>
                <w:highlight w:val="none"/>
                <w:u w:val="single"/>
              </w:rPr>
              <w:t xml:space="preserve">0 </w:t>
            </w:r>
            <w:r>
              <w:rPr>
                <w:rFonts w:hint="eastAsia" w:ascii="宋体" w:hAnsi="宋体" w:eastAsia="宋体" w:cs="宋体"/>
                <w:snapToGrid w:val="0"/>
                <w:color w:val="auto"/>
                <w:kern w:val="0"/>
                <w:sz w:val="24"/>
                <w:szCs w:val="24"/>
                <w:highlight w:val="none"/>
              </w:rPr>
              <w:t>分</w:t>
            </w:r>
          </w:p>
        </w:tc>
      </w:tr>
      <w:tr w14:paraId="62A93E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73" w:hRule="atLeast"/>
        </w:trPr>
        <w:tc>
          <w:tcPr>
            <w:tcW w:w="417" w:type="dxa"/>
            <w:tcBorders>
              <w:top w:val="single" w:color="080000" w:sz="4" w:space="0"/>
              <w:left w:val="single" w:color="080000" w:sz="4" w:space="0"/>
              <w:bottom w:val="single" w:color="080000" w:sz="4" w:space="0"/>
              <w:right w:val="single" w:color="080000" w:sz="4" w:space="0"/>
            </w:tcBorders>
            <w:vAlign w:val="center"/>
          </w:tcPr>
          <w:p w14:paraId="34727343">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285" w:type="dxa"/>
            <w:tcBorders>
              <w:top w:val="single" w:color="080000" w:sz="4" w:space="0"/>
              <w:left w:val="single" w:color="080000" w:sz="4" w:space="0"/>
              <w:bottom w:val="single" w:color="080000" w:sz="4" w:space="0"/>
              <w:right w:val="single" w:color="080000" w:sz="4" w:space="0"/>
            </w:tcBorders>
            <w:vAlign w:val="center"/>
          </w:tcPr>
          <w:p w14:paraId="01D9C8F0">
            <w:pPr>
              <w:pStyle w:val="73"/>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开标地点 </w:t>
            </w:r>
          </w:p>
        </w:tc>
        <w:tc>
          <w:tcPr>
            <w:tcW w:w="7404" w:type="dxa"/>
            <w:tcBorders>
              <w:top w:val="single" w:color="080000" w:sz="4" w:space="0"/>
              <w:left w:val="single" w:color="080000" w:sz="4" w:space="0"/>
              <w:bottom w:val="single" w:color="080000" w:sz="4" w:space="0"/>
              <w:right w:val="single" w:color="080000" w:sz="4" w:space="0"/>
            </w:tcBorders>
            <w:vAlign w:val="center"/>
          </w:tcPr>
          <w:p w14:paraId="710115F8">
            <w:pPr>
              <w:pStyle w:val="35"/>
              <w:keepNext w:val="0"/>
              <w:keepLines w:val="0"/>
              <w:pageBreakBefore w:val="0"/>
              <w:widowControl w:val="0"/>
              <w:kinsoku/>
              <w:wordWrap w:val="0"/>
              <w:overflowPunct/>
              <w:topLinePunct w:val="0"/>
              <w:autoSpaceDE/>
              <w:autoSpaceDN/>
              <w:bidi w:val="0"/>
              <w:adjustRightInd w:val="0"/>
              <w:snapToGrid w:val="0"/>
              <w:spacing w:line="360" w:lineRule="exact"/>
              <w:ind w:firstLine="240" w:firstLineChars="1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开标场所：韶关市公共资源交易中心</w:t>
            </w:r>
            <w:r>
              <w:rPr>
                <w:rFonts w:hint="eastAsia" w:ascii="宋体" w:hAnsi="宋体" w:eastAsia="宋体" w:cs="宋体"/>
                <w:color w:val="auto"/>
                <w:sz w:val="24"/>
                <w:szCs w:val="24"/>
                <w:highlight w:val="none"/>
              </w:rPr>
              <w:t xml:space="preserve"> </w:t>
            </w:r>
          </w:p>
          <w:p w14:paraId="31AF0BE3">
            <w:pPr>
              <w:pStyle w:val="35"/>
              <w:keepNext w:val="0"/>
              <w:keepLines w:val="0"/>
              <w:pageBreakBefore w:val="0"/>
              <w:widowControl w:val="0"/>
              <w:kinsoku/>
              <w:wordWrap w:val="0"/>
              <w:overflowPunct/>
              <w:topLinePunct w:val="0"/>
              <w:autoSpaceDE/>
              <w:autoSpaceDN/>
              <w:bidi w:val="0"/>
              <w:adjustRightInd w:val="0"/>
              <w:snapToGrid w:val="0"/>
              <w:spacing w:line="360" w:lineRule="exact"/>
              <w:ind w:firstLine="240" w:firstLineChars="1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kern w:val="0"/>
                <w:sz w:val="24"/>
                <w:szCs w:val="24"/>
                <w:highlight w:val="none"/>
              </w:rPr>
              <w:t>韶关市公共资源交易中心乐昌分中心（地址：乐昌市昌山北路23号），具体</w:t>
            </w:r>
            <w:r>
              <w:rPr>
                <w:rFonts w:hint="eastAsia" w:ascii="宋体" w:hAnsi="宋体" w:eastAsia="宋体" w:cs="宋体"/>
                <w:color w:val="auto"/>
                <w:kern w:val="0"/>
                <w:sz w:val="24"/>
                <w:szCs w:val="24"/>
                <w:highlight w:val="none"/>
                <w:lang w:val="en-US" w:eastAsia="zh-CN"/>
              </w:rPr>
              <w:t>开标室</w:t>
            </w:r>
            <w:r>
              <w:rPr>
                <w:rFonts w:hint="eastAsia" w:ascii="宋体" w:hAnsi="宋体" w:eastAsia="宋体" w:cs="宋体"/>
                <w:color w:val="auto"/>
                <w:kern w:val="0"/>
                <w:sz w:val="24"/>
                <w:szCs w:val="24"/>
                <w:highlight w:val="none"/>
              </w:rPr>
              <w:t>以当日现场通知为准。</w:t>
            </w:r>
          </w:p>
        </w:tc>
      </w:tr>
      <w:tr w14:paraId="20BCBB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9" w:hRule="exact"/>
        </w:trPr>
        <w:tc>
          <w:tcPr>
            <w:tcW w:w="9106" w:type="dxa"/>
            <w:gridSpan w:val="3"/>
            <w:tcBorders>
              <w:top w:val="single" w:color="080000" w:sz="4" w:space="0"/>
              <w:left w:val="single" w:color="080000" w:sz="4" w:space="0"/>
              <w:bottom w:val="single" w:color="080000" w:sz="4" w:space="0"/>
              <w:right w:val="single" w:color="080000" w:sz="4" w:space="0"/>
            </w:tcBorders>
            <w:vAlign w:val="center"/>
          </w:tcPr>
          <w:p w14:paraId="65413DC2">
            <w:pPr>
              <w:pStyle w:val="35"/>
              <w:wordWrap w:val="0"/>
              <w:adjustRightInd w:val="0"/>
              <w:snapToGrid w:val="0"/>
              <w:spacing w:line="24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备注：</w:t>
            </w:r>
            <w:r>
              <w:rPr>
                <w:rFonts w:hint="eastAsia" w:ascii="宋体" w:hAnsi="宋体" w:eastAsia="宋体" w:cs="宋体"/>
                <w:color w:val="auto"/>
                <w:sz w:val="24"/>
                <w:szCs w:val="24"/>
                <w:highlight w:val="none"/>
                <w:shd w:val="clear" w:color="auto" w:fill="FFFFFF"/>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190D9B7F">
      <w:pPr>
        <w:rPr>
          <w:color w:val="auto"/>
          <w:highlight w:val="none"/>
        </w:rPr>
      </w:pPr>
    </w:p>
    <w:p w14:paraId="0291CE46">
      <w:pPr>
        <w:pStyle w:val="52"/>
        <w:ind w:firstLine="0"/>
        <w:rPr>
          <w:b/>
          <w:color w:val="auto"/>
          <w:sz w:val="24"/>
          <w:szCs w:val="24"/>
          <w:highlight w:val="none"/>
        </w:rPr>
      </w:pPr>
      <w:bookmarkStart w:id="27" w:name="_Toc9236"/>
      <w:bookmarkStart w:id="28" w:name="_Toc234382586"/>
    </w:p>
    <w:p w14:paraId="4A244691">
      <w:pPr>
        <w:adjustRightInd w:val="0"/>
        <w:snapToGrid w:val="0"/>
        <w:spacing w:before="120" w:after="90"/>
        <w:jc w:val="center"/>
        <w:rPr>
          <w:rFonts w:ascii="宋体" w:hAnsi="宋体"/>
          <w:b/>
          <w:bCs/>
          <w:color w:val="auto"/>
          <w:sz w:val="44"/>
          <w:szCs w:val="44"/>
          <w:highlight w:val="none"/>
        </w:rPr>
      </w:pPr>
    </w:p>
    <w:p w14:paraId="6597F879">
      <w:pPr>
        <w:pStyle w:val="52"/>
        <w:rPr>
          <w:color w:val="auto"/>
          <w:highlight w:val="none"/>
        </w:rPr>
      </w:pPr>
    </w:p>
    <w:p w14:paraId="3A93A501">
      <w:pPr>
        <w:pStyle w:val="52"/>
        <w:rPr>
          <w:color w:val="auto"/>
          <w:highlight w:val="none"/>
        </w:rPr>
      </w:pPr>
    </w:p>
    <w:p w14:paraId="77F8D55B">
      <w:pPr>
        <w:pStyle w:val="52"/>
        <w:rPr>
          <w:color w:val="auto"/>
          <w:highlight w:val="none"/>
        </w:rPr>
      </w:pPr>
    </w:p>
    <w:p w14:paraId="7DC0A082">
      <w:pPr>
        <w:adjustRightInd w:val="0"/>
        <w:snapToGrid w:val="0"/>
        <w:spacing w:before="120" w:after="90"/>
        <w:jc w:val="center"/>
        <w:rPr>
          <w:rFonts w:ascii="宋体" w:hAnsi="宋体"/>
          <w:b/>
          <w:bCs/>
          <w:color w:val="auto"/>
          <w:sz w:val="44"/>
          <w:szCs w:val="44"/>
          <w:highlight w:val="none"/>
        </w:rPr>
      </w:pPr>
    </w:p>
    <w:p w14:paraId="01B84284">
      <w:pPr>
        <w:pStyle w:val="52"/>
        <w:rPr>
          <w:color w:val="auto"/>
          <w:highlight w:val="none"/>
        </w:rPr>
      </w:pPr>
    </w:p>
    <w:p w14:paraId="006F7B95">
      <w:pPr>
        <w:pStyle w:val="52"/>
        <w:rPr>
          <w:color w:val="auto"/>
          <w:highlight w:val="none"/>
        </w:rPr>
      </w:pPr>
    </w:p>
    <w:p w14:paraId="4C609853">
      <w:pPr>
        <w:adjustRightInd w:val="0"/>
        <w:snapToGrid w:val="0"/>
        <w:spacing w:before="120" w:after="90"/>
        <w:jc w:val="center"/>
        <w:rPr>
          <w:rFonts w:ascii="宋体" w:hAnsi="宋体"/>
          <w:b/>
          <w:bCs/>
          <w:color w:val="auto"/>
          <w:sz w:val="44"/>
          <w:szCs w:val="44"/>
          <w:highlight w:val="none"/>
        </w:rPr>
      </w:pPr>
    </w:p>
    <w:p w14:paraId="6FF7687A">
      <w:pPr>
        <w:adjustRightInd w:val="0"/>
        <w:snapToGrid w:val="0"/>
        <w:spacing w:before="120" w:after="90"/>
        <w:jc w:val="center"/>
        <w:rPr>
          <w:rFonts w:ascii="宋体" w:hAnsi="宋体"/>
          <w:b/>
          <w:bCs/>
          <w:color w:val="auto"/>
          <w:sz w:val="44"/>
          <w:szCs w:val="44"/>
          <w:highlight w:val="none"/>
        </w:rPr>
      </w:pPr>
    </w:p>
    <w:p w14:paraId="01684BC5">
      <w:pPr>
        <w:adjustRightInd w:val="0"/>
        <w:snapToGrid w:val="0"/>
        <w:spacing w:before="120" w:after="90"/>
        <w:jc w:val="center"/>
        <w:rPr>
          <w:rFonts w:ascii="宋体" w:hAnsi="宋体"/>
          <w:b/>
          <w:bCs/>
          <w:color w:val="auto"/>
          <w:sz w:val="44"/>
          <w:szCs w:val="44"/>
          <w:highlight w:val="none"/>
        </w:rPr>
      </w:pPr>
    </w:p>
    <w:p w14:paraId="1E38F869">
      <w:pPr>
        <w:adjustRightInd w:val="0"/>
        <w:snapToGrid w:val="0"/>
        <w:spacing w:before="120" w:after="90"/>
        <w:jc w:val="center"/>
        <w:rPr>
          <w:rFonts w:ascii="宋体" w:hAnsi="宋体"/>
          <w:b/>
          <w:bCs/>
          <w:color w:val="auto"/>
          <w:sz w:val="44"/>
          <w:szCs w:val="44"/>
          <w:highlight w:val="none"/>
        </w:rPr>
      </w:pPr>
    </w:p>
    <w:p w14:paraId="7D0D3D82">
      <w:pPr>
        <w:adjustRightInd w:val="0"/>
        <w:snapToGrid w:val="0"/>
        <w:spacing w:before="120" w:after="90"/>
        <w:jc w:val="center"/>
        <w:rPr>
          <w:rFonts w:ascii="宋体" w:hAnsi="宋体"/>
          <w:b/>
          <w:bCs/>
          <w:color w:val="auto"/>
          <w:sz w:val="44"/>
          <w:szCs w:val="44"/>
          <w:highlight w:val="none"/>
        </w:rPr>
      </w:pPr>
    </w:p>
    <w:p w14:paraId="752CB012">
      <w:pPr>
        <w:adjustRightInd w:val="0"/>
        <w:snapToGrid w:val="0"/>
        <w:spacing w:before="120" w:after="90"/>
        <w:jc w:val="center"/>
        <w:rPr>
          <w:rFonts w:ascii="宋体" w:hAnsi="宋体"/>
          <w:b/>
          <w:bCs/>
          <w:color w:val="auto"/>
          <w:sz w:val="44"/>
          <w:szCs w:val="44"/>
          <w:highlight w:val="none"/>
        </w:rPr>
      </w:pPr>
      <w:r>
        <w:rPr>
          <w:rFonts w:ascii="宋体" w:hAnsi="宋体"/>
          <w:b/>
          <w:bCs/>
          <w:color w:val="auto"/>
          <w:sz w:val="44"/>
          <w:szCs w:val="44"/>
          <w:highlight w:val="none"/>
        </w:rPr>
        <w:t>第二章  投标人须知</w:t>
      </w:r>
    </w:p>
    <w:p w14:paraId="60891E18">
      <w:pPr>
        <w:pStyle w:val="2"/>
        <w:adjustRightInd w:val="0"/>
        <w:snapToGrid w:val="0"/>
        <w:spacing w:before="120" w:after="90" w:line="240" w:lineRule="auto"/>
        <w:jc w:val="center"/>
        <w:rPr>
          <w:rFonts w:ascii="宋体" w:hAnsi="宋体"/>
          <w:b w:val="0"/>
          <w:bCs w:val="0"/>
          <w:color w:val="auto"/>
          <w:sz w:val="36"/>
          <w:highlight w:val="none"/>
        </w:rPr>
        <w:sectPr>
          <w:pgSz w:w="11906" w:h="16838"/>
          <w:pgMar w:top="1134" w:right="1134" w:bottom="1134" w:left="1134" w:header="851" w:footer="992" w:gutter="0"/>
          <w:cols w:space="720" w:num="1"/>
          <w:docGrid w:type="lines" w:linePitch="312" w:charSpace="0"/>
        </w:sectPr>
      </w:pPr>
    </w:p>
    <w:p w14:paraId="096B2834">
      <w:pPr>
        <w:pStyle w:val="2"/>
        <w:adjustRightInd w:val="0"/>
        <w:snapToGrid w:val="0"/>
        <w:spacing w:before="120" w:after="90" w:line="240" w:lineRule="auto"/>
        <w:jc w:val="center"/>
        <w:rPr>
          <w:rFonts w:ascii="宋体" w:hAnsi="宋体"/>
          <w:color w:val="auto"/>
          <w:sz w:val="36"/>
          <w:highlight w:val="none"/>
        </w:rPr>
      </w:pPr>
      <w:bookmarkStart w:id="29" w:name="_Toc43475661"/>
      <w:r>
        <w:rPr>
          <w:rFonts w:ascii="宋体" w:hAnsi="宋体"/>
          <w:color w:val="auto"/>
          <w:sz w:val="36"/>
          <w:highlight w:val="none"/>
        </w:rPr>
        <w:t>第二章  投标人须知</w:t>
      </w:r>
      <w:bookmarkEnd w:id="27"/>
      <w:bookmarkEnd w:id="28"/>
      <w:bookmarkEnd w:id="29"/>
    </w:p>
    <w:p w14:paraId="1B2B124C">
      <w:pPr>
        <w:jc w:val="left"/>
        <w:rPr>
          <w:rFonts w:ascii="宋体" w:hAnsi="宋体"/>
          <w:b/>
          <w:color w:val="auto"/>
          <w:sz w:val="24"/>
          <w:highlight w:val="none"/>
        </w:rPr>
      </w:pPr>
      <w:bookmarkStart w:id="30" w:name="_Toc234382587"/>
    </w:p>
    <w:p w14:paraId="0EC58045">
      <w:pPr>
        <w:pStyle w:val="3"/>
        <w:rPr>
          <w:b w:val="0"/>
          <w:bCs w:val="0"/>
          <w:color w:val="auto"/>
          <w:sz w:val="28"/>
          <w:szCs w:val="28"/>
          <w:highlight w:val="none"/>
        </w:rPr>
      </w:pPr>
      <w:bookmarkStart w:id="31" w:name="_Toc43475662"/>
      <w:r>
        <w:rPr>
          <w:b w:val="0"/>
          <w:bCs w:val="0"/>
          <w:color w:val="auto"/>
          <w:sz w:val="28"/>
          <w:szCs w:val="28"/>
          <w:highlight w:val="none"/>
        </w:rPr>
        <w:t>投标人须知前附表</w:t>
      </w:r>
      <w:bookmarkEnd w:id="30"/>
      <w:bookmarkEnd w:id="31"/>
    </w:p>
    <w:tbl>
      <w:tblPr>
        <w:tblStyle w:val="42"/>
        <w:tblW w:w="974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053"/>
      </w:tblGrid>
      <w:tr w14:paraId="1D805B4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14" w:hRule="atLeast"/>
          <w:tblHeader/>
          <w:jc w:val="center"/>
        </w:trPr>
        <w:tc>
          <w:tcPr>
            <w:tcW w:w="968" w:type="dxa"/>
            <w:vAlign w:val="center"/>
          </w:tcPr>
          <w:p w14:paraId="35725F36">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2728" w:type="dxa"/>
            <w:vAlign w:val="center"/>
          </w:tcPr>
          <w:p w14:paraId="417F159E">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条 款 名 称</w:t>
            </w:r>
          </w:p>
        </w:tc>
        <w:tc>
          <w:tcPr>
            <w:tcW w:w="6053" w:type="dxa"/>
            <w:vAlign w:val="center"/>
          </w:tcPr>
          <w:p w14:paraId="7A7EFC44">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编 列 内 容</w:t>
            </w:r>
          </w:p>
        </w:tc>
      </w:tr>
      <w:tr w14:paraId="3F6B9E7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70" w:hRule="atLeast"/>
          <w:jc w:val="center"/>
        </w:trPr>
        <w:tc>
          <w:tcPr>
            <w:tcW w:w="968" w:type="dxa"/>
            <w:vAlign w:val="center"/>
          </w:tcPr>
          <w:p w14:paraId="5281DDB1">
            <w:pPr>
              <w:jc w:val="center"/>
              <w:rPr>
                <w:rFonts w:ascii="宋体" w:hAnsi="宋体" w:cs="宋体"/>
                <w:color w:val="auto"/>
                <w:sz w:val="24"/>
                <w:szCs w:val="24"/>
                <w:highlight w:val="none"/>
              </w:rPr>
            </w:pPr>
            <w:r>
              <w:rPr>
                <w:rFonts w:hint="eastAsia" w:ascii="宋体" w:hAnsi="宋体" w:cs="宋体"/>
                <w:color w:val="auto"/>
                <w:sz w:val="24"/>
                <w:szCs w:val="24"/>
                <w:highlight w:val="none"/>
              </w:rPr>
              <w:t>1.1.2</w:t>
            </w:r>
          </w:p>
        </w:tc>
        <w:tc>
          <w:tcPr>
            <w:tcW w:w="2728" w:type="dxa"/>
            <w:vAlign w:val="center"/>
          </w:tcPr>
          <w:p w14:paraId="2B5E3E0D">
            <w:pPr>
              <w:jc w:val="center"/>
              <w:rPr>
                <w:rFonts w:ascii="宋体" w:hAnsi="宋体" w:cs="宋体"/>
                <w:color w:val="auto"/>
                <w:sz w:val="24"/>
                <w:szCs w:val="24"/>
                <w:highlight w:val="none"/>
              </w:rPr>
            </w:pPr>
            <w:r>
              <w:rPr>
                <w:rFonts w:hint="eastAsia" w:ascii="宋体" w:hAnsi="宋体" w:cs="宋体"/>
                <w:color w:val="auto"/>
                <w:sz w:val="24"/>
                <w:szCs w:val="24"/>
                <w:highlight w:val="none"/>
              </w:rPr>
              <w:t>招标人</w:t>
            </w:r>
          </w:p>
        </w:tc>
        <w:tc>
          <w:tcPr>
            <w:tcW w:w="6053" w:type="dxa"/>
            <w:vAlign w:val="center"/>
          </w:tcPr>
          <w:p w14:paraId="0B33BCB9">
            <w:pP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乐昌市两江镇人民政府</w:t>
            </w:r>
          </w:p>
          <w:p w14:paraId="45B17247">
            <w:pPr>
              <w:rPr>
                <w:rFonts w:hint="eastAsia"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lang w:eastAsia="zh-CN"/>
              </w:rPr>
              <w:t>乐昌市两江镇人民政府</w:t>
            </w:r>
            <w:r>
              <w:rPr>
                <w:rFonts w:hint="eastAsia" w:ascii="宋体" w:hAnsi="宋体"/>
                <w:color w:val="auto"/>
                <w:sz w:val="24"/>
                <w:szCs w:val="24"/>
                <w:highlight w:val="none"/>
              </w:rPr>
              <w:t xml:space="preserve">  </w:t>
            </w:r>
          </w:p>
          <w:p w14:paraId="3B84ACC1">
            <w:pPr>
              <w:rPr>
                <w:rFonts w:hint="eastAsia" w:ascii="宋体" w:hAnsi="宋体"/>
                <w:color w:val="auto"/>
                <w:sz w:val="24"/>
                <w:szCs w:val="24"/>
                <w:highlight w:val="none"/>
              </w:rPr>
            </w:pPr>
            <w:r>
              <w:rPr>
                <w:rFonts w:hint="eastAsia" w:ascii="宋体" w:hAnsi="宋体"/>
                <w:color w:val="auto"/>
                <w:sz w:val="24"/>
                <w:szCs w:val="24"/>
                <w:highlight w:val="none"/>
              </w:rPr>
              <w:t>联 系 人：</w:t>
            </w:r>
            <w:r>
              <w:rPr>
                <w:rFonts w:hint="eastAsia" w:ascii="宋体" w:hAnsi="宋体"/>
                <w:color w:val="auto"/>
                <w:sz w:val="24"/>
                <w:szCs w:val="24"/>
                <w:highlight w:val="none"/>
                <w:lang w:val="en-US" w:eastAsia="zh-CN"/>
              </w:rPr>
              <w:t>邓</w:t>
            </w:r>
            <w:r>
              <w:rPr>
                <w:rFonts w:hint="eastAsia" w:ascii="宋体" w:hAnsi="宋体"/>
                <w:color w:val="auto"/>
                <w:sz w:val="24"/>
                <w:szCs w:val="24"/>
                <w:highlight w:val="none"/>
              </w:rPr>
              <w:t>工</w:t>
            </w:r>
          </w:p>
          <w:p w14:paraId="36325D2D">
            <w:pPr>
              <w:rPr>
                <w:rFonts w:ascii="宋体" w:hAnsi="宋体" w:cs="宋体"/>
                <w:color w:val="auto"/>
                <w:sz w:val="24"/>
                <w:szCs w:val="24"/>
                <w:highlight w:val="none"/>
              </w:rPr>
            </w:pPr>
            <w:r>
              <w:rPr>
                <w:rFonts w:hint="eastAsia" w:ascii="宋体" w:hAnsi="宋体"/>
                <w:color w:val="auto"/>
                <w:sz w:val="24"/>
                <w:szCs w:val="24"/>
                <w:highlight w:val="none"/>
              </w:rPr>
              <w:t>电    话：</w:t>
            </w:r>
            <w:r>
              <w:rPr>
                <w:rFonts w:hint="eastAsia" w:ascii="宋体" w:hAnsi="宋体" w:cs="宋体"/>
                <w:color w:val="auto"/>
                <w:sz w:val="24"/>
                <w:szCs w:val="24"/>
                <w:highlight w:val="none"/>
                <w:lang w:val="en-US" w:eastAsia="zh-CN"/>
              </w:rPr>
              <w:t>0751-5740178</w:t>
            </w:r>
          </w:p>
        </w:tc>
      </w:tr>
      <w:tr w14:paraId="6C52EDB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362" w:hRule="atLeast"/>
          <w:jc w:val="center"/>
        </w:trPr>
        <w:tc>
          <w:tcPr>
            <w:tcW w:w="968" w:type="dxa"/>
            <w:vAlign w:val="center"/>
          </w:tcPr>
          <w:p w14:paraId="67EA3314">
            <w:pPr>
              <w:jc w:val="center"/>
              <w:rPr>
                <w:rFonts w:ascii="宋体" w:hAnsi="宋体" w:cs="宋体"/>
                <w:color w:val="auto"/>
                <w:sz w:val="24"/>
                <w:szCs w:val="24"/>
                <w:highlight w:val="none"/>
              </w:rPr>
            </w:pPr>
            <w:r>
              <w:rPr>
                <w:rFonts w:hint="eastAsia" w:ascii="宋体" w:hAnsi="宋体" w:cs="宋体"/>
                <w:color w:val="auto"/>
                <w:sz w:val="24"/>
                <w:szCs w:val="24"/>
                <w:highlight w:val="none"/>
              </w:rPr>
              <w:t>1.1.3</w:t>
            </w:r>
          </w:p>
        </w:tc>
        <w:tc>
          <w:tcPr>
            <w:tcW w:w="2728" w:type="dxa"/>
            <w:vAlign w:val="center"/>
          </w:tcPr>
          <w:p w14:paraId="630CD183">
            <w:pPr>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6053" w:type="dxa"/>
            <w:vAlign w:val="center"/>
          </w:tcPr>
          <w:p w14:paraId="1A2C94F4">
            <w:pPr>
              <w:rPr>
                <w:rFonts w:hint="eastAsia" w:ascii="宋体" w:hAnsi="宋体"/>
                <w:color w:val="auto"/>
                <w:sz w:val="24"/>
                <w:szCs w:val="24"/>
                <w:highlight w:val="none"/>
              </w:rPr>
            </w:pPr>
            <w:r>
              <w:rPr>
                <w:rFonts w:hint="eastAsia" w:ascii="宋体" w:hAnsi="宋体"/>
                <w:color w:val="auto"/>
                <w:sz w:val="24"/>
                <w:szCs w:val="24"/>
                <w:highlight w:val="none"/>
              </w:rPr>
              <w:t>名称：韶关市中利工程咨询有限公司</w:t>
            </w:r>
          </w:p>
          <w:p w14:paraId="3BA8F473">
            <w:pPr>
              <w:rPr>
                <w:rFonts w:hint="eastAsia" w:ascii="宋体" w:hAnsi="宋体"/>
                <w:color w:val="auto"/>
                <w:sz w:val="24"/>
                <w:szCs w:val="24"/>
                <w:highlight w:val="none"/>
              </w:rPr>
            </w:pPr>
            <w:r>
              <w:rPr>
                <w:rFonts w:hint="eastAsia" w:ascii="宋体" w:hAnsi="宋体"/>
                <w:color w:val="auto"/>
                <w:sz w:val="24"/>
                <w:szCs w:val="24"/>
                <w:highlight w:val="none"/>
              </w:rPr>
              <w:t>地址：韶关市武江区沐阳东路12号卓越雅苑5幢301</w:t>
            </w:r>
          </w:p>
          <w:p w14:paraId="495D2E40">
            <w:pPr>
              <w:rPr>
                <w:rFonts w:hint="eastAsia"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文工、张</w:t>
            </w:r>
            <w:r>
              <w:rPr>
                <w:rFonts w:hint="eastAsia" w:ascii="宋体" w:hAnsi="宋体"/>
                <w:color w:val="auto"/>
                <w:sz w:val="24"/>
                <w:szCs w:val="24"/>
                <w:highlight w:val="none"/>
              </w:rPr>
              <w:t>工</w:t>
            </w:r>
          </w:p>
          <w:p w14:paraId="32338DC8">
            <w:pPr>
              <w:rPr>
                <w:rFonts w:ascii="宋体" w:hAnsi="宋体" w:cs="宋体"/>
                <w:color w:val="auto"/>
                <w:sz w:val="24"/>
                <w:szCs w:val="24"/>
                <w:highlight w:val="none"/>
              </w:rPr>
            </w:pPr>
            <w:r>
              <w:rPr>
                <w:rFonts w:hint="eastAsia" w:ascii="宋体" w:hAnsi="宋体"/>
                <w:color w:val="auto"/>
                <w:sz w:val="24"/>
                <w:szCs w:val="24"/>
                <w:highlight w:val="none"/>
              </w:rPr>
              <w:t>电话：0751-8767033</w:t>
            </w:r>
          </w:p>
        </w:tc>
      </w:tr>
      <w:tr w14:paraId="6D93B4C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968" w:type="dxa"/>
            <w:vAlign w:val="center"/>
          </w:tcPr>
          <w:p w14:paraId="0DA9707F">
            <w:pPr>
              <w:jc w:val="center"/>
              <w:rPr>
                <w:rFonts w:ascii="宋体" w:hAnsi="宋体" w:cs="宋体"/>
                <w:color w:val="auto"/>
                <w:sz w:val="24"/>
                <w:szCs w:val="24"/>
                <w:highlight w:val="none"/>
              </w:rPr>
            </w:pPr>
            <w:r>
              <w:rPr>
                <w:rFonts w:hint="eastAsia" w:ascii="宋体" w:hAnsi="宋体" w:cs="宋体"/>
                <w:color w:val="auto"/>
                <w:sz w:val="24"/>
                <w:szCs w:val="24"/>
                <w:highlight w:val="none"/>
              </w:rPr>
              <w:t>1.1.4</w:t>
            </w:r>
          </w:p>
        </w:tc>
        <w:tc>
          <w:tcPr>
            <w:tcW w:w="2728" w:type="dxa"/>
            <w:vAlign w:val="center"/>
          </w:tcPr>
          <w:p w14:paraId="4877F6F4">
            <w:pPr>
              <w:jc w:val="center"/>
              <w:rPr>
                <w:rFonts w:ascii="宋体" w:hAnsi="宋体" w:cs="宋体"/>
                <w:color w:val="auto"/>
                <w:sz w:val="24"/>
                <w:szCs w:val="24"/>
                <w:highlight w:val="none"/>
              </w:rPr>
            </w:pPr>
            <w:r>
              <w:rPr>
                <w:rFonts w:hint="eastAsia" w:ascii="宋体" w:hAnsi="宋体" w:cs="宋体"/>
                <w:color w:val="auto"/>
                <w:sz w:val="24"/>
                <w:szCs w:val="24"/>
                <w:highlight w:val="none"/>
              </w:rPr>
              <w:t>招标项目名称</w:t>
            </w:r>
          </w:p>
        </w:tc>
        <w:tc>
          <w:tcPr>
            <w:tcW w:w="6053" w:type="dxa"/>
            <w:vAlign w:val="center"/>
          </w:tcPr>
          <w:p w14:paraId="104C7912">
            <w:pPr>
              <w:rPr>
                <w:rFonts w:ascii="宋体" w:hAnsi="宋体" w:cs="宋体"/>
                <w:color w:val="auto"/>
                <w:sz w:val="24"/>
                <w:szCs w:val="24"/>
                <w:highlight w:val="none"/>
              </w:rPr>
            </w:pPr>
            <w:r>
              <w:rPr>
                <w:rFonts w:hint="eastAsia" w:ascii="宋体" w:hAnsi="宋体" w:cs="宋体"/>
                <w:color w:val="auto"/>
                <w:sz w:val="24"/>
                <w:szCs w:val="24"/>
                <w:highlight w:val="none"/>
                <w:lang w:eastAsia="zh-CN"/>
              </w:rPr>
              <w:t>乐昌市两江镇Y791线蛇岭至茶坪改建工程（单改双）施工（第三次）</w:t>
            </w:r>
          </w:p>
        </w:tc>
      </w:tr>
      <w:tr w14:paraId="37CABEB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968" w:type="dxa"/>
            <w:vAlign w:val="center"/>
          </w:tcPr>
          <w:p w14:paraId="7AF369EF">
            <w:pPr>
              <w:jc w:val="center"/>
              <w:rPr>
                <w:rFonts w:ascii="宋体" w:hAnsi="宋体" w:cs="宋体"/>
                <w:color w:val="auto"/>
                <w:sz w:val="24"/>
                <w:szCs w:val="24"/>
                <w:highlight w:val="none"/>
              </w:rPr>
            </w:pPr>
            <w:r>
              <w:rPr>
                <w:rFonts w:hint="eastAsia" w:ascii="宋体" w:hAnsi="宋体" w:cs="宋体"/>
                <w:color w:val="auto"/>
                <w:sz w:val="24"/>
                <w:szCs w:val="24"/>
                <w:highlight w:val="none"/>
              </w:rPr>
              <w:t>1.1.5</w:t>
            </w:r>
          </w:p>
        </w:tc>
        <w:tc>
          <w:tcPr>
            <w:tcW w:w="2728" w:type="dxa"/>
            <w:vAlign w:val="center"/>
          </w:tcPr>
          <w:p w14:paraId="62BB1AFC">
            <w:pPr>
              <w:jc w:val="center"/>
              <w:rPr>
                <w:rFonts w:ascii="宋体" w:hAnsi="宋体" w:cs="宋体"/>
                <w:color w:val="auto"/>
                <w:sz w:val="24"/>
                <w:szCs w:val="24"/>
                <w:highlight w:val="none"/>
              </w:rPr>
            </w:pPr>
            <w:r>
              <w:rPr>
                <w:rFonts w:hint="eastAsia" w:ascii="宋体" w:hAnsi="宋体" w:cs="宋体"/>
                <w:color w:val="auto"/>
                <w:sz w:val="24"/>
                <w:szCs w:val="24"/>
                <w:highlight w:val="none"/>
              </w:rPr>
              <w:t>标段建设地点</w:t>
            </w:r>
          </w:p>
        </w:tc>
        <w:tc>
          <w:tcPr>
            <w:tcW w:w="6053" w:type="dxa"/>
            <w:vAlign w:val="center"/>
          </w:tcPr>
          <w:p w14:paraId="7391606D">
            <w:pP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乐昌市两江镇茶坪村Y791线</w:t>
            </w:r>
          </w:p>
        </w:tc>
      </w:tr>
      <w:tr w14:paraId="17986F1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968" w:type="dxa"/>
            <w:vAlign w:val="center"/>
          </w:tcPr>
          <w:p w14:paraId="46B50B6F">
            <w:pPr>
              <w:jc w:val="center"/>
              <w:rPr>
                <w:rFonts w:ascii="宋体" w:hAnsi="宋体" w:cs="宋体"/>
                <w:color w:val="auto"/>
                <w:sz w:val="24"/>
                <w:szCs w:val="24"/>
                <w:highlight w:val="none"/>
              </w:rPr>
            </w:pPr>
            <w:r>
              <w:rPr>
                <w:rFonts w:hint="eastAsia" w:ascii="宋体" w:hAnsi="宋体" w:cs="宋体"/>
                <w:color w:val="auto"/>
                <w:sz w:val="24"/>
                <w:szCs w:val="24"/>
                <w:highlight w:val="none"/>
              </w:rPr>
              <w:t>1.2.1</w:t>
            </w:r>
          </w:p>
        </w:tc>
        <w:tc>
          <w:tcPr>
            <w:tcW w:w="2728" w:type="dxa"/>
            <w:vAlign w:val="center"/>
          </w:tcPr>
          <w:p w14:paraId="37BB386E">
            <w:pPr>
              <w:jc w:val="center"/>
              <w:rPr>
                <w:rFonts w:ascii="宋体" w:hAnsi="宋体" w:cs="宋体"/>
                <w:color w:val="auto"/>
                <w:sz w:val="24"/>
                <w:szCs w:val="24"/>
                <w:highlight w:val="none"/>
              </w:rPr>
            </w:pPr>
            <w:r>
              <w:rPr>
                <w:rFonts w:hint="eastAsia" w:ascii="宋体" w:hAnsi="宋体" w:cs="宋体"/>
                <w:color w:val="auto"/>
                <w:sz w:val="24"/>
                <w:szCs w:val="24"/>
                <w:highlight w:val="none"/>
              </w:rPr>
              <w:t>资金来源及比例</w:t>
            </w:r>
          </w:p>
        </w:tc>
        <w:tc>
          <w:tcPr>
            <w:tcW w:w="6053" w:type="dxa"/>
            <w:vAlign w:val="center"/>
          </w:tcPr>
          <w:p w14:paraId="46915288">
            <w:pP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2024年省级涉农整合转移支付资金（农村公路建设养护资金）（粤财综[2023]64号）   100%</w:t>
            </w:r>
          </w:p>
        </w:tc>
      </w:tr>
      <w:tr w14:paraId="173A01A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6" w:hRule="exact"/>
          <w:jc w:val="center"/>
        </w:trPr>
        <w:tc>
          <w:tcPr>
            <w:tcW w:w="968" w:type="dxa"/>
            <w:vAlign w:val="center"/>
          </w:tcPr>
          <w:p w14:paraId="0F77E518">
            <w:pPr>
              <w:jc w:val="center"/>
              <w:rPr>
                <w:rFonts w:ascii="宋体" w:hAnsi="宋体" w:cs="宋体"/>
                <w:color w:val="auto"/>
                <w:sz w:val="24"/>
                <w:szCs w:val="24"/>
                <w:highlight w:val="none"/>
              </w:rPr>
            </w:pPr>
            <w:r>
              <w:rPr>
                <w:rFonts w:hint="eastAsia" w:ascii="宋体" w:hAnsi="宋体" w:cs="宋体"/>
                <w:color w:val="auto"/>
                <w:sz w:val="24"/>
                <w:szCs w:val="24"/>
                <w:highlight w:val="none"/>
              </w:rPr>
              <w:t>1.2.2</w:t>
            </w:r>
          </w:p>
        </w:tc>
        <w:tc>
          <w:tcPr>
            <w:tcW w:w="2728" w:type="dxa"/>
            <w:vAlign w:val="center"/>
          </w:tcPr>
          <w:p w14:paraId="3B3EEC52">
            <w:pPr>
              <w:jc w:val="center"/>
              <w:rPr>
                <w:rFonts w:ascii="宋体" w:hAnsi="宋体" w:cs="宋体"/>
                <w:color w:val="auto"/>
                <w:sz w:val="24"/>
                <w:szCs w:val="24"/>
                <w:highlight w:val="none"/>
              </w:rPr>
            </w:pPr>
            <w:r>
              <w:rPr>
                <w:rFonts w:hint="eastAsia" w:ascii="宋体" w:hAnsi="宋体" w:cs="宋体"/>
                <w:color w:val="auto"/>
                <w:sz w:val="24"/>
                <w:szCs w:val="24"/>
                <w:highlight w:val="none"/>
              </w:rPr>
              <w:t>资金落实情况</w:t>
            </w:r>
          </w:p>
        </w:tc>
        <w:tc>
          <w:tcPr>
            <w:tcW w:w="6053" w:type="dxa"/>
            <w:vAlign w:val="center"/>
          </w:tcPr>
          <w:p w14:paraId="7FDED215">
            <w:pPr>
              <w:rPr>
                <w:rFonts w:ascii="宋体" w:hAnsi="宋体" w:cs="宋体"/>
                <w:color w:val="auto"/>
                <w:sz w:val="24"/>
                <w:szCs w:val="24"/>
                <w:highlight w:val="none"/>
              </w:rPr>
            </w:pPr>
            <w:r>
              <w:rPr>
                <w:rFonts w:hint="eastAsia" w:ascii="宋体" w:hAnsi="宋体" w:cs="宋体"/>
                <w:color w:val="auto"/>
                <w:sz w:val="24"/>
                <w:szCs w:val="24"/>
                <w:highlight w:val="none"/>
              </w:rPr>
              <w:t>已落实</w:t>
            </w:r>
          </w:p>
        </w:tc>
      </w:tr>
      <w:tr w14:paraId="3954D7B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48" w:hRule="exact"/>
          <w:jc w:val="center"/>
        </w:trPr>
        <w:tc>
          <w:tcPr>
            <w:tcW w:w="968" w:type="dxa"/>
            <w:vAlign w:val="center"/>
          </w:tcPr>
          <w:p w14:paraId="030D37D4">
            <w:pPr>
              <w:jc w:val="center"/>
              <w:rPr>
                <w:rFonts w:ascii="宋体" w:hAnsi="宋体" w:cs="宋体"/>
                <w:color w:val="auto"/>
                <w:sz w:val="24"/>
                <w:szCs w:val="24"/>
                <w:highlight w:val="none"/>
              </w:rPr>
            </w:pPr>
            <w:r>
              <w:rPr>
                <w:rFonts w:hint="eastAsia" w:ascii="宋体" w:hAnsi="宋体" w:cs="宋体"/>
                <w:color w:val="auto"/>
                <w:sz w:val="24"/>
                <w:szCs w:val="24"/>
                <w:highlight w:val="none"/>
              </w:rPr>
              <w:t>1.3.1</w:t>
            </w:r>
          </w:p>
        </w:tc>
        <w:tc>
          <w:tcPr>
            <w:tcW w:w="2728" w:type="dxa"/>
            <w:vAlign w:val="center"/>
          </w:tcPr>
          <w:p w14:paraId="0B8D5297">
            <w:pPr>
              <w:jc w:val="center"/>
              <w:rPr>
                <w:rFonts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6053" w:type="dxa"/>
            <w:vAlign w:val="center"/>
          </w:tcPr>
          <w:p w14:paraId="196059D1">
            <w:pPr>
              <w:rPr>
                <w:rFonts w:ascii="宋体" w:hAnsi="宋体" w:cs="宋体"/>
                <w:color w:val="auto"/>
                <w:sz w:val="24"/>
                <w:szCs w:val="24"/>
                <w:highlight w:val="none"/>
              </w:rPr>
            </w:pPr>
            <w:r>
              <w:rPr>
                <w:rFonts w:hint="eastAsia" w:ascii="宋体" w:hAnsi="宋体" w:cs="宋体"/>
                <w:color w:val="auto"/>
                <w:sz w:val="24"/>
                <w:szCs w:val="24"/>
                <w:highlight w:val="none"/>
              </w:rPr>
              <w:t>本项目施工图设计和工程量清单范围内的工程施工。</w:t>
            </w:r>
          </w:p>
        </w:tc>
      </w:tr>
      <w:tr w14:paraId="5C62A27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63" w:hRule="atLeast"/>
          <w:jc w:val="center"/>
        </w:trPr>
        <w:tc>
          <w:tcPr>
            <w:tcW w:w="968" w:type="dxa"/>
            <w:vAlign w:val="center"/>
          </w:tcPr>
          <w:p w14:paraId="34C32D18">
            <w:pPr>
              <w:jc w:val="center"/>
              <w:rPr>
                <w:rFonts w:ascii="宋体" w:hAnsi="宋体" w:cs="宋体"/>
                <w:color w:val="auto"/>
                <w:sz w:val="24"/>
                <w:szCs w:val="24"/>
                <w:highlight w:val="none"/>
              </w:rPr>
            </w:pPr>
            <w:r>
              <w:rPr>
                <w:rFonts w:hint="eastAsia" w:ascii="宋体" w:hAnsi="宋体" w:cs="宋体"/>
                <w:color w:val="auto"/>
                <w:sz w:val="24"/>
                <w:szCs w:val="24"/>
                <w:highlight w:val="none"/>
              </w:rPr>
              <w:t>1.3.2</w:t>
            </w:r>
          </w:p>
        </w:tc>
        <w:tc>
          <w:tcPr>
            <w:tcW w:w="2728" w:type="dxa"/>
            <w:vAlign w:val="center"/>
          </w:tcPr>
          <w:p w14:paraId="29B5D8C8">
            <w:pPr>
              <w:jc w:val="center"/>
              <w:rPr>
                <w:rFonts w:ascii="宋体" w:hAnsi="宋体" w:cs="宋体"/>
                <w:color w:val="auto"/>
                <w:sz w:val="24"/>
                <w:szCs w:val="24"/>
                <w:highlight w:val="none"/>
              </w:rPr>
            </w:pPr>
            <w:r>
              <w:rPr>
                <w:rFonts w:hint="eastAsia" w:ascii="宋体" w:hAnsi="宋体" w:cs="宋体"/>
                <w:color w:val="auto"/>
                <w:sz w:val="24"/>
                <w:szCs w:val="24"/>
                <w:highlight w:val="none"/>
              </w:rPr>
              <w:t>计划工期</w:t>
            </w:r>
          </w:p>
        </w:tc>
        <w:tc>
          <w:tcPr>
            <w:tcW w:w="6053" w:type="dxa"/>
            <w:vAlign w:val="center"/>
          </w:tcPr>
          <w:p w14:paraId="3055BCEB">
            <w:pPr>
              <w:spacing w:line="32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计划工期：</w:t>
            </w:r>
            <w:r>
              <w:rPr>
                <w:rFonts w:hint="eastAsia" w:ascii="宋体" w:hAnsi="宋体"/>
                <w:color w:val="auto"/>
                <w:kern w:val="0"/>
                <w:sz w:val="24"/>
                <w:highlight w:val="none"/>
                <w:u w:val="single"/>
                <w:lang w:val="en-US" w:eastAsia="zh-CN"/>
              </w:rPr>
              <w:t>180日历天</w:t>
            </w:r>
            <w:r>
              <w:rPr>
                <w:rFonts w:hint="eastAsia" w:ascii="宋体" w:hAnsi="宋体" w:cs="宋体"/>
                <w:color w:val="auto"/>
                <w:sz w:val="24"/>
                <w:szCs w:val="24"/>
                <w:highlight w:val="none"/>
              </w:rPr>
              <w:t>；(实际开工时间以监理签发开工令为准）</w:t>
            </w:r>
          </w:p>
          <w:p w14:paraId="5D3669E8">
            <w:pPr>
              <w:spacing w:line="32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p>
          <w:p w14:paraId="10E335B3">
            <w:pPr>
              <w:spacing w:line="280" w:lineRule="exact"/>
              <w:ind w:firstLine="120" w:firstLineChars="50"/>
              <w:rPr>
                <w:rFonts w:ascii="宋体" w:hAnsi="宋体" w:cs="宋体"/>
                <w:color w:val="auto"/>
                <w:sz w:val="24"/>
                <w:szCs w:val="24"/>
                <w:highlight w:val="none"/>
                <w:u w:val="single"/>
              </w:rPr>
            </w:pPr>
            <w:r>
              <w:rPr>
                <w:rFonts w:hint="eastAsia" w:ascii="宋体" w:hAnsi="宋体" w:cs="宋体"/>
                <w:color w:val="auto"/>
                <w:sz w:val="24"/>
                <w:szCs w:val="24"/>
                <w:highlight w:val="none"/>
              </w:rPr>
              <w:t>计划交工日期：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p>
        </w:tc>
      </w:tr>
      <w:tr w14:paraId="04169E2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968" w:type="dxa"/>
            <w:vAlign w:val="center"/>
          </w:tcPr>
          <w:p w14:paraId="2C32F6F7">
            <w:pPr>
              <w:jc w:val="center"/>
              <w:rPr>
                <w:rFonts w:ascii="宋体" w:hAnsi="宋体" w:cs="宋体"/>
                <w:color w:val="auto"/>
                <w:sz w:val="24"/>
                <w:szCs w:val="24"/>
                <w:highlight w:val="none"/>
              </w:rPr>
            </w:pPr>
            <w:r>
              <w:rPr>
                <w:rFonts w:hint="eastAsia" w:ascii="宋体" w:hAnsi="宋体" w:cs="宋体"/>
                <w:color w:val="auto"/>
                <w:sz w:val="24"/>
                <w:szCs w:val="24"/>
                <w:highlight w:val="none"/>
              </w:rPr>
              <w:t>1.3.3</w:t>
            </w:r>
          </w:p>
        </w:tc>
        <w:tc>
          <w:tcPr>
            <w:tcW w:w="2728" w:type="dxa"/>
            <w:vAlign w:val="center"/>
          </w:tcPr>
          <w:p w14:paraId="7FC3D385">
            <w:pPr>
              <w:jc w:val="center"/>
              <w:rPr>
                <w:rFonts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6053" w:type="dxa"/>
            <w:vAlign w:val="center"/>
          </w:tcPr>
          <w:p w14:paraId="720CEF4E">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工程交工验收的质量评定：质量评分：</w:t>
            </w:r>
            <w:r>
              <w:rPr>
                <w:rFonts w:hint="eastAsia" w:ascii="宋体" w:hAnsi="宋体" w:cs="宋体"/>
                <w:color w:val="auto"/>
                <w:sz w:val="24"/>
                <w:highlight w:val="none"/>
                <w:u w:val="single"/>
              </w:rPr>
              <w:t>≥75</w:t>
            </w:r>
            <w:r>
              <w:rPr>
                <w:rFonts w:hint="eastAsia" w:ascii="宋体" w:hAnsi="宋体" w:cs="宋体"/>
                <w:color w:val="auto"/>
                <w:sz w:val="24"/>
                <w:highlight w:val="none"/>
              </w:rPr>
              <w:t>；质量等级：</w:t>
            </w:r>
            <w:r>
              <w:rPr>
                <w:rFonts w:hint="eastAsia" w:ascii="宋体" w:hAnsi="宋体" w:cs="宋体"/>
                <w:color w:val="auto"/>
                <w:sz w:val="24"/>
                <w:highlight w:val="none"/>
                <w:u w:val="single"/>
              </w:rPr>
              <w:t>合格</w:t>
            </w:r>
            <w:r>
              <w:rPr>
                <w:rFonts w:hint="eastAsia" w:ascii="宋体" w:hAnsi="宋体" w:cs="宋体"/>
                <w:color w:val="auto"/>
                <w:sz w:val="24"/>
                <w:highlight w:val="none"/>
              </w:rPr>
              <w:t>；</w:t>
            </w:r>
          </w:p>
          <w:p w14:paraId="200395FE">
            <w:pPr>
              <w:rPr>
                <w:rFonts w:ascii="宋体" w:hAnsi="宋体" w:cs="宋体"/>
                <w:color w:val="auto"/>
                <w:sz w:val="24"/>
                <w:szCs w:val="24"/>
                <w:highlight w:val="none"/>
              </w:rPr>
            </w:pPr>
            <w:r>
              <w:rPr>
                <w:rFonts w:hint="eastAsia" w:ascii="宋体" w:hAnsi="宋体" w:cs="宋体"/>
                <w:color w:val="auto"/>
                <w:sz w:val="24"/>
                <w:highlight w:val="none"/>
              </w:rPr>
              <w:t>竣工验收的质量评定：质量评分：</w:t>
            </w:r>
            <w:r>
              <w:rPr>
                <w:rFonts w:hint="eastAsia" w:ascii="宋体" w:hAnsi="宋体" w:cs="宋体"/>
                <w:color w:val="auto"/>
                <w:sz w:val="24"/>
                <w:highlight w:val="none"/>
                <w:u w:val="single"/>
              </w:rPr>
              <w:t>≥75</w:t>
            </w:r>
            <w:r>
              <w:rPr>
                <w:rFonts w:hint="eastAsia" w:ascii="宋体" w:hAnsi="宋体" w:cs="宋体"/>
                <w:color w:val="auto"/>
                <w:sz w:val="24"/>
                <w:highlight w:val="none"/>
              </w:rPr>
              <w:t>；质量等级：</w:t>
            </w:r>
            <w:r>
              <w:rPr>
                <w:rFonts w:hint="eastAsia" w:ascii="宋体" w:hAnsi="宋体" w:cs="宋体"/>
                <w:color w:val="auto"/>
                <w:sz w:val="24"/>
                <w:highlight w:val="none"/>
                <w:u w:val="single"/>
              </w:rPr>
              <w:t>合格</w:t>
            </w:r>
            <w:r>
              <w:rPr>
                <w:rFonts w:hint="eastAsia" w:ascii="宋体" w:hAnsi="宋体" w:cs="宋体"/>
                <w:color w:val="auto"/>
                <w:sz w:val="24"/>
                <w:highlight w:val="none"/>
              </w:rPr>
              <w:t>。</w:t>
            </w:r>
          </w:p>
        </w:tc>
      </w:tr>
      <w:tr w14:paraId="468C678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18" w:hRule="atLeast"/>
          <w:jc w:val="center"/>
        </w:trPr>
        <w:tc>
          <w:tcPr>
            <w:tcW w:w="968" w:type="dxa"/>
            <w:vAlign w:val="center"/>
          </w:tcPr>
          <w:p w14:paraId="7C953AE7">
            <w:pPr>
              <w:jc w:val="center"/>
              <w:rPr>
                <w:rFonts w:ascii="宋体" w:hAnsi="宋体" w:cs="宋体"/>
                <w:color w:val="auto"/>
                <w:sz w:val="24"/>
                <w:szCs w:val="24"/>
                <w:highlight w:val="none"/>
              </w:rPr>
            </w:pPr>
            <w:r>
              <w:rPr>
                <w:rFonts w:hint="eastAsia" w:ascii="宋体" w:hAnsi="宋体" w:cs="宋体"/>
                <w:color w:val="auto"/>
                <w:sz w:val="24"/>
                <w:szCs w:val="24"/>
                <w:highlight w:val="none"/>
              </w:rPr>
              <w:t>1.3.4</w:t>
            </w:r>
          </w:p>
        </w:tc>
        <w:tc>
          <w:tcPr>
            <w:tcW w:w="2728" w:type="dxa"/>
            <w:vAlign w:val="center"/>
          </w:tcPr>
          <w:p w14:paraId="388F0C96">
            <w:pPr>
              <w:jc w:val="center"/>
              <w:rPr>
                <w:rFonts w:ascii="宋体" w:hAnsi="宋体" w:cs="宋体"/>
                <w:color w:val="auto"/>
                <w:sz w:val="24"/>
                <w:szCs w:val="24"/>
                <w:highlight w:val="none"/>
              </w:rPr>
            </w:pPr>
            <w:r>
              <w:rPr>
                <w:rFonts w:hint="eastAsia" w:ascii="宋体" w:hAnsi="宋体" w:cs="宋体"/>
                <w:color w:val="auto"/>
                <w:sz w:val="24"/>
                <w:szCs w:val="24"/>
                <w:highlight w:val="none"/>
              </w:rPr>
              <w:t>安全目标</w:t>
            </w:r>
          </w:p>
        </w:tc>
        <w:tc>
          <w:tcPr>
            <w:tcW w:w="6053" w:type="dxa"/>
            <w:vAlign w:val="center"/>
          </w:tcPr>
          <w:p w14:paraId="2C60558E">
            <w:pPr>
              <w:rPr>
                <w:rFonts w:ascii="宋体" w:hAnsi="宋体" w:cs="宋体"/>
                <w:color w:val="auto"/>
                <w:sz w:val="24"/>
                <w:szCs w:val="24"/>
                <w:highlight w:val="none"/>
              </w:rPr>
            </w:pPr>
            <w:r>
              <w:rPr>
                <w:rFonts w:hint="eastAsia" w:ascii="宋体" w:hAnsi="宋体" w:cs="宋体"/>
                <w:color w:val="auto"/>
                <w:sz w:val="24"/>
                <w:szCs w:val="24"/>
                <w:highlight w:val="none"/>
              </w:rPr>
              <w:t>严格执行有关安全生产的法律法规和规章制度，确保项目建设期内</w:t>
            </w:r>
            <w:r>
              <w:rPr>
                <w:rFonts w:hint="eastAsia" w:ascii="宋体" w:hAnsi="宋体" w:cs="宋体"/>
                <w:color w:val="auto"/>
                <w:sz w:val="24"/>
                <w:szCs w:val="24"/>
                <w:highlight w:val="none"/>
                <w:u w:val="single"/>
              </w:rPr>
              <w:t>无安全生产责任事故发生。</w:t>
            </w:r>
          </w:p>
        </w:tc>
      </w:tr>
      <w:tr w14:paraId="667207C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886" w:hRule="atLeast"/>
          <w:jc w:val="center"/>
        </w:trPr>
        <w:tc>
          <w:tcPr>
            <w:tcW w:w="968" w:type="dxa"/>
            <w:tcBorders>
              <w:bottom w:val="single" w:color="000000" w:sz="6" w:space="0"/>
            </w:tcBorders>
            <w:vAlign w:val="center"/>
          </w:tcPr>
          <w:p w14:paraId="3D4A78C5">
            <w:pPr>
              <w:jc w:val="center"/>
              <w:rPr>
                <w:rFonts w:ascii="宋体" w:hAnsi="宋体" w:cs="宋体"/>
                <w:color w:val="auto"/>
                <w:sz w:val="24"/>
                <w:szCs w:val="24"/>
                <w:highlight w:val="none"/>
              </w:rPr>
            </w:pPr>
            <w:r>
              <w:rPr>
                <w:rFonts w:hint="eastAsia" w:ascii="宋体" w:hAnsi="宋体" w:cs="宋体"/>
                <w:color w:val="auto"/>
                <w:sz w:val="24"/>
                <w:szCs w:val="24"/>
                <w:highlight w:val="none"/>
              </w:rPr>
              <w:t>1.4.1</w:t>
            </w:r>
          </w:p>
        </w:tc>
        <w:tc>
          <w:tcPr>
            <w:tcW w:w="2728" w:type="dxa"/>
            <w:tcBorders>
              <w:bottom w:val="single" w:color="000000" w:sz="6" w:space="0"/>
            </w:tcBorders>
            <w:vAlign w:val="center"/>
          </w:tcPr>
          <w:p w14:paraId="48F18F05">
            <w:pPr>
              <w:pStyle w:val="14"/>
              <w:topLinePunct/>
              <w:rPr>
                <w:rFonts w:hAnsi="宋体" w:cs="宋体"/>
                <w:color w:val="auto"/>
                <w:sz w:val="24"/>
                <w:szCs w:val="24"/>
                <w:highlight w:val="none"/>
              </w:rPr>
            </w:pPr>
            <w:r>
              <w:rPr>
                <w:rFonts w:hint="eastAsia" w:hAnsi="宋体" w:cs="宋体"/>
                <w:color w:val="auto"/>
                <w:sz w:val="24"/>
                <w:szCs w:val="24"/>
                <w:highlight w:val="none"/>
              </w:rPr>
              <w:t>投标人资质条件、能力和信誉</w:t>
            </w:r>
          </w:p>
        </w:tc>
        <w:tc>
          <w:tcPr>
            <w:tcW w:w="6053" w:type="dxa"/>
            <w:tcBorders>
              <w:bottom w:val="single" w:color="000000" w:sz="6" w:space="0"/>
            </w:tcBorders>
            <w:vAlign w:val="center"/>
          </w:tcPr>
          <w:p w14:paraId="14B014E5">
            <w:pPr>
              <w:pStyle w:val="14"/>
              <w:topLinePunct/>
              <w:adjustRightInd w:val="0"/>
              <w:snapToGrid w:val="0"/>
              <w:rPr>
                <w:rFonts w:hAnsi="宋体" w:cs="宋体"/>
                <w:color w:val="auto"/>
                <w:sz w:val="24"/>
                <w:szCs w:val="24"/>
                <w:highlight w:val="none"/>
              </w:rPr>
            </w:pPr>
            <w:r>
              <w:rPr>
                <w:rFonts w:hint="eastAsia" w:hAnsi="宋体" w:cs="宋体"/>
                <w:color w:val="auto"/>
                <w:sz w:val="24"/>
                <w:szCs w:val="24"/>
                <w:highlight w:val="none"/>
              </w:rPr>
              <w:t>资质条件：见附录1</w:t>
            </w:r>
          </w:p>
          <w:p w14:paraId="49F9FE2D">
            <w:pPr>
              <w:pStyle w:val="14"/>
              <w:topLinePunct/>
              <w:adjustRightInd w:val="0"/>
              <w:snapToGrid w:val="0"/>
              <w:rPr>
                <w:rFonts w:hAnsi="宋体" w:cs="宋体"/>
                <w:color w:val="auto"/>
                <w:sz w:val="24"/>
                <w:szCs w:val="24"/>
                <w:highlight w:val="none"/>
              </w:rPr>
            </w:pPr>
            <w:r>
              <w:rPr>
                <w:rFonts w:hint="eastAsia" w:hAnsi="宋体" w:cs="宋体"/>
                <w:color w:val="auto"/>
                <w:sz w:val="24"/>
                <w:szCs w:val="24"/>
                <w:highlight w:val="none"/>
              </w:rPr>
              <w:t>财务要求：见附录2</w:t>
            </w:r>
          </w:p>
          <w:p w14:paraId="4E2D2489">
            <w:pPr>
              <w:pStyle w:val="14"/>
              <w:topLinePunct/>
              <w:adjustRightInd w:val="0"/>
              <w:snapToGrid w:val="0"/>
              <w:rPr>
                <w:rFonts w:hAnsi="宋体" w:cs="宋体"/>
                <w:color w:val="auto"/>
                <w:sz w:val="24"/>
                <w:szCs w:val="24"/>
                <w:highlight w:val="none"/>
              </w:rPr>
            </w:pPr>
            <w:r>
              <w:rPr>
                <w:rFonts w:hint="eastAsia" w:hAnsi="宋体" w:cs="宋体"/>
                <w:color w:val="auto"/>
                <w:sz w:val="24"/>
                <w:szCs w:val="24"/>
                <w:highlight w:val="none"/>
              </w:rPr>
              <w:t>业绩要求：见附录3</w:t>
            </w:r>
          </w:p>
          <w:p w14:paraId="799DA12A">
            <w:pPr>
              <w:pStyle w:val="14"/>
              <w:topLinePunct/>
              <w:adjustRightInd w:val="0"/>
              <w:snapToGrid w:val="0"/>
              <w:rPr>
                <w:rFonts w:hAnsi="宋体" w:cs="宋体"/>
                <w:color w:val="auto"/>
                <w:sz w:val="24"/>
                <w:szCs w:val="24"/>
                <w:highlight w:val="none"/>
              </w:rPr>
            </w:pPr>
            <w:r>
              <w:rPr>
                <w:rFonts w:hint="eastAsia" w:hAnsi="宋体" w:cs="宋体"/>
                <w:color w:val="auto"/>
                <w:sz w:val="24"/>
                <w:szCs w:val="24"/>
                <w:highlight w:val="none"/>
              </w:rPr>
              <w:t>信誉要求：见附录4</w:t>
            </w:r>
          </w:p>
          <w:p w14:paraId="378197BD">
            <w:pPr>
              <w:pStyle w:val="14"/>
              <w:topLinePunct/>
              <w:adjustRightInd w:val="0"/>
              <w:snapToGrid w:val="0"/>
              <w:rPr>
                <w:rFonts w:hAnsi="宋体" w:cs="宋体"/>
                <w:color w:val="auto"/>
                <w:sz w:val="24"/>
                <w:szCs w:val="24"/>
                <w:highlight w:val="none"/>
              </w:rPr>
            </w:pPr>
            <w:r>
              <w:rPr>
                <w:rFonts w:hint="eastAsia" w:hAnsi="宋体" w:cs="宋体"/>
                <w:color w:val="auto"/>
                <w:sz w:val="24"/>
                <w:szCs w:val="24"/>
                <w:highlight w:val="none"/>
              </w:rPr>
              <w:t>项目经理和项目总工资格要求：见附录5</w:t>
            </w:r>
          </w:p>
          <w:p w14:paraId="620FA5ED">
            <w:pPr>
              <w:pStyle w:val="14"/>
              <w:topLinePunct/>
              <w:adjustRightInd w:val="0"/>
              <w:snapToGrid w:val="0"/>
              <w:rPr>
                <w:rFonts w:hAnsi="宋体" w:cs="宋体"/>
                <w:color w:val="auto"/>
                <w:sz w:val="24"/>
                <w:szCs w:val="24"/>
                <w:highlight w:val="none"/>
              </w:rPr>
            </w:pPr>
            <w:r>
              <w:rPr>
                <w:rFonts w:hint="eastAsia" w:hAnsi="宋体" w:cs="宋体"/>
                <w:color w:val="auto"/>
                <w:sz w:val="24"/>
                <w:szCs w:val="24"/>
                <w:highlight w:val="none"/>
              </w:rPr>
              <w:t>其他要求：见附录6、7</w:t>
            </w:r>
          </w:p>
        </w:tc>
      </w:tr>
      <w:tr w14:paraId="49D9EE9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968" w:type="dxa"/>
            <w:tcBorders>
              <w:bottom w:val="single" w:color="000000" w:sz="6" w:space="0"/>
            </w:tcBorders>
            <w:vAlign w:val="center"/>
          </w:tcPr>
          <w:p w14:paraId="0A56CB9D">
            <w:pPr>
              <w:jc w:val="center"/>
              <w:rPr>
                <w:rFonts w:ascii="宋体" w:hAnsi="宋体" w:cs="宋体"/>
                <w:color w:val="auto"/>
                <w:sz w:val="24"/>
                <w:szCs w:val="24"/>
                <w:highlight w:val="none"/>
              </w:rPr>
            </w:pPr>
            <w:r>
              <w:rPr>
                <w:rFonts w:hint="eastAsia" w:ascii="宋体" w:hAnsi="宋体" w:cs="宋体"/>
                <w:color w:val="auto"/>
                <w:sz w:val="24"/>
                <w:szCs w:val="24"/>
                <w:highlight w:val="none"/>
              </w:rPr>
              <w:t>1.4.2</w:t>
            </w:r>
          </w:p>
        </w:tc>
        <w:tc>
          <w:tcPr>
            <w:tcW w:w="2728" w:type="dxa"/>
            <w:tcBorders>
              <w:bottom w:val="single" w:color="000000" w:sz="6" w:space="0"/>
            </w:tcBorders>
            <w:vAlign w:val="center"/>
          </w:tcPr>
          <w:p w14:paraId="4BE04563">
            <w:pPr>
              <w:pStyle w:val="14"/>
              <w:topLinePunct/>
              <w:jc w:val="center"/>
              <w:rPr>
                <w:rFonts w:hAnsi="宋体" w:cs="宋体"/>
                <w:color w:val="auto"/>
                <w:sz w:val="24"/>
                <w:szCs w:val="24"/>
                <w:highlight w:val="none"/>
              </w:rPr>
            </w:pPr>
            <w:r>
              <w:rPr>
                <w:rFonts w:hint="eastAsia" w:hAnsi="宋体" w:cs="宋体"/>
                <w:color w:val="auto"/>
                <w:sz w:val="24"/>
                <w:szCs w:val="24"/>
                <w:highlight w:val="none"/>
              </w:rPr>
              <w:t>是否接受联合体投标</w:t>
            </w:r>
          </w:p>
        </w:tc>
        <w:tc>
          <w:tcPr>
            <w:tcW w:w="6053" w:type="dxa"/>
            <w:tcBorders>
              <w:bottom w:val="single" w:color="000000" w:sz="6" w:space="0"/>
            </w:tcBorders>
            <w:vAlign w:val="center"/>
          </w:tcPr>
          <w:p w14:paraId="0EF1FD15">
            <w:pPr>
              <w:pStyle w:val="14"/>
              <w:topLinePunct/>
              <w:adjustRightInd w:val="0"/>
              <w:snapToGrid w:val="0"/>
              <w:rPr>
                <w:rFonts w:hAnsi="宋体" w:cs="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 xml:space="preserve"> </w:t>
            </w:r>
            <w:r>
              <w:rPr>
                <w:rFonts w:hint="eastAsia" w:hAnsi="宋体" w:cs="宋体"/>
                <w:color w:val="auto"/>
                <w:sz w:val="24"/>
                <w:szCs w:val="24"/>
                <w:highlight w:val="none"/>
              </w:rPr>
              <w:t>不接受</w:t>
            </w:r>
          </w:p>
          <w:p w14:paraId="268B2F1B">
            <w:pPr>
              <w:pStyle w:val="14"/>
              <w:topLinePunct/>
              <w:adjustRightInd w:val="0"/>
              <w:snapToGrid w:val="0"/>
              <w:rPr>
                <w:rFonts w:hAnsi="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接受，还应满足下列要求：</w:t>
            </w:r>
          </w:p>
          <w:p w14:paraId="0DE027B3">
            <w:pPr>
              <w:pStyle w:val="14"/>
              <w:topLinePunct/>
              <w:adjustRightInd w:val="0"/>
              <w:snapToGrid w:val="0"/>
              <w:rPr>
                <w:rFonts w:hAnsi="宋体" w:cs="宋体"/>
                <w:color w:val="auto"/>
                <w:sz w:val="24"/>
                <w:szCs w:val="24"/>
                <w:highlight w:val="none"/>
                <w:u w:val="single"/>
              </w:rPr>
            </w:pPr>
            <w:r>
              <w:rPr>
                <w:rFonts w:hint="eastAsia" w:hAnsi="宋体" w:cs="宋体"/>
                <w:color w:val="auto"/>
                <w:sz w:val="24"/>
                <w:szCs w:val="24"/>
                <w:highlight w:val="none"/>
              </w:rPr>
              <w:t>（1）联合体所有成员数量不得超过</w:t>
            </w:r>
            <w:r>
              <w:rPr>
                <w:rFonts w:hint="eastAsia" w:hAnsi="宋体" w:cs="宋体"/>
                <w:color w:val="auto"/>
                <w:sz w:val="24"/>
                <w:szCs w:val="24"/>
                <w:highlight w:val="none"/>
                <w:u w:val="single"/>
              </w:rPr>
              <w:t xml:space="preserve"> / </w:t>
            </w:r>
            <w:r>
              <w:rPr>
                <w:rFonts w:hint="eastAsia" w:hAnsi="宋体" w:cs="宋体"/>
                <w:color w:val="auto"/>
                <w:sz w:val="24"/>
                <w:szCs w:val="24"/>
                <w:highlight w:val="none"/>
              </w:rPr>
              <w:t>家；</w:t>
            </w:r>
          </w:p>
          <w:p w14:paraId="5BD3AF75">
            <w:pPr>
              <w:pStyle w:val="14"/>
              <w:topLinePunct/>
              <w:adjustRightInd w:val="0"/>
              <w:snapToGrid w:val="0"/>
              <w:rPr>
                <w:rFonts w:hAnsi="宋体" w:cs="宋体"/>
                <w:color w:val="auto"/>
                <w:sz w:val="24"/>
                <w:szCs w:val="24"/>
                <w:highlight w:val="none"/>
              </w:rPr>
            </w:pPr>
            <w:r>
              <w:rPr>
                <w:rFonts w:hint="eastAsia" w:hAnsi="宋体" w:cs="宋体"/>
                <w:color w:val="auto"/>
                <w:sz w:val="24"/>
                <w:szCs w:val="24"/>
                <w:highlight w:val="none"/>
              </w:rPr>
              <w:t>（2）联合体牵头人应具有</w:t>
            </w:r>
            <w:r>
              <w:rPr>
                <w:rFonts w:hint="eastAsia" w:hAnsi="宋体" w:cs="宋体"/>
                <w:color w:val="auto"/>
                <w:sz w:val="24"/>
                <w:szCs w:val="24"/>
                <w:highlight w:val="none"/>
                <w:u w:val="single"/>
              </w:rPr>
              <w:t xml:space="preserve"> / </w:t>
            </w:r>
            <w:r>
              <w:rPr>
                <w:rFonts w:hint="eastAsia" w:hAnsi="宋体" w:cs="宋体"/>
                <w:color w:val="auto"/>
                <w:sz w:val="24"/>
                <w:szCs w:val="24"/>
                <w:highlight w:val="none"/>
              </w:rPr>
              <w:t>资质；</w:t>
            </w:r>
          </w:p>
        </w:tc>
      </w:tr>
      <w:tr w14:paraId="6C51EC1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68" w:type="dxa"/>
            <w:tcBorders>
              <w:bottom w:val="single" w:color="000000" w:sz="6" w:space="0"/>
            </w:tcBorders>
            <w:vAlign w:val="center"/>
          </w:tcPr>
          <w:p w14:paraId="257C355E">
            <w:pPr>
              <w:jc w:val="center"/>
              <w:rPr>
                <w:rFonts w:ascii="宋体" w:hAnsi="宋体" w:cs="宋体"/>
                <w:color w:val="auto"/>
                <w:sz w:val="24"/>
                <w:szCs w:val="24"/>
                <w:highlight w:val="none"/>
              </w:rPr>
            </w:pPr>
            <w:r>
              <w:rPr>
                <w:rFonts w:hint="eastAsia" w:ascii="宋体" w:hAnsi="宋体" w:cs="宋体"/>
                <w:color w:val="auto"/>
                <w:sz w:val="24"/>
                <w:szCs w:val="24"/>
                <w:highlight w:val="none"/>
              </w:rPr>
              <w:t>1.4.3</w:t>
            </w:r>
          </w:p>
        </w:tc>
        <w:tc>
          <w:tcPr>
            <w:tcW w:w="2728" w:type="dxa"/>
            <w:tcBorders>
              <w:bottom w:val="single" w:color="000000" w:sz="6" w:space="0"/>
            </w:tcBorders>
            <w:vAlign w:val="center"/>
          </w:tcPr>
          <w:p w14:paraId="12624529">
            <w:pPr>
              <w:pStyle w:val="14"/>
              <w:topLinePunct/>
              <w:jc w:val="center"/>
              <w:rPr>
                <w:rFonts w:hAnsi="宋体" w:cs="宋体"/>
                <w:color w:val="auto"/>
                <w:sz w:val="24"/>
                <w:szCs w:val="24"/>
                <w:highlight w:val="none"/>
              </w:rPr>
            </w:pPr>
            <w:r>
              <w:rPr>
                <w:rFonts w:hint="eastAsia" w:hAnsi="宋体" w:cs="宋体"/>
                <w:color w:val="auto"/>
                <w:sz w:val="24"/>
                <w:szCs w:val="24"/>
                <w:highlight w:val="none"/>
              </w:rPr>
              <w:t>投标人不得存在的其他关联情形</w:t>
            </w:r>
          </w:p>
        </w:tc>
        <w:tc>
          <w:tcPr>
            <w:tcW w:w="6053" w:type="dxa"/>
            <w:tcBorders>
              <w:bottom w:val="single" w:color="000000" w:sz="6" w:space="0"/>
            </w:tcBorders>
            <w:vAlign w:val="center"/>
          </w:tcPr>
          <w:p w14:paraId="281550AD">
            <w:pPr>
              <w:pStyle w:val="14"/>
              <w:topLinePunct/>
              <w:adjustRightInd w:val="0"/>
              <w:snapToGrid w:val="0"/>
              <w:jc w:val="center"/>
              <w:rPr>
                <w:rFonts w:hAnsi="宋体" w:cs="宋体"/>
                <w:color w:val="auto"/>
                <w:sz w:val="24"/>
                <w:szCs w:val="24"/>
                <w:highlight w:val="none"/>
              </w:rPr>
            </w:pPr>
            <w:r>
              <w:rPr>
                <w:rFonts w:hint="eastAsia" w:hAnsi="宋体" w:cs="宋体"/>
                <w:color w:val="auto"/>
                <w:sz w:val="24"/>
                <w:szCs w:val="24"/>
                <w:highlight w:val="none"/>
              </w:rPr>
              <w:t>/</w:t>
            </w:r>
          </w:p>
        </w:tc>
      </w:tr>
      <w:tr w14:paraId="241D96F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47" w:hRule="atLeast"/>
          <w:jc w:val="center"/>
        </w:trPr>
        <w:tc>
          <w:tcPr>
            <w:tcW w:w="968" w:type="dxa"/>
            <w:tcBorders>
              <w:top w:val="single" w:color="000000" w:sz="6" w:space="0"/>
            </w:tcBorders>
            <w:vAlign w:val="center"/>
          </w:tcPr>
          <w:p w14:paraId="4682F164">
            <w:pPr>
              <w:jc w:val="center"/>
              <w:rPr>
                <w:rFonts w:ascii="宋体" w:hAnsi="宋体" w:cs="宋体"/>
                <w:color w:val="auto"/>
                <w:sz w:val="24"/>
                <w:szCs w:val="24"/>
                <w:highlight w:val="none"/>
              </w:rPr>
            </w:pPr>
            <w:r>
              <w:rPr>
                <w:rFonts w:hint="eastAsia" w:ascii="宋体" w:hAnsi="宋体" w:cs="宋体"/>
                <w:color w:val="auto"/>
                <w:sz w:val="24"/>
                <w:szCs w:val="24"/>
                <w:highlight w:val="none"/>
              </w:rPr>
              <w:t>1.4.4</w:t>
            </w:r>
          </w:p>
        </w:tc>
        <w:tc>
          <w:tcPr>
            <w:tcW w:w="2728" w:type="dxa"/>
            <w:tcBorders>
              <w:top w:val="single" w:color="000000" w:sz="6" w:space="0"/>
            </w:tcBorders>
            <w:vAlign w:val="center"/>
          </w:tcPr>
          <w:p w14:paraId="5F8C8D2D">
            <w:pPr>
              <w:pStyle w:val="14"/>
              <w:topLinePunct/>
              <w:jc w:val="center"/>
              <w:rPr>
                <w:rFonts w:hAnsi="宋体" w:cs="宋体"/>
                <w:color w:val="auto"/>
                <w:sz w:val="24"/>
                <w:szCs w:val="24"/>
                <w:highlight w:val="none"/>
              </w:rPr>
            </w:pPr>
            <w:r>
              <w:rPr>
                <w:rFonts w:hint="eastAsia" w:hAnsi="宋体" w:cs="宋体"/>
                <w:color w:val="auto"/>
                <w:sz w:val="24"/>
                <w:szCs w:val="24"/>
                <w:highlight w:val="none"/>
              </w:rPr>
              <w:t>投标人不得存在的其他不良状况或不良信用</w:t>
            </w:r>
          </w:p>
        </w:tc>
        <w:tc>
          <w:tcPr>
            <w:tcW w:w="6053" w:type="dxa"/>
            <w:tcBorders>
              <w:top w:val="single" w:color="000000" w:sz="6" w:space="0"/>
            </w:tcBorders>
            <w:vAlign w:val="center"/>
          </w:tcPr>
          <w:p w14:paraId="26D2C88F">
            <w:pPr>
              <w:pStyle w:val="14"/>
              <w:topLinePunct/>
              <w:adjustRightInd w:val="0"/>
              <w:snapToGrid w:val="0"/>
              <w:jc w:val="center"/>
              <w:rPr>
                <w:rFonts w:hAnsi="宋体" w:cs="宋体"/>
                <w:color w:val="auto"/>
                <w:sz w:val="24"/>
                <w:szCs w:val="24"/>
                <w:highlight w:val="none"/>
              </w:rPr>
            </w:pPr>
            <w:r>
              <w:rPr>
                <w:rFonts w:hint="eastAsia" w:hAnsi="宋体" w:cs="宋体"/>
                <w:color w:val="auto"/>
                <w:sz w:val="24"/>
                <w:szCs w:val="24"/>
                <w:highlight w:val="none"/>
              </w:rPr>
              <w:t>/</w:t>
            </w:r>
          </w:p>
        </w:tc>
      </w:tr>
      <w:tr w14:paraId="5A976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968" w:type="dxa"/>
            <w:vMerge w:val="restart"/>
            <w:vAlign w:val="center"/>
          </w:tcPr>
          <w:p w14:paraId="68EB1D92">
            <w:pPr>
              <w:jc w:val="center"/>
              <w:rPr>
                <w:rFonts w:ascii="宋体" w:hAnsi="宋体" w:cs="宋体"/>
                <w:color w:val="auto"/>
                <w:sz w:val="24"/>
                <w:szCs w:val="24"/>
                <w:highlight w:val="none"/>
              </w:rPr>
            </w:pPr>
            <w:r>
              <w:rPr>
                <w:rFonts w:hint="eastAsia" w:ascii="宋体" w:hAnsi="宋体" w:cs="宋体"/>
                <w:color w:val="auto"/>
                <w:sz w:val="24"/>
                <w:szCs w:val="24"/>
                <w:highlight w:val="none"/>
              </w:rPr>
              <w:t>1.10.2</w:t>
            </w:r>
          </w:p>
        </w:tc>
        <w:tc>
          <w:tcPr>
            <w:tcW w:w="2728" w:type="dxa"/>
            <w:vMerge w:val="restart"/>
            <w:vAlign w:val="center"/>
          </w:tcPr>
          <w:p w14:paraId="6C696186">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投标人在投标预备会前提出问题</w:t>
            </w:r>
          </w:p>
        </w:tc>
        <w:tc>
          <w:tcPr>
            <w:tcW w:w="6053" w:type="dxa"/>
            <w:vAlign w:val="center"/>
          </w:tcPr>
          <w:p w14:paraId="6F89ADC6">
            <w:pPr>
              <w:keepNext w:val="0"/>
              <w:keepLines w:val="0"/>
              <w:suppressLineNumbers w:val="0"/>
              <w:spacing w:before="0" w:beforeAutospacing="0" w:after="0" w:afterAutospacing="0"/>
              <w:ind w:left="105" w:leftChars="50" w:right="0" w:rightChars="0"/>
              <w:rPr>
                <w:rFonts w:ascii="宋体" w:hAnsi="宋体" w:cs="宋体"/>
                <w:color w:val="auto"/>
                <w:sz w:val="24"/>
                <w:szCs w:val="24"/>
                <w:highlight w:val="none"/>
              </w:rPr>
            </w:pPr>
            <w:r>
              <w:rPr>
                <w:rFonts w:hint="eastAsia" w:ascii="宋体" w:hAnsi="宋体" w:cs="宋体"/>
                <w:color w:val="auto"/>
                <w:sz w:val="24"/>
                <w:highlight w:val="none"/>
              </w:rPr>
              <w:t>时间：</w:t>
            </w:r>
            <w:r>
              <w:rPr>
                <w:rFonts w:hint="eastAsia" w:ascii="宋体" w:hAnsi="宋体" w:cs="宋体"/>
                <w:color w:val="auto"/>
                <w:kern w:val="0"/>
                <w:sz w:val="24"/>
                <w:highlight w:val="none"/>
              </w:rPr>
              <w:t>招标人不组织投标预备会。</w:t>
            </w:r>
          </w:p>
        </w:tc>
      </w:tr>
      <w:tr w14:paraId="6A220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968" w:type="dxa"/>
            <w:vMerge w:val="continue"/>
            <w:vAlign w:val="center"/>
          </w:tcPr>
          <w:p w14:paraId="6C7FA332">
            <w:pPr>
              <w:jc w:val="center"/>
              <w:rPr>
                <w:rFonts w:ascii="宋体" w:hAnsi="宋体" w:cs="宋体"/>
                <w:color w:val="auto"/>
                <w:sz w:val="24"/>
                <w:szCs w:val="24"/>
                <w:highlight w:val="none"/>
              </w:rPr>
            </w:pPr>
          </w:p>
        </w:tc>
        <w:tc>
          <w:tcPr>
            <w:tcW w:w="2728" w:type="dxa"/>
            <w:vMerge w:val="continue"/>
            <w:vAlign w:val="center"/>
          </w:tcPr>
          <w:p w14:paraId="7B27B2D7">
            <w:pPr>
              <w:jc w:val="center"/>
              <w:rPr>
                <w:rFonts w:ascii="宋体" w:hAnsi="宋体" w:cs="宋体"/>
                <w:color w:val="auto"/>
                <w:sz w:val="24"/>
                <w:szCs w:val="24"/>
                <w:highlight w:val="none"/>
              </w:rPr>
            </w:pPr>
          </w:p>
        </w:tc>
        <w:tc>
          <w:tcPr>
            <w:tcW w:w="6053" w:type="dxa"/>
            <w:vAlign w:val="center"/>
          </w:tcPr>
          <w:p w14:paraId="66351255">
            <w:pPr>
              <w:keepNext w:val="0"/>
              <w:keepLines w:val="0"/>
              <w:suppressLineNumbers w:val="0"/>
              <w:spacing w:before="0" w:beforeAutospacing="0" w:after="0" w:afterAutospacing="0"/>
              <w:ind w:left="105" w:leftChars="50" w:right="0" w:rightChars="0"/>
              <w:rPr>
                <w:rFonts w:ascii="宋体" w:hAnsi="宋体" w:cs="宋体"/>
                <w:color w:val="auto"/>
                <w:sz w:val="24"/>
                <w:szCs w:val="24"/>
                <w:highlight w:val="none"/>
              </w:rPr>
            </w:pPr>
            <w:r>
              <w:rPr>
                <w:rFonts w:hint="eastAsia" w:ascii="宋体" w:hAnsi="宋体" w:cs="宋体"/>
                <w:color w:val="auto"/>
                <w:kern w:val="0"/>
                <w:sz w:val="24"/>
                <w:highlight w:val="none"/>
              </w:rPr>
              <w:t>形式：投标人实行网上提问。投标人对招标</w:t>
            </w:r>
            <w:r>
              <w:rPr>
                <w:rFonts w:hint="eastAsia" w:ascii="宋体" w:hAnsi="宋体" w:cs="宋体"/>
                <w:color w:val="auto"/>
                <w:sz w:val="24"/>
                <w:highlight w:val="none"/>
              </w:rPr>
              <w:t>文件</w:t>
            </w:r>
            <w:r>
              <w:rPr>
                <w:rFonts w:hint="eastAsia" w:ascii="宋体" w:hAnsi="宋体" w:cs="宋体"/>
                <w:color w:val="auto"/>
                <w:kern w:val="0"/>
                <w:sz w:val="24"/>
                <w:highlight w:val="none"/>
              </w:rPr>
              <w:t>的疑问以不署名的形式在建设工程交易系统网上提出，提出疑问截止时间见“重要事项时间地点一览表”。</w:t>
            </w:r>
          </w:p>
        </w:tc>
      </w:tr>
      <w:tr w14:paraId="143D0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968" w:type="dxa"/>
            <w:vAlign w:val="center"/>
          </w:tcPr>
          <w:p w14:paraId="6D13B574">
            <w:pPr>
              <w:jc w:val="center"/>
              <w:rPr>
                <w:rFonts w:ascii="宋体" w:hAnsi="宋体" w:cs="宋体"/>
                <w:color w:val="auto"/>
                <w:sz w:val="24"/>
                <w:szCs w:val="24"/>
                <w:highlight w:val="none"/>
              </w:rPr>
            </w:pPr>
            <w:r>
              <w:rPr>
                <w:rFonts w:hint="eastAsia" w:ascii="宋体" w:hAnsi="宋体" w:cs="宋体"/>
                <w:color w:val="auto"/>
                <w:sz w:val="24"/>
                <w:szCs w:val="24"/>
                <w:highlight w:val="none"/>
              </w:rPr>
              <w:t>1.11.1</w:t>
            </w:r>
          </w:p>
        </w:tc>
        <w:tc>
          <w:tcPr>
            <w:tcW w:w="2728" w:type="dxa"/>
            <w:vAlign w:val="center"/>
          </w:tcPr>
          <w:p w14:paraId="3A66A32C">
            <w:pPr>
              <w:jc w:val="center"/>
              <w:rPr>
                <w:rFonts w:ascii="宋体" w:hAnsi="宋体" w:cs="宋体"/>
                <w:color w:val="auto"/>
                <w:sz w:val="24"/>
                <w:szCs w:val="24"/>
                <w:highlight w:val="none"/>
              </w:rPr>
            </w:pPr>
            <w:r>
              <w:rPr>
                <w:rFonts w:hint="eastAsia" w:ascii="宋体" w:hAnsi="宋体" w:cs="宋体"/>
                <w:color w:val="auto"/>
                <w:sz w:val="24"/>
                <w:szCs w:val="24"/>
                <w:highlight w:val="none"/>
              </w:rPr>
              <w:t>分  包</w:t>
            </w:r>
          </w:p>
        </w:tc>
        <w:tc>
          <w:tcPr>
            <w:tcW w:w="6053" w:type="dxa"/>
            <w:vAlign w:val="center"/>
          </w:tcPr>
          <w:p w14:paraId="09F0C7E4">
            <w:pPr>
              <w:ind w:right="113"/>
              <w:rPr>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不允许</w:t>
            </w:r>
          </w:p>
          <w:p w14:paraId="74BCF036">
            <w:pPr>
              <w:keepNext w:val="0"/>
              <w:keepLines w:val="0"/>
              <w:suppressLineNumbers w:val="0"/>
              <w:spacing w:before="0" w:beforeAutospacing="0" w:after="0" w:afterAutospacing="0" w:line="240" w:lineRule="auto"/>
              <w:ind w:right="113"/>
              <w:rPr>
                <w:rFonts w:hint="eastAsia" w:ascii="宋体" w:hAnsi="宋体" w:cs="宋体"/>
                <w:color w:val="auto"/>
                <w:sz w:val="24"/>
                <w:highlight w:val="none"/>
                <w:u w:val="singl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 xml:space="preserve"> </w:t>
            </w:r>
            <w:r>
              <w:rPr>
                <w:rFonts w:hint="eastAsia" w:ascii="宋体" w:hAnsi="宋体" w:cs="宋体"/>
                <w:color w:val="auto"/>
                <w:kern w:val="0"/>
                <w:sz w:val="24"/>
                <w:szCs w:val="24"/>
                <w:highlight w:val="none"/>
              </w:rPr>
              <w:t>允许</w:t>
            </w:r>
            <w:r>
              <w:rPr>
                <w:rFonts w:hint="eastAsia" w:ascii="宋体" w:hAnsi="宋体" w:cs="宋体"/>
                <w:color w:val="auto"/>
                <w:kern w:val="0"/>
                <w:sz w:val="24"/>
                <w:szCs w:val="24"/>
                <w:highlight w:val="none"/>
                <w:lang w:eastAsia="zh-CN"/>
              </w:rPr>
              <w:t>，</w:t>
            </w:r>
            <w:r>
              <w:rPr>
                <w:rFonts w:hint="eastAsia" w:ascii="宋体" w:hAnsi="宋体" w:cs="宋体"/>
                <w:color w:val="auto"/>
                <w:sz w:val="24"/>
                <w:highlight w:val="none"/>
              </w:rPr>
              <w:t>允许分包的专项工程：</w:t>
            </w:r>
            <w:r>
              <w:rPr>
                <w:rFonts w:hint="eastAsia" w:ascii="宋体" w:hAnsi="宋体" w:cs="宋体"/>
                <w:color w:val="auto"/>
                <w:sz w:val="24"/>
                <w:highlight w:val="none"/>
                <w:u w:val="single"/>
              </w:rPr>
              <w:t>交通安全设施工程</w:t>
            </w:r>
            <w:r>
              <w:rPr>
                <w:rFonts w:hint="eastAsia" w:ascii="宋体" w:hAnsi="宋体" w:cs="宋体"/>
                <w:color w:val="auto"/>
                <w:sz w:val="24"/>
                <w:highlight w:val="none"/>
                <w:u w:val="none"/>
                <w:lang w:eastAsia="zh-CN"/>
              </w:rPr>
              <w:t>。</w:t>
            </w:r>
          </w:p>
          <w:p w14:paraId="07C3AF06">
            <w:pPr>
              <w:keepNext w:val="0"/>
              <w:keepLines w:val="0"/>
              <w:suppressLineNumbers w:val="0"/>
              <w:spacing w:before="0" w:beforeAutospacing="0" w:after="0" w:afterAutospacing="0" w:line="240" w:lineRule="auto"/>
              <w:ind w:right="0"/>
              <w:rPr>
                <w:rFonts w:hint="eastAsia" w:ascii="宋体" w:hAnsi="宋体" w:cs="宋体"/>
                <w:color w:val="auto"/>
                <w:kern w:val="0"/>
                <w:sz w:val="24"/>
                <w:szCs w:val="24"/>
                <w:highlight w:val="none"/>
                <w:lang w:val="en-US" w:eastAsia="zh-CN"/>
              </w:rPr>
            </w:pPr>
            <w:r>
              <w:rPr>
                <w:rFonts w:hint="eastAsia" w:ascii="宋体" w:hAnsi="宋体" w:cs="宋体"/>
                <w:color w:val="auto"/>
                <w:sz w:val="24"/>
                <w:highlight w:val="none"/>
              </w:rPr>
              <w:t>对分包人的资格要求：</w:t>
            </w:r>
            <w:r>
              <w:rPr>
                <w:rFonts w:hint="eastAsia" w:ascii="宋体" w:hAnsi="宋体" w:cs="宋体"/>
                <w:color w:val="auto"/>
                <w:sz w:val="24"/>
                <w:highlight w:val="none"/>
                <w:u w:val="single"/>
              </w:rPr>
              <w:t>公路交通工程（公路安全设施）专业承包二级以上（含二级）资质</w:t>
            </w:r>
            <w:r>
              <w:rPr>
                <w:rFonts w:hint="eastAsia" w:ascii="宋体" w:hAnsi="宋体" w:cs="宋体"/>
                <w:color w:val="auto"/>
                <w:sz w:val="24"/>
                <w:highlight w:val="none"/>
                <w:u w:val="single"/>
                <w:lang w:eastAsia="zh-CN"/>
              </w:rPr>
              <w:t>。</w:t>
            </w:r>
          </w:p>
          <w:p w14:paraId="1A8FBDC2">
            <w:pPr>
              <w:rPr>
                <w:rFonts w:hint="eastAsia" w:eastAsia="宋体"/>
                <w:color w:val="auto"/>
                <w:highlight w:val="none"/>
                <w:lang w:val="en-US" w:eastAsia="zh-CN"/>
              </w:rPr>
            </w:pPr>
            <w:r>
              <w:rPr>
                <w:rFonts w:hint="eastAsia" w:ascii="宋体" w:hAnsi="宋体" w:cs="宋体"/>
                <w:color w:val="auto"/>
                <w:kern w:val="0"/>
                <w:sz w:val="24"/>
                <w:szCs w:val="24"/>
                <w:highlight w:val="none"/>
                <w:lang w:val="en-US" w:eastAsia="zh-CN"/>
              </w:rPr>
              <w:t>注：投标人如不具备某专项工程（包括但不限于项目专用合同条款4.3中所涉及的工程等）相应资质的且允许分包的，应按照第九章“投标文件格式”的要求填写“拟分包项目情况表”。如投标人不具备相应资质而未按要求填写的，视为未对招标文件的实质性要求和条件做出响应，按否决其投标处理。</w:t>
            </w:r>
          </w:p>
        </w:tc>
      </w:tr>
      <w:tr w14:paraId="7E9CF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968" w:type="dxa"/>
            <w:vAlign w:val="center"/>
          </w:tcPr>
          <w:p w14:paraId="53E7C379">
            <w:pPr>
              <w:jc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2728" w:type="dxa"/>
            <w:vAlign w:val="center"/>
          </w:tcPr>
          <w:p w14:paraId="3E0D065D">
            <w:pPr>
              <w:jc w:val="center"/>
              <w:rPr>
                <w:rFonts w:ascii="宋体" w:hAnsi="宋体" w:cs="宋体"/>
                <w:color w:val="auto"/>
                <w:sz w:val="24"/>
                <w:szCs w:val="24"/>
                <w:highlight w:val="none"/>
              </w:rPr>
            </w:pPr>
            <w:r>
              <w:rPr>
                <w:rFonts w:hint="eastAsia" w:ascii="宋体" w:hAnsi="宋体" w:cs="宋体"/>
                <w:color w:val="auto"/>
                <w:sz w:val="24"/>
                <w:szCs w:val="24"/>
                <w:highlight w:val="none"/>
              </w:rPr>
              <w:t>构成招标文件的其他资料</w:t>
            </w:r>
          </w:p>
        </w:tc>
        <w:tc>
          <w:tcPr>
            <w:tcW w:w="6053" w:type="dxa"/>
            <w:vAlign w:val="center"/>
          </w:tcPr>
          <w:p w14:paraId="7CDC74A0">
            <w:pPr>
              <w:rPr>
                <w:rFonts w:ascii="宋体" w:hAnsi="宋体" w:cs="宋体"/>
                <w:b/>
                <w:color w:val="auto"/>
                <w:sz w:val="24"/>
                <w:szCs w:val="24"/>
                <w:highlight w:val="none"/>
              </w:rPr>
            </w:pPr>
            <w:r>
              <w:rPr>
                <w:rFonts w:hint="eastAsia" w:ascii="宋体" w:hAnsi="宋体" w:cs="宋体"/>
                <w:color w:val="auto"/>
                <w:sz w:val="24"/>
                <w:szCs w:val="24"/>
                <w:highlight w:val="none"/>
              </w:rPr>
              <w:t xml:space="preserve"> 招标文件所附的其他资料</w:t>
            </w:r>
          </w:p>
        </w:tc>
      </w:tr>
      <w:tr w14:paraId="3D174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5" w:hRule="atLeast"/>
          <w:jc w:val="center"/>
        </w:trPr>
        <w:tc>
          <w:tcPr>
            <w:tcW w:w="968" w:type="dxa"/>
            <w:vMerge w:val="restart"/>
            <w:vAlign w:val="center"/>
          </w:tcPr>
          <w:p w14:paraId="7C89C8D3">
            <w:pPr>
              <w:jc w:val="center"/>
              <w:rPr>
                <w:rFonts w:ascii="宋体" w:hAnsi="宋体" w:cs="宋体"/>
                <w:color w:val="auto"/>
                <w:sz w:val="24"/>
                <w:szCs w:val="24"/>
                <w:highlight w:val="none"/>
              </w:rPr>
            </w:pPr>
            <w:r>
              <w:rPr>
                <w:rFonts w:hint="eastAsia" w:ascii="宋体" w:hAnsi="宋体" w:cs="宋体"/>
                <w:color w:val="auto"/>
                <w:sz w:val="24"/>
                <w:szCs w:val="24"/>
                <w:highlight w:val="none"/>
              </w:rPr>
              <w:t>2.2.1</w:t>
            </w:r>
          </w:p>
        </w:tc>
        <w:tc>
          <w:tcPr>
            <w:tcW w:w="2728" w:type="dxa"/>
            <w:vMerge w:val="restart"/>
            <w:vAlign w:val="center"/>
          </w:tcPr>
          <w:p w14:paraId="54F68C23">
            <w:pPr>
              <w:autoSpaceDE w:val="0"/>
              <w:autoSpaceDN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投标人要求澄清</w:t>
            </w:r>
          </w:p>
          <w:p w14:paraId="12F6101D">
            <w:pPr>
              <w:autoSpaceDE w:val="0"/>
              <w:autoSpaceDN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招标文件</w:t>
            </w:r>
          </w:p>
        </w:tc>
        <w:tc>
          <w:tcPr>
            <w:tcW w:w="6053" w:type="dxa"/>
            <w:vAlign w:val="center"/>
          </w:tcPr>
          <w:p w14:paraId="28A6CEF1">
            <w:pPr>
              <w:autoSpaceDE w:val="0"/>
              <w:autoSpaceDN w:val="0"/>
              <w:rPr>
                <w:rFonts w:ascii="宋体" w:hAnsi="宋体" w:cs="宋体"/>
                <w:color w:val="auto"/>
                <w:sz w:val="24"/>
                <w:szCs w:val="24"/>
                <w:highlight w:val="none"/>
              </w:rPr>
            </w:pPr>
            <w:r>
              <w:rPr>
                <w:rFonts w:hint="eastAsia" w:ascii="宋体" w:hAnsi="宋体" w:cs="宋体"/>
                <w:color w:val="auto"/>
                <w:kern w:val="0"/>
                <w:sz w:val="24"/>
                <w:szCs w:val="24"/>
                <w:highlight w:val="none"/>
              </w:rPr>
              <w:t>时间：</w:t>
            </w:r>
            <w:r>
              <w:rPr>
                <w:rFonts w:hint="eastAsia" w:ascii="宋体" w:hAnsi="宋体" w:cs="宋体"/>
                <w:color w:val="auto"/>
                <w:kern w:val="0"/>
                <w:sz w:val="24"/>
                <w:szCs w:val="24"/>
                <w:highlight w:val="none"/>
                <w:u w:val="single"/>
              </w:rPr>
              <w:t>递交投标文件截止之日1</w:t>
            </w:r>
            <w:r>
              <w:rPr>
                <w:rFonts w:hint="eastAsia" w:ascii="宋体" w:hAnsi="宋体" w:cs="宋体"/>
                <w:color w:val="auto"/>
                <w:kern w:val="0"/>
                <w:sz w:val="24"/>
                <w:szCs w:val="24"/>
                <w:highlight w:val="none"/>
                <w:u w:val="single"/>
                <w:lang w:val="en-US" w:eastAsia="zh-CN"/>
              </w:rPr>
              <w:t>8</w:t>
            </w:r>
            <w:r>
              <w:rPr>
                <w:rFonts w:hint="eastAsia" w:ascii="宋体" w:hAnsi="宋体" w:cs="宋体"/>
                <w:color w:val="auto"/>
                <w:kern w:val="0"/>
                <w:sz w:val="24"/>
                <w:szCs w:val="24"/>
                <w:highlight w:val="none"/>
                <w:u w:val="single"/>
              </w:rPr>
              <w:t>天前</w:t>
            </w:r>
          </w:p>
        </w:tc>
      </w:tr>
      <w:tr w14:paraId="4EC96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968" w:type="dxa"/>
            <w:vMerge w:val="continue"/>
            <w:vAlign w:val="center"/>
          </w:tcPr>
          <w:p w14:paraId="54B8F833">
            <w:pPr>
              <w:jc w:val="center"/>
              <w:rPr>
                <w:rFonts w:ascii="宋体" w:hAnsi="宋体" w:cs="宋体"/>
                <w:color w:val="auto"/>
                <w:sz w:val="24"/>
                <w:szCs w:val="24"/>
                <w:highlight w:val="none"/>
              </w:rPr>
            </w:pPr>
          </w:p>
        </w:tc>
        <w:tc>
          <w:tcPr>
            <w:tcW w:w="2728" w:type="dxa"/>
            <w:vMerge w:val="continue"/>
            <w:vAlign w:val="center"/>
          </w:tcPr>
          <w:p w14:paraId="104E9583">
            <w:pPr>
              <w:autoSpaceDE w:val="0"/>
              <w:autoSpaceDN w:val="0"/>
              <w:jc w:val="center"/>
              <w:rPr>
                <w:rFonts w:ascii="宋体" w:hAnsi="宋体" w:cs="宋体"/>
                <w:color w:val="auto"/>
                <w:sz w:val="24"/>
                <w:szCs w:val="24"/>
                <w:highlight w:val="none"/>
              </w:rPr>
            </w:pPr>
          </w:p>
        </w:tc>
        <w:tc>
          <w:tcPr>
            <w:tcW w:w="6053" w:type="dxa"/>
            <w:vAlign w:val="center"/>
          </w:tcPr>
          <w:p w14:paraId="239B5301">
            <w:pPr>
              <w:rPr>
                <w:rFonts w:ascii="宋体" w:hAnsi="宋体" w:cs="宋体"/>
                <w:color w:val="auto"/>
                <w:sz w:val="24"/>
                <w:szCs w:val="24"/>
                <w:highlight w:val="none"/>
              </w:rPr>
            </w:pPr>
            <w:r>
              <w:rPr>
                <w:rFonts w:hint="eastAsia" w:ascii="宋体" w:hAnsi="宋体" w:cs="宋体"/>
                <w:color w:val="auto"/>
                <w:kern w:val="0"/>
                <w:sz w:val="24"/>
                <w:szCs w:val="24"/>
                <w:highlight w:val="none"/>
              </w:rPr>
              <w:t>形式：</w:t>
            </w:r>
            <w:r>
              <w:rPr>
                <w:rFonts w:hint="eastAsia" w:ascii="宋体" w:hAnsi="宋体" w:cs="宋体"/>
                <w:color w:val="auto"/>
                <w:sz w:val="24"/>
                <w:highlight w:val="none"/>
              </w:rPr>
              <w:t>投标人对招标文件的疑问或要求澄清的内容以不署名的形式</w:t>
            </w:r>
            <w:r>
              <w:rPr>
                <w:rFonts w:hint="eastAsia" w:ascii="宋体" w:hAnsi="宋体" w:cs="宋体"/>
                <w:color w:val="auto"/>
                <w:kern w:val="0"/>
                <w:sz w:val="24"/>
                <w:szCs w:val="24"/>
                <w:highlight w:val="none"/>
              </w:rPr>
              <w:t>在全国公共资源交易平台 （广东省·韶关市）（https://ygp.gdzwfw.gov.cn/ggzy-portal/#/440200/index）</w:t>
            </w:r>
            <w:r>
              <w:rPr>
                <w:rFonts w:hint="eastAsia" w:ascii="宋体" w:hAnsi="宋体" w:cs="宋体"/>
                <w:color w:val="auto"/>
                <w:sz w:val="24"/>
                <w:szCs w:val="24"/>
                <w:highlight w:val="none"/>
                <w:u w:val="none"/>
                <w:lang w:val="en-US" w:eastAsia="zh-CN"/>
              </w:rPr>
              <w:t>系统</w:t>
            </w:r>
            <w:r>
              <w:rPr>
                <w:rFonts w:hint="eastAsia" w:ascii="宋体" w:hAnsi="宋体" w:cs="宋体"/>
                <w:color w:val="auto"/>
                <w:sz w:val="24"/>
                <w:highlight w:val="none"/>
              </w:rPr>
              <w:t>提出，</w:t>
            </w:r>
            <w:r>
              <w:rPr>
                <w:rFonts w:hint="eastAsia" w:ascii="宋体" w:hAnsi="宋体" w:cs="宋体"/>
                <w:color w:val="auto"/>
                <w:kern w:val="0"/>
                <w:sz w:val="24"/>
                <w:highlight w:val="none"/>
              </w:rPr>
              <w:t>提出疑问截止时间见“重要事项时间地点一览表”。</w:t>
            </w:r>
          </w:p>
        </w:tc>
      </w:tr>
      <w:tr w14:paraId="2FD63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4" w:hRule="atLeast"/>
          <w:jc w:val="center"/>
        </w:trPr>
        <w:tc>
          <w:tcPr>
            <w:tcW w:w="968" w:type="dxa"/>
            <w:vAlign w:val="center"/>
          </w:tcPr>
          <w:p w14:paraId="724E1FCA">
            <w:pPr>
              <w:jc w:val="center"/>
              <w:rPr>
                <w:rFonts w:ascii="宋体" w:hAnsi="宋体" w:cs="宋体"/>
                <w:color w:val="auto"/>
                <w:sz w:val="24"/>
                <w:szCs w:val="24"/>
                <w:highlight w:val="none"/>
              </w:rPr>
            </w:pPr>
            <w:r>
              <w:rPr>
                <w:rFonts w:hint="eastAsia" w:ascii="宋体" w:hAnsi="宋体" w:cs="宋体"/>
                <w:color w:val="auto"/>
                <w:sz w:val="24"/>
                <w:szCs w:val="24"/>
                <w:highlight w:val="none"/>
              </w:rPr>
              <w:t>2.2.2</w:t>
            </w:r>
          </w:p>
        </w:tc>
        <w:tc>
          <w:tcPr>
            <w:tcW w:w="2728" w:type="dxa"/>
            <w:vAlign w:val="center"/>
          </w:tcPr>
          <w:p w14:paraId="584B808D">
            <w:pPr>
              <w:autoSpaceDE w:val="0"/>
              <w:autoSpaceDN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招标文件澄清发出的形式</w:t>
            </w:r>
          </w:p>
        </w:tc>
        <w:tc>
          <w:tcPr>
            <w:tcW w:w="6053" w:type="dxa"/>
            <w:vAlign w:val="center"/>
          </w:tcPr>
          <w:p w14:paraId="49ABE5C9">
            <w:pP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在</w:t>
            </w:r>
            <w:r>
              <w:rPr>
                <w:rFonts w:hint="eastAsia" w:ascii="宋体" w:hAnsi="宋体" w:cs="宋体"/>
                <w:color w:val="auto"/>
                <w:kern w:val="0"/>
                <w:sz w:val="24"/>
                <w:szCs w:val="24"/>
                <w:highlight w:val="none"/>
              </w:rPr>
              <w:t>全国公共资源交易平台 （广东省·韶关市）（https://ygp.gdzwfw.gov.cn/ggzy-portal/#/440200/index）</w:t>
            </w:r>
            <w:r>
              <w:rPr>
                <w:rFonts w:hint="eastAsia" w:ascii="宋体" w:hAnsi="宋体" w:cs="宋体"/>
                <w:color w:val="auto"/>
                <w:sz w:val="24"/>
                <w:szCs w:val="24"/>
                <w:highlight w:val="none"/>
              </w:rPr>
              <w:t>发布。</w:t>
            </w:r>
          </w:p>
        </w:tc>
      </w:tr>
      <w:tr w14:paraId="2DABA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14:paraId="24C34E6C">
            <w:pPr>
              <w:jc w:val="center"/>
              <w:rPr>
                <w:rFonts w:ascii="宋体" w:hAnsi="宋体" w:cs="宋体"/>
                <w:color w:val="auto"/>
                <w:sz w:val="24"/>
                <w:szCs w:val="24"/>
                <w:highlight w:val="none"/>
              </w:rPr>
            </w:pPr>
            <w:r>
              <w:rPr>
                <w:rFonts w:hint="eastAsia" w:ascii="宋体" w:hAnsi="宋体" w:cs="宋体"/>
                <w:color w:val="auto"/>
                <w:sz w:val="24"/>
                <w:szCs w:val="24"/>
                <w:highlight w:val="none"/>
              </w:rPr>
              <w:t>2.2.3</w:t>
            </w:r>
          </w:p>
        </w:tc>
        <w:tc>
          <w:tcPr>
            <w:tcW w:w="2728" w:type="dxa"/>
            <w:vMerge w:val="restart"/>
            <w:vAlign w:val="center"/>
          </w:tcPr>
          <w:p w14:paraId="125CF7B5">
            <w:pPr>
              <w:autoSpaceDE w:val="0"/>
              <w:autoSpaceDN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投标人确认收到招标文件澄清</w:t>
            </w:r>
          </w:p>
        </w:tc>
        <w:tc>
          <w:tcPr>
            <w:tcW w:w="6053" w:type="dxa"/>
            <w:vAlign w:val="center"/>
          </w:tcPr>
          <w:p w14:paraId="1D3FD435">
            <w:pPr>
              <w:autoSpaceDE w:val="0"/>
              <w:autoSpaceDN w:val="0"/>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rPr>
              <w:t>时间：</w:t>
            </w:r>
            <w:r>
              <w:rPr>
                <w:rFonts w:hint="eastAsia" w:ascii="宋体" w:hAnsi="宋体" w:cs="宋体"/>
                <w:color w:val="auto"/>
                <w:kern w:val="0"/>
                <w:sz w:val="24"/>
                <w:szCs w:val="24"/>
                <w:highlight w:val="none"/>
                <w:lang w:val="en-US" w:eastAsia="zh-CN"/>
              </w:rPr>
              <w:t>/</w:t>
            </w:r>
          </w:p>
        </w:tc>
      </w:tr>
      <w:tr w14:paraId="5050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968" w:type="dxa"/>
            <w:vMerge w:val="continue"/>
            <w:vAlign w:val="center"/>
          </w:tcPr>
          <w:p w14:paraId="2BFC0FE9">
            <w:pPr>
              <w:jc w:val="center"/>
              <w:rPr>
                <w:rFonts w:ascii="宋体" w:hAnsi="宋体" w:cs="宋体"/>
                <w:color w:val="auto"/>
                <w:sz w:val="24"/>
                <w:szCs w:val="24"/>
                <w:highlight w:val="none"/>
              </w:rPr>
            </w:pPr>
          </w:p>
        </w:tc>
        <w:tc>
          <w:tcPr>
            <w:tcW w:w="2728" w:type="dxa"/>
            <w:vMerge w:val="continue"/>
            <w:vAlign w:val="center"/>
          </w:tcPr>
          <w:p w14:paraId="27669165">
            <w:pPr>
              <w:autoSpaceDE w:val="0"/>
              <w:autoSpaceDN w:val="0"/>
              <w:jc w:val="center"/>
              <w:rPr>
                <w:rFonts w:ascii="宋体" w:hAnsi="宋体" w:cs="宋体"/>
                <w:color w:val="auto"/>
                <w:sz w:val="24"/>
                <w:szCs w:val="24"/>
                <w:highlight w:val="none"/>
              </w:rPr>
            </w:pPr>
          </w:p>
        </w:tc>
        <w:tc>
          <w:tcPr>
            <w:tcW w:w="6053" w:type="dxa"/>
            <w:vAlign w:val="center"/>
          </w:tcPr>
          <w:p w14:paraId="5CB3B9A6">
            <w:pPr>
              <w:autoSpaceDE w:val="0"/>
              <w:autoSpaceDN w:val="0"/>
              <w:rPr>
                <w:rFonts w:ascii="宋体" w:hAnsi="宋体" w:cs="宋体"/>
                <w:color w:val="auto"/>
                <w:sz w:val="24"/>
                <w:szCs w:val="24"/>
                <w:highlight w:val="none"/>
              </w:rPr>
            </w:pPr>
            <w:r>
              <w:rPr>
                <w:rFonts w:hint="eastAsia" w:ascii="宋体" w:hAnsi="宋体" w:cs="宋体"/>
                <w:color w:val="auto"/>
                <w:kern w:val="0"/>
                <w:sz w:val="24"/>
                <w:szCs w:val="24"/>
                <w:highlight w:val="none"/>
              </w:rPr>
              <w:t>形式：</w:t>
            </w:r>
            <w:r>
              <w:rPr>
                <w:rFonts w:hint="eastAsia" w:ascii="宋体" w:hAnsi="宋体" w:cs="宋体"/>
                <w:color w:val="auto"/>
                <w:sz w:val="24"/>
                <w:szCs w:val="24"/>
                <w:highlight w:val="none"/>
              </w:rPr>
              <w:t>投标人</w:t>
            </w:r>
            <w:r>
              <w:rPr>
                <w:rFonts w:hint="eastAsia" w:ascii="宋体" w:hAnsi="宋体" w:cs="宋体"/>
                <w:color w:val="auto"/>
                <w:sz w:val="24"/>
                <w:highlight w:val="none"/>
              </w:rPr>
              <w:t>自行查阅全国公共资源交易平台 （广东省 · 韶关市）（https://ygp.gdzwfw.gov.cn/ggzy-portal/#/440200/index）</w:t>
            </w:r>
            <w:r>
              <w:rPr>
                <w:rFonts w:hint="eastAsia" w:ascii="宋体" w:hAnsi="宋体" w:cs="宋体"/>
                <w:color w:val="auto"/>
                <w:sz w:val="24"/>
                <w:szCs w:val="24"/>
                <w:highlight w:val="none"/>
              </w:rPr>
              <w:t>发出的</w:t>
            </w:r>
            <w:r>
              <w:rPr>
                <w:rFonts w:hint="eastAsia" w:ascii="宋体" w:hAnsi="宋体" w:cs="宋体"/>
                <w:color w:val="auto"/>
                <w:sz w:val="24"/>
                <w:szCs w:val="24"/>
                <w:highlight w:val="none"/>
                <w:lang w:val="en-US" w:eastAsia="zh-CN"/>
              </w:rPr>
              <w:t>答疑书</w:t>
            </w:r>
            <w:r>
              <w:rPr>
                <w:rFonts w:hint="eastAsia" w:ascii="宋体" w:hAnsi="宋体" w:cs="宋体"/>
                <w:color w:val="auto"/>
                <w:sz w:val="24"/>
                <w:szCs w:val="24"/>
                <w:highlight w:val="none"/>
              </w:rPr>
              <w:t>，因投标人自身原因</w:t>
            </w:r>
            <w:r>
              <w:rPr>
                <w:rFonts w:hint="eastAsia" w:ascii="宋体" w:hAnsi="宋体" w:cs="宋体"/>
                <w:color w:val="auto"/>
                <w:sz w:val="24"/>
                <w:highlight w:val="none"/>
              </w:rPr>
              <w:t>未及时查阅的，由此引起的任何责任由投标人自行承担。</w:t>
            </w:r>
          </w:p>
        </w:tc>
      </w:tr>
      <w:tr w14:paraId="591C1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Align w:val="center"/>
          </w:tcPr>
          <w:p w14:paraId="0640F565">
            <w:pPr>
              <w:jc w:val="center"/>
              <w:rPr>
                <w:rFonts w:ascii="宋体" w:hAnsi="宋体" w:cs="宋体"/>
                <w:color w:val="auto"/>
                <w:sz w:val="24"/>
                <w:szCs w:val="24"/>
                <w:highlight w:val="none"/>
              </w:rPr>
            </w:pPr>
            <w:r>
              <w:rPr>
                <w:rFonts w:hint="eastAsia" w:ascii="宋体" w:hAnsi="宋体" w:cs="宋体"/>
                <w:color w:val="auto"/>
                <w:sz w:val="24"/>
                <w:szCs w:val="24"/>
                <w:highlight w:val="none"/>
              </w:rPr>
              <w:t>2.3.1</w:t>
            </w:r>
          </w:p>
        </w:tc>
        <w:tc>
          <w:tcPr>
            <w:tcW w:w="2728" w:type="dxa"/>
            <w:vAlign w:val="center"/>
          </w:tcPr>
          <w:p w14:paraId="3772E442">
            <w:pPr>
              <w:autoSpaceDE w:val="0"/>
              <w:autoSpaceDN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招标文件修改发出的形式</w:t>
            </w:r>
          </w:p>
        </w:tc>
        <w:tc>
          <w:tcPr>
            <w:tcW w:w="6053" w:type="dxa"/>
            <w:vAlign w:val="center"/>
          </w:tcPr>
          <w:p w14:paraId="3B9D9737">
            <w:pPr>
              <w:autoSpaceDE w:val="0"/>
              <w:autoSpaceDN w:val="0"/>
              <w:rPr>
                <w:rFonts w:ascii="宋体" w:hAnsi="宋体" w:cs="宋体"/>
                <w:color w:val="auto"/>
                <w:sz w:val="24"/>
                <w:szCs w:val="24"/>
                <w:highlight w:val="none"/>
              </w:rPr>
            </w:pPr>
            <w:r>
              <w:rPr>
                <w:rFonts w:hint="eastAsia" w:ascii="宋体" w:hAnsi="宋体" w:cs="宋体"/>
                <w:color w:val="auto"/>
                <w:kern w:val="0"/>
                <w:sz w:val="24"/>
                <w:szCs w:val="24"/>
                <w:highlight w:val="none"/>
              </w:rPr>
              <w:t>在全国公共资源交易平台 （广东省·韶关市）（https://ygp.gdzwfw.gov.cn/ggzy-portal/#/440200/index）公布。</w:t>
            </w:r>
          </w:p>
        </w:tc>
      </w:tr>
      <w:tr w14:paraId="67F03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14:paraId="6CBA18EB">
            <w:pPr>
              <w:jc w:val="center"/>
              <w:rPr>
                <w:rFonts w:ascii="宋体" w:hAnsi="宋体" w:cs="宋体"/>
                <w:color w:val="auto"/>
                <w:sz w:val="24"/>
                <w:szCs w:val="24"/>
                <w:highlight w:val="none"/>
              </w:rPr>
            </w:pPr>
            <w:r>
              <w:rPr>
                <w:rFonts w:hint="eastAsia" w:ascii="宋体" w:hAnsi="宋体" w:cs="宋体"/>
                <w:color w:val="auto"/>
                <w:sz w:val="24"/>
                <w:szCs w:val="24"/>
                <w:highlight w:val="none"/>
              </w:rPr>
              <w:t>2.3.2</w:t>
            </w:r>
          </w:p>
        </w:tc>
        <w:tc>
          <w:tcPr>
            <w:tcW w:w="2728" w:type="dxa"/>
            <w:vMerge w:val="restart"/>
            <w:vAlign w:val="center"/>
          </w:tcPr>
          <w:p w14:paraId="63E86C01">
            <w:pPr>
              <w:autoSpaceDE w:val="0"/>
              <w:autoSpaceDN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投标人确认收到招标文件修改</w:t>
            </w:r>
          </w:p>
        </w:tc>
        <w:tc>
          <w:tcPr>
            <w:tcW w:w="6053" w:type="dxa"/>
            <w:vAlign w:val="center"/>
          </w:tcPr>
          <w:p w14:paraId="31158061">
            <w:pPr>
              <w:autoSpaceDE w:val="0"/>
              <w:autoSpaceDN w:val="0"/>
              <w:rPr>
                <w:rFonts w:ascii="宋体" w:hAnsi="宋体" w:cs="宋体"/>
                <w:color w:val="auto"/>
                <w:sz w:val="24"/>
                <w:szCs w:val="24"/>
                <w:highlight w:val="none"/>
              </w:rPr>
            </w:pPr>
            <w:r>
              <w:rPr>
                <w:rFonts w:hint="eastAsia" w:ascii="宋体" w:hAnsi="宋体" w:cs="宋体"/>
                <w:color w:val="auto"/>
                <w:kern w:val="0"/>
                <w:sz w:val="24"/>
                <w:szCs w:val="24"/>
                <w:highlight w:val="none"/>
              </w:rPr>
              <w:t>时间：</w:t>
            </w:r>
            <w:r>
              <w:rPr>
                <w:rFonts w:hint="eastAsia" w:ascii="宋体" w:hAnsi="宋体" w:cs="宋体"/>
                <w:color w:val="auto"/>
                <w:sz w:val="24"/>
                <w:highlight w:val="none"/>
              </w:rPr>
              <w:t>收到修改后</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小时内（以发出时间为准）</w:t>
            </w:r>
          </w:p>
        </w:tc>
      </w:tr>
      <w:tr w14:paraId="2B23E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968" w:type="dxa"/>
            <w:vMerge w:val="continue"/>
            <w:vAlign w:val="center"/>
          </w:tcPr>
          <w:p w14:paraId="49A8F0B3">
            <w:pPr>
              <w:jc w:val="center"/>
              <w:rPr>
                <w:rFonts w:ascii="宋体" w:hAnsi="宋体" w:cs="宋体"/>
                <w:color w:val="auto"/>
                <w:sz w:val="24"/>
                <w:szCs w:val="24"/>
                <w:highlight w:val="none"/>
              </w:rPr>
            </w:pPr>
          </w:p>
        </w:tc>
        <w:tc>
          <w:tcPr>
            <w:tcW w:w="2728" w:type="dxa"/>
            <w:vMerge w:val="continue"/>
            <w:vAlign w:val="center"/>
          </w:tcPr>
          <w:p w14:paraId="22C231C0">
            <w:pPr>
              <w:autoSpaceDE w:val="0"/>
              <w:autoSpaceDN w:val="0"/>
              <w:jc w:val="center"/>
              <w:rPr>
                <w:rFonts w:ascii="宋体" w:hAnsi="宋体" w:cs="宋体"/>
                <w:color w:val="auto"/>
                <w:sz w:val="24"/>
                <w:szCs w:val="24"/>
                <w:highlight w:val="none"/>
              </w:rPr>
            </w:pPr>
          </w:p>
        </w:tc>
        <w:tc>
          <w:tcPr>
            <w:tcW w:w="6053" w:type="dxa"/>
            <w:vAlign w:val="center"/>
          </w:tcPr>
          <w:p w14:paraId="07BCDA15">
            <w:pPr>
              <w:autoSpaceDE w:val="0"/>
              <w:autoSpaceDN w:val="0"/>
              <w:rPr>
                <w:rFonts w:ascii="宋体" w:hAnsi="宋体" w:cs="宋体"/>
                <w:color w:val="auto"/>
                <w:sz w:val="24"/>
                <w:szCs w:val="24"/>
                <w:highlight w:val="none"/>
              </w:rPr>
            </w:pPr>
            <w:r>
              <w:rPr>
                <w:rFonts w:hint="eastAsia" w:ascii="宋体" w:hAnsi="宋体" w:cs="宋体"/>
                <w:color w:val="auto"/>
                <w:kern w:val="0"/>
                <w:sz w:val="24"/>
                <w:szCs w:val="24"/>
                <w:highlight w:val="none"/>
              </w:rPr>
              <w:t>形式：</w:t>
            </w:r>
            <w:r>
              <w:rPr>
                <w:rFonts w:hint="eastAsia" w:ascii="宋体" w:hAnsi="宋体" w:cs="宋体"/>
                <w:color w:val="auto"/>
                <w:sz w:val="24"/>
                <w:szCs w:val="24"/>
                <w:highlight w:val="none"/>
              </w:rPr>
              <w:t>投标人</w:t>
            </w:r>
            <w:r>
              <w:rPr>
                <w:rFonts w:hint="eastAsia" w:ascii="宋体" w:hAnsi="宋体" w:cs="宋体"/>
                <w:color w:val="auto"/>
                <w:sz w:val="24"/>
                <w:highlight w:val="none"/>
              </w:rPr>
              <w:t>自行查阅全国公共资源交易平台 （广东省 · 韶关市）（https://ygp.gdzwfw.gov.cn/ggzy-portal/#/440200/index）</w:t>
            </w:r>
            <w:r>
              <w:rPr>
                <w:rFonts w:hint="eastAsia" w:ascii="宋体" w:hAnsi="宋体" w:cs="宋体"/>
                <w:color w:val="auto"/>
                <w:sz w:val="24"/>
                <w:szCs w:val="24"/>
                <w:highlight w:val="none"/>
              </w:rPr>
              <w:t>发出的</w:t>
            </w:r>
            <w:r>
              <w:rPr>
                <w:rFonts w:hint="eastAsia" w:ascii="宋体" w:hAnsi="宋体" w:cs="宋体"/>
                <w:color w:val="auto"/>
                <w:sz w:val="24"/>
                <w:szCs w:val="24"/>
                <w:highlight w:val="none"/>
                <w:lang w:val="en-US" w:eastAsia="zh-CN"/>
              </w:rPr>
              <w:t>补遗书</w:t>
            </w:r>
            <w:r>
              <w:rPr>
                <w:rFonts w:hint="eastAsia" w:ascii="宋体" w:hAnsi="宋体" w:cs="宋体"/>
                <w:color w:val="auto"/>
                <w:sz w:val="24"/>
                <w:szCs w:val="24"/>
                <w:highlight w:val="none"/>
              </w:rPr>
              <w:t>，因投标人自身原因</w:t>
            </w:r>
            <w:r>
              <w:rPr>
                <w:rFonts w:hint="eastAsia" w:ascii="宋体" w:hAnsi="宋体" w:cs="宋体"/>
                <w:color w:val="auto"/>
                <w:sz w:val="24"/>
                <w:highlight w:val="none"/>
              </w:rPr>
              <w:t>未及时查阅的，由此引起的任何责任由投标人自行承担。</w:t>
            </w:r>
          </w:p>
        </w:tc>
      </w:tr>
      <w:tr w14:paraId="3725B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14:paraId="1C0B3B92">
            <w:pPr>
              <w:jc w:val="center"/>
              <w:rPr>
                <w:rFonts w:ascii="宋体" w:hAnsi="宋体" w:cs="宋体"/>
                <w:color w:val="auto"/>
                <w:sz w:val="24"/>
                <w:szCs w:val="24"/>
                <w:highlight w:val="none"/>
              </w:rPr>
            </w:pPr>
            <w:r>
              <w:rPr>
                <w:rFonts w:hint="eastAsia" w:ascii="宋体" w:hAnsi="宋体" w:cs="宋体"/>
                <w:color w:val="auto"/>
                <w:sz w:val="24"/>
                <w:szCs w:val="24"/>
                <w:highlight w:val="none"/>
              </w:rPr>
              <w:t>3.1.1</w:t>
            </w:r>
          </w:p>
        </w:tc>
        <w:tc>
          <w:tcPr>
            <w:tcW w:w="2728" w:type="dxa"/>
            <w:vAlign w:val="center"/>
          </w:tcPr>
          <w:p w14:paraId="7B7E6CDC">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投标文件密封形式</w:t>
            </w:r>
          </w:p>
        </w:tc>
        <w:tc>
          <w:tcPr>
            <w:tcW w:w="6053" w:type="dxa"/>
            <w:vAlign w:val="center"/>
          </w:tcPr>
          <w:p w14:paraId="7FCBEEC2">
            <w:pPr>
              <w:ind w:left="105" w:leftChars="50" w:right="113"/>
              <w:rPr>
                <w:rFonts w:ascii="宋体" w:hAnsi="宋体" w:cs="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rPr>
              <w:t>双信封</w:t>
            </w:r>
          </w:p>
          <w:p w14:paraId="6BA1890E">
            <w:pPr>
              <w:ind w:left="105" w:leftChars="50" w:right="113"/>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单信封</w:t>
            </w:r>
          </w:p>
        </w:tc>
      </w:tr>
      <w:tr w14:paraId="410E7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14:paraId="5CE18E90">
            <w:pPr>
              <w:jc w:val="center"/>
              <w:rPr>
                <w:rFonts w:ascii="宋体" w:hAnsi="宋体" w:cs="宋体"/>
                <w:color w:val="auto"/>
                <w:sz w:val="24"/>
                <w:szCs w:val="24"/>
                <w:highlight w:val="none"/>
              </w:rPr>
            </w:pPr>
            <w:r>
              <w:rPr>
                <w:rFonts w:hint="eastAsia" w:ascii="宋体" w:hAnsi="宋体" w:cs="宋体"/>
                <w:color w:val="auto"/>
                <w:sz w:val="24"/>
                <w:szCs w:val="24"/>
                <w:highlight w:val="none"/>
              </w:rPr>
              <w:t>3.1.1</w:t>
            </w:r>
          </w:p>
        </w:tc>
        <w:tc>
          <w:tcPr>
            <w:tcW w:w="2728" w:type="dxa"/>
            <w:vAlign w:val="center"/>
          </w:tcPr>
          <w:p w14:paraId="05375844">
            <w:pPr>
              <w:jc w:val="center"/>
              <w:rPr>
                <w:rFonts w:ascii="宋体" w:hAnsi="宋体" w:cs="宋体"/>
                <w:color w:val="auto"/>
                <w:sz w:val="24"/>
                <w:szCs w:val="24"/>
                <w:highlight w:val="none"/>
              </w:rPr>
            </w:pPr>
            <w:r>
              <w:rPr>
                <w:rFonts w:hint="eastAsia" w:ascii="宋体" w:hAnsi="宋体" w:cs="宋体"/>
                <w:color w:val="auto"/>
                <w:sz w:val="24"/>
                <w:szCs w:val="24"/>
                <w:highlight w:val="none"/>
              </w:rPr>
              <w:t>构成投标文件的其他资料</w:t>
            </w:r>
          </w:p>
        </w:tc>
        <w:tc>
          <w:tcPr>
            <w:tcW w:w="6053" w:type="dxa"/>
            <w:vAlign w:val="center"/>
          </w:tcPr>
          <w:p w14:paraId="0F9146CB">
            <w:pPr>
              <w:ind w:left="105" w:leftChars="50" w:right="113"/>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43E88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14:paraId="043BA197">
            <w:pPr>
              <w:jc w:val="center"/>
              <w:rPr>
                <w:rFonts w:ascii="宋体" w:hAnsi="宋体" w:cs="宋体"/>
                <w:color w:val="auto"/>
                <w:sz w:val="24"/>
                <w:szCs w:val="24"/>
                <w:highlight w:val="none"/>
              </w:rPr>
            </w:pPr>
            <w:r>
              <w:rPr>
                <w:rFonts w:hint="eastAsia" w:ascii="宋体" w:hAnsi="宋体" w:cs="宋体"/>
                <w:color w:val="auto"/>
                <w:sz w:val="24"/>
                <w:szCs w:val="24"/>
                <w:highlight w:val="none"/>
              </w:rPr>
              <w:t>3.2.1</w:t>
            </w:r>
          </w:p>
        </w:tc>
        <w:tc>
          <w:tcPr>
            <w:tcW w:w="2728" w:type="dxa"/>
            <w:vAlign w:val="center"/>
          </w:tcPr>
          <w:p w14:paraId="7779E203">
            <w:pPr>
              <w:jc w:val="center"/>
              <w:rPr>
                <w:rFonts w:ascii="宋体" w:hAnsi="宋体" w:cs="宋体"/>
                <w:color w:val="auto"/>
                <w:sz w:val="24"/>
                <w:szCs w:val="24"/>
                <w:highlight w:val="none"/>
              </w:rPr>
            </w:pPr>
            <w:r>
              <w:rPr>
                <w:rFonts w:hint="eastAsia" w:ascii="宋体" w:hAnsi="宋体" w:cs="宋体"/>
                <w:color w:val="auto"/>
                <w:sz w:val="24"/>
                <w:szCs w:val="24"/>
                <w:highlight w:val="none"/>
              </w:rPr>
              <w:t>增值税税金计算方法</w:t>
            </w:r>
          </w:p>
        </w:tc>
        <w:tc>
          <w:tcPr>
            <w:tcW w:w="6053" w:type="dxa"/>
            <w:vAlign w:val="center"/>
          </w:tcPr>
          <w:p w14:paraId="06883F7D">
            <w:pPr>
              <w:ind w:left="105" w:leftChars="50" w:right="113"/>
              <w:rPr>
                <w:rFonts w:ascii="宋体" w:hAnsi="宋体" w:cs="宋体"/>
                <w:color w:val="auto"/>
                <w:sz w:val="24"/>
                <w:szCs w:val="24"/>
                <w:highlight w:val="none"/>
              </w:rPr>
            </w:pPr>
            <w:r>
              <w:rPr>
                <w:rFonts w:hint="eastAsia" w:ascii="宋体" w:hAnsi="宋体" w:cs="宋体"/>
                <w:color w:val="auto"/>
                <w:sz w:val="24"/>
                <w:szCs w:val="24"/>
                <w:highlight w:val="none"/>
              </w:rPr>
              <w:t>按国家、省、市现行规定执行</w:t>
            </w:r>
          </w:p>
        </w:tc>
      </w:tr>
      <w:tr w14:paraId="598F2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4" w:hRule="atLeast"/>
          <w:jc w:val="center"/>
        </w:trPr>
        <w:tc>
          <w:tcPr>
            <w:tcW w:w="968" w:type="dxa"/>
            <w:vAlign w:val="center"/>
          </w:tcPr>
          <w:p w14:paraId="42ED0616">
            <w:pPr>
              <w:jc w:val="center"/>
              <w:rPr>
                <w:rFonts w:ascii="宋体" w:hAnsi="宋体" w:cs="宋体"/>
                <w:color w:val="auto"/>
                <w:sz w:val="24"/>
                <w:szCs w:val="24"/>
                <w:highlight w:val="none"/>
              </w:rPr>
            </w:pPr>
            <w:r>
              <w:rPr>
                <w:rFonts w:hint="eastAsia" w:ascii="宋体" w:hAnsi="宋体" w:cs="宋体"/>
                <w:color w:val="auto"/>
                <w:sz w:val="24"/>
                <w:szCs w:val="24"/>
                <w:highlight w:val="none"/>
              </w:rPr>
              <w:t>3.2.1</w:t>
            </w:r>
          </w:p>
        </w:tc>
        <w:tc>
          <w:tcPr>
            <w:tcW w:w="2728" w:type="dxa"/>
            <w:vAlign w:val="center"/>
          </w:tcPr>
          <w:p w14:paraId="71003500">
            <w:pPr>
              <w:jc w:val="center"/>
              <w:rPr>
                <w:rFonts w:ascii="宋体" w:hAnsi="宋体" w:cs="宋体"/>
                <w:color w:val="auto"/>
                <w:sz w:val="24"/>
                <w:szCs w:val="24"/>
                <w:highlight w:val="none"/>
              </w:rPr>
            </w:pPr>
            <w:r>
              <w:rPr>
                <w:rFonts w:hint="eastAsia" w:ascii="宋体" w:hAnsi="宋体" w:cs="宋体"/>
                <w:color w:val="auto"/>
                <w:sz w:val="24"/>
                <w:szCs w:val="24"/>
                <w:highlight w:val="none"/>
              </w:rPr>
              <w:t>工程量清单的填写方式</w:t>
            </w:r>
          </w:p>
        </w:tc>
        <w:tc>
          <w:tcPr>
            <w:tcW w:w="6053" w:type="dxa"/>
            <w:vAlign w:val="center"/>
          </w:tcPr>
          <w:p w14:paraId="5747C0FE">
            <w:pPr>
              <w:pStyle w:val="80"/>
              <w:spacing w:line="359" w:lineRule="exact"/>
              <w:ind w:left="107"/>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18"/>
                <w:szCs w:val="18"/>
                <w:highlight w:val="none"/>
                <w:lang w:val="en-US" w:eastAsia="zh-CN"/>
              </w:rPr>
              <w:t xml:space="preserve"> </w:t>
            </w:r>
            <w:r>
              <w:rPr>
                <w:rFonts w:hint="eastAsia" w:ascii="宋体" w:hAnsi="宋体" w:cs="宋体"/>
                <w:color w:val="auto"/>
                <w:w w:val="107"/>
                <w:sz w:val="24"/>
                <w:szCs w:val="24"/>
                <w:highlight w:val="none"/>
              </w:rPr>
              <w:t>投标人</w:t>
            </w:r>
            <w:r>
              <w:rPr>
                <w:rFonts w:hint="eastAsia" w:ascii="宋体" w:hAnsi="宋体" w:cs="宋体"/>
                <w:color w:val="auto"/>
                <w:spacing w:val="2"/>
                <w:w w:val="107"/>
                <w:sz w:val="24"/>
                <w:szCs w:val="24"/>
                <w:highlight w:val="none"/>
              </w:rPr>
              <w:t>按</w:t>
            </w:r>
            <w:r>
              <w:rPr>
                <w:rFonts w:hint="eastAsia" w:ascii="宋体" w:hAnsi="宋体" w:cs="宋体"/>
                <w:color w:val="auto"/>
                <w:sz w:val="24"/>
                <w:szCs w:val="24"/>
                <w:highlight w:val="none"/>
              </w:rPr>
              <w:t>照招标人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供的</w:t>
            </w:r>
            <w:r>
              <w:rPr>
                <w:rFonts w:hint="eastAsia" w:ascii="宋体" w:hAnsi="宋体" w:cs="宋体"/>
                <w:color w:val="auto"/>
                <w:sz w:val="24"/>
                <w:szCs w:val="24"/>
                <w:highlight w:val="none"/>
                <w:lang w:val="en-US" w:eastAsia="zh-CN"/>
              </w:rPr>
              <w:t>固化</w:t>
            </w:r>
            <w:r>
              <w:rPr>
                <w:rFonts w:hint="eastAsia" w:ascii="宋体" w:hAnsi="宋体" w:cs="宋体"/>
                <w:color w:val="auto"/>
                <w:sz w:val="24"/>
                <w:szCs w:val="24"/>
                <w:highlight w:val="none"/>
              </w:rPr>
              <w:t>工程</w:t>
            </w:r>
            <w:r>
              <w:rPr>
                <w:rFonts w:hint="eastAsia" w:ascii="宋体" w:hAnsi="宋体" w:cs="宋体"/>
                <w:color w:val="auto"/>
                <w:spacing w:val="2"/>
                <w:sz w:val="24"/>
                <w:szCs w:val="24"/>
                <w:highlight w:val="none"/>
              </w:rPr>
              <w:t>量</w:t>
            </w:r>
            <w:r>
              <w:rPr>
                <w:rFonts w:hint="eastAsia" w:ascii="宋体" w:hAnsi="宋体" w:cs="宋体"/>
                <w:color w:val="auto"/>
                <w:sz w:val="24"/>
                <w:szCs w:val="24"/>
                <w:highlight w:val="none"/>
              </w:rPr>
              <w:t>清单</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子文件填写工程量清单，下</w:t>
            </w:r>
            <w:r>
              <w:rPr>
                <w:rFonts w:hint="eastAsia" w:ascii="宋体" w:hAnsi="宋体" w:cs="宋体"/>
                <w:color w:val="auto"/>
                <w:spacing w:val="-3"/>
                <w:sz w:val="24"/>
                <w:szCs w:val="24"/>
                <w:highlight w:val="none"/>
              </w:rPr>
              <w:t>载</w:t>
            </w:r>
            <w:r>
              <w:rPr>
                <w:rFonts w:hint="eastAsia" w:ascii="宋体" w:hAnsi="宋体" w:cs="宋体"/>
                <w:color w:val="auto"/>
                <w:sz w:val="24"/>
                <w:szCs w:val="24"/>
                <w:highlight w:val="none"/>
              </w:rPr>
              <w:t>网站</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全国公共资源交易平台 （广东省·韶关市）。</w:t>
            </w:r>
          </w:p>
          <w:p w14:paraId="49E3A0B4">
            <w:pPr>
              <w:adjustRightInd w:val="0"/>
              <w:snapToGrid w:val="0"/>
              <w:ind w:left="105" w:leftChars="50" w:right="113"/>
              <w:rPr>
                <w:rFonts w:ascii="宋体" w:hAnsi="宋体" w:cs="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投标人按照招标人提供的书面工程量清单填写工程量清单，下</w:t>
            </w:r>
            <w:r>
              <w:rPr>
                <w:rFonts w:hint="eastAsia" w:ascii="宋体" w:hAnsi="宋体" w:cs="宋体"/>
                <w:color w:val="auto"/>
                <w:spacing w:val="-3"/>
                <w:sz w:val="24"/>
                <w:szCs w:val="24"/>
                <w:highlight w:val="none"/>
              </w:rPr>
              <w:t>载</w:t>
            </w:r>
            <w:r>
              <w:rPr>
                <w:rFonts w:hint="eastAsia" w:ascii="宋体" w:hAnsi="宋体" w:cs="宋体"/>
                <w:color w:val="auto"/>
                <w:sz w:val="24"/>
                <w:szCs w:val="24"/>
                <w:highlight w:val="none"/>
              </w:rPr>
              <w:t>网站</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u w:val="single"/>
              </w:rPr>
              <w:t>全国公共资源交易平台（广东省·韶关市）（https://ygp.gdzwfw.gov.cn/ggzy-portal/#/440200/index）。</w:t>
            </w:r>
          </w:p>
        </w:tc>
      </w:tr>
      <w:tr w14:paraId="16ABE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3" w:hRule="atLeast"/>
          <w:jc w:val="center"/>
        </w:trPr>
        <w:tc>
          <w:tcPr>
            <w:tcW w:w="968" w:type="dxa"/>
            <w:vAlign w:val="center"/>
          </w:tcPr>
          <w:p w14:paraId="387F5CE9">
            <w:pPr>
              <w:jc w:val="center"/>
              <w:rPr>
                <w:rFonts w:ascii="宋体" w:hAnsi="宋体" w:cs="宋体"/>
                <w:color w:val="auto"/>
                <w:sz w:val="24"/>
                <w:szCs w:val="24"/>
                <w:highlight w:val="none"/>
              </w:rPr>
            </w:pPr>
            <w:r>
              <w:rPr>
                <w:rFonts w:hint="eastAsia" w:ascii="宋体" w:hAnsi="宋体" w:cs="宋体"/>
                <w:color w:val="auto"/>
                <w:sz w:val="24"/>
                <w:szCs w:val="24"/>
                <w:highlight w:val="none"/>
              </w:rPr>
              <w:t>3.2.3</w:t>
            </w:r>
          </w:p>
        </w:tc>
        <w:tc>
          <w:tcPr>
            <w:tcW w:w="2728" w:type="dxa"/>
            <w:vAlign w:val="center"/>
          </w:tcPr>
          <w:p w14:paraId="5B37472F">
            <w:pPr>
              <w:jc w:val="center"/>
              <w:rPr>
                <w:rFonts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6053" w:type="dxa"/>
            <w:vAlign w:val="center"/>
          </w:tcPr>
          <w:p w14:paraId="4507D855">
            <w:pPr>
              <w:ind w:left="105" w:leftChars="50" w:right="113"/>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单价</w:t>
            </w:r>
          </w:p>
          <w:p w14:paraId="6B9D87EC">
            <w:pPr>
              <w:ind w:left="113" w:right="113"/>
              <w:rPr>
                <w:rFonts w:ascii="宋体" w:hAnsi="宋体" w:cs="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rPr>
              <w:t>总价</w:t>
            </w:r>
          </w:p>
        </w:tc>
      </w:tr>
      <w:tr w14:paraId="7E70B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14:paraId="7B1962F6">
            <w:pPr>
              <w:jc w:val="center"/>
              <w:rPr>
                <w:rFonts w:ascii="宋体" w:hAnsi="宋体" w:cs="宋体"/>
                <w:color w:val="auto"/>
                <w:sz w:val="24"/>
                <w:szCs w:val="24"/>
                <w:highlight w:val="none"/>
              </w:rPr>
            </w:pPr>
            <w:r>
              <w:rPr>
                <w:rFonts w:hint="eastAsia" w:ascii="宋体" w:hAnsi="宋体" w:cs="宋体"/>
                <w:color w:val="auto"/>
                <w:sz w:val="24"/>
                <w:szCs w:val="24"/>
                <w:highlight w:val="none"/>
              </w:rPr>
              <w:t>3.2.6</w:t>
            </w:r>
          </w:p>
        </w:tc>
        <w:tc>
          <w:tcPr>
            <w:tcW w:w="2728" w:type="dxa"/>
            <w:vAlign w:val="center"/>
          </w:tcPr>
          <w:p w14:paraId="6C070D0A">
            <w:pPr>
              <w:jc w:val="center"/>
              <w:rPr>
                <w:rFonts w:ascii="宋体" w:hAnsi="宋体" w:cs="宋体"/>
                <w:color w:val="auto"/>
                <w:sz w:val="24"/>
                <w:szCs w:val="24"/>
                <w:highlight w:val="none"/>
              </w:rPr>
            </w:pPr>
            <w:r>
              <w:rPr>
                <w:rFonts w:hint="eastAsia" w:ascii="宋体" w:hAnsi="宋体" w:cs="宋体"/>
                <w:color w:val="auto"/>
                <w:sz w:val="24"/>
                <w:szCs w:val="24"/>
                <w:highlight w:val="none"/>
              </w:rPr>
              <w:t>是否接受调价函</w:t>
            </w:r>
          </w:p>
        </w:tc>
        <w:tc>
          <w:tcPr>
            <w:tcW w:w="6053" w:type="dxa"/>
            <w:vAlign w:val="center"/>
          </w:tcPr>
          <w:p w14:paraId="369CE185">
            <w:pPr>
              <w:adjustRightInd w:val="0"/>
              <w:snapToGrid w:val="0"/>
              <w:ind w:left="105" w:leftChars="50" w:right="113"/>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是</w:t>
            </w:r>
          </w:p>
          <w:p w14:paraId="06451394">
            <w:pPr>
              <w:adjustRightInd w:val="0"/>
              <w:snapToGrid w:val="0"/>
              <w:ind w:left="105" w:leftChars="50" w:right="113"/>
              <w:rPr>
                <w:rFonts w:ascii="宋体" w:hAnsi="宋体" w:cs="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rPr>
              <w:t>否</w:t>
            </w:r>
          </w:p>
        </w:tc>
      </w:tr>
      <w:tr w14:paraId="4F2BF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96" w:hRule="atLeast"/>
          <w:jc w:val="center"/>
        </w:trPr>
        <w:tc>
          <w:tcPr>
            <w:tcW w:w="968" w:type="dxa"/>
            <w:vAlign w:val="center"/>
          </w:tcPr>
          <w:p w14:paraId="58BE9129">
            <w:pPr>
              <w:jc w:val="center"/>
              <w:rPr>
                <w:rFonts w:ascii="宋体" w:hAnsi="宋体" w:cs="宋体"/>
                <w:color w:val="auto"/>
                <w:sz w:val="24"/>
                <w:szCs w:val="24"/>
                <w:highlight w:val="none"/>
              </w:rPr>
            </w:pPr>
            <w:r>
              <w:rPr>
                <w:rFonts w:hint="eastAsia" w:ascii="宋体" w:hAnsi="宋体" w:cs="宋体"/>
                <w:color w:val="auto"/>
                <w:sz w:val="24"/>
                <w:szCs w:val="24"/>
                <w:highlight w:val="none"/>
              </w:rPr>
              <w:t>3.2.8</w:t>
            </w:r>
          </w:p>
        </w:tc>
        <w:tc>
          <w:tcPr>
            <w:tcW w:w="2728" w:type="dxa"/>
            <w:vAlign w:val="center"/>
          </w:tcPr>
          <w:p w14:paraId="7D7AF7D5">
            <w:pPr>
              <w:jc w:val="center"/>
              <w:rPr>
                <w:rFonts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6053" w:type="dxa"/>
            <w:vAlign w:val="center"/>
          </w:tcPr>
          <w:p w14:paraId="31D13C6C">
            <w:pPr>
              <w:ind w:left="1073" w:leftChars="54" w:right="113" w:hanging="960" w:hangingChars="4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无</w:t>
            </w:r>
          </w:p>
          <w:p w14:paraId="169CE507">
            <w:pPr>
              <w:ind w:left="958" w:leftChars="53" w:right="113" w:hanging="847" w:hangingChars="353"/>
              <w:jc w:val="left"/>
              <w:rPr>
                <w:rFonts w:ascii="宋体" w:hAnsi="宋体" w:cs="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rPr>
              <w:t>有，最高投标限价为：</w:t>
            </w:r>
            <w:r>
              <w:rPr>
                <w:rFonts w:hint="eastAsia" w:ascii="宋体" w:hAnsi="宋体" w:cs="宋体"/>
                <w:b/>
                <w:bCs/>
                <w:color w:val="auto"/>
                <w:sz w:val="24"/>
                <w:szCs w:val="24"/>
                <w:highlight w:val="none"/>
                <w:u w:val="single"/>
              </w:rPr>
              <w:t>人民币</w:t>
            </w:r>
            <w:r>
              <w:rPr>
                <w:rFonts w:hint="eastAsia" w:ascii="宋体" w:hAnsi="宋体" w:cs="宋体"/>
                <w:b/>
                <w:bCs/>
                <w:color w:val="auto"/>
                <w:sz w:val="24"/>
                <w:szCs w:val="24"/>
                <w:highlight w:val="none"/>
                <w:u w:val="single"/>
                <w:lang w:val="en-US" w:eastAsia="zh-CN"/>
              </w:rPr>
              <w:t>玖佰伍拾玖万捌仟壹佰玖拾肆元肆角陆分</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9598194.46</w:t>
            </w:r>
            <w:r>
              <w:rPr>
                <w:rFonts w:hint="eastAsia" w:ascii="宋体" w:hAnsi="宋体" w:cs="宋体"/>
                <w:b/>
                <w:bCs/>
                <w:color w:val="auto"/>
                <w:sz w:val="24"/>
                <w:szCs w:val="24"/>
                <w:highlight w:val="none"/>
                <w:u w:val="single"/>
              </w:rPr>
              <w:t>元）</w:t>
            </w:r>
            <w:r>
              <w:rPr>
                <w:rFonts w:hint="eastAsia" w:ascii="宋体" w:hAnsi="宋体" w:cs="宋体"/>
                <w:b/>
                <w:bCs/>
                <w:color w:val="auto"/>
                <w:kern w:val="21"/>
                <w:sz w:val="24"/>
                <w:szCs w:val="24"/>
                <w:highlight w:val="none"/>
                <w:u w:val="single"/>
              </w:rPr>
              <w:t>。</w:t>
            </w:r>
          </w:p>
        </w:tc>
      </w:tr>
      <w:tr w14:paraId="0D16C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968" w:type="dxa"/>
            <w:vAlign w:val="center"/>
          </w:tcPr>
          <w:p w14:paraId="779E7265">
            <w:pPr>
              <w:jc w:val="center"/>
              <w:rPr>
                <w:rFonts w:ascii="宋体" w:hAnsi="宋体" w:cs="宋体"/>
                <w:color w:val="auto"/>
                <w:sz w:val="24"/>
                <w:szCs w:val="24"/>
                <w:highlight w:val="none"/>
              </w:rPr>
            </w:pPr>
            <w:r>
              <w:rPr>
                <w:rFonts w:hint="eastAsia" w:ascii="宋体" w:hAnsi="宋体" w:cs="宋体"/>
                <w:color w:val="auto"/>
                <w:sz w:val="24"/>
                <w:szCs w:val="24"/>
                <w:highlight w:val="none"/>
              </w:rPr>
              <w:t>3.2.9</w:t>
            </w:r>
          </w:p>
        </w:tc>
        <w:tc>
          <w:tcPr>
            <w:tcW w:w="2728" w:type="dxa"/>
            <w:vAlign w:val="center"/>
          </w:tcPr>
          <w:p w14:paraId="6F1E9E03">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投标报价其他要求</w:t>
            </w:r>
          </w:p>
        </w:tc>
        <w:tc>
          <w:tcPr>
            <w:tcW w:w="6053" w:type="dxa"/>
            <w:vAlign w:val="center"/>
          </w:tcPr>
          <w:p w14:paraId="6150AF9C">
            <w:pPr>
              <w:keepNext w:val="0"/>
              <w:keepLines w:val="0"/>
              <w:suppressLineNumbers w:val="0"/>
              <w:spacing w:before="0" w:beforeAutospacing="0" w:after="0" w:afterAutospacing="0"/>
              <w:ind w:left="113" w:right="113"/>
              <w:rPr>
                <w:rFonts w:hint="eastAsia" w:ascii="宋体" w:hAnsi="宋体" w:cs="宋体"/>
                <w:color w:val="auto"/>
                <w:sz w:val="24"/>
                <w:highlight w:val="none"/>
              </w:rPr>
            </w:pPr>
            <w:r>
              <w:rPr>
                <w:rFonts w:hint="eastAsia" w:ascii="宋体" w:hAnsi="宋体" w:cs="宋体"/>
                <w:color w:val="auto"/>
                <w:sz w:val="24"/>
                <w:highlight w:val="none"/>
              </w:rPr>
              <w:t>投标报价的所有单价取小数点后两位，所有合价和总价四舍五入取整数。</w:t>
            </w:r>
          </w:p>
          <w:p w14:paraId="10CDCA4F">
            <w:pPr>
              <w:ind w:left="113" w:right="113"/>
              <w:rPr>
                <w:rFonts w:ascii="宋体" w:hAnsi="宋体" w:cs="宋体"/>
                <w:color w:val="auto"/>
                <w:sz w:val="24"/>
                <w:szCs w:val="24"/>
                <w:highlight w:val="none"/>
              </w:rPr>
            </w:pPr>
            <w:r>
              <w:rPr>
                <w:rFonts w:hint="eastAsia" w:ascii="宋体" w:hAnsi="宋体" w:cs="宋体"/>
                <w:color w:val="auto"/>
                <w:sz w:val="24"/>
                <w:highlight w:val="none"/>
              </w:rPr>
              <w:t>投标人应按第五章“工程量清单”的要求填写相应表格。</w:t>
            </w:r>
          </w:p>
        </w:tc>
      </w:tr>
      <w:tr w14:paraId="29DF9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 w:hRule="atLeast"/>
          <w:jc w:val="center"/>
        </w:trPr>
        <w:tc>
          <w:tcPr>
            <w:tcW w:w="968" w:type="dxa"/>
            <w:vAlign w:val="center"/>
          </w:tcPr>
          <w:p w14:paraId="70E48ADB">
            <w:pPr>
              <w:jc w:val="center"/>
              <w:rPr>
                <w:rFonts w:ascii="宋体" w:hAnsi="宋体" w:cs="宋体"/>
                <w:color w:val="auto"/>
                <w:sz w:val="24"/>
                <w:szCs w:val="24"/>
                <w:highlight w:val="none"/>
              </w:rPr>
            </w:pPr>
            <w:r>
              <w:rPr>
                <w:rFonts w:hint="eastAsia" w:ascii="宋体" w:hAnsi="宋体" w:cs="宋体"/>
                <w:color w:val="auto"/>
                <w:sz w:val="24"/>
                <w:szCs w:val="24"/>
                <w:highlight w:val="none"/>
              </w:rPr>
              <w:t>3.3.1</w:t>
            </w:r>
          </w:p>
        </w:tc>
        <w:tc>
          <w:tcPr>
            <w:tcW w:w="2728" w:type="dxa"/>
            <w:vAlign w:val="center"/>
          </w:tcPr>
          <w:p w14:paraId="0BE55591">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053" w:type="dxa"/>
            <w:vAlign w:val="center"/>
          </w:tcPr>
          <w:p w14:paraId="5F02C528">
            <w:pPr>
              <w:ind w:left="113" w:right="113"/>
              <w:rPr>
                <w:rFonts w:ascii="宋体" w:hAnsi="宋体" w:cs="宋体"/>
                <w:color w:val="auto"/>
                <w:sz w:val="24"/>
                <w:szCs w:val="24"/>
                <w:highlight w:val="none"/>
              </w:rPr>
            </w:pPr>
            <w:r>
              <w:rPr>
                <w:rFonts w:hint="eastAsia" w:ascii="宋体" w:hAnsi="宋体" w:cs="宋体"/>
                <w:color w:val="auto"/>
                <w:sz w:val="24"/>
                <w:szCs w:val="24"/>
                <w:highlight w:val="none"/>
              </w:rPr>
              <w:t>自投标人提交投标文件截止之日起计算90日</w:t>
            </w:r>
          </w:p>
        </w:tc>
      </w:tr>
      <w:tr w14:paraId="49DB5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63"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14:paraId="7044F2D9">
            <w:pPr>
              <w:jc w:val="center"/>
              <w:rPr>
                <w:rFonts w:ascii="宋体" w:hAnsi="宋体" w:cs="宋体"/>
                <w:color w:val="auto"/>
                <w:sz w:val="24"/>
                <w:szCs w:val="24"/>
                <w:highlight w:val="none"/>
              </w:rPr>
            </w:pPr>
            <w:r>
              <w:rPr>
                <w:rFonts w:hint="eastAsia" w:ascii="宋体" w:hAnsi="宋体" w:cs="宋体"/>
                <w:color w:val="auto"/>
                <w:sz w:val="24"/>
                <w:szCs w:val="24"/>
                <w:highlight w:val="none"/>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14:paraId="5D597256">
            <w:pPr>
              <w:pStyle w:val="57"/>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053" w:type="dxa"/>
            <w:tcBorders>
              <w:top w:val="single" w:color="000000" w:sz="4" w:space="0"/>
              <w:left w:val="single" w:color="000000" w:sz="4" w:space="0"/>
              <w:bottom w:val="single" w:color="000000" w:sz="4" w:space="0"/>
              <w:right w:val="single" w:color="000000" w:sz="12" w:space="0"/>
            </w:tcBorders>
            <w:vAlign w:val="center"/>
          </w:tcPr>
          <w:p w14:paraId="6590EFF5">
            <w:pPr>
              <w:pStyle w:val="80"/>
              <w:keepNext w:val="0"/>
              <w:keepLines w:val="0"/>
              <w:pageBreakBefore w:val="0"/>
              <w:widowControl w:val="0"/>
              <w:kinsoku/>
              <w:wordWrap/>
              <w:overflowPunct/>
              <w:topLinePunct w:val="0"/>
              <w:bidi w:val="0"/>
              <w:snapToGrid/>
              <w:spacing w:line="360" w:lineRule="exact"/>
              <w:ind w:firstLine="120" w:firstLineChars="50"/>
              <w:textAlignment w:val="auto"/>
              <w:rPr>
                <w:rFonts w:ascii="宋体" w:hAnsi="宋体" w:cs="宋体"/>
                <w:color w:val="auto"/>
                <w:sz w:val="24"/>
                <w:szCs w:val="24"/>
                <w:highlight w:val="none"/>
              </w:rPr>
            </w:pPr>
            <w:r>
              <w:rPr>
                <w:rFonts w:hint="eastAsia" w:ascii="宋体" w:hAnsi="宋体" w:cs="宋体"/>
                <w:color w:val="auto"/>
                <w:sz w:val="24"/>
                <w:szCs w:val="24"/>
                <w:highlight w:val="none"/>
              </w:rPr>
              <w:t>是否要求投标人递交投标保证金：</w:t>
            </w:r>
          </w:p>
          <w:p w14:paraId="272DDE59">
            <w:pPr>
              <w:pStyle w:val="57"/>
              <w:keepNext w:val="0"/>
              <w:keepLines w:val="0"/>
              <w:pageBreakBefore w:val="0"/>
              <w:widowControl w:val="0"/>
              <w:kinsoku/>
              <w:wordWrap/>
              <w:overflowPunct/>
              <w:topLinePunct w:val="0"/>
              <w:bidi w:val="0"/>
              <w:snapToGrid/>
              <w:spacing w:line="360" w:lineRule="exact"/>
              <w:ind w:firstLine="120" w:firstLineChars="50"/>
              <w:jc w:val="left"/>
              <w:textAlignment w:val="auto"/>
              <w:rPr>
                <w:rFonts w:ascii="宋体" w:hAnsi="宋体" w:cs="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rPr>
              <w:t>要求，投标保证金为人民币：</w:t>
            </w:r>
            <w:r>
              <w:rPr>
                <w:rFonts w:hint="eastAsia" w:ascii="宋体" w:hAnsi="宋体" w:cs="宋体"/>
                <w:color w:val="auto"/>
                <w:sz w:val="24"/>
                <w:szCs w:val="24"/>
                <w:highlight w:val="none"/>
                <w:u w:val="single"/>
                <w:lang w:val="en-US" w:eastAsia="zh-CN"/>
              </w:rPr>
              <w:t>150000.00</w:t>
            </w:r>
            <w:r>
              <w:rPr>
                <w:rFonts w:hint="eastAsia" w:ascii="宋体" w:hAnsi="宋体" w:cs="宋体"/>
                <w:color w:val="auto"/>
                <w:sz w:val="24"/>
                <w:szCs w:val="24"/>
                <w:highlight w:val="none"/>
                <w:u w:val="single"/>
              </w:rPr>
              <w:t>元</w:t>
            </w:r>
            <w:r>
              <w:rPr>
                <w:rFonts w:hint="eastAsia" w:ascii="宋体" w:hAnsi="宋体" w:cs="宋体"/>
                <w:color w:val="auto"/>
                <w:sz w:val="24"/>
                <w:szCs w:val="24"/>
                <w:highlight w:val="none"/>
              </w:rPr>
              <w:t>。</w:t>
            </w:r>
          </w:p>
          <w:p w14:paraId="2FD4C561">
            <w:pPr>
              <w:pStyle w:val="57"/>
              <w:keepNext w:val="0"/>
              <w:keepLines w:val="0"/>
              <w:pageBreakBefore w:val="0"/>
              <w:widowControl w:val="0"/>
              <w:kinsoku/>
              <w:wordWrap/>
              <w:overflowPunct/>
              <w:topLinePunct w:val="0"/>
              <w:bidi w:val="0"/>
              <w:snapToGrid/>
              <w:spacing w:line="360" w:lineRule="exact"/>
              <w:ind w:firstLine="120" w:firstLineChars="50"/>
              <w:jc w:val="lef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投标保证金的有关说明： </w:t>
            </w:r>
          </w:p>
          <w:p w14:paraId="1C1BF634">
            <w:pPr>
              <w:pStyle w:val="80"/>
              <w:keepNext w:val="0"/>
              <w:keepLines w:val="0"/>
              <w:pageBreakBefore w:val="0"/>
              <w:widowControl w:val="0"/>
              <w:kinsoku/>
              <w:wordWrap/>
              <w:overflowPunct/>
              <w:topLinePunct w:val="0"/>
              <w:bidi w:val="0"/>
              <w:snapToGrid/>
              <w:spacing w:line="360" w:lineRule="exact"/>
              <w:ind w:right="136"/>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1、投标保证的形式包括投标保证金、投标保证担保、投标保证保险三种，由投标人自主选择。</w:t>
            </w:r>
          </w:p>
          <w:p w14:paraId="27FD5A10">
            <w:pPr>
              <w:pStyle w:val="80"/>
              <w:keepNext w:val="0"/>
              <w:keepLines w:val="0"/>
              <w:pageBreakBefore w:val="0"/>
              <w:widowControl w:val="0"/>
              <w:kinsoku/>
              <w:wordWrap/>
              <w:overflowPunct/>
              <w:topLinePunct w:val="0"/>
              <w:bidi w:val="0"/>
              <w:snapToGrid/>
              <w:spacing w:line="360" w:lineRule="exact"/>
              <w:ind w:right="136"/>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采用投标保证金的，投标人在交易平台获取招标文件后，即可在交易平台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14:paraId="438290C2">
            <w:pPr>
              <w:pStyle w:val="80"/>
              <w:keepNext w:val="0"/>
              <w:keepLines w:val="0"/>
              <w:pageBreakBefore w:val="0"/>
              <w:widowControl w:val="0"/>
              <w:kinsoku/>
              <w:wordWrap/>
              <w:overflowPunct/>
              <w:topLinePunct w:val="0"/>
              <w:bidi w:val="0"/>
              <w:snapToGrid/>
              <w:spacing w:line="360" w:lineRule="exact"/>
              <w:ind w:right="136"/>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采用投标保证担保的，投标人应提交有效的电子保函，电子保函的有效期不得短于投标有效期。投标人必须在投标保证担保截止时间（见“重要事项时间地点一览表”）前，在交易平台完成网上办理电子保函。</w:t>
            </w:r>
          </w:p>
          <w:p w14:paraId="0E9F7EB2">
            <w:pPr>
              <w:pStyle w:val="80"/>
              <w:keepNext w:val="0"/>
              <w:keepLines w:val="0"/>
              <w:pageBreakBefore w:val="0"/>
              <w:widowControl w:val="0"/>
              <w:kinsoku/>
              <w:wordWrap/>
              <w:overflowPunct/>
              <w:topLinePunct w:val="0"/>
              <w:bidi w:val="0"/>
              <w:snapToGrid/>
              <w:spacing w:line="360" w:lineRule="exact"/>
              <w:ind w:right="136"/>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采用投标保证保险的，投标人须在投标保证保险投保截止时间（见“重要事项时间地点一览表”）前，在交易平台完成网上投保。投标人可在交易平台选择保险机构、录入投保信息、支付保费、打印电子保单，电子保单的有效期不得短于投标有效期。逾期投保的，其投标无效。</w:t>
            </w:r>
          </w:p>
          <w:p w14:paraId="470BB326">
            <w:pPr>
              <w:pStyle w:val="80"/>
              <w:keepNext w:val="0"/>
              <w:keepLines w:val="0"/>
              <w:pageBreakBefore w:val="0"/>
              <w:widowControl w:val="0"/>
              <w:kinsoku/>
              <w:wordWrap/>
              <w:overflowPunct/>
              <w:topLinePunct w:val="0"/>
              <w:bidi w:val="0"/>
              <w:snapToGrid/>
              <w:spacing w:line="360" w:lineRule="exact"/>
              <w:ind w:right="136"/>
              <w:textAlignment w:val="auto"/>
              <w:rPr>
                <w:rFonts w:ascii="宋体" w:hAnsi="宋体" w:cs="宋体"/>
                <w:color w:val="auto"/>
                <w:sz w:val="24"/>
                <w:szCs w:val="24"/>
                <w:highlight w:val="none"/>
              </w:rPr>
            </w:pPr>
            <w:r>
              <w:rPr>
                <w:rFonts w:hint="eastAsia" w:ascii="宋体" w:hAnsi="宋体" w:cs="宋体"/>
                <w:b/>
                <w:bCs w:val="0"/>
                <w:color w:val="auto"/>
                <w:sz w:val="24"/>
                <w:szCs w:val="24"/>
                <w:highlight w:val="none"/>
              </w:rPr>
              <w:t>温馨提醒：</w:t>
            </w:r>
            <w:r>
              <w:rPr>
                <w:rFonts w:hint="eastAsia" w:ascii="宋体" w:hAnsi="宋体" w:cs="宋体"/>
                <w:bCs/>
                <w:color w:val="auto"/>
                <w:sz w:val="24"/>
                <w:szCs w:val="24"/>
                <w:highlight w:val="none"/>
              </w:rPr>
              <w:t>投标人采用投标保证担保或投标保证保险的，为避免在评标过程中因有效期发生争议，建议投标人将电子保函或电子保单有效期设置为较招标文件规定的投标有效期延长不少于20个日历天。</w:t>
            </w:r>
          </w:p>
          <w:p w14:paraId="057A649E">
            <w:pPr>
              <w:pStyle w:val="52"/>
              <w:keepNext w:val="0"/>
              <w:keepLines w:val="0"/>
              <w:pageBreakBefore w:val="0"/>
              <w:widowControl w:val="0"/>
              <w:kinsoku/>
              <w:wordWrap/>
              <w:overflowPunct/>
              <w:topLinePunct w:val="0"/>
              <w:bidi w:val="0"/>
              <w:snapToGrid/>
              <w:spacing w:line="36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不要求</w:t>
            </w:r>
          </w:p>
        </w:tc>
      </w:tr>
      <w:tr w14:paraId="023FA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5"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14:paraId="7C47D220">
            <w:pPr>
              <w:jc w:val="center"/>
              <w:rPr>
                <w:rFonts w:ascii="宋体" w:hAnsi="宋体" w:cs="宋体"/>
                <w:color w:val="auto"/>
                <w:sz w:val="24"/>
                <w:szCs w:val="24"/>
                <w:highlight w:val="none"/>
              </w:rPr>
            </w:pPr>
            <w:r>
              <w:rPr>
                <w:rFonts w:hint="eastAsia" w:ascii="宋体" w:hAnsi="宋体" w:cs="宋体"/>
                <w:color w:val="auto"/>
                <w:sz w:val="24"/>
                <w:szCs w:val="24"/>
                <w:highlight w:val="none"/>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14:paraId="182B3CF9">
            <w:pPr>
              <w:pStyle w:val="80"/>
              <w:ind w:left="1"/>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投标保证金的利息计算原则</w:t>
            </w:r>
          </w:p>
        </w:tc>
        <w:tc>
          <w:tcPr>
            <w:tcW w:w="6053" w:type="dxa"/>
            <w:tcBorders>
              <w:top w:val="single" w:color="000000" w:sz="4" w:space="0"/>
              <w:left w:val="single" w:color="000000" w:sz="4" w:space="0"/>
              <w:bottom w:val="single" w:color="000000" w:sz="4" w:space="0"/>
              <w:right w:val="single" w:color="000000" w:sz="12" w:space="0"/>
            </w:tcBorders>
            <w:vAlign w:val="center"/>
          </w:tcPr>
          <w:p w14:paraId="5F5ADAA6">
            <w:pPr>
              <w:pStyle w:val="80"/>
              <w:ind w:left="1"/>
              <w:jc w:val="left"/>
              <w:rPr>
                <w:rFonts w:ascii="宋体" w:hAnsi="宋体" w:cs="宋体"/>
                <w:color w:val="auto"/>
                <w:sz w:val="24"/>
                <w:szCs w:val="24"/>
                <w:highlight w:val="none"/>
              </w:rPr>
            </w:pPr>
            <w:r>
              <w:rPr>
                <w:rFonts w:hint="eastAsia" w:ascii="宋体" w:hAnsi="宋体" w:cs="宋体"/>
                <w:color w:val="auto"/>
                <w:sz w:val="24"/>
                <w:szCs w:val="24"/>
                <w:highlight w:val="none"/>
              </w:rPr>
              <w:t>利息退还方式按韶关市公共资源交易中心相关规定</w:t>
            </w:r>
            <w:r>
              <w:rPr>
                <w:rFonts w:hint="eastAsia" w:ascii="宋体" w:hAnsi="宋体" w:cs="宋体"/>
                <w:color w:val="auto"/>
                <w:sz w:val="24"/>
                <w:szCs w:val="24"/>
                <w:highlight w:val="none"/>
                <w:lang w:val="en-US" w:eastAsia="zh-CN"/>
              </w:rPr>
              <w:t>办理</w:t>
            </w:r>
            <w:r>
              <w:rPr>
                <w:rFonts w:hint="eastAsia" w:ascii="宋体" w:hAnsi="宋体" w:cs="宋体"/>
                <w:color w:val="auto"/>
                <w:sz w:val="24"/>
                <w:szCs w:val="24"/>
                <w:highlight w:val="none"/>
              </w:rPr>
              <w:t>。</w:t>
            </w:r>
          </w:p>
        </w:tc>
      </w:tr>
      <w:tr w14:paraId="25187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45"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14:paraId="18EC4A7F">
            <w:pPr>
              <w:jc w:val="center"/>
              <w:rPr>
                <w:rFonts w:ascii="宋体" w:hAnsi="宋体" w:cs="宋体"/>
                <w:color w:val="auto"/>
                <w:sz w:val="24"/>
                <w:szCs w:val="24"/>
                <w:highlight w:val="none"/>
              </w:rPr>
            </w:pPr>
            <w:r>
              <w:rPr>
                <w:rFonts w:hint="eastAsia" w:ascii="宋体" w:hAnsi="宋体" w:cs="宋体"/>
                <w:color w:val="auto"/>
                <w:sz w:val="24"/>
                <w:szCs w:val="24"/>
                <w:highlight w:val="none"/>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14:paraId="31C058F1">
            <w:pPr>
              <w:autoSpaceDE w:val="0"/>
              <w:autoSpaceDN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其他可以不予退还投标保证金的情形</w:t>
            </w:r>
          </w:p>
        </w:tc>
        <w:tc>
          <w:tcPr>
            <w:tcW w:w="6053" w:type="dxa"/>
            <w:tcBorders>
              <w:top w:val="single" w:color="000000" w:sz="4" w:space="0"/>
              <w:left w:val="single" w:color="000000" w:sz="4" w:space="0"/>
              <w:bottom w:val="single" w:color="000000" w:sz="4" w:space="0"/>
              <w:right w:val="single" w:color="000000" w:sz="12" w:space="0"/>
            </w:tcBorders>
            <w:vAlign w:val="center"/>
          </w:tcPr>
          <w:p w14:paraId="76FA6B3A">
            <w:pPr>
              <w:autoSpaceDE w:val="0"/>
              <w:autoSpaceDN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）串通投标；或</w:t>
            </w:r>
          </w:p>
          <w:p w14:paraId="069728E5">
            <w:pPr>
              <w:autoSpaceDE w:val="0"/>
              <w:autoSpaceDN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）评标、中标公示、签订合同前等环节因作假而被取消中标资格；或</w:t>
            </w:r>
          </w:p>
          <w:p w14:paraId="2D4245C4">
            <w:pPr>
              <w:autoSpaceDE w:val="0"/>
              <w:autoSpaceDN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）因投诉属实取消中标资格的；或</w:t>
            </w:r>
          </w:p>
          <w:p w14:paraId="4F1C8D26">
            <w:pPr>
              <w:autoSpaceDE w:val="0"/>
              <w:autoSpaceDN w:val="0"/>
              <w:rPr>
                <w:rFonts w:ascii="宋体" w:hAnsi="宋体" w:cs="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）其他违反规定、妨碍公平竞争准则的舞弊行为。</w:t>
            </w:r>
          </w:p>
        </w:tc>
      </w:tr>
      <w:tr w14:paraId="7B5E1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5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14:paraId="7C6B805C">
            <w:pPr>
              <w:jc w:val="center"/>
              <w:rPr>
                <w:rFonts w:ascii="宋体" w:hAnsi="宋体" w:cs="宋体"/>
                <w:color w:val="auto"/>
                <w:sz w:val="24"/>
                <w:szCs w:val="24"/>
                <w:highlight w:val="none"/>
              </w:rPr>
            </w:pPr>
            <w:r>
              <w:rPr>
                <w:rFonts w:hint="eastAsia" w:ascii="宋体" w:hAnsi="宋体" w:cs="宋体"/>
                <w:color w:val="auto"/>
                <w:sz w:val="24"/>
                <w:szCs w:val="24"/>
                <w:highlight w:val="none"/>
              </w:rPr>
              <w:t>3.5</w:t>
            </w:r>
          </w:p>
        </w:tc>
        <w:tc>
          <w:tcPr>
            <w:tcW w:w="2728" w:type="dxa"/>
            <w:tcBorders>
              <w:top w:val="single" w:color="000000" w:sz="4" w:space="0"/>
              <w:left w:val="single" w:color="000000" w:sz="4" w:space="0"/>
              <w:bottom w:val="single" w:color="000000" w:sz="4" w:space="0"/>
              <w:right w:val="single" w:color="000000" w:sz="4" w:space="0"/>
            </w:tcBorders>
            <w:vAlign w:val="center"/>
          </w:tcPr>
          <w:p w14:paraId="7CCBE045">
            <w:pPr>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资格审查资料的特殊要求</w:t>
            </w:r>
          </w:p>
        </w:tc>
        <w:tc>
          <w:tcPr>
            <w:tcW w:w="6053" w:type="dxa"/>
            <w:tcBorders>
              <w:top w:val="single" w:color="000000" w:sz="4" w:space="0"/>
              <w:left w:val="single" w:color="000000" w:sz="4" w:space="0"/>
              <w:bottom w:val="single" w:color="000000" w:sz="4" w:space="0"/>
              <w:right w:val="single" w:color="000000" w:sz="12" w:space="0"/>
            </w:tcBorders>
            <w:vAlign w:val="center"/>
          </w:tcPr>
          <w:p w14:paraId="22573C2B">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无</w:t>
            </w:r>
          </w:p>
          <w:p w14:paraId="3B4E8D9F">
            <w:pPr>
              <w:ind w:right="113"/>
              <w:rPr>
                <w:rFonts w:ascii="宋体" w:hAnsi="宋体" w:cs="宋体"/>
                <w:color w:val="auto"/>
                <w:sz w:val="24"/>
                <w:szCs w:val="24"/>
                <w:highlight w:val="none"/>
                <w:u w:val="single"/>
              </w:rPr>
            </w:pPr>
            <w:r>
              <w:rPr>
                <w:rFonts w:hint="eastAsia" w:ascii="宋体" w:hAnsi="宋体" w:cs="宋体"/>
                <w:color w:val="auto"/>
                <w:sz w:val="24"/>
                <w:szCs w:val="24"/>
                <w:highlight w:val="none"/>
                <w:lang w:eastAsia="zh-CN"/>
              </w:rPr>
              <w:t>☑</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24"/>
                <w:szCs w:val="24"/>
                <w:highlight w:val="none"/>
              </w:rPr>
              <w:t>有，具体要求：投标人提供的各类证照</w:t>
            </w:r>
            <w:r>
              <w:rPr>
                <w:rFonts w:hint="eastAsia" w:ascii="宋体" w:hAnsi="宋体" w:cs="宋体"/>
                <w:color w:val="auto"/>
                <w:sz w:val="24"/>
                <w:szCs w:val="24"/>
                <w:highlight w:val="none"/>
                <w:lang w:val="en-US" w:eastAsia="zh-CN"/>
              </w:rPr>
              <w:t>扫描</w:t>
            </w:r>
            <w:r>
              <w:rPr>
                <w:rFonts w:hint="eastAsia" w:ascii="宋体" w:hAnsi="宋体" w:cs="宋体"/>
                <w:color w:val="auto"/>
                <w:sz w:val="24"/>
                <w:szCs w:val="24"/>
                <w:highlight w:val="none"/>
              </w:rPr>
              <w:t>件均指彩色扫描件。</w:t>
            </w:r>
          </w:p>
        </w:tc>
      </w:tr>
      <w:tr w14:paraId="3D35FA8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14:paraId="4A007740">
            <w:pPr>
              <w:jc w:val="center"/>
              <w:rPr>
                <w:rFonts w:ascii="宋体" w:hAnsi="宋体" w:cs="宋体"/>
                <w:color w:val="auto"/>
                <w:sz w:val="24"/>
                <w:szCs w:val="24"/>
                <w:highlight w:val="none"/>
              </w:rPr>
            </w:pPr>
            <w:r>
              <w:rPr>
                <w:rFonts w:hint="eastAsia" w:ascii="宋体" w:hAnsi="宋体" w:cs="宋体"/>
                <w:color w:val="auto"/>
                <w:sz w:val="24"/>
                <w:szCs w:val="24"/>
                <w:highlight w:val="none"/>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14:paraId="34557E53">
            <w:pPr>
              <w:adjustRightInd w:val="0"/>
              <w:snapToGrid w:val="0"/>
              <w:ind w:right="113"/>
              <w:jc w:val="center"/>
              <w:rPr>
                <w:rFonts w:ascii="宋体" w:hAnsi="宋体" w:cs="宋体"/>
                <w:color w:val="auto"/>
                <w:sz w:val="24"/>
                <w:szCs w:val="24"/>
                <w:highlight w:val="none"/>
              </w:rPr>
            </w:pPr>
            <w:r>
              <w:rPr>
                <w:rFonts w:hint="eastAsia" w:ascii="宋体" w:hAnsi="宋体" w:cs="宋体"/>
                <w:color w:val="auto"/>
                <w:sz w:val="24"/>
                <w:szCs w:val="24"/>
                <w:highlight w:val="none"/>
              </w:rPr>
              <w:t>近年财务状况的年份要求</w:t>
            </w:r>
          </w:p>
        </w:tc>
        <w:tc>
          <w:tcPr>
            <w:tcW w:w="6053" w:type="dxa"/>
            <w:tcBorders>
              <w:top w:val="single" w:color="000000" w:sz="4" w:space="0"/>
              <w:left w:val="single" w:color="000000" w:sz="4" w:space="0"/>
              <w:bottom w:val="single" w:color="000000" w:sz="4" w:space="0"/>
              <w:right w:val="single" w:color="000000" w:sz="12" w:space="0"/>
            </w:tcBorders>
            <w:vAlign w:val="center"/>
          </w:tcPr>
          <w:p w14:paraId="10BBEE90">
            <w:pPr>
              <w:adjustRightInd w:val="0"/>
              <w:snapToGrid w:val="0"/>
              <w:ind w:right="113"/>
              <w:rPr>
                <w:rFonts w:ascii="宋体" w:hAnsi="宋体" w:cs="宋体"/>
                <w:color w:val="auto"/>
                <w:sz w:val="24"/>
                <w:szCs w:val="24"/>
                <w:highlight w:val="none"/>
              </w:rPr>
            </w:pP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年～202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年（近3年）</w:t>
            </w:r>
          </w:p>
        </w:tc>
      </w:tr>
      <w:tr w14:paraId="19DCD45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088"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14:paraId="7997DD16">
            <w:pPr>
              <w:jc w:val="center"/>
              <w:rPr>
                <w:rFonts w:ascii="宋体" w:hAnsi="宋体" w:cs="宋体"/>
                <w:color w:val="auto"/>
                <w:sz w:val="24"/>
                <w:szCs w:val="24"/>
                <w:highlight w:val="none"/>
              </w:rPr>
            </w:pPr>
            <w:r>
              <w:rPr>
                <w:rFonts w:hint="eastAsia" w:ascii="宋体" w:hAnsi="宋体" w:cs="宋体"/>
                <w:color w:val="auto"/>
                <w:sz w:val="24"/>
                <w:szCs w:val="24"/>
                <w:highlight w:val="none"/>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14:paraId="1E07FE63">
            <w:pPr>
              <w:jc w:val="center"/>
              <w:rPr>
                <w:rFonts w:ascii="宋体" w:hAnsi="宋体" w:cs="宋体"/>
                <w:color w:val="auto"/>
                <w:sz w:val="24"/>
                <w:szCs w:val="24"/>
                <w:highlight w:val="none"/>
              </w:rPr>
            </w:pPr>
            <w:r>
              <w:rPr>
                <w:rFonts w:hint="eastAsia" w:ascii="宋体" w:hAnsi="宋体" w:cs="宋体"/>
                <w:color w:val="auto"/>
                <w:sz w:val="24"/>
                <w:szCs w:val="24"/>
                <w:highlight w:val="none"/>
              </w:rPr>
              <w:t>近年完成的类似项目情况的时间要求</w:t>
            </w:r>
          </w:p>
        </w:tc>
        <w:tc>
          <w:tcPr>
            <w:tcW w:w="6053" w:type="dxa"/>
            <w:tcBorders>
              <w:top w:val="single" w:color="000000" w:sz="4" w:space="0"/>
              <w:left w:val="single" w:color="000000" w:sz="4" w:space="0"/>
              <w:bottom w:val="single" w:color="000000" w:sz="4" w:space="0"/>
              <w:right w:val="single" w:color="000000" w:sz="12" w:space="0"/>
            </w:tcBorders>
            <w:vAlign w:val="center"/>
          </w:tcPr>
          <w:p w14:paraId="6E8B3D06">
            <w:pPr>
              <w:rPr>
                <w:rFonts w:ascii="宋体" w:hAnsi="宋体" w:cs="宋体"/>
                <w:color w:val="auto"/>
                <w:sz w:val="24"/>
                <w:szCs w:val="24"/>
                <w:highlight w:val="none"/>
              </w:rPr>
            </w:pPr>
            <w:r>
              <w:rPr>
                <w:rFonts w:hint="eastAsia" w:ascii="宋体" w:hAnsi="宋体" w:cs="宋体"/>
                <w:color w:val="auto"/>
                <w:sz w:val="24"/>
                <w:szCs w:val="24"/>
                <w:highlight w:val="none"/>
                <w:u w:val="single"/>
              </w:rPr>
              <w:t>201</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月1日</w:t>
            </w:r>
            <w:r>
              <w:rPr>
                <w:rFonts w:hint="eastAsia" w:ascii="宋体" w:hAnsi="宋体" w:cs="宋体"/>
                <w:color w:val="auto"/>
                <w:kern w:val="0"/>
                <w:sz w:val="24"/>
                <w:szCs w:val="24"/>
                <w:highlight w:val="none"/>
              </w:rPr>
              <w:t>至</w:t>
            </w:r>
            <w:r>
              <w:rPr>
                <w:rFonts w:hint="eastAsia" w:ascii="宋体" w:hAnsi="宋体" w:cs="宋体"/>
                <w:color w:val="auto"/>
                <w:sz w:val="24"/>
                <w:szCs w:val="24"/>
                <w:highlight w:val="none"/>
              </w:rPr>
              <w:t>投标文件递交截止之日止（近5年）以“全国公路建设市场信用信息管理系统”上的交工验收或未交工验收一次性竣工验收的时间为准。</w:t>
            </w:r>
          </w:p>
        </w:tc>
      </w:tr>
      <w:tr w14:paraId="181BAEB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14:paraId="1B133C63">
            <w:pPr>
              <w:jc w:val="center"/>
              <w:rPr>
                <w:rFonts w:ascii="宋体" w:hAnsi="宋体" w:cs="宋体"/>
                <w:color w:val="auto"/>
                <w:sz w:val="24"/>
                <w:szCs w:val="24"/>
                <w:highlight w:val="none"/>
              </w:rPr>
            </w:pPr>
            <w:r>
              <w:rPr>
                <w:rFonts w:hint="eastAsia" w:ascii="宋体" w:hAnsi="宋体" w:cs="宋体"/>
                <w:color w:val="auto"/>
                <w:sz w:val="24"/>
                <w:szCs w:val="24"/>
                <w:highlight w:val="none"/>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14:paraId="40B0FB2A">
            <w:pPr>
              <w:jc w:val="center"/>
              <w:rPr>
                <w:rFonts w:ascii="宋体" w:hAnsi="宋体" w:cs="宋体"/>
                <w:color w:val="auto"/>
                <w:sz w:val="24"/>
                <w:szCs w:val="24"/>
                <w:highlight w:val="none"/>
              </w:rPr>
            </w:pPr>
            <w:r>
              <w:rPr>
                <w:rFonts w:hint="eastAsia" w:ascii="宋体" w:hAnsi="宋体" w:cs="宋体"/>
                <w:color w:val="auto"/>
                <w:sz w:val="24"/>
                <w:szCs w:val="24"/>
                <w:highlight w:val="none"/>
              </w:rPr>
              <w:t>是否允许递交备选投标方案</w:t>
            </w:r>
          </w:p>
        </w:tc>
        <w:tc>
          <w:tcPr>
            <w:tcW w:w="6053" w:type="dxa"/>
            <w:tcBorders>
              <w:top w:val="single" w:color="000000" w:sz="4" w:space="0"/>
              <w:left w:val="single" w:color="000000" w:sz="4" w:space="0"/>
              <w:bottom w:val="single" w:color="000000" w:sz="4" w:space="0"/>
              <w:right w:val="single" w:color="000000" w:sz="12" w:space="0"/>
            </w:tcBorders>
            <w:vAlign w:val="center"/>
          </w:tcPr>
          <w:p w14:paraId="1CDD31E2">
            <w:pPr>
              <w:ind w:left="113" w:right="113"/>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不允许</w:t>
            </w:r>
          </w:p>
          <w:p w14:paraId="4CE92DBA">
            <w:pPr>
              <w:ind w:right="113" w:firstLine="12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允许</w:t>
            </w:r>
          </w:p>
        </w:tc>
      </w:tr>
      <w:tr w14:paraId="2F03B6C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3007"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14:paraId="72AD1CD1">
            <w:pPr>
              <w:jc w:val="center"/>
              <w:rPr>
                <w:rFonts w:ascii="宋体" w:hAnsi="宋体" w:cs="宋体"/>
                <w:color w:val="auto"/>
                <w:sz w:val="24"/>
                <w:szCs w:val="24"/>
                <w:highlight w:val="none"/>
              </w:rPr>
            </w:pPr>
            <w:r>
              <w:rPr>
                <w:rFonts w:hint="eastAsia" w:ascii="宋体" w:hAnsi="宋体" w:cs="宋体"/>
                <w:color w:val="auto"/>
                <w:sz w:val="24"/>
                <w:szCs w:val="24"/>
                <w:highlight w:val="none"/>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14:paraId="7D2D6CA9">
            <w:pPr>
              <w:autoSpaceDE w:val="0"/>
              <w:autoSpaceDN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投标文件副本份数及其他要求</w:t>
            </w:r>
          </w:p>
        </w:tc>
        <w:tc>
          <w:tcPr>
            <w:tcW w:w="6053" w:type="dxa"/>
            <w:tcBorders>
              <w:top w:val="single" w:color="000000" w:sz="4" w:space="0"/>
              <w:left w:val="single" w:color="000000" w:sz="4" w:space="0"/>
              <w:bottom w:val="single" w:color="000000" w:sz="4" w:space="0"/>
              <w:right w:val="single" w:color="000000" w:sz="12" w:space="0"/>
            </w:tcBorders>
            <w:vAlign w:val="center"/>
          </w:tcPr>
          <w:p w14:paraId="229B13FD">
            <w:pPr>
              <w:ind w:right="113"/>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投标文件副本份数：</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份。</w:t>
            </w:r>
          </w:p>
          <w:p w14:paraId="27D2C806">
            <w:pPr>
              <w:autoSpaceDE w:val="0"/>
              <w:autoSpaceDN w:val="0"/>
              <w:rPr>
                <w:rFonts w:ascii="宋体" w:hAnsi="宋体" w:cs="宋体"/>
                <w:color w:val="auto"/>
                <w:sz w:val="24"/>
                <w:szCs w:val="24"/>
                <w:highlight w:val="none"/>
              </w:rPr>
            </w:pPr>
            <w:r>
              <w:rPr>
                <w:rFonts w:hint="eastAsia" w:ascii="宋体" w:hAnsi="宋体" w:cs="宋体"/>
                <w:color w:val="auto"/>
                <w:spacing w:val="-3"/>
                <w:sz w:val="24"/>
                <w:szCs w:val="24"/>
                <w:highlight w:val="none"/>
              </w:rPr>
              <w:t>其他要求：</w:t>
            </w:r>
            <w:r>
              <w:rPr>
                <w:rFonts w:hint="eastAsia" w:ascii="宋体" w:hAnsi="宋体" w:cs="宋体"/>
                <w:color w:val="auto"/>
                <w:sz w:val="24"/>
                <w:szCs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 （广东省 · 韶关市）（https://ygp.gdzwfw.gov.cn/ggzy-portal/#/440200/index）交易指引。</w:t>
            </w:r>
          </w:p>
        </w:tc>
      </w:tr>
      <w:tr w14:paraId="73077B6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14:paraId="62C07B82">
            <w:pPr>
              <w:jc w:val="center"/>
              <w:rPr>
                <w:rFonts w:ascii="宋体" w:hAnsi="宋体" w:cs="宋体"/>
                <w:color w:val="auto"/>
                <w:sz w:val="24"/>
                <w:szCs w:val="24"/>
                <w:highlight w:val="none"/>
              </w:rPr>
            </w:pPr>
            <w:r>
              <w:rPr>
                <w:rFonts w:hint="eastAsia" w:ascii="宋体" w:hAnsi="宋体" w:cs="宋体"/>
                <w:color w:val="auto"/>
                <w:sz w:val="24"/>
                <w:szCs w:val="24"/>
                <w:highlight w:val="none"/>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14:paraId="4CF9BFC2">
            <w:pPr>
              <w:jc w:val="center"/>
              <w:rPr>
                <w:rFonts w:ascii="宋体" w:hAnsi="宋体" w:cs="宋体"/>
                <w:color w:val="auto"/>
                <w:sz w:val="24"/>
                <w:szCs w:val="24"/>
                <w:highlight w:val="none"/>
              </w:rPr>
            </w:pPr>
            <w:r>
              <w:rPr>
                <w:rFonts w:hint="eastAsia" w:ascii="宋体" w:hAnsi="宋体" w:cs="宋体"/>
                <w:color w:val="auto"/>
                <w:sz w:val="24"/>
                <w:szCs w:val="24"/>
                <w:highlight w:val="none"/>
              </w:rPr>
              <w:t>装订的其他要求</w:t>
            </w:r>
          </w:p>
        </w:tc>
        <w:tc>
          <w:tcPr>
            <w:tcW w:w="6053" w:type="dxa"/>
            <w:tcBorders>
              <w:top w:val="single" w:color="000000" w:sz="4" w:space="0"/>
              <w:left w:val="single" w:color="000000" w:sz="4" w:space="0"/>
              <w:bottom w:val="single" w:color="000000" w:sz="4" w:space="0"/>
              <w:right w:val="single" w:color="000000" w:sz="12" w:space="0"/>
            </w:tcBorders>
            <w:vAlign w:val="center"/>
          </w:tcPr>
          <w:p w14:paraId="375CCDC3">
            <w:pPr>
              <w:pStyle w:val="57"/>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3CFDFD9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81"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14:paraId="4B9F6814">
            <w:pPr>
              <w:jc w:val="center"/>
              <w:rPr>
                <w:rFonts w:ascii="宋体" w:hAnsi="宋体" w:cs="宋体"/>
                <w:color w:val="auto"/>
                <w:sz w:val="24"/>
                <w:szCs w:val="24"/>
                <w:highlight w:val="none"/>
              </w:rPr>
            </w:pPr>
            <w:r>
              <w:rPr>
                <w:rFonts w:hint="eastAsia" w:ascii="宋体" w:hAnsi="宋体" w:cs="宋体"/>
                <w:color w:val="auto"/>
                <w:sz w:val="24"/>
                <w:szCs w:val="24"/>
                <w:highlight w:val="none"/>
              </w:rPr>
              <w:t>4.1.2</w:t>
            </w:r>
          </w:p>
        </w:tc>
        <w:tc>
          <w:tcPr>
            <w:tcW w:w="2728" w:type="dxa"/>
            <w:tcBorders>
              <w:top w:val="single" w:color="000000" w:sz="4" w:space="0"/>
              <w:left w:val="single" w:color="000000" w:sz="4" w:space="0"/>
              <w:bottom w:val="single" w:color="000000" w:sz="4" w:space="0"/>
              <w:right w:val="single" w:color="000000" w:sz="4" w:space="0"/>
            </w:tcBorders>
            <w:vAlign w:val="center"/>
          </w:tcPr>
          <w:p w14:paraId="11A10DB7">
            <w:pPr>
              <w:autoSpaceDE w:val="0"/>
              <w:autoSpaceDN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封套上应载明的信息</w:t>
            </w:r>
          </w:p>
        </w:tc>
        <w:tc>
          <w:tcPr>
            <w:tcW w:w="6053" w:type="dxa"/>
            <w:tcBorders>
              <w:top w:val="single" w:color="000000" w:sz="4" w:space="0"/>
              <w:left w:val="single" w:color="000000" w:sz="4" w:space="0"/>
              <w:bottom w:val="single" w:color="000000" w:sz="4" w:space="0"/>
              <w:right w:val="single" w:color="000000" w:sz="12" w:space="0"/>
            </w:tcBorders>
            <w:vAlign w:val="center"/>
          </w:tcPr>
          <w:p w14:paraId="352D2A64">
            <w:pPr>
              <w:pStyle w:val="80"/>
              <w:tabs>
                <w:tab w:val="left" w:pos="733"/>
                <w:tab w:val="left" w:pos="2587"/>
              </w:tabs>
              <w:spacing w:before="85" w:line="240" w:lineRule="auto"/>
              <w:ind w:right="101"/>
              <w:jc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w:t>
            </w:r>
          </w:p>
        </w:tc>
      </w:tr>
      <w:tr w14:paraId="0D4B9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0724CD60">
            <w:pPr>
              <w:jc w:val="center"/>
              <w:rPr>
                <w:rFonts w:ascii="宋体" w:hAnsi="宋体" w:cs="宋体"/>
                <w:color w:val="auto"/>
                <w:sz w:val="24"/>
                <w:szCs w:val="24"/>
                <w:highlight w:val="none"/>
              </w:rPr>
            </w:pPr>
            <w:r>
              <w:rPr>
                <w:rFonts w:hint="eastAsia" w:ascii="宋体" w:hAnsi="宋体" w:cs="宋体"/>
                <w:color w:val="auto"/>
                <w:sz w:val="24"/>
                <w:szCs w:val="24"/>
                <w:highlight w:val="none"/>
              </w:rPr>
              <w:t>4.2.3</w:t>
            </w:r>
          </w:p>
        </w:tc>
        <w:tc>
          <w:tcPr>
            <w:tcW w:w="2728" w:type="dxa"/>
            <w:tcBorders>
              <w:top w:val="single" w:color="auto" w:sz="4" w:space="0"/>
              <w:left w:val="single" w:color="auto" w:sz="4" w:space="0"/>
              <w:bottom w:val="single" w:color="auto" w:sz="4" w:space="0"/>
              <w:right w:val="single" w:color="auto" w:sz="4" w:space="0"/>
            </w:tcBorders>
            <w:vAlign w:val="center"/>
          </w:tcPr>
          <w:p w14:paraId="77A15508">
            <w:pPr>
              <w:jc w:val="center"/>
              <w:rPr>
                <w:rFonts w:ascii="宋体" w:hAnsi="宋体" w:cs="宋体"/>
                <w:color w:val="auto"/>
                <w:sz w:val="24"/>
                <w:szCs w:val="24"/>
                <w:highlight w:val="none"/>
              </w:rPr>
            </w:pPr>
            <w:r>
              <w:rPr>
                <w:rFonts w:hint="eastAsia" w:ascii="宋体" w:hAnsi="宋体" w:cs="宋体"/>
                <w:color w:val="auto"/>
                <w:sz w:val="24"/>
                <w:szCs w:val="24"/>
                <w:highlight w:val="none"/>
              </w:rPr>
              <w:t>是否退还投标文件</w:t>
            </w:r>
          </w:p>
        </w:tc>
        <w:tc>
          <w:tcPr>
            <w:tcW w:w="6053" w:type="dxa"/>
            <w:tcBorders>
              <w:top w:val="single" w:color="auto" w:sz="4" w:space="0"/>
              <w:left w:val="single" w:color="auto" w:sz="4" w:space="0"/>
              <w:bottom w:val="single" w:color="auto" w:sz="4" w:space="0"/>
              <w:right w:val="single" w:color="auto" w:sz="12" w:space="0"/>
            </w:tcBorders>
            <w:vAlign w:val="center"/>
          </w:tcPr>
          <w:p w14:paraId="03A75654">
            <w:pPr>
              <w:spacing w:line="240" w:lineRule="auto"/>
              <w:ind w:right="118" w:rightChars="56"/>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否</w:t>
            </w:r>
          </w:p>
          <w:p w14:paraId="7E20C9E7">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□是，退还时间：</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lang w:val="en-US" w:eastAsia="zh-CN"/>
              </w:rPr>
              <w:t>。</w:t>
            </w:r>
          </w:p>
        </w:tc>
      </w:tr>
      <w:tr w14:paraId="705ED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2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6375DCBB">
            <w:pPr>
              <w:jc w:val="center"/>
              <w:rPr>
                <w:rFonts w:ascii="宋体" w:hAnsi="宋体" w:cs="宋体"/>
                <w:b/>
                <w:color w:val="auto"/>
                <w:sz w:val="24"/>
                <w:szCs w:val="24"/>
                <w:highlight w:val="none"/>
              </w:rPr>
            </w:pPr>
            <w:r>
              <w:rPr>
                <w:rFonts w:hint="eastAsia" w:ascii="宋体" w:hAnsi="宋体" w:cs="宋体"/>
                <w:color w:val="auto"/>
                <w:sz w:val="24"/>
                <w:szCs w:val="24"/>
                <w:highlight w:val="none"/>
              </w:rPr>
              <w:t>5.1</w:t>
            </w:r>
          </w:p>
        </w:tc>
        <w:tc>
          <w:tcPr>
            <w:tcW w:w="2728" w:type="dxa"/>
            <w:tcBorders>
              <w:top w:val="single" w:color="auto" w:sz="4" w:space="0"/>
              <w:left w:val="single" w:color="auto" w:sz="4" w:space="0"/>
              <w:bottom w:val="single" w:color="auto" w:sz="4" w:space="0"/>
              <w:right w:val="single" w:color="auto" w:sz="4" w:space="0"/>
            </w:tcBorders>
            <w:vAlign w:val="center"/>
          </w:tcPr>
          <w:p w14:paraId="33111DBC">
            <w:pPr>
              <w:autoSpaceDE w:val="0"/>
              <w:autoSpaceDN w:val="0"/>
              <w:jc w:val="center"/>
              <w:rPr>
                <w:rFonts w:ascii="宋体" w:hAnsi="宋体" w:cs="宋体"/>
                <w:b/>
                <w:color w:val="auto"/>
                <w:sz w:val="24"/>
                <w:szCs w:val="24"/>
                <w:highlight w:val="none"/>
              </w:rPr>
            </w:pPr>
            <w:r>
              <w:rPr>
                <w:rFonts w:hint="eastAsia" w:ascii="宋体" w:hAnsi="宋体" w:cs="宋体"/>
                <w:color w:val="auto"/>
                <w:kern w:val="0"/>
                <w:sz w:val="24"/>
                <w:szCs w:val="24"/>
                <w:highlight w:val="none"/>
              </w:rPr>
              <w:t>开标时间和地点</w:t>
            </w:r>
          </w:p>
        </w:tc>
        <w:tc>
          <w:tcPr>
            <w:tcW w:w="6053" w:type="dxa"/>
            <w:tcBorders>
              <w:top w:val="single" w:color="auto" w:sz="4" w:space="0"/>
              <w:left w:val="single" w:color="auto" w:sz="4" w:space="0"/>
              <w:bottom w:val="single" w:color="auto" w:sz="4" w:space="0"/>
              <w:right w:val="single" w:color="auto" w:sz="12" w:space="0"/>
            </w:tcBorders>
            <w:vAlign w:val="center"/>
          </w:tcPr>
          <w:p w14:paraId="734DE1B1">
            <w:pPr>
              <w:autoSpaceDE w:val="0"/>
              <w:autoSpaceDN w:val="0"/>
              <w:spacing w:line="360" w:lineRule="exact"/>
              <w:jc w:val="left"/>
              <w:rPr>
                <w:rFonts w:hint="eastAsia" w:ascii="宋体" w:hAnsi="宋体" w:eastAsia="宋体" w:cs="宋体"/>
                <w:color w:val="auto"/>
                <w:kern w:val="0"/>
                <w:sz w:val="24"/>
                <w:szCs w:val="24"/>
                <w:highlight w:val="none"/>
                <w:lang w:eastAsia="zh-CN"/>
              </w:rPr>
            </w:pPr>
            <w:r>
              <w:rPr>
                <w:rFonts w:hint="eastAsia" w:ascii="宋体" w:hAnsi="宋体" w:cs="宋体"/>
                <w:b w:val="0"/>
                <w:bCs/>
                <w:color w:val="auto"/>
                <w:kern w:val="0"/>
                <w:sz w:val="24"/>
                <w:szCs w:val="24"/>
                <w:highlight w:val="none"/>
              </w:rPr>
              <w:t>投标文件第一信封（商务及技术文件）</w:t>
            </w:r>
            <w:r>
              <w:rPr>
                <w:rFonts w:hint="eastAsia" w:ascii="宋体" w:hAnsi="宋体" w:cs="宋体"/>
                <w:color w:val="auto"/>
                <w:kern w:val="0"/>
                <w:sz w:val="24"/>
                <w:szCs w:val="24"/>
                <w:highlight w:val="none"/>
              </w:rPr>
              <w:t>开标时间：</w:t>
            </w:r>
            <w:r>
              <w:rPr>
                <w:rFonts w:hint="eastAsia" w:ascii="宋体" w:hAnsi="宋体" w:cs="宋体"/>
                <w:color w:val="auto"/>
                <w:sz w:val="24"/>
                <w:highlight w:val="none"/>
              </w:rPr>
              <w:t>见“重要事项时间地点一览表”</w:t>
            </w:r>
            <w:r>
              <w:rPr>
                <w:rFonts w:hint="eastAsia" w:ascii="宋体" w:hAnsi="宋体" w:cs="宋体"/>
                <w:color w:val="auto"/>
                <w:sz w:val="24"/>
                <w:highlight w:val="none"/>
                <w:lang w:eastAsia="zh-CN"/>
              </w:rPr>
              <w:t>。</w:t>
            </w:r>
          </w:p>
          <w:p w14:paraId="47A15299">
            <w:pPr>
              <w:autoSpaceDE w:val="0"/>
              <w:autoSpaceDN w:val="0"/>
              <w:spacing w:line="360" w:lineRule="exact"/>
              <w:jc w:val="left"/>
              <w:rPr>
                <w:rFonts w:hint="eastAsia" w:ascii="宋体" w:hAnsi="宋体" w:eastAsia="宋体" w:cs="宋体"/>
                <w:color w:val="auto"/>
                <w:kern w:val="0"/>
                <w:sz w:val="24"/>
                <w:szCs w:val="24"/>
                <w:highlight w:val="none"/>
                <w:lang w:eastAsia="zh-CN"/>
              </w:rPr>
            </w:pPr>
            <w:r>
              <w:rPr>
                <w:rFonts w:hint="eastAsia" w:ascii="宋体" w:hAnsi="宋体" w:cs="宋体"/>
                <w:b w:val="0"/>
                <w:bCs/>
                <w:color w:val="auto"/>
                <w:kern w:val="0"/>
                <w:sz w:val="24"/>
                <w:szCs w:val="24"/>
                <w:highlight w:val="none"/>
              </w:rPr>
              <w:t>投标文件第一信封（商务及技术文件）</w:t>
            </w:r>
            <w:r>
              <w:rPr>
                <w:rFonts w:hint="eastAsia" w:ascii="宋体" w:hAnsi="宋体" w:cs="宋体"/>
                <w:color w:val="auto"/>
                <w:kern w:val="0"/>
                <w:sz w:val="24"/>
                <w:szCs w:val="24"/>
                <w:highlight w:val="none"/>
              </w:rPr>
              <w:t>开标地点：</w:t>
            </w:r>
            <w:r>
              <w:rPr>
                <w:rFonts w:hint="eastAsia" w:ascii="宋体" w:hAnsi="宋体" w:cs="宋体"/>
                <w:color w:val="auto"/>
                <w:sz w:val="24"/>
                <w:highlight w:val="none"/>
              </w:rPr>
              <w:t>见“重要事项时间地点一览表”</w:t>
            </w:r>
            <w:r>
              <w:rPr>
                <w:rFonts w:hint="eastAsia" w:ascii="宋体" w:hAnsi="宋体" w:cs="宋体"/>
                <w:color w:val="auto"/>
                <w:sz w:val="24"/>
                <w:highlight w:val="none"/>
                <w:lang w:eastAsia="zh-CN"/>
              </w:rPr>
              <w:t>。</w:t>
            </w:r>
          </w:p>
          <w:p w14:paraId="2B4D342B">
            <w:pPr>
              <w:autoSpaceDE w:val="0"/>
              <w:autoSpaceDN w:val="0"/>
              <w:spacing w:line="360" w:lineRule="exact"/>
              <w:jc w:val="left"/>
              <w:rPr>
                <w:rFonts w:ascii="宋体" w:hAnsi="宋体" w:cs="宋体"/>
                <w:color w:val="auto"/>
                <w:kern w:val="0"/>
                <w:sz w:val="24"/>
                <w:szCs w:val="24"/>
                <w:highlight w:val="none"/>
              </w:rPr>
            </w:pPr>
            <w:r>
              <w:rPr>
                <w:rFonts w:hint="eastAsia" w:ascii="宋体" w:hAnsi="宋体" w:cs="宋体"/>
                <w:b w:val="0"/>
                <w:bCs/>
                <w:color w:val="auto"/>
                <w:kern w:val="0"/>
                <w:sz w:val="24"/>
                <w:szCs w:val="24"/>
                <w:highlight w:val="none"/>
              </w:rPr>
              <w:t>投标文件第二信封（报价文件）开标时间：在商务及技术文件评审完成后。通过了评标办法规定的资格审查和初步评审，未出现废标情况的投标文件可进入投标文件第二个信封评审</w:t>
            </w:r>
            <w:r>
              <w:rPr>
                <w:rFonts w:hint="eastAsia" w:ascii="宋体" w:hAnsi="宋体" w:cs="宋体"/>
                <w:color w:val="auto"/>
                <w:kern w:val="0"/>
                <w:sz w:val="24"/>
                <w:szCs w:val="24"/>
                <w:highlight w:val="none"/>
              </w:rPr>
              <w:t>。</w:t>
            </w:r>
          </w:p>
          <w:p w14:paraId="3A04A1F3">
            <w:pPr>
              <w:autoSpaceDE w:val="0"/>
              <w:autoSpaceDN w:val="0"/>
              <w:spacing w:line="360" w:lineRule="exact"/>
              <w:jc w:val="left"/>
              <w:rPr>
                <w:rFonts w:hint="eastAsia" w:ascii="宋体" w:hAnsi="宋体" w:cs="宋体"/>
                <w:color w:val="auto"/>
                <w:sz w:val="24"/>
                <w:highlight w:val="none"/>
                <w:lang w:eastAsia="zh-CN"/>
              </w:rPr>
            </w:pPr>
            <w:r>
              <w:rPr>
                <w:rFonts w:hint="eastAsia" w:ascii="宋体" w:hAnsi="宋体" w:cs="宋体"/>
                <w:b w:val="0"/>
                <w:bCs/>
                <w:color w:val="auto"/>
                <w:kern w:val="0"/>
                <w:sz w:val="24"/>
                <w:szCs w:val="24"/>
                <w:highlight w:val="none"/>
              </w:rPr>
              <w:t>投标文件第二信封（报价文件）</w:t>
            </w:r>
            <w:r>
              <w:rPr>
                <w:rFonts w:hint="eastAsia" w:ascii="宋体" w:hAnsi="宋体" w:cs="宋体"/>
                <w:color w:val="auto"/>
                <w:kern w:val="0"/>
                <w:sz w:val="24"/>
                <w:szCs w:val="24"/>
                <w:highlight w:val="none"/>
              </w:rPr>
              <w:t>开标地点：</w:t>
            </w:r>
            <w:r>
              <w:rPr>
                <w:rFonts w:hint="eastAsia" w:ascii="宋体" w:hAnsi="宋体" w:cs="宋体"/>
                <w:color w:val="auto"/>
                <w:sz w:val="24"/>
                <w:highlight w:val="none"/>
              </w:rPr>
              <w:t>见“重要事项时间地点一览表”</w:t>
            </w:r>
            <w:r>
              <w:rPr>
                <w:rFonts w:hint="eastAsia" w:ascii="宋体" w:hAnsi="宋体" w:cs="宋体"/>
                <w:color w:val="auto"/>
                <w:sz w:val="24"/>
                <w:highlight w:val="none"/>
                <w:lang w:eastAsia="zh-CN"/>
              </w:rPr>
              <w:t>。</w:t>
            </w:r>
          </w:p>
          <w:p w14:paraId="6877849A">
            <w:pPr>
              <w:pStyle w:val="52"/>
              <w:spacing w:line="240" w:lineRule="auto"/>
              <w:ind w:left="0" w:leftChars="0" w:firstLine="0" w:firstLineChars="0"/>
              <w:rPr>
                <w:color w:val="auto"/>
                <w:highlight w:val="none"/>
              </w:rPr>
            </w:pPr>
            <w:r>
              <w:rPr>
                <w:rFonts w:hint="eastAsia" w:ascii="宋体" w:hAnsi="宋体" w:cs="Arial"/>
                <w:b/>
                <w:bCs/>
                <w:color w:val="auto"/>
                <w:sz w:val="24"/>
                <w:highlight w:val="none"/>
              </w:rPr>
              <w:t>招标人邀请所有正确完成了获取招标文件、缴纳投标保证和电子投标响应的投标人参加开标，投标人可自主决定是否参加。投标人无须进行现场签到，可登录交易平台观看开标实况、提出异议或进行澄清、确认等操作，具体按招标文件和系统操作手册为准。</w:t>
            </w:r>
          </w:p>
        </w:tc>
      </w:tr>
      <w:tr w14:paraId="62B87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25B3107D">
            <w:pPr>
              <w:jc w:val="center"/>
              <w:rPr>
                <w:rFonts w:ascii="宋体" w:hAnsi="宋体" w:cs="宋体"/>
                <w:color w:val="auto"/>
                <w:sz w:val="24"/>
                <w:szCs w:val="24"/>
                <w:highlight w:val="none"/>
              </w:rPr>
            </w:pPr>
            <w:r>
              <w:rPr>
                <w:rFonts w:hint="eastAsia" w:ascii="宋体" w:hAnsi="宋体" w:cs="宋体"/>
                <w:color w:val="auto"/>
                <w:sz w:val="24"/>
                <w:szCs w:val="24"/>
                <w:highlight w:val="none"/>
              </w:rPr>
              <w:t>5.2.1</w:t>
            </w:r>
          </w:p>
        </w:tc>
        <w:tc>
          <w:tcPr>
            <w:tcW w:w="2728" w:type="dxa"/>
            <w:tcBorders>
              <w:top w:val="single" w:color="auto" w:sz="4" w:space="0"/>
              <w:left w:val="single" w:color="auto" w:sz="4" w:space="0"/>
              <w:bottom w:val="single" w:color="auto" w:sz="4" w:space="0"/>
              <w:right w:val="single" w:color="auto" w:sz="4" w:space="0"/>
            </w:tcBorders>
            <w:vAlign w:val="center"/>
          </w:tcPr>
          <w:p w14:paraId="5CAF9FC6">
            <w:pPr>
              <w:autoSpaceDE w:val="0"/>
              <w:autoSpaceDN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第一个信封（商务及技术文件）开标程序</w:t>
            </w:r>
          </w:p>
        </w:tc>
        <w:tc>
          <w:tcPr>
            <w:tcW w:w="6053" w:type="dxa"/>
            <w:tcBorders>
              <w:top w:val="single" w:color="auto" w:sz="4" w:space="0"/>
              <w:left w:val="single" w:color="auto" w:sz="4" w:space="0"/>
              <w:bottom w:val="single" w:color="auto" w:sz="4" w:space="0"/>
              <w:right w:val="single" w:color="auto" w:sz="12" w:space="0"/>
            </w:tcBorders>
            <w:vAlign w:val="center"/>
          </w:tcPr>
          <w:p w14:paraId="48D9EA2D">
            <w:pPr>
              <w:autoSpaceDE w:val="0"/>
              <w:autoSpaceDN w:val="0"/>
              <w:spacing w:line="3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（4）密封情况检查：</w:t>
            </w:r>
            <w:r>
              <w:rPr>
                <w:rFonts w:hint="eastAsia" w:ascii="宋体" w:hAnsi="宋体" w:cs="宋体"/>
                <w:color w:val="auto"/>
                <w:kern w:val="0"/>
                <w:sz w:val="24"/>
                <w:szCs w:val="24"/>
                <w:highlight w:val="none"/>
                <w:u w:val="single"/>
              </w:rPr>
              <w:t>本项目采用全流程电子投标，不需检查密封情况。</w:t>
            </w:r>
          </w:p>
          <w:p w14:paraId="5FC8AE6A">
            <w:pPr>
              <w:autoSpaceDE w:val="0"/>
              <w:autoSpaceDN w:val="0"/>
              <w:spacing w:line="360" w:lineRule="exact"/>
              <w:rPr>
                <w:rFonts w:ascii="宋体" w:hAnsi="宋体" w:cs="宋体"/>
                <w:color w:val="auto"/>
                <w:sz w:val="24"/>
                <w:szCs w:val="24"/>
                <w:highlight w:val="none"/>
              </w:rPr>
            </w:pPr>
            <w:r>
              <w:rPr>
                <w:rFonts w:hint="eastAsia" w:ascii="宋体" w:hAnsi="宋体" w:cs="宋体"/>
                <w:color w:val="auto"/>
                <w:kern w:val="0"/>
                <w:sz w:val="24"/>
                <w:szCs w:val="24"/>
                <w:highlight w:val="none"/>
              </w:rPr>
              <w:t>（5）开标顺序：</w:t>
            </w:r>
            <w:r>
              <w:rPr>
                <w:rFonts w:hint="eastAsia" w:ascii="宋体" w:hAnsi="宋体" w:cs="宋体"/>
                <w:color w:val="auto"/>
                <w:kern w:val="0"/>
                <w:sz w:val="24"/>
                <w:szCs w:val="24"/>
                <w:highlight w:val="none"/>
                <w:u w:val="single"/>
              </w:rPr>
              <w:t>对投标截止时间前上传的电子投标文件随机开标，先对投标文件第一信封（商务及技术文件）进行开标，并检查投标保证。</w:t>
            </w:r>
          </w:p>
        </w:tc>
      </w:tr>
      <w:tr w14:paraId="10BEE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7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143EEBAE">
            <w:pPr>
              <w:jc w:val="center"/>
              <w:rPr>
                <w:rFonts w:ascii="宋体" w:hAnsi="宋体" w:cs="宋体"/>
                <w:color w:val="auto"/>
                <w:sz w:val="24"/>
                <w:szCs w:val="24"/>
                <w:highlight w:val="none"/>
              </w:rPr>
            </w:pPr>
            <w:r>
              <w:rPr>
                <w:rFonts w:hint="eastAsia" w:ascii="宋体" w:hAnsi="宋体" w:cs="宋体"/>
                <w:color w:val="auto"/>
                <w:sz w:val="24"/>
                <w:szCs w:val="24"/>
                <w:highlight w:val="none"/>
              </w:rPr>
              <w:t>5.2.3</w:t>
            </w:r>
          </w:p>
        </w:tc>
        <w:tc>
          <w:tcPr>
            <w:tcW w:w="2728" w:type="dxa"/>
            <w:tcBorders>
              <w:top w:val="single" w:color="auto" w:sz="4" w:space="0"/>
              <w:left w:val="single" w:color="auto" w:sz="4" w:space="0"/>
              <w:bottom w:val="single" w:color="auto" w:sz="4" w:space="0"/>
              <w:right w:val="single" w:color="auto" w:sz="4" w:space="0"/>
            </w:tcBorders>
            <w:vAlign w:val="center"/>
          </w:tcPr>
          <w:p w14:paraId="02B357EB">
            <w:pPr>
              <w:autoSpaceDE w:val="0"/>
              <w:autoSpaceDN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第二个信封（报价文件）开标程序</w:t>
            </w:r>
          </w:p>
        </w:tc>
        <w:tc>
          <w:tcPr>
            <w:tcW w:w="6053" w:type="dxa"/>
            <w:tcBorders>
              <w:top w:val="single" w:color="auto" w:sz="4" w:space="0"/>
              <w:left w:val="single" w:color="auto" w:sz="4" w:space="0"/>
              <w:bottom w:val="single" w:color="auto" w:sz="4" w:space="0"/>
              <w:right w:val="single" w:color="auto" w:sz="12" w:space="0"/>
            </w:tcBorders>
            <w:vAlign w:val="center"/>
          </w:tcPr>
          <w:p w14:paraId="35AF86D5">
            <w:pPr>
              <w:autoSpaceDE w:val="0"/>
              <w:autoSpaceDN w:val="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（4）密封情况检查：</w:t>
            </w:r>
            <w:r>
              <w:rPr>
                <w:rFonts w:hint="eastAsia" w:ascii="宋体" w:hAnsi="宋体" w:cs="宋体"/>
                <w:color w:val="auto"/>
                <w:kern w:val="0"/>
                <w:sz w:val="24"/>
                <w:szCs w:val="24"/>
                <w:highlight w:val="none"/>
                <w:u w:val="single"/>
              </w:rPr>
              <w:t>本项目采用全流程电子投标，不需检查密封情况。</w:t>
            </w:r>
          </w:p>
          <w:p w14:paraId="235EA9AA">
            <w:pPr>
              <w:autoSpaceDE w:val="0"/>
              <w:autoSpaceDN w:val="0"/>
              <w:rPr>
                <w:rFonts w:ascii="宋体" w:hAnsi="宋体" w:cs="宋体"/>
                <w:color w:val="auto"/>
                <w:sz w:val="24"/>
                <w:szCs w:val="24"/>
                <w:highlight w:val="none"/>
              </w:rPr>
            </w:pPr>
            <w:r>
              <w:rPr>
                <w:rFonts w:hint="eastAsia" w:ascii="宋体" w:hAnsi="宋体" w:cs="宋体"/>
                <w:color w:val="auto"/>
                <w:kern w:val="0"/>
                <w:sz w:val="24"/>
                <w:szCs w:val="24"/>
                <w:highlight w:val="none"/>
              </w:rPr>
              <w:t>（5）开标顺序：</w:t>
            </w:r>
            <w:r>
              <w:rPr>
                <w:rFonts w:hint="eastAsia" w:ascii="宋体" w:hAnsi="宋体" w:cs="宋体"/>
                <w:color w:val="auto"/>
                <w:kern w:val="0"/>
                <w:sz w:val="24"/>
                <w:szCs w:val="24"/>
                <w:highlight w:val="none"/>
                <w:u w:val="single"/>
              </w:rPr>
              <w:t>对通过了投标文件第一信封（商务及技术文件）评审（是指第一信封（商务及技术文件）通过了评标办法规定的资格审查和初步评审，未出现废标情况）的投标人的电子投标文件第二信封（报价文件）进行随机开标。</w:t>
            </w:r>
          </w:p>
        </w:tc>
      </w:tr>
      <w:tr w14:paraId="003FE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597E4E90">
            <w:pPr>
              <w:jc w:val="center"/>
              <w:rPr>
                <w:rFonts w:ascii="宋体" w:hAnsi="宋体" w:cs="宋体"/>
                <w:b/>
                <w:color w:val="auto"/>
                <w:sz w:val="24"/>
                <w:szCs w:val="24"/>
                <w:highlight w:val="none"/>
              </w:rPr>
            </w:pPr>
            <w:r>
              <w:rPr>
                <w:rFonts w:hint="eastAsia" w:ascii="宋体" w:hAnsi="宋体" w:cs="宋体"/>
                <w:color w:val="auto"/>
                <w:sz w:val="24"/>
                <w:szCs w:val="24"/>
                <w:highlight w:val="none"/>
              </w:rPr>
              <w:t>6.1.1</w:t>
            </w:r>
          </w:p>
        </w:tc>
        <w:tc>
          <w:tcPr>
            <w:tcW w:w="2728" w:type="dxa"/>
            <w:tcBorders>
              <w:top w:val="single" w:color="auto" w:sz="4" w:space="0"/>
              <w:left w:val="single" w:color="auto" w:sz="4" w:space="0"/>
              <w:bottom w:val="single" w:color="auto" w:sz="4" w:space="0"/>
              <w:right w:val="single" w:color="auto" w:sz="4" w:space="0"/>
            </w:tcBorders>
            <w:vAlign w:val="center"/>
          </w:tcPr>
          <w:p w14:paraId="3353E616">
            <w:pPr>
              <w:jc w:val="center"/>
              <w:rPr>
                <w:rFonts w:ascii="宋体" w:hAnsi="宋体" w:cs="宋体"/>
                <w:b/>
                <w:color w:val="auto"/>
                <w:sz w:val="24"/>
                <w:szCs w:val="24"/>
                <w:highlight w:val="none"/>
              </w:rPr>
            </w:pPr>
            <w:r>
              <w:rPr>
                <w:rFonts w:hint="eastAsia" w:ascii="宋体" w:hAnsi="宋体" w:cs="宋体"/>
                <w:color w:val="auto"/>
                <w:sz w:val="24"/>
                <w:szCs w:val="24"/>
                <w:highlight w:val="none"/>
              </w:rPr>
              <w:t>评标委员会的组建</w:t>
            </w:r>
          </w:p>
        </w:tc>
        <w:tc>
          <w:tcPr>
            <w:tcW w:w="6053" w:type="dxa"/>
            <w:tcBorders>
              <w:top w:val="single" w:color="auto" w:sz="4" w:space="0"/>
              <w:left w:val="single" w:color="auto" w:sz="4" w:space="0"/>
              <w:bottom w:val="single" w:color="auto" w:sz="4" w:space="0"/>
              <w:right w:val="single" w:color="auto" w:sz="12" w:space="0"/>
            </w:tcBorders>
            <w:vAlign w:val="center"/>
          </w:tcPr>
          <w:p w14:paraId="39F36BEB">
            <w:pPr>
              <w:ind w:right="113"/>
              <w:rPr>
                <w:rFonts w:ascii="宋体" w:hAnsi="宋体" w:cs="宋体"/>
                <w:color w:val="auto"/>
                <w:sz w:val="24"/>
                <w:szCs w:val="24"/>
                <w:highlight w:val="none"/>
              </w:rPr>
            </w:pPr>
            <w:r>
              <w:rPr>
                <w:rFonts w:hint="eastAsia" w:ascii="宋体" w:hAnsi="宋体" w:cs="宋体"/>
                <w:color w:val="auto"/>
                <w:sz w:val="24"/>
                <w:highlight w:val="none"/>
              </w:rPr>
              <w:t>评标委员会构成：</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人</w:t>
            </w:r>
            <w:r>
              <w:rPr>
                <w:rFonts w:hint="eastAsia" w:ascii="宋体" w:hAnsi="宋体" w:cs="宋体"/>
                <w:color w:val="auto"/>
                <w:sz w:val="24"/>
                <w:highlight w:val="none"/>
              </w:rPr>
              <w:t>，其中招标人代表</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rPr>
              <w:t>人，专家</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人</w:t>
            </w:r>
            <w:r>
              <w:rPr>
                <w:rFonts w:hint="eastAsia" w:ascii="宋体" w:hAnsi="宋体" w:cs="宋体"/>
                <w:color w:val="auto"/>
                <w:sz w:val="24"/>
                <w:szCs w:val="24"/>
                <w:highlight w:val="none"/>
              </w:rPr>
              <w:t>；</w:t>
            </w:r>
          </w:p>
          <w:p w14:paraId="49034824">
            <w:pPr>
              <w:ind w:right="113"/>
              <w:rPr>
                <w:rFonts w:ascii="宋体" w:hAnsi="宋体" w:cs="宋体"/>
                <w:b/>
                <w:color w:val="auto"/>
                <w:sz w:val="24"/>
                <w:szCs w:val="24"/>
                <w:highlight w:val="none"/>
              </w:rPr>
            </w:pPr>
            <w:r>
              <w:rPr>
                <w:rFonts w:hint="eastAsia" w:ascii="宋体" w:hAnsi="宋体" w:cs="宋体"/>
                <w:color w:val="auto"/>
                <w:sz w:val="24"/>
                <w:szCs w:val="24"/>
                <w:highlight w:val="none"/>
              </w:rPr>
              <w:t>专家确定方式：从</w:t>
            </w:r>
            <w:r>
              <w:rPr>
                <w:rFonts w:hint="eastAsia" w:ascii="宋体" w:hAnsi="宋体" w:cs="宋体"/>
                <w:color w:val="auto"/>
                <w:sz w:val="24"/>
                <w:szCs w:val="24"/>
                <w:highlight w:val="none"/>
                <w:u w:val="single"/>
              </w:rPr>
              <w:t>广东省综合评标评审专家库</w:t>
            </w:r>
            <w:r>
              <w:rPr>
                <w:rFonts w:hint="eastAsia" w:ascii="宋体" w:hAnsi="宋体" w:cs="宋体"/>
                <w:color w:val="auto"/>
                <w:sz w:val="24"/>
                <w:szCs w:val="24"/>
                <w:highlight w:val="none"/>
              </w:rPr>
              <w:t>中随机抽取。</w:t>
            </w:r>
          </w:p>
        </w:tc>
      </w:tr>
      <w:tr w14:paraId="4303A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426C5B85">
            <w:pPr>
              <w:jc w:val="center"/>
              <w:rPr>
                <w:rFonts w:ascii="宋体" w:hAnsi="宋体" w:cs="宋体"/>
                <w:color w:val="auto"/>
                <w:sz w:val="24"/>
                <w:szCs w:val="24"/>
                <w:highlight w:val="none"/>
              </w:rPr>
            </w:pPr>
            <w:r>
              <w:rPr>
                <w:rFonts w:hint="eastAsia" w:ascii="宋体" w:hAnsi="宋体" w:cs="宋体"/>
                <w:color w:val="auto"/>
                <w:sz w:val="24"/>
                <w:szCs w:val="24"/>
                <w:highlight w:val="none"/>
              </w:rPr>
              <w:t>6.3.2</w:t>
            </w:r>
          </w:p>
        </w:tc>
        <w:tc>
          <w:tcPr>
            <w:tcW w:w="2728" w:type="dxa"/>
            <w:tcBorders>
              <w:top w:val="single" w:color="auto" w:sz="4" w:space="0"/>
              <w:left w:val="single" w:color="auto" w:sz="4" w:space="0"/>
              <w:bottom w:val="single" w:color="auto" w:sz="4" w:space="0"/>
              <w:right w:val="single" w:color="auto" w:sz="4" w:space="0"/>
            </w:tcBorders>
            <w:vAlign w:val="center"/>
          </w:tcPr>
          <w:p w14:paraId="0123A3B4">
            <w:pPr>
              <w:jc w:val="center"/>
              <w:rPr>
                <w:rFonts w:ascii="宋体" w:hAnsi="宋体" w:cs="宋体"/>
                <w:color w:val="auto"/>
                <w:sz w:val="24"/>
                <w:szCs w:val="24"/>
                <w:highlight w:val="none"/>
              </w:rPr>
            </w:pPr>
            <w:r>
              <w:rPr>
                <w:rFonts w:hint="eastAsia" w:ascii="宋体" w:hAnsi="宋体" w:cs="宋体"/>
                <w:color w:val="auto"/>
                <w:sz w:val="24"/>
                <w:szCs w:val="24"/>
                <w:highlight w:val="none"/>
              </w:rPr>
              <w:t>评标委员会推荐中标候选人的人数</w:t>
            </w:r>
          </w:p>
        </w:tc>
        <w:tc>
          <w:tcPr>
            <w:tcW w:w="6053" w:type="dxa"/>
            <w:tcBorders>
              <w:top w:val="single" w:color="auto" w:sz="4" w:space="0"/>
              <w:left w:val="single" w:color="auto" w:sz="4" w:space="0"/>
              <w:bottom w:val="single" w:color="auto" w:sz="4" w:space="0"/>
              <w:right w:val="single" w:color="auto" w:sz="12" w:space="0"/>
            </w:tcBorders>
            <w:vAlign w:val="center"/>
          </w:tcPr>
          <w:p w14:paraId="3525A6A8">
            <w:pPr>
              <w:ind w:left="147" w:leftChars="7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个</w:t>
            </w:r>
          </w:p>
        </w:tc>
      </w:tr>
      <w:tr w14:paraId="52786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62"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4E07E387">
            <w:pPr>
              <w:jc w:val="center"/>
              <w:rPr>
                <w:rFonts w:ascii="宋体" w:hAnsi="宋体" w:cs="宋体"/>
                <w:color w:val="auto"/>
                <w:sz w:val="24"/>
                <w:szCs w:val="24"/>
                <w:highlight w:val="none"/>
              </w:rPr>
            </w:pPr>
            <w:r>
              <w:rPr>
                <w:rFonts w:hint="eastAsia" w:ascii="宋体" w:hAnsi="宋体" w:cs="宋体"/>
                <w:color w:val="auto"/>
                <w:sz w:val="24"/>
                <w:szCs w:val="24"/>
                <w:highlight w:val="none"/>
              </w:rPr>
              <w:t>7.1</w:t>
            </w:r>
          </w:p>
        </w:tc>
        <w:tc>
          <w:tcPr>
            <w:tcW w:w="2728" w:type="dxa"/>
            <w:tcBorders>
              <w:top w:val="single" w:color="auto" w:sz="4" w:space="0"/>
              <w:left w:val="single" w:color="auto" w:sz="4" w:space="0"/>
              <w:bottom w:val="single" w:color="auto" w:sz="4" w:space="0"/>
              <w:right w:val="single" w:color="auto" w:sz="4" w:space="0"/>
            </w:tcBorders>
            <w:vAlign w:val="center"/>
          </w:tcPr>
          <w:p w14:paraId="0A6F7987">
            <w:pPr>
              <w:jc w:val="center"/>
              <w:rPr>
                <w:rFonts w:ascii="宋体" w:hAnsi="宋体" w:cs="宋体"/>
                <w:color w:val="auto"/>
                <w:sz w:val="24"/>
                <w:szCs w:val="24"/>
                <w:highlight w:val="none"/>
              </w:rPr>
            </w:pPr>
            <w:r>
              <w:rPr>
                <w:rFonts w:hint="eastAsia" w:ascii="宋体" w:hAnsi="宋体" w:cs="宋体"/>
                <w:color w:val="auto"/>
                <w:sz w:val="24"/>
                <w:szCs w:val="24"/>
                <w:highlight w:val="none"/>
              </w:rPr>
              <w:t>中标候选人公示媒介</w:t>
            </w:r>
          </w:p>
          <w:p w14:paraId="360FF8AA">
            <w:pPr>
              <w:jc w:val="center"/>
              <w:rPr>
                <w:rFonts w:ascii="宋体" w:hAnsi="宋体" w:cs="宋体"/>
                <w:color w:val="auto"/>
                <w:sz w:val="24"/>
                <w:szCs w:val="24"/>
                <w:highlight w:val="none"/>
              </w:rPr>
            </w:pPr>
            <w:r>
              <w:rPr>
                <w:rFonts w:hint="eastAsia" w:ascii="宋体" w:hAnsi="宋体" w:cs="宋体"/>
                <w:color w:val="auto"/>
                <w:sz w:val="24"/>
                <w:szCs w:val="24"/>
                <w:highlight w:val="none"/>
              </w:rPr>
              <w:t>及期限</w:t>
            </w:r>
          </w:p>
        </w:tc>
        <w:tc>
          <w:tcPr>
            <w:tcW w:w="6053" w:type="dxa"/>
            <w:tcBorders>
              <w:top w:val="single" w:color="auto" w:sz="4" w:space="0"/>
              <w:left w:val="single" w:color="auto" w:sz="4" w:space="0"/>
              <w:bottom w:val="single" w:color="auto" w:sz="4" w:space="0"/>
              <w:right w:val="single" w:color="auto" w:sz="12" w:space="0"/>
            </w:tcBorders>
            <w:vAlign w:val="center"/>
          </w:tcPr>
          <w:p w14:paraId="632D77EA">
            <w:pPr>
              <w:wordWrap w:val="0"/>
              <w:spacing w:line="276" w:lineRule="auto"/>
              <w:ind w:left="147" w:leftChars="70"/>
              <w:jc w:val="left"/>
              <w:rPr>
                <w:rFonts w:ascii="宋体" w:hAnsi="宋体" w:cs="宋体"/>
                <w:color w:val="auto"/>
                <w:sz w:val="24"/>
                <w:szCs w:val="24"/>
                <w:highlight w:val="none"/>
              </w:rPr>
            </w:pPr>
            <w:r>
              <w:rPr>
                <w:rFonts w:hint="eastAsia" w:ascii="宋体" w:hAnsi="宋体" w:cs="宋体"/>
                <w:color w:val="auto"/>
                <w:sz w:val="24"/>
                <w:szCs w:val="24"/>
                <w:highlight w:val="none"/>
              </w:rPr>
              <w:t>公示媒介：</w:t>
            </w:r>
            <w:r>
              <w:rPr>
                <w:rFonts w:hint="eastAsia" w:ascii="宋体" w:hAnsi="宋体" w:cs="宋体"/>
                <w:color w:val="auto"/>
                <w:sz w:val="24"/>
                <w:szCs w:val="24"/>
                <w:highlight w:val="none"/>
                <w:u w:val="single"/>
              </w:rPr>
              <w:t>广 东 省 招 标 投 标 监 管 网 、全国公共资源交易平台 （广东省·韶关市）</w:t>
            </w:r>
          </w:p>
          <w:p w14:paraId="384B5998">
            <w:pPr>
              <w:spacing w:line="276" w:lineRule="auto"/>
              <w:ind w:left="147" w:leftChars="70"/>
              <w:rPr>
                <w:rFonts w:ascii="宋体" w:hAnsi="宋体" w:cs="宋体"/>
                <w:color w:val="auto"/>
                <w:sz w:val="24"/>
                <w:szCs w:val="24"/>
                <w:highlight w:val="none"/>
              </w:rPr>
            </w:pPr>
            <w:r>
              <w:rPr>
                <w:rFonts w:hint="eastAsia" w:ascii="宋体" w:hAnsi="宋体" w:cs="宋体"/>
                <w:color w:val="auto"/>
                <w:sz w:val="24"/>
                <w:szCs w:val="24"/>
                <w:highlight w:val="none"/>
              </w:rPr>
              <w:t>公示期限：</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u w:val="single"/>
                <w:lang w:val="en-US" w:eastAsia="zh-CN"/>
              </w:rPr>
              <w:t>日</w:t>
            </w:r>
            <w:r>
              <w:rPr>
                <w:rFonts w:hint="eastAsia" w:ascii="宋体" w:hAnsi="宋体" w:cs="宋体"/>
                <w:color w:val="auto"/>
                <w:sz w:val="24"/>
                <w:szCs w:val="24"/>
                <w:highlight w:val="none"/>
                <w:u w:val="single"/>
              </w:rPr>
              <w:t xml:space="preserve"> </w:t>
            </w:r>
          </w:p>
          <w:p w14:paraId="29E42BBB">
            <w:pPr>
              <w:ind w:left="145" w:leftChars="69"/>
              <w:rPr>
                <w:rFonts w:ascii="宋体" w:hAnsi="宋体" w:cs="宋体"/>
                <w:color w:val="auto"/>
                <w:sz w:val="24"/>
                <w:szCs w:val="24"/>
                <w:highlight w:val="none"/>
              </w:rPr>
            </w:pPr>
            <w:r>
              <w:rPr>
                <w:rFonts w:hint="eastAsia" w:ascii="宋体" w:hAnsi="宋体" w:cs="宋体"/>
                <w:color w:val="auto"/>
                <w:sz w:val="24"/>
                <w:szCs w:val="24"/>
                <w:highlight w:val="none"/>
              </w:rPr>
              <w:t>公示的其他内容：</w:t>
            </w:r>
            <w:r>
              <w:rPr>
                <w:rFonts w:hint="eastAsia" w:ascii="宋体" w:hAnsi="宋体" w:cs="宋体"/>
                <w:color w:val="auto"/>
                <w:sz w:val="24"/>
                <w:szCs w:val="24"/>
                <w:highlight w:val="none"/>
                <w:u w:val="thick"/>
              </w:rPr>
              <w:t>最新一年度信用等级使用情况及所有承诺使用最新一年度AA、A级投标人的年度信用等级使用情况。</w:t>
            </w:r>
          </w:p>
        </w:tc>
      </w:tr>
      <w:tr w14:paraId="343B4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104B8CEB">
            <w:pPr>
              <w:jc w:val="center"/>
              <w:rPr>
                <w:rFonts w:ascii="宋体" w:hAnsi="宋体" w:cs="宋体"/>
                <w:b/>
                <w:color w:val="auto"/>
                <w:sz w:val="24"/>
                <w:szCs w:val="24"/>
                <w:highlight w:val="none"/>
              </w:rPr>
            </w:pPr>
            <w:r>
              <w:rPr>
                <w:rFonts w:hint="eastAsia" w:ascii="宋体" w:hAnsi="宋体" w:cs="宋体"/>
                <w:color w:val="auto"/>
                <w:sz w:val="24"/>
                <w:szCs w:val="24"/>
                <w:highlight w:val="none"/>
              </w:rPr>
              <w:t>7.4</w:t>
            </w:r>
          </w:p>
        </w:tc>
        <w:tc>
          <w:tcPr>
            <w:tcW w:w="2728" w:type="dxa"/>
            <w:tcBorders>
              <w:top w:val="single" w:color="auto" w:sz="4" w:space="0"/>
              <w:left w:val="single" w:color="auto" w:sz="4" w:space="0"/>
              <w:bottom w:val="single" w:color="auto" w:sz="4" w:space="0"/>
              <w:right w:val="single" w:color="auto" w:sz="4" w:space="0"/>
            </w:tcBorders>
            <w:vAlign w:val="center"/>
          </w:tcPr>
          <w:p w14:paraId="7C413F05">
            <w:pPr>
              <w:jc w:val="center"/>
              <w:rPr>
                <w:rFonts w:ascii="宋体" w:hAnsi="宋体" w:cs="宋体"/>
                <w:b/>
                <w:color w:val="auto"/>
                <w:sz w:val="24"/>
                <w:szCs w:val="24"/>
                <w:highlight w:val="none"/>
              </w:rPr>
            </w:pPr>
            <w:r>
              <w:rPr>
                <w:rFonts w:hint="eastAsia" w:ascii="宋体" w:hAnsi="宋体" w:cs="宋体"/>
                <w:color w:val="auto"/>
                <w:sz w:val="24"/>
                <w:szCs w:val="24"/>
                <w:highlight w:val="none"/>
              </w:rPr>
              <w:t>是否授权评标委员会确定中标人</w:t>
            </w:r>
          </w:p>
        </w:tc>
        <w:tc>
          <w:tcPr>
            <w:tcW w:w="6053" w:type="dxa"/>
            <w:tcBorders>
              <w:top w:val="single" w:color="auto" w:sz="4" w:space="0"/>
              <w:left w:val="single" w:color="auto" w:sz="4" w:space="0"/>
              <w:bottom w:val="single" w:color="auto" w:sz="4" w:space="0"/>
              <w:right w:val="single" w:color="auto" w:sz="12" w:space="0"/>
            </w:tcBorders>
            <w:vAlign w:val="center"/>
          </w:tcPr>
          <w:p w14:paraId="58E4ED3F">
            <w:pPr>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是</w:t>
            </w:r>
          </w:p>
          <w:p w14:paraId="1F130E82">
            <w:pPr>
              <w:spacing w:line="240" w:lineRule="auto"/>
              <w:rPr>
                <w:rFonts w:ascii="宋体" w:hAnsi="宋体" w:cs="宋体"/>
                <w:b/>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否</w:t>
            </w:r>
          </w:p>
        </w:tc>
      </w:tr>
      <w:tr w14:paraId="63AA4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1AC1E3D7">
            <w:pPr>
              <w:jc w:val="center"/>
              <w:rPr>
                <w:rFonts w:ascii="宋体" w:hAnsi="宋体" w:cs="宋体"/>
                <w:color w:val="auto"/>
                <w:sz w:val="24"/>
                <w:szCs w:val="24"/>
                <w:highlight w:val="none"/>
              </w:rPr>
            </w:pPr>
            <w:r>
              <w:rPr>
                <w:rFonts w:hint="eastAsia" w:ascii="宋体" w:hAnsi="宋体" w:cs="宋体"/>
                <w:color w:val="auto"/>
                <w:sz w:val="24"/>
                <w:szCs w:val="24"/>
                <w:highlight w:val="none"/>
              </w:rPr>
              <w:t>7.5</w:t>
            </w:r>
          </w:p>
        </w:tc>
        <w:tc>
          <w:tcPr>
            <w:tcW w:w="2728" w:type="dxa"/>
            <w:tcBorders>
              <w:top w:val="single" w:color="auto" w:sz="4" w:space="0"/>
              <w:left w:val="single" w:color="auto" w:sz="4" w:space="0"/>
              <w:bottom w:val="single" w:color="auto" w:sz="4" w:space="0"/>
              <w:right w:val="single" w:color="auto" w:sz="4" w:space="0"/>
            </w:tcBorders>
            <w:vAlign w:val="center"/>
          </w:tcPr>
          <w:p w14:paraId="32FB980A">
            <w:pPr>
              <w:jc w:val="center"/>
              <w:rPr>
                <w:rFonts w:ascii="宋体" w:hAnsi="宋体" w:cs="宋体"/>
                <w:color w:val="auto"/>
                <w:sz w:val="24"/>
                <w:szCs w:val="24"/>
                <w:highlight w:val="none"/>
              </w:rPr>
            </w:pPr>
            <w:r>
              <w:rPr>
                <w:rFonts w:hint="eastAsia" w:ascii="宋体" w:hAnsi="宋体" w:cs="宋体"/>
                <w:color w:val="auto"/>
                <w:sz w:val="24"/>
                <w:szCs w:val="24"/>
                <w:highlight w:val="none"/>
              </w:rPr>
              <w:t>中标通知书和中标结果通知发出的形式</w:t>
            </w:r>
          </w:p>
        </w:tc>
        <w:tc>
          <w:tcPr>
            <w:tcW w:w="6053" w:type="dxa"/>
            <w:tcBorders>
              <w:top w:val="single" w:color="auto" w:sz="4" w:space="0"/>
              <w:left w:val="single" w:color="auto" w:sz="4" w:space="0"/>
              <w:bottom w:val="single" w:color="auto" w:sz="4" w:space="0"/>
              <w:right w:val="single" w:color="auto" w:sz="12" w:space="0"/>
            </w:tcBorders>
            <w:vAlign w:val="center"/>
          </w:tcPr>
          <w:p w14:paraId="70890828">
            <w:pPr>
              <w:spacing w:line="440" w:lineRule="exact"/>
              <w:ind w:firstLine="240" w:firstLineChars="100"/>
              <w:rPr>
                <w:rFonts w:ascii="宋体" w:hAnsi="宋体" w:cs="宋体"/>
                <w:color w:val="auto"/>
                <w:sz w:val="24"/>
                <w:szCs w:val="24"/>
                <w:highlight w:val="none"/>
              </w:rPr>
            </w:pPr>
            <w:r>
              <w:rPr>
                <w:rFonts w:hint="eastAsia" w:ascii="宋体" w:hAnsi="宋体" w:cs="宋体"/>
                <w:color w:val="auto"/>
                <w:sz w:val="24"/>
                <w:highlight w:val="none"/>
              </w:rPr>
              <w:t>电子形式</w:t>
            </w:r>
          </w:p>
        </w:tc>
      </w:tr>
      <w:tr w14:paraId="6A5B3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4BC0AE83">
            <w:pPr>
              <w:jc w:val="center"/>
              <w:rPr>
                <w:rFonts w:ascii="宋体" w:hAnsi="宋体" w:cs="宋体"/>
                <w:color w:val="auto"/>
                <w:sz w:val="24"/>
                <w:szCs w:val="24"/>
                <w:highlight w:val="none"/>
              </w:rPr>
            </w:pPr>
            <w:r>
              <w:rPr>
                <w:rFonts w:hint="eastAsia" w:ascii="宋体" w:hAnsi="宋体" w:cs="宋体"/>
                <w:color w:val="auto"/>
                <w:sz w:val="24"/>
                <w:szCs w:val="24"/>
                <w:highlight w:val="none"/>
              </w:rPr>
              <w:t>7.6</w:t>
            </w:r>
          </w:p>
        </w:tc>
        <w:tc>
          <w:tcPr>
            <w:tcW w:w="2728" w:type="dxa"/>
            <w:tcBorders>
              <w:top w:val="single" w:color="auto" w:sz="4" w:space="0"/>
              <w:left w:val="single" w:color="auto" w:sz="4" w:space="0"/>
              <w:bottom w:val="single" w:color="auto" w:sz="4" w:space="0"/>
              <w:right w:val="single" w:color="auto" w:sz="4" w:space="0"/>
            </w:tcBorders>
            <w:vAlign w:val="center"/>
          </w:tcPr>
          <w:p w14:paraId="23D94F41">
            <w:pPr>
              <w:jc w:val="center"/>
              <w:rPr>
                <w:rFonts w:ascii="宋体" w:hAnsi="宋体" w:cs="宋体"/>
                <w:color w:val="auto"/>
                <w:sz w:val="24"/>
                <w:szCs w:val="24"/>
                <w:highlight w:val="none"/>
              </w:rPr>
            </w:pPr>
            <w:r>
              <w:rPr>
                <w:rFonts w:hint="eastAsia" w:ascii="宋体" w:hAnsi="宋体" w:cs="宋体"/>
                <w:color w:val="auto"/>
                <w:sz w:val="24"/>
                <w:szCs w:val="24"/>
                <w:highlight w:val="none"/>
              </w:rPr>
              <w:t>中标结果公告媒介</w:t>
            </w:r>
          </w:p>
        </w:tc>
        <w:tc>
          <w:tcPr>
            <w:tcW w:w="6053" w:type="dxa"/>
            <w:tcBorders>
              <w:top w:val="single" w:color="auto" w:sz="4" w:space="0"/>
              <w:left w:val="single" w:color="auto" w:sz="4" w:space="0"/>
              <w:bottom w:val="single" w:color="auto" w:sz="4" w:space="0"/>
              <w:right w:val="single" w:color="auto" w:sz="12" w:space="0"/>
            </w:tcBorders>
            <w:vAlign w:val="center"/>
          </w:tcPr>
          <w:p w14:paraId="0E41E47F">
            <w:pPr>
              <w:pStyle w:val="80"/>
              <w:spacing w:before="78"/>
              <w:ind w:left="107"/>
              <w:rPr>
                <w:rFonts w:ascii="宋体" w:hAnsi="宋体" w:cs="宋体"/>
                <w:color w:val="auto"/>
                <w:sz w:val="24"/>
                <w:szCs w:val="24"/>
                <w:highlight w:val="none"/>
              </w:rPr>
            </w:pPr>
            <w:r>
              <w:rPr>
                <w:rFonts w:hint="eastAsia" w:ascii="宋体" w:hAnsi="宋体" w:cs="宋体"/>
                <w:color w:val="auto"/>
                <w:sz w:val="24"/>
                <w:szCs w:val="24"/>
                <w:highlight w:val="none"/>
              </w:rPr>
              <w:t>公示媒介：</w:t>
            </w:r>
            <w:r>
              <w:rPr>
                <w:rFonts w:hint="eastAsia" w:ascii="宋体" w:hAnsi="宋体" w:cs="宋体"/>
                <w:color w:val="auto"/>
                <w:sz w:val="24"/>
                <w:szCs w:val="24"/>
                <w:highlight w:val="none"/>
                <w:u w:val="single"/>
              </w:rPr>
              <w:t>广东省招标投标监管网 、全国公共资源交易平台（广东省·韶关市）</w:t>
            </w:r>
            <w:r>
              <w:rPr>
                <w:rFonts w:hint="eastAsia" w:ascii="宋体" w:hAnsi="宋体" w:cs="宋体"/>
                <w:color w:val="auto"/>
                <w:sz w:val="24"/>
                <w:szCs w:val="24"/>
                <w:highlight w:val="none"/>
              </w:rPr>
              <w:t>。</w:t>
            </w:r>
          </w:p>
        </w:tc>
      </w:tr>
      <w:tr w14:paraId="1FA73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71"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3884ACF2">
            <w:pPr>
              <w:jc w:val="center"/>
              <w:rPr>
                <w:rFonts w:ascii="宋体" w:hAnsi="宋体" w:cs="宋体"/>
                <w:color w:val="auto"/>
                <w:sz w:val="24"/>
                <w:szCs w:val="24"/>
                <w:highlight w:val="none"/>
              </w:rPr>
            </w:pPr>
            <w:r>
              <w:rPr>
                <w:rFonts w:hint="eastAsia" w:ascii="宋体" w:hAnsi="宋体" w:cs="宋体"/>
                <w:color w:val="auto"/>
                <w:sz w:val="24"/>
                <w:szCs w:val="24"/>
                <w:highlight w:val="none"/>
              </w:rPr>
              <w:t>7.7.1</w:t>
            </w:r>
          </w:p>
        </w:tc>
        <w:tc>
          <w:tcPr>
            <w:tcW w:w="2728" w:type="dxa"/>
            <w:tcBorders>
              <w:top w:val="single" w:color="auto" w:sz="4" w:space="0"/>
              <w:left w:val="single" w:color="auto" w:sz="4" w:space="0"/>
              <w:bottom w:val="single" w:color="auto" w:sz="4" w:space="0"/>
              <w:right w:val="single" w:color="auto" w:sz="4" w:space="0"/>
            </w:tcBorders>
            <w:vAlign w:val="center"/>
          </w:tcPr>
          <w:p w14:paraId="28257359">
            <w:pPr>
              <w:jc w:val="center"/>
              <w:rPr>
                <w:rFonts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6053" w:type="dxa"/>
            <w:tcBorders>
              <w:top w:val="single" w:color="auto" w:sz="4" w:space="0"/>
              <w:left w:val="single" w:color="auto" w:sz="4" w:space="0"/>
              <w:bottom w:val="single" w:color="auto" w:sz="4" w:space="0"/>
              <w:right w:val="single" w:color="auto" w:sz="12" w:space="0"/>
            </w:tcBorders>
            <w:vAlign w:val="center"/>
          </w:tcPr>
          <w:p w14:paraId="11F81240">
            <w:pPr>
              <w:ind w:right="113"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是否要求中标人提交履约保证金：</w:t>
            </w:r>
          </w:p>
          <w:p w14:paraId="629678DD">
            <w:pPr>
              <w:ind w:left="105" w:leftChars="50" w:right="113"/>
              <w:rPr>
                <w:rFonts w:ascii="宋体" w:hAnsi="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sz w:val="24"/>
                <w:szCs w:val="24"/>
                <w:highlight w:val="none"/>
              </w:rPr>
              <w:t>要求，履约担保形式：</w:t>
            </w:r>
            <w:r>
              <w:rPr>
                <w:rFonts w:hint="eastAsia" w:ascii="宋体" w:hAnsi="宋体" w:cs="宋体"/>
                <w:color w:val="auto"/>
                <w:sz w:val="24"/>
                <w:szCs w:val="24"/>
                <w:highlight w:val="none"/>
                <w:u w:val="single"/>
              </w:rPr>
              <w:t>由投标人自主选择采用现金（或支票）、或银行保函</w:t>
            </w:r>
            <w:r>
              <w:rPr>
                <w:rFonts w:hint="eastAsia" w:ascii="宋体" w:hAnsi="宋体" w:cs="宋体"/>
                <w:color w:val="auto"/>
                <w:sz w:val="24"/>
                <w:szCs w:val="24"/>
                <w:highlight w:val="none"/>
                <w:u w:val="single"/>
                <w:lang w:val="en-US" w:eastAsia="zh-CN"/>
              </w:rPr>
              <w:t>或其他合法形式，根据《关于统一在市公共资源交易一体化服务平台缴退工程建设项目履约保证金的通知》办理相关手续</w:t>
            </w:r>
            <w:r>
              <w:rPr>
                <w:rFonts w:hint="eastAsia" w:ascii="宋体" w:hAnsi="宋体" w:cs="宋体"/>
                <w:color w:val="auto"/>
                <w:sz w:val="24"/>
                <w:szCs w:val="24"/>
                <w:highlight w:val="none"/>
              </w:rPr>
              <w:t>。</w:t>
            </w:r>
          </w:p>
          <w:p w14:paraId="015C762B">
            <w:pPr>
              <w:ind w:left="105" w:leftChars="50" w:right="113"/>
              <w:rPr>
                <w:rFonts w:ascii="宋体" w:hAnsi="宋体" w:cs="宋体"/>
                <w:color w:val="auto"/>
                <w:sz w:val="24"/>
                <w:szCs w:val="24"/>
                <w:highlight w:val="none"/>
              </w:rPr>
            </w:pPr>
            <w:r>
              <w:rPr>
                <w:rFonts w:hint="eastAsia" w:ascii="宋体" w:hAnsi="宋体" w:cs="宋体"/>
                <w:color w:val="auto"/>
                <w:sz w:val="24"/>
                <w:szCs w:val="24"/>
                <w:highlight w:val="none"/>
              </w:rPr>
              <w:t xml:space="preserve">   履约担保金额：中标合同额的</w:t>
            </w:r>
            <w:r>
              <w:rPr>
                <w:rFonts w:hint="eastAsia" w:ascii="宋体" w:hAnsi="宋体" w:cs="宋体"/>
                <w:color w:val="auto"/>
                <w:sz w:val="24"/>
                <w:szCs w:val="24"/>
                <w:highlight w:val="none"/>
                <w:u w:val="single"/>
              </w:rPr>
              <w:t>10</w:t>
            </w:r>
            <w:r>
              <w:rPr>
                <w:rFonts w:hint="eastAsia" w:ascii="宋体" w:hAnsi="宋体" w:cs="宋体"/>
                <w:color w:val="auto"/>
                <w:sz w:val="24"/>
                <w:szCs w:val="24"/>
                <w:highlight w:val="none"/>
              </w:rPr>
              <w:t>%。</w:t>
            </w:r>
          </w:p>
          <w:p w14:paraId="32E9AC60">
            <w:pPr>
              <w:ind w:left="105" w:leftChars="50" w:right="113"/>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   采用银行保函时，出具履约担保的银行级别：</w:t>
            </w:r>
            <w:r>
              <w:rPr>
                <w:rFonts w:hint="eastAsia" w:ascii="宋体" w:hAnsi="宋体" w:cs="宋体"/>
                <w:color w:val="auto"/>
                <w:sz w:val="24"/>
                <w:szCs w:val="24"/>
                <w:highlight w:val="none"/>
                <w:u w:val="single"/>
                <w:lang w:val="en-US" w:eastAsia="zh-CN"/>
              </w:rPr>
              <w:t>/</w:t>
            </w:r>
          </w:p>
          <w:p w14:paraId="09A0D978">
            <w:pPr>
              <w:ind w:left="105" w:leftChars="50" w:right="113"/>
              <w:rPr>
                <w:rFonts w:ascii="宋体" w:hAnsi="宋体" w:cs="宋体"/>
                <w:color w:val="auto"/>
                <w:sz w:val="24"/>
                <w:szCs w:val="24"/>
                <w:highlight w:val="none"/>
              </w:rPr>
            </w:pPr>
            <w:r>
              <w:rPr>
                <w:rFonts w:hint="eastAsia" w:ascii="宋体" w:hAnsi="宋体" w:cs="宋体"/>
                <w:color w:val="auto"/>
                <w:sz w:val="24"/>
                <w:szCs w:val="24"/>
                <w:highlight w:val="none"/>
              </w:rPr>
              <w:t>□不要求</w:t>
            </w:r>
          </w:p>
        </w:tc>
      </w:tr>
      <w:tr w14:paraId="77ACA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3E37758A">
            <w:pPr>
              <w:jc w:val="center"/>
              <w:rPr>
                <w:rFonts w:ascii="宋体" w:hAnsi="宋体" w:cs="宋体"/>
                <w:color w:val="auto"/>
                <w:sz w:val="24"/>
                <w:szCs w:val="24"/>
                <w:highlight w:val="none"/>
              </w:rPr>
            </w:pPr>
            <w:r>
              <w:rPr>
                <w:rFonts w:hint="eastAsia" w:ascii="宋体" w:hAnsi="宋体" w:cs="宋体"/>
                <w:color w:val="auto"/>
                <w:sz w:val="24"/>
                <w:szCs w:val="24"/>
                <w:highlight w:val="none"/>
              </w:rPr>
              <w:t>8.5.1</w:t>
            </w:r>
          </w:p>
        </w:tc>
        <w:tc>
          <w:tcPr>
            <w:tcW w:w="2728" w:type="dxa"/>
            <w:tcBorders>
              <w:top w:val="single" w:color="auto" w:sz="4" w:space="0"/>
              <w:left w:val="single" w:color="auto" w:sz="4" w:space="0"/>
              <w:bottom w:val="single" w:color="auto" w:sz="4" w:space="0"/>
              <w:right w:val="single" w:color="auto" w:sz="4" w:space="0"/>
            </w:tcBorders>
            <w:vAlign w:val="center"/>
          </w:tcPr>
          <w:p w14:paraId="4DBF7311">
            <w:pPr>
              <w:jc w:val="center"/>
              <w:rPr>
                <w:rFonts w:ascii="宋体" w:hAnsi="宋体" w:cs="宋体"/>
                <w:color w:val="auto"/>
                <w:sz w:val="24"/>
                <w:szCs w:val="24"/>
                <w:highlight w:val="none"/>
              </w:rPr>
            </w:pPr>
            <w:r>
              <w:rPr>
                <w:rFonts w:hint="eastAsia" w:ascii="宋体" w:hAnsi="宋体" w:cs="宋体"/>
                <w:color w:val="auto"/>
                <w:sz w:val="24"/>
                <w:szCs w:val="24"/>
                <w:highlight w:val="none"/>
              </w:rPr>
              <w:t>监督部门</w:t>
            </w:r>
          </w:p>
        </w:tc>
        <w:tc>
          <w:tcPr>
            <w:tcW w:w="6053" w:type="dxa"/>
            <w:tcBorders>
              <w:top w:val="single" w:color="auto" w:sz="4" w:space="0"/>
              <w:left w:val="single" w:color="auto" w:sz="4" w:space="0"/>
              <w:bottom w:val="single" w:color="auto" w:sz="4" w:space="0"/>
              <w:right w:val="single" w:color="auto" w:sz="12" w:space="0"/>
            </w:tcBorders>
            <w:vAlign w:val="center"/>
          </w:tcPr>
          <w:p w14:paraId="36E17680">
            <w:pPr>
              <w:pStyle w:val="80"/>
              <w:keepNext w:val="0"/>
              <w:keepLines w:val="0"/>
              <w:pageBreakBefore w:val="0"/>
              <w:widowControl w:val="0"/>
              <w:kinsoku/>
              <w:wordWrap/>
              <w:overflowPunct/>
              <w:topLinePunct w:val="0"/>
              <w:autoSpaceDE w:val="0"/>
              <w:autoSpaceDN w:val="0"/>
              <w:bidi w:val="0"/>
              <w:adjustRightInd/>
              <w:spacing w:line="400" w:lineRule="exact"/>
              <w:ind w:right="92" w:firstLine="234"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highlight w:val="none"/>
              </w:rPr>
              <w:t>监督部门：</w:t>
            </w:r>
            <w:r>
              <w:rPr>
                <w:rFonts w:hint="eastAsia" w:ascii="宋体" w:hAnsi="宋体" w:eastAsia="宋体" w:cs="宋体"/>
                <w:color w:val="auto"/>
                <w:spacing w:val="-3"/>
                <w:sz w:val="24"/>
                <w:szCs w:val="24"/>
                <w:highlight w:val="none"/>
                <w:lang w:val="en-US" w:eastAsia="zh-CN"/>
              </w:rPr>
              <w:t>乐昌市交通运输局</w:t>
            </w:r>
          </w:p>
          <w:p w14:paraId="5C283381">
            <w:pPr>
              <w:pStyle w:val="80"/>
              <w:keepNext w:val="0"/>
              <w:keepLines w:val="0"/>
              <w:pageBreakBefore w:val="0"/>
              <w:widowControl w:val="0"/>
              <w:kinsoku/>
              <w:wordWrap/>
              <w:overflowPunct/>
              <w:topLinePunct w:val="0"/>
              <w:autoSpaceDE w:val="0"/>
              <w:autoSpaceDN w:val="0"/>
              <w:bidi w:val="0"/>
              <w:adjustRightInd/>
              <w:spacing w:line="400" w:lineRule="exact"/>
              <w:ind w:right="0" w:firstLine="238" w:firstLineChars="100"/>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地    址：</w:t>
            </w:r>
            <w:r>
              <w:rPr>
                <w:rFonts w:hint="eastAsia" w:ascii="宋体" w:hAnsi="宋体" w:eastAsia="宋体" w:cs="宋体"/>
                <w:color w:val="auto"/>
                <w:spacing w:val="-1"/>
                <w:sz w:val="24"/>
                <w:szCs w:val="24"/>
                <w:highlight w:val="none"/>
                <w:lang w:val="en-US" w:eastAsia="zh-CN"/>
              </w:rPr>
              <w:t>乐昌市公园路7号</w:t>
            </w:r>
          </w:p>
          <w:p w14:paraId="4E719E14">
            <w:pPr>
              <w:pStyle w:val="80"/>
              <w:keepNext w:val="0"/>
              <w:keepLines w:val="0"/>
              <w:pageBreakBefore w:val="0"/>
              <w:widowControl w:val="0"/>
              <w:kinsoku/>
              <w:wordWrap/>
              <w:overflowPunct/>
              <w:topLinePunct w:val="0"/>
              <w:autoSpaceDE w:val="0"/>
              <w:autoSpaceDN w:val="0"/>
              <w:bidi w:val="0"/>
              <w:adjustRightInd/>
              <w:spacing w:line="400" w:lineRule="exact"/>
              <w:ind w:right="0" w:firstLine="238" w:firstLineChars="100"/>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电    话：</w:t>
            </w:r>
            <w:r>
              <w:rPr>
                <w:rFonts w:hint="eastAsia" w:ascii="宋体" w:hAnsi="宋体" w:eastAsia="宋体" w:cs="宋体"/>
                <w:color w:val="auto"/>
                <w:sz w:val="24"/>
                <w:szCs w:val="24"/>
                <w:highlight w:val="none"/>
                <w:lang w:val="en-US" w:eastAsia="zh-CN"/>
              </w:rPr>
              <w:t>0751-5574986</w:t>
            </w:r>
          </w:p>
          <w:p w14:paraId="3BF85218">
            <w:pPr>
              <w:pStyle w:val="80"/>
              <w:keepNext w:val="0"/>
              <w:keepLines w:val="0"/>
              <w:pageBreakBefore w:val="0"/>
              <w:widowControl w:val="0"/>
              <w:kinsoku/>
              <w:wordWrap/>
              <w:overflowPunct/>
              <w:topLinePunct w:val="0"/>
              <w:autoSpaceDE w:val="0"/>
              <w:autoSpaceDN w:val="0"/>
              <w:bidi w:val="0"/>
              <w:adjustRightInd/>
              <w:spacing w:line="400" w:lineRule="exact"/>
              <w:ind w:right="0" w:firstLine="238"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 xml:space="preserve">传   </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真：</w:t>
            </w:r>
            <w:r>
              <w:rPr>
                <w:rFonts w:hint="eastAsia" w:ascii="宋体" w:hAnsi="宋体" w:eastAsia="宋体" w:cs="宋体"/>
                <w:color w:val="auto"/>
                <w:sz w:val="24"/>
                <w:szCs w:val="24"/>
                <w:highlight w:val="none"/>
                <w:lang w:val="en-US" w:eastAsia="zh-CN"/>
              </w:rPr>
              <w:t>0751-5574986</w:t>
            </w:r>
            <w:r>
              <w:rPr>
                <w:rFonts w:hint="eastAsia" w:ascii="宋体" w:hAnsi="宋体" w:eastAsia="宋体" w:cs="宋体"/>
                <w:color w:val="auto"/>
                <w:sz w:val="24"/>
                <w:szCs w:val="24"/>
                <w:highlight w:val="none"/>
              </w:rPr>
              <w:t xml:space="preserve"> </w:t>
            </w:r>
          </w:p>
          <w:p w14:paraId="43CF7436">
            <w:pPr>
              <w:ind w:right="113" w:firstLine="236" w:firstLineChars="100"/>
              <w:rPr>
                <w:rFonts w:ascii="宋体" w:hAnsi="宋体" w:cs="宋体"/>
                <w:color w:val="auto"/>
                <w:sz w:val="24"/>
                <w:szCs w:val="24"/>
                <w:highlight w:val="none"/>
              </w:rPr>
            </w:pPr>
            <w:r>
              <w:rPr>
                <w:rFonts w:hint="eastAsia" w:ascii="宋体" w:hAnsi="宋体" w:eastAsia="宋体" w:cs="宋体"/>
                <w:color w:val="auto"/>
                <w:spacing w:val="-2"/>
                <w:sz w:val="24"/>
                <w:szCs w:val="24"/>
                <w:highlight w:val="none"/>
              </w:rPr>
              <w:t>邮政编码：</w:t>
            </w:r>
            <w:r>
              <w:rPr>
                <w:rFonts w:hint="eastAsia" w:ascii="宋体" w:hAnsi="宋体" w:eastAsia="宋体" w:cs="宋体"/>
                <w:color w:val="auto"/>
                <w:sz w:val="24"/>
                <w:szCs w:val="24"/>
                <w:highlight w:val="none"/>
                <w:lang w:val="en-US" w:eastAsia="zh-CN"/>
              </w:rPr>
              <w:t>512200</w:t>
            </w:r>
          </w:p>
        </w:tc>
      </w:tr>
      <w:tr w14:paraId="016A4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14:paraId="32A4AF5E">
            <w:pPr>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2728" w:type="dxa"/>
            <w:tcBorders>
              <w:top w:val="single" w:color="auto" w:sz="4" w:space="0"/>
              <w:left w:val="single" w:color="auto" w:sz="4" w:space="0"/>
              <w:bottom w:val="single" w:color="auto" w:sz="4" w:space="0"/>
              <w:right w:val="single" w:color="auto" w:sz="4" w:space="0"/>
            </w:tcBorders>
            <w:vAlign w:val="center"/>
          </w:tcPr>
          <w:p w14:paraId="6F9B8E42">
            <w:pPr>
              <w:autoSpaceDE w:val="0"/>
              <w:autoSpaceDN w:val="0"/>
              <w:rPr>
                <w:rFonts w:ascii="宋体" w:hAnsi="宋体" w:cs="宋体"/>
                <w:color w:val="auto"/>
                <w:sz w:val="24"/>
                <w:szCs w:val="24"/>
                <w:highlight w:val="none"/>
              </w:rPr>
            </w:pPr>
            <w:r>
              <w:rPr>
                <w:rFonts w:hint="eastAsia" w:ascii="宋体" w:hAnsi="宋体" w:cs="宋体"/>
                <w:color w:val="auto"/>
                <w:kern w:val="0"/>
                <w:sz w:val="24"/>
                <w:szCs w:val="24"/>
                <w:highlight w:val="none"/>
              </w:rPr>
              <w:t>是否采用电子招标投标</w:t>
            </w:r>
          </w:p>
        </w:tc>
        <w:tc>
          <w:tcPr>
            <w:tcW w:w="6053" w:type="dxa"/>
            <w:tcBorders>
              <w:top w:val="single" w:color="auto" w:sz="4" w:space="0"/>
              <w:left w:val="single" w:color="auto" w:sz="4" w:space="0"/>
              <w:bottom w:val="single" w:color="auto" w:sz="4" w:space="0"/>
              <w:right w:val="single" w:color="auto" w:sz="12" w:space="0"/>
            </w:tcBorders>
            <w:vAlign w:val="center"/>
          </w:tcPr>
          <w:p w14:paraId="4D8E8031">
            <w:pPr>
              <w:autoSpaceDE w:val="0"/>
              <w:autoSpaceDN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否</w:t>
            </w:r>
          </w:p>
          <w:p w14:paraId="534A709F">
            <w:pPr>
              <w:autoSpaceDE w:val="0"/>
              <w:autoSpaceDN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是，具体要求：</w:t>
            </w:r>
          </w:p>
          <w:p w14:paraId="72F039C4">
            <w:pPr>
              <w:pStyle w:val="82"/>
              <w:ind w:firstLine="482" w:firstLineChars="200"/>
              <w:rPr>
                <w:rFonts w:ascii="宋体" w:hAnsi="宋体" w:cs="宋体"/>
                <w:color w:val="auto"/>
                <w:sz w:val="24"/>
                <w:szCs w:val="24"/>
                <w:highlight w:val="none"/>
              </w:rPr>
            </w:pPr>
            <w:r>
              <w:rPr>
                <w:rFonts w:hint="eastAsia" w:ascii="宋体" w:hAnsi="宋体" w:cs="宋体"/>
                <w:b/>
                <w:color w:val="auto"/>
                <w:sz w:val="24"/>
                <w:highlight w:val="none"/>
                <w:u w:val="double"/>
              </w:rPr>
              <w:t>投标人必须在规定的截止时间前使用交易系统完成获取招标文件、缴纳投标保证和全流程电子投标，只有满足以上所有条件，方为有效投标。</w:t>
            </w:r>
          </w:p>
        </w:tc>
      </w:tr>
      <w:tr w14:paraId="532B0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9749" w:type="dxa"/>
            <w:gridSpan w:val="3"/>
            <w:tcBorders>
              <w:top w:val="single" w:color="auto" w:sz="4" w:space="0"/>
              <w:left w:val="single" w:color="auto" w:sz="12" w:space="0"/>
              <w:bottom w:val="single" w:color="auto" w:sz="4" w:space="0"/>
              <w:right w:val="single" w:color="auto" w:sz="12" w:space="0"/>
            </w:tcBorders>
            <w:vAlign w:val="center"/>
          </w:tcPr>
          <w:p w14:paraId="44595B8D">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需补充的其他内容</w:t>
            </w:r>
          </w:p>
        </w:tc>
      </w:tr>
      <w:tr w14:paraId="4667A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45AAAD62">
            <w:pPr>
              <w:autoSpaceDE w:val="0"/>
              <w:autoSpaceDN w:val="0"/>
              <w:spacing w:line="480" w:lineRule="auto"/>
              <w:jc w:val="center"/>
              <w:rPr>
                <w:rFonts w:ascii="宋体" w:hAnsi="宋体" w:cs="宋体"/>
                <w:bCs/>
                <w:color w:val="auto"/>
                <w:sz w:val="24"/>
                <w:szCs w:val="24"/>
                <w:highlight w:val="none"/>
              </w:rPr>
            </w:pPr>
            <w:r>
              <w:rPr>
                <w:rFonts w:hint="eastAsia" w:ascii="宋体" w:hAnsi="宋体" w:cs="宋体"/>
                <w:bCs/>
                <w:color w:val="auto"/>
                <w:kern w:val="0"/>
                <w:sz w:val="24"/>
                <w:szCs w:val="24"/>
                <w:highlight w:val="none"/>
              </w:rPr>
              <w:t>1.4.4</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2D792052">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投标人须知正文</w:t>
            </w:r>
          </w:p>
          <w:p w14:paraId="384B7112">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第 1.4.4 项中（1）目中的“招标项目所在地”指“广东省”。</w:t>
            </w:r>
          </w:p>
          <w:p w14:paraId="297765FA">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第 1.4.4 项中（6）目内容修改如下：</w:t>
            </w:r>
          </w:p>
          <w:p w14:paraId="0DB92F3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根据韶关市发展和改革局《关于在我市公共资源交易活动中暂停使用行贿犯罪档案的通知》(韶发改公资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2018</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8号)的规定，无论投标人是否提供行贿犯罪档案，资格审查中行贿犯罪档案项审查结果均为合格。</w:t>
            </w:r>
          </w:p>
        </w:tc>
      </w:tr>
      <w:tr w14:paraId="53B75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1E2CFE4A">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2.2</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062C68B9">
            <w:pPr>
              <w:pStyle w:val="57"/>
              <w:spacing w:line="380" w:lineRule="exact"/>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在投标人须知范本原文增加内容如下：</w:t>
            </w:r>
          </w:p>
          <w:p w14:paraId="778093E0">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澄清和修改内容将以</w:t>
            </w:r>
            <w:r>
              <w:rPr>
                <w:rFonts w:hint="eastAsia" w:ascii="宋体" w:hAnsi="宋体" w:cs="宋体"/>
                <w:color w:val="auto"/>
                <w:sz w:val="24"/>
                <w:szCs w:val="24"/>
                <w:highlight w:val="none"/>
                <w:lang w:val="en-US" w:eastAsia="zh-CN"/>
              </w:rPr>
              <w:t>答疑书或</w:t>
            </w:r>
            <w:r>
              <w:rPr>
                <w:rFonts w:hint="eastAsia" w:ascii="宋体" w:hAnsi="宋体" w:cs="宋体"/>
                <w:color w:val="auto"/>
                <w:sz w:val="24"/>
                <w:szCs w:val="24"/>
                <w:highlight w:val="none"/>
              </w:rPr>
              <w:t>编号的补遗书形式在全国公共资源交易平台（广东省·韶关市）（https://ygp.gdzwfw.gov.cn/ggzy-portal/#/440200/index）建设工程栏目的公告公示上发布。</w:t>
            </w:r>
            <w:r>
              <w:rPr>
                <w:rFonts w:hint="eastAsia" w:ascii="宋体" w:hAnsi="宋体" w:cs="宋体"/>
                <w:color w:val="auto"/>
                <w:sz w:val="24"/>
                <w:szCs w:val="24"/>
                <w:highlight w:val="none"/>
                <w:lang w:val="en-US" w:eastAsia="zh-CN"/>
              </w:rPr>
              <w:t>答疑书和</w:t>
            </w:r>
            <w:r>
              <w:rPr>
                <w:rFonts w:hint="eastAsia" w:ascii="宋体" w:hAnsi="宋体" w:cs="宋体"/>
                <w:color w:val="auto"/>
                <w:sz w:val="24"/>
                <w:szCs w:val="24"/>
                <w:highlight w:val="none"/>
              </w:rPr>
              <w:t>补遗书作为招标文件的组成部分，对所有投标人均具有约束力。</w:t>
            </w:r>
          </w:p>
        </w:tc>
      </w:tr>
      <w:tr w14:paraId="20C0A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1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7F1B1624">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3.1.1</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4411DE2E">
            <w:pPr>
              <w:pStyle w:val="52"/>
              <w:spacing w:line="380" w:lineRule="exact"/>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投标人须知正文3.1.1项修改如下：</w:t>
            </w:r>
          </w:p>
          <w:p w14:paraId="4B3941F9">
            <w:pPr>
              <w:pStyle w:val="52"/>
              <w:spacing w:line="38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3.1.1 投标文件应包括下列内容：</w:t>
            </w:r>
          </w:p>
          <w:p w14:paraId="55BCE792">
            <w:pPr>
              <w:pStyle w:val="52"/>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第一个信封（商务及技术文件）</w:t>
            </w:r>
          </w:p>
          <w:p w14:paraId="41EC525C">
            <w:pPr>
              <w:pStyle w:val="52"/>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14:paraId="32C7B571">
            <w:pPr>
              <w:pStyle w:val="52"/>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(2)授权委托书或法定代表人身份证明；</w:t>
            </w:r>
          </w:p>
          <w:p w14:paraId="0D8A5196">
            <w:pPr>
              <w:pStyle w:val="52"/>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(3)投标保证金；</w:t>
            </w:r>
          </w:p>
          <w:p w14:paraId="76352425">
            <w:pPr>
              <w:pStyle w:val="52"/>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(4)施工组织设计</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承诺函；</w:t>
            </w:r>
          </w:p>
          <w:p w14:paraId="367A72FF">
            <w:pPr>
              <w:pStyle w:val="52"/>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(5)项目管理机构；</w:t>
            </w:r>
          </w:p>
          <w:p w14:paraId="449DDCA5">
            <w:pPr>
              <w:pStyle w:val="52"/>
              <w:spacing w:line="3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(6)拟分包项目情况表</w:t>
            </w:r>
            <w:r>
              <w:rPr>
                <w:rFonts w:hint="eastAsia" w:ascii="宋体" w:hAnsi="宋体" w:cs="宋体"/>
                <w:color w:val="auto"/>
                <w:sz w:val="24"/>
                <w:szCs w:val="24"/>
                <w:highlight w:val="none"/>
                <w:lang w:eastAsia="zh-CN"/>
              </w:rPr>
              <w:t>；</w:t>
            </w:r>
          </w:p>
          <w:p w14:paraId="56A717FD">
            <w:pPr>
              <w:pStyle w:val="52"/>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(7)资格审查资料；</w:t>
            </w:r>
          </w:p>
          <w:p w14:paraId="1A2D5C0B">
            <w:pPr>
              <w:pStyle w:val="52"/>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(8)其他材料。</w:t>
            </w:r>
          </w:p>
          <w:p w14:paraId="4B53FFC7">
            <w:pPr>
              <w:pStyle w:val="52"/>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第二个封信（报价文件）</w:t>
            </w:r>
          </w:p>
          <w:p w14:paraId="743B3795">
            <w:pPr>
              <w:pStyle w:val="52"/>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(1)投标函；</w:t>
            </w:r>
          </w:p>
          <w:p w14:paraId="4B6F6A36">
            <w:pPr>
              <w:pStyle w:val="52"/>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(2)已标价工程量清单。</w:t>
            </w:r>
          </w:p>
        </w:tc>
      </w:tr>
      <w:tr w14:paraId="692C9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56157954">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3.2.1</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279C9155">
            <w:pPr>
              <w:pStyle w:val="80"/>
              <w:spacing w:before="19" w:line="380" w:lineRule="exact"/>
              <w:ind w:left="103" w:right="-22"/>
              <w:rPr>
                <w:rFonts w:ascii="宋体" w:hAnsi="宋体" w:cs="宋体"/>
                <w:color w:val="auto"/>
                <w:sz w:val="24"/>
                <w:szCs w:val="24"/>
                <w:highlight w:val="none"/>
              </w:rPr>
            </w:pPr>
            <w:r>
              <w:rPr>
                <w:rFonts w:hint="eastAsia" w:ascii="宋体" w:hAnsi="宋体" w:cs="宋体"/>
                <w:color w:val="auto"/>
                <w:sz w:val="24"/>
                <w:szCs w:val="24"/>
                <w:highlight w:val="none"/>
              </w:rPr>
              <w:t>投标人须知正文第3.2.1项部分内容细化如下：</w:t>
            </w:r>
          </w:p>
          <w:p w14:paraId="29C7C25A">
            <w:pPr>
              <w:pStyle w:val="80"/>
              <w:numPr>
                <w:ilvl w:val="0"/>
                <w:numId w:val="0"/>
              </w:numPr>
              <w:spacing w:before="19" w:line="380" w:lineRule="exact"/>
              <w:ind w:right="-22" w:righ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本项目招标由招标人提供工程量清单（已报名的投标单位可在全国公共资源交易平台 （广东省·韶关市）系统下载），</w:t>
            </w:r>
            <w:r>
              <w:rPr>
                <w:rFonts w:hint="eastAsia" w:ascii="宋体" w:hAnsi="宋体" w:cs="宋体"/>
                <w:color w:val="auto"/>
                <w:sz w:val="24"/>
                <w:highlight w:val="none"/>
              </w:rPr>
              <w:t>投标人应按照招标人提供的工程量清单填写本合同各工程子目的单价、合价和总额价。评标委员会将按照第三章“评标办法”规定对投标价进行算术性错误修正及其它错误修正。</w:t>
            </w:r>
          </w:p>
          <w:p w14:paraId="5E62332E">
            <w:pPr>
              <w:pStyle w:val="80"/>
              <w:spacing w:before="19" w:line="380" w:lineRule="exact"/>
              <w:ind w:right="-22"/>
              <w:rPr>
                <w:rFonts w:ascii="宋体" w:hAnsi="宋体" w:cs="宋体"/>
                <w:color w:val="auto"/>
                <w:sz w:val="24"/>
                <w:szCs w:val="24"/>
                <w:highlight w:val="none"/>
              </w:rPr>
            </w:pPr>
            <w:r>
              <w:rPr>
                <w:rFonts w:hint="eastAsia" w:ascii="宋体" w:hAnsi="宋体" w:cs="宋体"/>
                <w:color w:val="auto"/>
                <w:sz w:val="24"/>
                <w:szCs w:val="24"/>
                <w:highlight w:val="none"/>
              </w:rPr>
              <w:t>增加以下内容：</w:t>
            </w:r>
          </w:p>
          <w:p w14:paraId="3B95B244">
            <w:pPr>
              <w:pStyle w:val="80"/>
              <w:numPr>
                <w:ilvl w:val="0"/>
                <w:numId w:val="0"/>
              </w:numPr>
              <w:spacing w:before="19" w:line="380" w:lineRule="exact"/>
              <w:ind w:right="-22"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投标人的投标函文字报价、工程量清单投标报价总价和上传至全国公共资源交易平台 （广东省·韶关市）交易平台的投标报价三者应该一致。若发生不一致而且是由于投标人的原因所致，将视为重大偏差，其投标将被否决。</w:t>
            </w:r>
          </w:p>
          <w:p w14:paraId="05A17D68">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投标报价的所有单价取小数点后两位，所有合价和总价应四舍五入取整数。工程量清单不需要附项目清单、分项清单</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单价分析表，但投标人中标后，发包人可要求中标人提交项目清单、分项清单及单价分析表，中标人不得拒绝。</w:t>
            </w:r>
          </w:p>
        </w:tc>
      </w:tr>
      <w:tr w14:paraId="1F787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394A0BB0">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lang w:val="zh-CN" w:bidi="zh-CN"/>
              </w:rPr>
              <w:t>3.4</w:t>
            </w:r>
            <w:r>
              <w:rPr>
                <w:rFonts w:hint="eastAsia" w:ascii="宋体" w:hAnsi="宋体" w:cs="宋体"/>
                <w:color w:val="auto"/>
                <w:sz w:val="24"/>
                <w:szCs w:val="24"/>
                <w:highlight w:val="none"/>
                <w:lang w:bidi="zh-CN"/>
              </w:rPr>
              <w:t>.3</w:t>
            </w:r>
          </w:p>
        </w:tc>
        <w:tc>
          <w:tcPr>
            <w:tcW w:w="8781" w:type="dxa"/>
            <w:gridSpan w:val="2"/>
            <w:tcBorders>
              <w:top w:val="single" w:color="auto" w:sz="4" w:space="0"/>
              <w:left w:val="single" w:color="auto" w:sz="2" w:space="0"/>
              <w:bottom w:val="single" w:color="auto" w:sz="4" w:space="0"/>
              <w:right w:val="single" w:color="auto" w:sz="12" w:space="0"/>
            </w:tcBorders>
          </w:tcPr>
          <w:p w14:paraId="5D15559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投标人须知正文3.4.3</w:t>
            </w:r>
            <w:r>
              <w:rPr>
                <w:rFonts w:hint="eastAsia" w:ascii="宋体" w:hAnsi="宋体" w:cs="宋体"/>
                <w:color w:val="auto"/>
                <w:sz w:val="24"/>
                <w:szCs w:val="24"/>
                <w:highlight w:val="none"/>
              </w:rPr>
              <w:t>项</w:t>
            </w:r>
            <w:r>
              <w:rPr>
                <w:rFonts w:hint="eastAsia" w:ascii="宋体" w:hAnsi="宋体" w:cs="宋体"/>
                <w:color w:val="auto"/>
                <w:sz w:val="24"/>
                <w:szCs w:val="24"/>
                <w:highlight w:val="none"/>
                <w:lang w:val="zh-CN"/>
              </w:rPr>
              <w:t xml:space="preserve">修改如下：     </w:t>
            </w:r>
          </w:p>
          <w:p w14:paraId="01FC19B2">
            <w:pPr>
              <w:pStyle w:val="5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3.4.3（</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tc>
      </w:tr>
      <w:tr w14:paraId="2DCF4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5B40596A">
            <w:pPr>
              <w:spacing w:line="380" w:lineRule="exact"/>
              <w:jc w:val="center"/>
              <w:rPr>
                <w:rFonts w:ascii="宋体" w:hAnsi="宋体" w:cs="宋体"/>
                <w:color w:val="auto"/>
                <w:sz w:val="24"/>
                <w:szCs w:val="24"/>
                <w:highlight w:val="none"/>
                <w:lang w:bidi="zh-CN"/>
              </w:rPr>
            </w:pPr>
            <w:r>
              <w:rPr>
                <w:rFonts w:hint="eastAsia" w:ascii="宋体" w:hAnsi="宋体" w:cs="宋体"/>
                <w:color w:val="auto"/>
                <w:sz w:val="24"/>
                <w:szCs w:val="24"/>
                <w:highlight w:val="none"/>
                <w:lang w:bidi="zh-CN"/>
              </w:rPr>
              <w:t>3.5.1</w:t>
            </w:r>
          </w:p>
        </w:tc>
        <w:tc>
          <w:tcPr>
            <w:tcW w:w="8781" w:type="dxa"/>
            <w:gridSpan w:val="2"/>
            <w:tcBorders>
              <w:top w:val="single" w:color="auto" w:sz="4" w:space="0"/>
              <w:left w:val="single" w:color="auto" w:sz="2" w:space="0"/>
              <w:bottom w:val="single" w:color="auto" w:sz="4" w:space="0"/>
              <w:right w:val="single" w:color="auto" w:sz="12" w:space="0"/>
            </w:tcBorders>
          </w:tcPr>
          <w:p w14:paraId="4265A8D7">
            <w:pPr>
              <w:spacing w:line="380" w:lineRule="exac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投标人须知正文第 3.5.1 项内容修改如下：</w:t>
            </w:r>
          </w:p>
          <w:p w14:paraId="1903403D">
            <w:pPr>
              <w:spacing w:line="380" w:lineRule="exact"/>
              <w:ind w:firstLine="480"/>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投标人基本情况表”应附企业法人营业执照、施工资质证书、安全生产许可证、基本账户开户许可证（如企业所在地已取消企业银行账户许可而无法提供开户许可证的，则需附上开户银行出具的“基本存款账户信息”或“人民银行账户管理系统查询</w:t>
            </w:r>
          </w:p>
          <w:p w14:paraId="6BBC1163">
            <w:pPr>
              <w:spacing w:line="380" w:lineRule="exac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的基本账户信息截图”，下同）的</w:t>
            </w:r>
            <w:r>
              <w:rPr>
                <w:rFonts w:hint="eastAsia" w:ascii="宋体" w:hAnsi="宋体" w:cs="宋体"/>
                <w:color w:val="auto"/>
                <w:sz w:val="24"/>
                <w:szCs w:val="24"/>
                <w:highlight w:val="none"/>
                <w:lang w:val="en-US" w:bidi="zh-CN"/>
              </w:rPr>
              <w:t>扫描</w:t>
            </w:r>
            <w:r>
              <w:rPr>
                <w:rFonts w:hint="eastAsia" w:ascii="宋体" w:hAnsi="宋体" w:cs="宋体"/>
                <w:color w:val="auto"/>
                <w:sz w:val="24"/>
                <w:szCs w:val="24"/>
                <w:highlight w:val="none"/>
                <w:lang w:val="zh-CN" w:bidi="zh-CN"/>
              </w:rPr>
              <w:t>件， 投标人在交通运输部“全国公路建设市</w:t>
            </w:r>
          </w:p>
          <w:p w14:paraId="592722A0">
            <w:pPr>
              <w:spacing w:line="380" w:lineRule="exac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场信用信息管理系统”公路工程施工资质企业名录中的网页截图，以及投标人在“国家企业信用信息公示系统”中基础信息（体现股东及出资详细信息）的网页截图。</w:t>
            </w:r>
          </w:p>
          <w:p w14:paraId="3A8D434B">
            <w:pPr>
              <w:spacing w:line="380" w:lineRule="exact"/>
              <w:ind w:firstLine="480"/>
              <w:rPr>
                <w:rFonts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企业法人营业执照、施工资质证书、安全生产许可证、基本账户开户许可证的</w:t>
            </w:r>
            <w:r>
              <w:rPr>
                <w:rFonts w:hint="eastAsia" w:ascii="宋体" w:hAnsi="宋体" w:cs="宋体"/>
                <w:color w:val="auto"/>
                <w:sz w:val="24"/>
                <w:szCs w:val="24"/>
                <w:highlight w:val="none"/>
                <w:lang w:val="en-US" w:bidi="zh-CN"/>
              </w:rPr>
              <w:t>扫描</w:t>
            </w:r>
            <w:r>
              <w:rPr>
                <w:rFonts w:hint="eastAsia" w:ascii="宋体" w:hAnsi="宋体" w:cs="宋体"/>
                <w:color w:val="auto"/>
                <w:sz w:val="24"/>
                <w:szCs w:val="24"/>
                <w:highlight w:val="none"/>
                <w:lang w:val="zh-CN" w:bidi="zh-CN"/>
              </w:rPr>
              <w:t>件应提供全本（证书封面、封底、空白页除外），包括投标人名称、投标人其他相关信息、颁发机构名称、投标人信息变更情况等关键页在内。</w:t>
            </w:r>
          </w:p>
        </w:tc>
      </w:tr>
      <w:tr w14:paraId="1902E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474469CE">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3.5.2</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498F378E">
            <w:pPr>
              <w:spacing w:line="3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投标人须知正文第 3.5.2项内容修改如下：</w:t>
            </w:r>
          </w:p>
          <w:p w14:paraId="71C805B5">
            <w:pPr>
              <w:spacing w:line="38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近年财务状况表”具体年份要求见投标人须知前附表，近年财务信息以投标人提供的“全国公路建设市场信用信息管理系统”企业所填的信息截图为准。投标人的成立时间少于投标人须知前附表规定年份的，应提供成立以来的财务信息截图或网页打印件</w:t>
            </w:r>
            <w:r>
              <w:rPr>
                <w:rFonts w:hint="eastAsia" w:ascii="宋体" w:hAnsi="宋体" w:cs="宋体"/>
                <w:color w:val="auto"/>
                <w:kern w:val="0"/>
                <w:sz w:val="24"/>
                <w:szCs w:val="24"/>
                <w:highlight w:val="none"/>
                <w:lang w:eastAsia="zh-CN"/>
              </w:rPr>
              <w:t>，且规定年份的平均营业总收入按成立以来的财务数据结合招标文件规定的年份进行计算评审，盈利满足资格审查要求的年数。“近年财务状况表”所填数据应与信息截图的数据一致。</w:t>
            </w:r>
          </w:p>
        </w:tc>
      </w:tr>
      <w:tr w14:paraId="3F502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1BA8C7D0">
            <w:pPr>
              <w:spacing w:line="380" w:lineRule="exact"/>
              <w:jc w:val="center"/>
              <w:rPr>
                <w:rFonts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3.5.3</w:t>
            </w:r>
          </w:p>
          <w:p w14:paraId="0D10A5BD">
            <w:pPr>
              <w:spacing w:line="380" w:lineRule="exact"/>
              <w:jc w:val="center"/>
              <w:rPr>
                <w:rFonts w:ascii="宋体" w:hAnsi="宋体" w:cs="宋体"/>
                <w:color w:val="auto"/>
                <w:sz w:val="24"/>
                <w:szCs w:val="24"/>
                <w:highlight w:val="none"/>
                <w:lang w:val="zh-CN" w:bidi="zh-CN"/>
              </w:rPr>
            </w:pP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4F0B9E70">
            <w:pPr>
              <w:pStyle w:val="80"/>
              <w:keepNext w:val="0"/>
              <w:keepLines w:val="0"/>
              <w:pageBreakBefore w:val="0"/>
              <w:widowControl w:val="0"/>
              <w:kinsoku/>
              <w:wordWrap/>
              <w:overflowPunct/>
              <w:topLinePunct w:val="0"/>
              <w:autoSpaceDE/>
              <w:autoSpaceDN/>
              <w:bidi w:val="0"/>
              <w:adjustRightInd/>
              <w:snapToGrid/>
              <w:spacing w:line="360" w:lineRule="exact"/>
              <w:ind w:right="227"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投标人须知正文第 3.5.3 项内容修改如下： </w:t>
            </w:r>
          </w:p>
          <w:p w14:paraId="6C61EB1F">
            <w:pPr>
              <w:pStyle w:val="80"/>
              <w:keepNext w:val="0"/>
              <w:keepLines w:val="0"/>
              <w:pageBreakBefore w:val="0"/>
              <w:widowControl w:val="0"/>
              <w:kinsoku/>
              <w:wordWrap/>
              <w:overflowPunct/>
              <w:topLinePunct w:val="0"/>
              <w:autoSpaceDE/>
              <w:autoSpaceDN/>
              <w:bidi w:val="0"/>
              <w:adjustRightInd/>
              <w:snapToGrid/>
              <w:spacing w:line="360" w:lineRule="exact"/>
              <w:ind w:right="227"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“近年完成的类似项目”应是已列入交通运输部“全国公路建设市场信用信息管理系统” （网址：http：//glxy.mot.gov.cn/BM/，下同)并公开的</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包已建业绩或分包（不包括劳务分包）已建业绩，具体时间要求见投标人须知前附表。</w:t>
            </w:r>
          </w:p>
          <w:p w14:paraId="09A9C19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近年完成的类似项目情况表”应附在交通运输部“全国公路建设市场信用信息管理系统”中查询到的企业“业绩信息”相关项目网页截图或网页打印件，即包括“项目名称”、“标段类型”、“合同价”、“主要工程量”等栏目在内的项目详细信息网页截图或网页打印件。除网页截图或网页打印件外，投标人无需再提供任何业绩证明材料。</w:t>
            </w:r>
          </w:p>
          <w:p w14:paraId="302334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如投标人未提供相关项目网页截图或相关项目网页截图中的信息无法证实投标人满足招标文件规定的资格审查条件（业绩最低要求）或评标办法评分标准（如有）， 则该项目业绩不予认定。</w:t>
            </w:r>
          </w:p>
          <w:p w14:paraId="4E4932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sz w:val="24"/>
                <w:szCs w:val="24"/>
                <w:highlight w:val="none"/>
              </w:rPr>
            </w:pPr>
            <w:r>
              <w:rPr>
                <w:rFonts w:hint="eastAsia" w:ascii="宋体" w:hAnsi="宋体" w:cs="宋体"/>
                <w:b w:val="0"/>
                <w:bCs w:val="0"/>
                <w:color w:val="auto"/>
                <w:sz w:val="24"/>
                <w:szCs w:val="24"/>
                <w:highlight w:val="none"/>
                <w:lang w:val="en-US" w:eastAsia="zh-CN"/>
              </w:rPr>
              <w:t xml:space="preserve">如近年来，投标人法人机构发生合法变更或重组或法人名称变更时，应提供相关部门的合法批件或其他相关证明材料来证明其所附业绩的继承性。 </w:t>
            </w:r>
          </w:p>
        </w:tc>
      </w:tr>
      <w:tr w14:paraId="1F63F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1056FE87">
            <w:pPr>
              <w:spacing w:line="420" w:lineRule="exact"/>
              <w:jc w:val="center"/>
              <w:rPr>
                <w:rFonts w:ascii="宋体" w:hAnsi="宋体" w:cs="宋体"/>
                <w:color w:val="auto"/>
                <w:sz w:val="24"/>
                <w:szCs w:val="24"/>
                <w:highlight w:val="none"/>
                <w:lang w:val="zh-CN" w:bidi="zh-CN"/>
              </w:rPr>
            </w:pPr>
            <w:r>
              <w:rPr>
                <w:rFonts w:hint="eastAsia" w:ascii="宋体" w:hAnsi="宋体" w:cs="宋体"/>
                <w:color w:val="auto"/>
                <w:sz w:val="24"/>
                <w:szCs w:val="24"/>
                <w:highlight w:val="none"/>
              </w:rPr>
              <w:t>3.5.4</w:t>
            </w:r>
          </w:p>
        </w:tc>
        <w:tc>
          <w:tcPr>
            <w:tcW w:w="8781" w:type="dxa"/>
            <w:gridSpan w:val="2"/>
            <w:tcBorders>
              <w:top w:val="single" w:color="auto" w:sz="4" w:space="0"/>
              <w:left w:val="single" w:color="auto" w:sz="2" w:space="0"/>
              <w:bottom w:val="single" w:color="auto" w:sz="4" w:space="0"/>
              <w:right w:val="single" w:color="auto" w:sz="12" w:space="0"/>
            </w:tcBorders>
          </w:tcPr>
          <w:p w14:paraId="3E74EAD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投标人须知正文第3.5.4项内容修改如下：</w:t>
            </w:r>
          </w:p>
          <w:p w14:paraId="738CFAD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“投标人的信誉情况”应附投标人在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国家企业信用信息公示系统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中未被列入严重违法失信企业名单、在“信用中国”网站中未被列入失信被执行人名单的网页截图。</w:t>
            </w:r>
          </w:p>
        </w:tc>
      </w:tr>
      <w:tr w14:paraId="12D7D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088436B1">
            <w:pPr>
              <w:spacing w:line="420" w:lineRule="exact"/>
              <w:jc w:val="center"/>
              <w:rPr>
                <w:rFonts w:ascii="宋体" w:hAnsi="宋体" w:cs="宋体"/>
                <w:color w:val="auto"/>
                <w:sz w:val="24"/>
                <w:szCs w:val="24"/>
                <w:highlight w:val="none"/>
                <w:lang w:val="zh-CN" w:bidi="zh-CN"/>
              </w:rPr>
            </w:pPr>
            <w:r>
              <w:rPr>
                <w:rFonts w:hint="eastAsia" w:ascii="宋体" w:hAnsi="宋体" w:cs="宋体"/>
                <w:color w:val="auto"/>
                <w:sz w:val="24"/>
                <w:szCs w:val="24"/>
                <w:highlight w:val="none"/>
              </w:rPr>
              <w:t>3.5.5</w:t>
            </w:r>
          </w:p>
        </w:tc>
        <w:tc>
          <w:tcPr>
            <w:tcW w:w="8781" w:type="dxa"/>
            <w:gridSpan w:val="2"/>
            <w:tcBorders>
              <w:top w:val="single" w:color="auto" w:sz="4" w:space="0"/>
              <w:left w:val="single" w:color="auto" w:sz="2" w:space="0"/>
              <w:bottom w:val="single" w:color="auto" w:sz="4" w:space="0"/>
              <w:right w:val="single" w:color="auto" w:sz="12" w:space="0"/>
            </w:tcBorders>
          </w:tcPr>
          <w:p w14:paraId="03BBBA8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删除原 3.5.5项 内 容，修改如下：</w:t>
            </w:r>
          </w:p>
          <w:p w14:paraId="41C3CD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“拟委任的项目经理和项目总工资历表”应同时附①交通运输部“全国公路建设市场信用信息管理系统”中载明的、能够证明项目经理和项目总工满足投标人须知前附表附录 5 所提出的各项指标（即包括人员的“基本信息”、“职称信息”、“执业资格”、“个人业绩” 等栏目在内）的网页截图或网页打印件、②建造师注册证书在全国建筑市场监管公共服务平台上公开信息的网页截图或网页打印件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③安全生产考核合格证书在交通运输部公路水运工程施工企业主要负责人和安全生产管理人员信息管理系统上查询公开信息的网页截图或网页打印件；④投标人在社保系统打印的拟委任的项目经理和项目总工</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rPr>
              <w:t>社保</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缴费</w:t>
            </w:r>
            <w:r>
              <w:rPr>
                <w:rFonts w:hint="eastAsia" w:ascii="宋体" w:hAnsi="宋体" w:cs="宋体"/>
                <w:color w:val="auto"/>
                <w:sz w:val="24"/>
                <w:szCs w:val="24"/>
                <w:highlight w:val="none"/>
                <w:lang w:val="en-US" w:eastAsia="zh-CN"/>
              </w:rPr>
              <w:t>明细扫描件</w:t>
            </w:r>
            <w:r>
              <w:rPr>
                <w:rFonts w:hint="eastAsia" w:ascii="宋体" w:hAnsi="宋体" w:cs="宋体"/>
                <w:b w:val="0"/>
                <w:bCs w:val="0"/>
                <w:color w:val="auto"/>
                <w:sz w:val="24"/>
                <w:szCs w:val="24"/>
                <w:highlight w:val="none"/>
              </w:rPr>
              <w:t>（社保时段为投标文件递交截止日前半年时间内连续不少于三个月）</w:t>
            </w:r>
            <w:r>
              <w:rPr>
                <w:rFonts w:hint="eastAsia" w:ascii="宋体" w:hAnsi="宋体" w:cs="宋体"/>
                <w:color w:val="auto"/>
                <w:sz w:val="24"/>
                <w:szCs w:val="24"/>
                <w:highlight w:val="none"/>
              </w:rPr>
              <w:t>。</w:t>
            </w:r>
          </w:p>
          <w:p w14:paraId="6F48EEC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建造师注册信息以②的证明材料为准，安全生产考核信息以③的证明材料为准。</w:t>
            </w:r>
          </w:p>
          <w:p w14:paraId="58093E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除上述资料外，投标人无需再提供任何证明材料。</w:t>
            </w:r>
          </w:p>
          <w:p w14:paraId="2151FD0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如项目经理和项目总工目前仍在其他项目上任职，则投标人应按投标函的格式承诺上述人员能够从该项目撤离。</w:t>
            </w:r>
          </w:p>
        </w:tc>
      </w:tr>
      <w:tr w14:paraId="4D4EE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7A6711C4">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3.5.7</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6AA9DC24">
            <w:pPr>
              <w:pStyle w:val="80"/>
              <w:keepNext w:val="0"/>
              <w:keepLines w:val="0"/>
              <w:pageBreakBefore w:val="0"/>
              <w:widowControl w:val="0"/>
              <w:kinsoku/>
              <w:wordWrap/>
              <w:overflowPunct/>
              <w:topLinePunct w:val="0"/>
              <w:autoSpaceDE/>
              <w:autoSpaceDN/>
              <w:bidi w:val="0"/>
              <w:adjustRightInd/>
              <w:snapToGrid/>
              <w:spacing w:line="360" w:lineRule="exact"/>
              <w:ind w:right="227"/>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删除原 3.5.7 项内容，修改如下：</w:t>
            </w:r>
          </w:p>
          <w:p w14:paraId="5AA6937D">
            <w:pPr>
              <w:pStyle w:val="80"/>
              <w:keepNext w:val="0"/>
              <w:keepLines w:val="0"/>
              <w:pageBreakBefore w:val="0"/>
              <w:widowControl w:val="0"/>
              <w:kinsoku/>
              <w:wordWrap/>
              <w:overflowPunct/>
              <w:topLinePunct w:val="0"/>
              <w:autoSpaceDE/>
              <w:autoSpaceDN/>
              <w:bidi w:val="0"/>
              <w:adjustRightInd/>
              <w:snapToGrid/>
              <w:spacing w:line="360" w:lineRule="exact"/>
              <w:ind w:right="227"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rPr>
              <w:t>“拟投入本标段的主要设备表”（如有）应填报满足本章前附表附录 7 规定的主要设备</w:t>
            </w:r>
            <w:r>
              <w:rPr>
                <w:rFonts w:hint="eastAsia" w:ascii="宋体" w:hAnsi="宋体" w:cs="宋体"/>
                <w:color w:val="auto"/>
                <w:kern w:val="0"/>
                <w:sz w:val="24"/>
                <w:szCs w:val="24"/>
                <w:highlight w:val="none"/>
                <w:lang w:eastAsia="zh-CN"/>
              </w:rPr>
              <w:t>。</w:t>
            </w:r>
          </w:p>
        </w:tc>
      </w:tr>
      <w:tr w14:paraId="1F301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1C23B564">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3.7</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0E5A39AB">
            <w:pPr>
              <w:pStyle w:val="57"/>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ascii="宋体" w:hAnsi="宋体" w:cs="宋体"/>
                <w:color w:val="auto"/>
                <w:kern w:val="2"/>
                <w:sz w:val="24"/>
                <w:szCs w:val="24"/>
                <w:highlight w:val="none"/>
              </w:rPr>
            </w:pPr>
            <w:r>
              <w:rPr>
                <w:rFonts w:hint="eastAsia" w:ascii="宋体" w:hAnsi="宋体" w:cs="宋体"/>
                <w:color w:val="auto"/>
                <w:sz w:val="24"/>
                <w:szCs w:val="24"/>
                <w:highlight w:val="none"/>
              </w:rPr>
              <w:t>删除原 3.7.4、3.7.5项内容，修改如下：</w:t>
            </w:r>
          </w:p>
          <w:p w14:paraId="26A4DF3B">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both"/>
              <w:textAlignment w:val="auto"/>
              <w:rPr>
                <w:rFonts w:ascii="宋体" w:hAnsi="宋体" w:cs="宋体"/>
                <w:color w:val="auto"/>
                <w:sz w:val="24"/>
                <w:szCs w:val="24"/>
                <w:highlight w:val="none"/>
              </w:rPr>
            </w:pPr>
            <w:r>
              <w:rPr>
                <w:rFonts w:hint="eastAsia" w:ascii="宋体" w:hAnsi="宋体" w:cs="宋体"/>
                <w:color w:val="auto"/>
                <w:kern w:val="2"/>
                <w:sz w:val="24"/>
                <w:szCs w:val="24"/>
                <w:highlight w:val="none"/>
              </w:rPr>
              <w:t>3.7.4</w:t>
            </w:r>
            <w:r>
              <w:rPr>
                <w:rFonts w:hint="eastAsia" w:ascii="宋体" w:hAnsi="宋体" w:cs="宋体"/>
                <w:color w:val="auto"/>
                <w:sz w:val="24"/>
                <w:szCs w:val="24"/>
                <w:highlight w:val="none"/>
              </w:rPr>
              <w:t>本项目采用全流程电子投标，不需要提交纸质版的投标文件</w:t>
            </w:r>
            <w:r>
              <w:rPr>
                <w:rFonts w:hint="eastAsia" w:ascii="宋体" w:hAnsi="宋体" w:cs="宋体"/>
                <w:color w:val="auto"/>
                <w:kern w:val="2"/>
                <w:sz w:val="24"/>
                <w:szCs w:val="24"/>
                <w:highlight w:val="none"/>
              </w:rPr>
              <w:t>，投标单位没有成功</w:t>
            </w:r>
            <w:r>
              <w:rPr>
                <w:rFonts w:hint="eastAsia" w:ascii="宋体" w:hAnsi="宋体" w:cs="宋体"/>
                <w:bCs/>
                <w:color w:val="auto"/>
                <w:sz w:val="24"/>
                <w:szCs w:val="24"/>
                <w:highlight w:val="none"/>
              </w:rPr>
              <w:t>完成电子投标（包括缴纳投标保证金）</w:t>
            </w:r>
            <w:r>
              <w:rPr>
                <w:rFonts w:hint="eastAsia" w:ascii="宋体" w:hAnsi="宋体" w:cs="宋体"/>
                <w:color w:val="auto"/>
                <w:kern w:val="2"/>
                <w:sz w:val="24"/>
                <w:szCs w:val="24"/>
                <w:highlight w:val="none"/>
              </w:rPr>
              <w:t>，则视为无效，按无效标书处理。</w:t>
            </w:r>
          </w:p>
        </w:tc>
      </w:tr>
      <w:tr w14:paraId="53852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09B7F033">
            <w:pPr>
              <w:autoSpaceDE w:val="0"/>
              <w:autoSpaceDN w:val="0"/>
              <w:spacing w:line="48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4.1</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36DAB200">
            <w:pPr>
              <w:spacing w:line="380" w:lineRule="exact"/>
              <w:rPr>
                <w:rFonts w:ascii="宋体" w:hAnsi="宋体" w:cs="宋体"/>
                <w:bCs/>
                <w:color w:val="auto"/>
                <w:sz w:val="24"/>
                <w:szCs w:val="24"/>
                <w:highlight w:val="none"/>
              </w:rPr>
            </w:pPr>
            <w:r>
              <w:rPr>
                <w:rFonts w:hint="eastAsia" w:ascii="宋体" w:hAnsi="宋体" w:cs="宋体"/>
                <w:bCs/>
                <w:color w:val="auto"/>
                <w:sz w:val="24"/>
                <w:szCs w:val="24"/>
                <w:highlight w:val="none"/>
              </w:rPr>
              <w:t>投标人须知正文 4.1 项内容修改如下：</w:t>
            </w:r>
          </w:p>
          <w:p w14:paraId="7710CF83">
            <w:pPr>
              <w:spacing w:line="380" w:lineRule="exact"/>
              <w:ind w:firstLine="480" w:firstLineChars="200"/>
              <w:rPr>
                <w:rFonts w:ascii="宋体" w:hAnsi="宋体" w:cs="宋体"/>
                <w:bCs/>
                <w:color w:val="auto"/>
                <w:sz w:val="24"/>
                <w:szCs w:val="24"/>
                <w:highlight w:val="none"/>
              </w:rPr>
            </w:pPr>
            <w:r>
              <w:rPr>
                <w:rFonts w:hint="eastAsia" w:ascii="宋体" w:hAnsi="宋体" w:cs="宋体"/>
                <w:bCs/>
                <w:color w:val="auto"/>
                <w:kern w:val="0"/>
                <w:sz w:val="24"/>
                <w:szCs w:val="24"/>
                <w:highlight w:val="none"/>
              </w:rPr>
              <w:t>本项目采用全流程电子投标，不需要提交纸质版的投标文件。</w:t>
            </w:r>
          </w:p>
        </w:tc>
      </w:tr>
      <w:tr w14:paraId="6F7FAD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1A5E223C">
            <w:pPr>
              <w:autoSpaceDE w:val="0"/>
              <w:autoSpaceDN w:val="0"/>
              <w:spacing w:line="48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4.2</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268EA2B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投标人须知正文 4.2 项内容修改如下：</w:t>
            </w:r>
          </w:p>
          <w:p w14:paraId="456BA98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kern w:val="0"/>
                <w:sz w:val="24"/>
                <w:szCs w:val="24"/>
                <w:highlight w:val="none"/>
              </w:rPr>
              <w:t>本项目采用全流程电子投标，不需要提交纸质版的投标文件。投标人应在规定的截止时间前登录建设工程交易平台完成电子投标（包括缴纳投标保证金），方为有效投标。</w:t>
            </w:r>
          </w:p>
        </w:tc>
      </w:tr>
      <w:tr w14:paraId="0E44D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70DDCEE8">
            <w:pPr>
              <w:autoSpaceDE w:val="0"/>
              <w:autoSpaceDN w:val="0"/>
              <w:spacing w:line="48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4.3</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7FBD471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投标人须知正文 4.3 项内容修改如下：</w:t>
            </w:r>
          </w:p>
          <w:p w14:paraId="0580C9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4.3电子投标文件的修改、撤回：</w:t>
            </w:r>
          </w:p>
          <w:p w14:paraId="41443E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tc>
      </w:tr>
      <w:tr w14:paraId="714B8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22A06A75">
            <w:pPr>
              <w:autoSpaceDE w:val="0"/>
              <w:autoSpaceDN w:val="0"/>
              <w:spacing w:line="48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5.1</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1352ECC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投标人须知正文 5.1 项内容修改如下：</w:t>
            </w:r>
          </w:p>
          <w:p w14:paraId="400F0FC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5.1开标时间和地点</w:t>
            </w:r>
          </w:p>
          <w:p w14:paraId="6AB868B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投标人无须进行现场签到，可登录交易平台及时观看开标实况、提出异议或进行澄清、确认等操作，具体详见招标文件和投标人操作指南为准。投标人未及时观看开标实况的，视其默认开标结果，以及放弃在开标期间见证、澄清、确认、监督、投诉、申辩的权利。</w:t>
            </w:r>
          </w:p>
        </w:tc>
      </w:tr>
      <w:tr w14:paraId="7E345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74C02665">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5.2</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62F43D0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textAlignment w:val="auto"/>
              <w:rPr>
                <w:rFonts w:hint="eastAsia" w:ascii="宋体" w:hAnsi="宋体" w:cs="宋体"/>
                <w:color w:val="auto"/>
                <w:sz w:val="24"/>
                <w:highlight w:val="none"/>
              </w:rPr>
            </w:pPr>
            <w:r>
              <w:rPr>
                <w:rFonts w:hint="eastAsia" w:ascii="宋体" w:hAnsi="宋体" w:cs="宋体"/>
                <w:color w:val="auto"/>
                <w:sz w:val="24"/>
                <w:highlight w:val="none"/>
              </w:rPr>
              <w:t>删除原 5.2.1、5.2.2、5.2.3项内容，修改如下：</w:t>
            </w:r>
          </w:p>
          <w:p w14:paraId="6255EC30">
            <w:pPr>
              <w:pStyle w:val="80"/>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4" w:right="225" w:firstLine="420"/>
              <w:textAlignment w:val="auto"/>
              <w:rPr>
                <w:rFonts w:hint="default" w:ascii="宋体" w:hAnsi="宋体" w:cs="宋体"/>
                <w:color w:val="auto"/>
                <w:sz w:val="24"/>
                <w:highlight w:val="none"/>
              </w:rPr>
            </w:pPr>
            <w:r>
              <w:rPr>
                <w:rFonts w:hint="eastAsia" w:ascii="宋体" w:hAnsi="宋体" w:cs="宋体"/>
                <w:color w:val="auto"/>
                <w:sz w:val="24"/>
                <w:highlight w:val="none"/>
              </w:rPr>
              <w:t>5.2.1主持人按下列程序对投标文件第一个信封（商务及技术文件）进行开标：</w:t>
            </w:r>
          </w:p>
          <w:p w14:paraId="432A7B37">
            <w:pPr>
              <w:pStyle w:val="80"/>
              <w:keepNext w:val="0"/>
              <w:keepLines w:val="0"/>
              <w:pageBreakBefore w:val="0"/>
              <w:widowControl w:val="0"/>
              <w:kinsoku/>
              <w:wordWrap/>
              <w:overflowPunct/>
              <w:topLinePunct w:val="0"/>
              <w:autoSpaceDE/>
              <w:autoSpaceDN/>
              <w:bidi w:val="0"/>
              <w:adjustRightInd/>
              <w:snapToGrid/>
              <w:spacing w:line="360" w:lineRule="exact"/>
              <w:ind w:left="4" w:right="225"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（1）宣读开标纪律。</w:t>
            </w:r>
          </w:p>
          <w:p w14:paraId="7710A685">
            <w:pPr>
              <w:pStyle w:val="80"/>
              <w:keepNext w:val="0"/>
              <w:keepLines w:val="0"/>
              <w:pageBreakBefore w:val="0"/>
              <w:widowControl w:val="0"/>
              <w:kinsoku/>
              <w:wordWrap/>
              <w:overflowPunct/>
              <w:topLinePunct w:val="0"/>
              <w:autoSpaceDE/>
              <w:autoSpaceDN/>
              <w:bidi w:val="0"/>
              <w:adjustRightInd/>
              <w:snapToGrid/>
              <w:spacing w:line="360" w:lineRule="exact"/>
              <w:ind w:left="4" w:right="225"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（2）主持人宣布唱标人、记录人、见证人、监督人等有关人员姓名。</w:t>
            </w:r>
          </w:p>
          <w:p w14:paraId="54062A09">
            <w:pPr>
              <w:pStyle w:val="80"/>
              <w:keepNext w:val="0"/>
              <w:keepLines w:val="0"/>
              <w:pageBreakBefore w:val="0"/>
              <w:widowControl w:val="0"/>
              <w:kinsoku/>
              <w:wordWrap/>
              <w:overflowPunct/>
              <w:topLinePunct w:val="0"/>
              <w:autoSpaceDE/>
              <w:autoSpaceDN/>
              <w:bidi w:val="0"/>
              <w:adjustRightInd/>
              <w:snapToGrid/>
              <w:spacing w:line="360" w:lineRule="exact"/>
              <w:ind w:left="4" w:right="225"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参与开标会的各位代表的见证下，由招标代理机构对投标人的电子投标信息进行解密，建设工程交易系统自动生成《投标保证缴纳情况表》和《第一个信封开标一览表》。现场检查相关内容否符合招标文件规定，若不符合规定，招标代理机构应将有关情形在各表“备注”栏中注明。</w:t>
            </w:r>
          </w:p>
          <w:p w14:paraId="1D2999A2">
            <w:pPr>
              <w:pStyle w:val="80"/>
              <w:keepNext w:val="0"/>
              <w:keepLines w:val="0"/>
              <w:pageBreakBefore w:val="0"/>
              <w:widowControl w:val="0"/>
              <w:kinsoku/>
              <w:wordWrap/>
              <w:overflowPunct/>
              <w:topLinePunct w:val="0"/>
              <w:autoSpaceDE/>
              <w:autoSpaceDN/>
              <w:bidi w:val="0"/>
              <w:adjustRightInd/>
              <w:snapToGrid/>
              <w:spacing w:line="360" w:lineRule="exact"/>
              <w:ind w:left="4" w:right="225"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（4）招标人代表、监督、唱标人、记录人等有关人员在《投标保证缴纳情况表》及《第一个信封开标一览表》上签字确认。</w:t>
            </w:r>
          </w:p>
          <w:p w14:paraId="11C7FD79">
            <w:pPr>
              <w:pStyle w:val="80"/>
              <w:keepNext w:val="0"/>
              <w:keepLines w:val="0"/>
              <w:pageBreakBefore w:val="0"/>
              <w:widowControl w:val="0"/>
              <w:kinsoku/>
              <w:wordWrap/>
              <w:overflowPunct/>
              <w:topLinePunct w:val="0"/>
              <w:autoSpaceDE/>
              <w:autoSpaceDN/>
              <w:bidi w:val="0"/>
              <w:adjustRightInd/>
              <w:snapToGrid/>
              <w:spacing w:line="360" w:lineRule="exact"/>
              <w:ind w:left="4" w:right="225"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（5）主持人宣布有关注意事项后，宣布第一个信封（商务及技术文件）开标结束。</w:t>
            </w:r>
          </w:p>
          <w:p w14:paraId="61879174">
            <w:pPr>
              <w:pStyle w:val="80"/>
              <w:keepNext w:val="0"/>
              <w:keepLines w:val="0"/>
              <w:pageBreakBefore w:val="0"/>
              <w:widowControl w:val="0"/>
              <w:kinsoku/>
              <w:wordWrap/>
              <w:overflowPunct/>
              <w:topLinePunct w:val="0"/>
              <w:autoSpaceDE/>
              <w:autoSpaceDN/>
              <w:bidi w:val="0"/>
              <w:adjustRightInd/>
              <w:snapToGrid/>
              <w:spacing w:line="360" w:lineRule="exact"/>
              <w:ind w:left="4" w:right="225"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5.2.2招标人将按照本章5.1款规定的时间和地点对投标文件第二个信封（报价文件）进行开标。主持人按下列程序进行开标：</w:t>
            </w:r>
          </w:p>
          <w:p w14:paraId="688D9705">
            <w:pPr>
              <w:pStyle w:val="80"/>
              <w:keepNext w:val="0"/>
              <w:keepLines w:val="0"/>
              <w:pageBreakBefore w:val="0"/>
              <w:widowControl w:val="0"/>
              <w:kinsoku/>
              <w:wordWrap/>
              <w:overflowPunct/>
              <w:topLinePunct w:val="0"/>
              <w:autoSpaceDE/>
              <w:autoSpaceDN/>
              <w:bidi w:val="0"/>
              <w:adjustRightInd/>
              <w:snapToGrid/>
              <w:spacing w:line="360" w:lineRule="exact"/>
              <w:ind w:left="4" w:right="225"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（1）宣读开标纪律。</w:t>
            </w:r>
          </w:p>
          <w:p w14:paraId="58FAAF25">
            <w:pPr>
              <w:pStyle w:val="80"/>
              <w:keepNext w:val="0"/>
              <w:keepLines w:val="0"/>
              <w:pageBreakBefore w:val="0"/>
              <w:widowControl w:val="0"/>
              <w:kinsoku/>
              <w:wordWrap/>
              <w:overflowPunct/>
              <w:topLinePunct w:val="0"/>
              <w:autoSpaceDE/>
              <w:autoSpaceDN/>
              <w:bidi w:val="0"/>
              <w:adjustRightInd/>
              <w:snapToGrid/>
              <w:spacing w:line="360" w:lineRule="exact"/>
              <w:ind w:left="4" w:right="225"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（2）主持人宣布通过第一个信封（商务及技术文件）评审的投标人名单。</w:t>
            </w:r>
          </w:p>
          <w:p w14:paraId="533C24DE">
            <w:pPr>
              <w:pStyle w:val="80"/>
              <w:keepNext w:val="0"/>
              <w:keepLines w:val="0"/>
              <w:pageBreakBefore w:val="0"/>
              <w:widowControl w:val="0"/>
              <w:kinsoku/>
              <w:wordWrap/>
              <w:overflowPunct/>
              <w:topLinePunct w:val="0"/>
              <w:autoSpaceDE/>
              <w:autoSpaceDN/>
              <w:bidi w:val="0"/>
              <w:adjustRightInd/>
              <w:snapToGrid/>
              <w:spacing w:line="360" w:lineRule="exact"/>
              <w:ind w:left="4" w:right="225"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（3）建设工程交易系统自动生成《第二个信封开标一览表》，现场检查各投标人的投标报价是否符合招标文件规定。若不符合规定，招标代理机构应将有关情形在《第二个信封开标一览表》“备注”栏中注明。</w:t>
            </w:r>
          </w:p>
          <w:p w14:paraId="6B1ECAF0">
            <w:pPr>
              <w:pStyle w:val="80"/>
              <w:keepNext w:val="0"/>
              <w:keepLines w:val="0"/>
              <w:pageBreakBefore w:val="0"/>
              <w:widowControl w:val="0"/>
              <w:kinsoku/>
              <w:wordWrap/>
              <w:overflowPunct/>
              <w:topLinePunct w:val="0"/>
              <w:autoSpaceDE/>
              <w:autoSpaceDN/>
              <w:bidi w:val="0"/>
              <w:adjustRightInd/>
              <w:snapToGrid/>
              <w:spacing w:line="360" w:lineRule="exact"/>
              <w:ind w:left="4" w:right="225"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（4）招标人代表、监督、唱标人、记录人等有关人员在《第二个信封开标一览表》上签字确认。</w:t>
            </w:r>
          </w:p>
          <w:p w14:paraId="49C54C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bCs/>
                <w:color w:val="auto"/>
                <w:sz w:val="24"/>
                <w:szCs w:val="24"/>
                <w:highlight w:val="none"/>
              </w:rPr>
            </w:pPr>
            <w:r>
              <w:rPr>
                <w:rFonts w:hint="eastAsia" w:ascii="宋体" w:hAnsi="宋体" w:eastAsia="宋体" w:cs="宋体"/>
                <w:color w:val="auto"/>
                <w:kern w:val="2"/>
                <w:sz w:val="24"/>
                <w:szCs w:val="24"/>
                <w:highlight w:val="none"/>
                <w:lang w:val="en-US" w:eastAsia="zh-CN" w:bidi="ar-SA"/>
              </w:rPr>
              <w:t>（5）宣布第二个信封（报价文件）开标结束。</w:t>
            </w:r>
          </w:p>
        </w:tc>
      </w:tr>
      <w:tr w14:paraId="23E57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14D7A9B7">
            <w:pPr>
              <w:pStyle w:val="57"/>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6.1.2</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2E2449EA">
            <w:pPr>
              <w:pStyle w:val="57"/>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ascii="宋体" w:hAnsi="宋体" w:cs="宋体"/>
                <w:color w:val="auto"/>
                <w:sz w:val="24"/>
                <w:szCs w:val="24"/>
                <w:highlight w:val="none"/>
              </w:rPr>
            </w:pPr>
            <w:r>
              <w:rPr>
                <w:rFonts w:hint="eastAsia" w:ascii="宋体" w:hAnsi="宋体" w:cs="宋体"/>
                <w:bCs/>
                <w:color w:val="auto"/>
                <w:sz w:val="24"/>
                <w:szCs w:val="24"/>
                <w:highlight w:val="none"/>
                <w:lang w:val="en-US" w:eastAsia="zh-CN"/>
              </w:rPr>
              <w:t>原</w:t>
            </w:r>
            <w:r>
              <w:rPr>
                <w:rFonts w:hint="eastAsia" w:ascii="宋体" w:hAnsi="宋体" w:cs="宋体"/>
                <w:color w:val="auto"/>
                <w:sz w:val="24"/>
                <w:szCs w:val="24"/>
                <w:highlight w:val="none"/>
              </w:rPr>
              <w:t>6.1.2 项末增加如下内容：</w:t>
            </w:r>
          </w:p>
          <w:p w14:paraId="6C7DE345">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both"/>
              <w:textAlignment w:val="auto"/>
              <w:rPr>
                <w:rFonts w:ascii="宋体" w:hAnsi="宋体" w:cs="宋体"/>
                <w:color w:val="auto"/>
                <w:kern w:val="2"/>
                <w:sz w:val="24"/>
                <w:szCs w:val="24"/>
                <w:highlight w:val="none"/>
              </w:rPr>
            </w:pPr>
            <w:r>
              <w:rPr>
                <w:rFonts w:hint="eastAsia" w:ascii="宋体" w:hAnsi="宋体" w:cs="宋体"/>
                <w:color w:val="auto"/>
                <w:sz w:val="24"/>
                <w:szCs w:val="24"/>
                <w:highlight w:val="none"/>
              </w:rPr>
              <w:t>招标人及其子公司、</w:t>
            </w:r>
            <w:r>
              <w:rPr>
                <w:rFonts w:hint="eastAsia" w:ascii="宋体" w:hAnsi="宋体" w:cs="宋体"/>
                <w:color w:val="auto"/>
                <w:sz w:val="24"/>
                <w:szCs w:val="24"/>
                <w:highlight w:val="none"/>
                <w:lang w:val="en-US" w:eastAsia="zh-CN"/>
              </w:rPr>
              <w:t>招标人下属单位、</w:t>
            </w:r>
            <w:r>
              <w:rPr>
                <w:rFonts w:hint="eastAsia" w:ascii="宋体" w:hAnsi="宋体" w:cs="宋体"/>
                <w:color w:val="auto"/>
                <w:sz w:val="24"/>
                <w:szCs w:val="24"/>
                <w:highlight w:val="none"/>
              </w:rPr>
              <w:t>招标人的上级主管部门或者控股公司、招标代理机构的工作人员或者退休人员不得以专家身份参与本单位招标或者招标代理项目的评标。</w:t>
            </w:r>
          </w:p>
        </w:tc>
      </w:tr>
      <w:tr w14:paraId="6E71D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6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5C8FC84A">
            <w:pPr>
              <w:pStyle w:val="57"/>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7.8.6</w:t>
            </w:r>
          </w:p>
        </w:tc>
        <w:tc>
          <w:tcPr>
            <w:tcW w:w="8781" w:type="dxa"/>
            <w:gridSpan w:val="2"/>
            <w:tcBorders>
              <w:top w:val="single" w:color="auto" w:sz="4" w:space="0"/>
              <w:left w:val="single" w:color="auto" w:sz="2" w:space="0"/>
              <w:bottom w:val="single" w:color="auto" w:sz="4" w:space="0"/>
              <w:right w:val="single" w:color="auto" w:sz="12" w:space="0"/>
            </w:tcBorders>
            <w:vAlign w:val="center"/>
          </w:tcPr>
          <w:p w14:paraId="77516363">
            <w:pPr>
              <w:pStyle w:val="80"/>
              <w:keepNext w:val="0"/>
              <w:keepLines w:val="0"/>
              <w:pageBreakBefore w:val="0"/>
              <w:widowControl w:val="0"/>
              <w:kinsoku/>
              <w:overflowPunct/>
              <w:bidi w:val="0"/>
              <w:spacing w:line="400" w:lineRule="exact"/>
              <w:ind w:left="4"/>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投标人须知正文增加7.8.6 项“不平衡报价的处理”</w:t>
            </w:r>
            <w:r>
              <w:rPr>
                <w:rFonts w:hint="eastAsia" w:ascii="宋体" w:hAnsi="宋体" w:cs="宋体"/>
                <w:color w:val="auto"/>
                <w:sz w:val="24"/>
                <w:highlight w:val="none"/>
              </w:rPr>
              <w:t>，内容如下：</w:t>
            </w:r>
          </w:p>
          <w:p w14:paraId="5E1B17F4">
            <w:pPr>
              <w:pStyle w:val="80"/>
              <w:keepNext w:val="0"/>
              <w:keepLines w:val="0"/>
              <w:pageBreakBefore w:val="0"/>
              <w:widowControl w:val="0"/>
              <w:kinsoku/>
              <w:wordWrap/>
              <w:overflowPunct/>
              <w:topLinePunct w:val="0"/>
              <w:autoSpaceDE/>
              <w:autoSpaceDN/>
              <w:bidi w:val="0"/>
              <w:adjustRightInd/>
              <w:snapToGrid/>
              <w:spacing w:line="360" w:lineRule="exact"/>
              <w:ind w:right="136"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中标人如果存在不平衡报价，招标人可以在保证投标总价不变的前提下予以合理调整，中标人应无条件接受。不平衡报价处理的具体条款如下：</w:t>
            </w:r>
          </w:p>
          <w:p w14:paraId="5E82D3B8">
            <w:pPr>
              <w:pStyle w:val="80"/>
              <w:keepNext w:val="0"/>
              <w:keepLines w:val="0"/>
              <w:pageBreakBefore w:val="0"/>
              <w:widowControl w:val="0"/>
              <w:kinsoku/>
              <w:wordWrap/>
              <w:overflowPunct/>
              <w:topLinePunct w:val="0"/>
              <w:autoSpaceDE/>
              <w:autoSpaceDN/>
              <w:bidi w:val="0"/>
              <w:adjustRightInd/>
              <w:snapToGrid/>
              <w:spacing w:line="360" w:lineRule="exact"/>
              <w:ind w:right="136"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在签订合同前，招标人对中标人的工程量清单报价进行审核：</w:t>
            </w:r>
          </w:p>
          <w:p w14:paraId="4E54E14A">
            <w:pPr>
              <w:pStyle w:val="80"/>
              <w:keepNext w:val="0"/>
              <w:keepLines w:val="0"/>
              <w:pageBreakBefore w:val="0"/>
              <w:widowControl w:val="0"/>
              <w:kinsoku/>
              <w:wordWrap/>
              <w:overflowPunct/>
              <w:topLinePunct w:val="0"/>
              <w:autoSpaceDE/>
              <w:autoSpaceDN/>
              <w:bidi w:val="0"/>
              <w:adjustRightInd/>
              <w:snapToGrid/>
              <w:spacing w:line="360" w:lineRule="exact"/>
              <w:ind w:right="136"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（1）若中标人的工程量清单报价，超过如下范围：招标人招标清单预算相应单价与（1-中标人中标价下浮率）乘积的85%～115%，则视为存在不平衡报价。</w:t>
            </w:r>
          </w:p>
          <w:p w14:paraId="71A5B488">
            <w:pPr>
              <w:pStyle w:val="80"/>
              <w:keepNext w:val="0"/>
              <w:keepLines w:val="0"/>
              <w:pageBreakBefore w:val="0"/>
              <w:widowControl w:val="0"/>
              <w:kinsoku/>
              <w:wordWrap/>
              <w:overflowPunct/>
              <w:topLinePunct w:val="0"/>
              <w:autoSpaceDE/>
              <w:autoSpaceDN/>
              <w:bidi w:val="0"/>
              <w:adjustRightInd/>
              <w:snapToGrid/>
              <w:spacing w:line="360" w:lineRule="exact"/>
              <w:ind w:right="136" w:firstLine="240" w:firstLineChars="1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14:paraId="62113952">
            <w:pPr>
              <w:pStyle w:val="80"/>
              <w:keepNext w:val="0"/>
              <w:keepLines w:val="0"/>
              <w:pageBreakBefore w:val="0"/>
              <w:widowControl w:val="0"/>
              <w:kinsoku/>
              <w:wordWrap/>
              <w:overflowPunct/>
              <w:topLinePunct w:val="0"/>
              <w:autoSpaceDE/>
              <w:autoSpaceDN/>
              <w:bidi w:val="0"/>
              <w:adjustRightInd/>
              <w:snapToGrid/>
              <w:spacing w:line="360" w:lineRule="exact"/>
              <w:ind w:right="136"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（2）为使调整后的投标总价保持不变，对处于招标人招标清单预算相应单价与（1- 中标人中标价下浮率）乘积的85%～115%内的报价，招标人有权根据本项第（1）条调整原则进行报价调整。</w:t>
            </w:r>
          </w:p>
          <w:p w14:paraId="287E3AC8">
            <w:pPr>
              <w:pStyle w:val="80"/>
              <w:keepNext w:val="0"/>
              <w:keepLines w:val="0"/>
              <w:pageBreakBefore w:val="0"/>
              <w:widowControl w:val="0"/>
              <w:kinsoku/>
              <w:wordWrap/>
              <w:overflowPunct/>
              <w:topLinePunct w:val="0"/>
              <w:autoSpaceDE/>
              <w:autoSpaceDN/>
              <w:bidi w:val="0"/>
              <w:adjustRightInd/>
              <w:snapToGrid/>
              <w:spacing w:line="360" w:lineRule="exact"/>
              <w:ind w:right="136"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中标人中标价下浮率指中标人中标价较造价管理部门核备的清单预算之下浮比例。</w:t>
            </w:r>
          </w:p>
        </w:tc>
      </w:tr>
      <w:tr w14:paraId="144FC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074ADABD">
            <w:pPr>
              <w:pStyle w:val="57"/>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8.5</w:t>
            </w:r>
          </w:p>
        </w:tc>
        <w:tc>
          <w:tcPr>
            <w:tcW w:w="8781" w:type="dxa"/>
            <w:gridSpan w:val="2"/>
            <w:tcBorders>
              <w:top w:val="single" w:color="auto" w:sz="4" w:space="0"/>
              <w:left w:val="single" w:color="auto" w:sz="2" w:space="0"/>
              <w:bottom w:val="single" w:color="auto" w:sz="4" w:space="0"/>
              <w:right w:val="single" w:color="auto" w:sz="12" w:space="0"/>
            </w:tcBorders>
            <w:vAlign w:val="top"/>
          </w:tcPr>
          <w:p w14:paraId="23B462D2">
            <w:pPr>
              <w:pStyle w:val="57"/>
              <w:spacing w:line="38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投标人须知范本原文第 8.5.1 项细化如下：</w:t>
            </w:r>
          </w:p>
          <w:p w14:paraId="60432E49">
            <w:pPr>
              <w:pStyle w:val="57"/>
              <w:spacing w:line="380" w:lineRule="exact"/>
              <w:ind w:firstLine="720" w:firstLineChars="300"/>
              <w:jc w:val="left"/>
              <w:rPr>
                <w:rFonts w:ascii="宋体" w:hAnsi="宋体" w:cs="宋体"/>
                <w:color w:val="auto"/>
                <w:kern w:val="2"/>
                <w:sz w:val="24"/>
                <w:szCs w:val="24"/>
                <w:highlight w:val="none"/>
              </w:rPr>
            </w:pPr>
            <w:r>
              <w:rPr>
                <w:rFonts w:hint="eastAsia" w:ascii="宋体" w:hAnsi="宋体" w:cs="宋体"/>
                <w:color w:val="auto"/>
                <w:sz w:val="24"/>
                <w:szCs w:val="24"/>
                <w:highlight w:val="none"/>
              </w:rPr>
              <w:t>8.5.1 投标人或其他利害关系人认为招标投标活动不符合法律、行政法规规定的，可以自知道或应当知道之日起 10 日内向有关行政监督部门投诉。对于按法规规定需要先提出异议的投诉，交通运输主管部门在受理投诉时要求投诉人递交提出异议的证明文件， 已向有关行政监督部门投诉的，应当一并说明。未按规定提出异议或者未提交已提出异议的证明文件的投诉，交通运输主管部门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行政监督部门接到对招标投标活动有效投诉的，应当制止或者要求整改，整改期间可以暂停其招标投标活动。</w:t>
            </w:r>
          </w:p>
        </w:tc>
      </w:tr>
      <w:tr w14:paraId="717A3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508"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431B0AD6">
            <w:pPr>
              <w:pStyle w:val="57"/>
              <w:keepNext w:val="0"/>
              <w:keepLines w:val="0"/>
              <w:pageBreakBefore w:val="0"/>
              <w:widowControl w:val="0"/>
              <w:kinsoku/>
              <w:overflowPunct/>
              <w:bidi w:val="0"/>
              <w:spacing w:line="400" w:lineRule="exact"/>
              <w:ind w:firstLine="0" w:firstLineChars="0"/>
              <w:textAlignment w:val="auto"/>
              <w:rPr>
                <w:rFonts w:hint="eastAsia" w:ascii="宋体" w:hAnsi="宋体" w:cs="宋体"/>
                <w:color w:val="auto"/>
                <w:sz w:val="24"/>
                <w:szCs w:val="24"/>
                <w:highlight w:val="none"/>
              </w:rPr>
            </w:pPr>
            <w:r>
              <w:rPr>
                <w:rFonts w:hint="eastAsia" w:ascii="宋体" w:hAnsi="宋体" w:cs="宋体"/>
                <w:color w:val="auto"/>
                <w:highlight w:val="none"/>
                <w:lang w:val="en-US" w:eastAsia="zh-CN"/>
              </w:rPr>
              <w:t>9</w:t>
            </w:r>
          </w:p>
        </w:tc>
        <w:tc>
          <w:tcPr>
            <w:tcW w:w="8781" w:type="dxa"/>
            <w:gridSpan w:val="2"/>
            <w:tcBorders>
              <w:top w:val="single" w:color="auto" w:sz="4" w:space="0"/>
              <w:left w:val="single" w:color="auto" w:sz="2" w:space="0"/>
              <w:bottom w:val="single" w:color="auto" w:sz="4" w:space="0"/>
              <w:right w:val="single" w:color="auto" w:sz="12" w:space="0"/>
            </w:tcBorders>
            <w:vAlign w:val="top"/>
          </w:tcPr>
          <w:p w14:paraId="7C4FE307">
            <w:pPr>
              <w:pStyle w:val="57"/>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auto"/>
                <w:highlight w:val="none"/>
                <w:lang w:eastAsia="zh-CN"/>
              </w:rPr>
            </w:pPr>
            <w:r>
              <w:rPr>
                <w:rFonts w:hint="eastAsia" w:ascii="宋体" w:hAnsi="宋体" w:cs="宋体"/>
                <w:color w:val="auto"/>
                <w:highlight w:val="none"/>
              </w:rPr>
              <w:t>投标人须知范本正文</w:t>
            </w:r>
            <w:r>
              <w:rPr>
                <w:rFonts w:hint="eastAsia" w:ascii="宋体" w:hAnsi="宋体" w:cs="宋体"/>
                <w:color w:val="auto"/>
                <w:highlight w:val="none"/>
                <w:lang w:val="en-US" w:eastAsia="zh-CN"/>
              </w:rPr>
              <w:t>第9条</w:t>
            </w:r>
            <w:r>
              <w:rPr>
                <w:rFonts w:hint="eastAsia" w:ascii="宋体" w:hAnsi="宋体" w:cs="宋体"/>
                <w:color w:val="auto"/>
                <w:highlight w:val="none"/>
              </w:rPr>
              <w:t>款后增加如下条款：</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val="en-US" w:eastAsia="zh-CN"/>
              </w:rPr>
              <w:t>1</w:t>
            </w:r>
            <w:r>
              <w:rPr>
                <w:rFonts w:hint="eastAsia" w:ascii="宋体" w:hAnsi="宋体" w:cs="宋体"/>
                <w:color w:val="auto"/>
                <w:highlight w:val="none"/>
              </w:rPr>
              <w:t xml:space="preserve"> 款、</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 xml:space="preserve"> 款、</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 xml:space="preserve"> 款</w:t>
            </w:r>
            <w:r>
              <w:rPr>
                <w:rFonts w:hint="eastAsia" w:ascii="宋体" w:hAnsi="宋体" w:cs="宋体"/>
                <w:color w:val="auto"/>
                <w:highlight w:val="none"/>
                <w:lang w:eastAsia="zh-CN"/>
              </w:rPr>
              <w:t>。</w:t>
            </w:r>
          </w:p>
          <w:p w14:paraId="0AAF1657">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highlight w:val="none"/>
              </w:rPr>
            </w:pPr>
            <w:r>
              <w:rPr>
                <w:rFonts w:hint="eastAsia" w:ascii="宋体" w:hAnsi="宋体" w:cs="宋体"/>
                <w:color w:val="auto"/>
                <w:highlight w:val="none"/>
              </w:rPr>
              <w:t>9.1 在建设工程交易系统上传加盖了电子印章的投标文件、录入相关信息及标书页码信息，（页码起始从封面开始）并提交投标标书。提交标书为已加密投标文件。具体操作参照全国公共资源交易平台（广东省·韶关市）（https://ygp.gdzwfw.gov.cn/ggzy-portal/#/440200/index），在【服务指引】栏目中发布的最新操作指引。本项目评标采用全流程电子化进行招标投标（投标人应根据全国公共资源交易平台（广东省·韶关市）交易平台进行编辑投标相关内容、按招标文件电子投标要求上传已加盖电子印章投标文件，否则将自行承担不利后果）。投标文件完成上传后，投标人应使用 CA 数字证书对投标文件进行文件加密，形成加密的投标文件并提交标书。</w:t>
            </w:r>
          </w:p>
          <w:p w14:paraId="03BCC872">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highlight w:val="none"/>
              </w:rPr>
            </w:pPr>
            <w:r>
              <w:rPr>
                <w:rFonts w:hint="eastAsia" w:ascii="宋体" w:hAnsi="宋体" w:cs="宋体"/>
                <w:color w:val="auto"/>
                <w:highlight w:val="none"/>
              </w:rPr>
              <w:t>9.2 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447EF86B">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highlight w:val="none"/>
              </w:rPr>
            </w:pPr>
            <w:r>
              <w:rPr>
                <w:rFonts w:hint="eastAsia" w:ascii="宋体" w:hAnsi="宋体" w:cs="宋体"/>
                <w:color w:val="auto"/>
                <w:highlight w:val="none"/>
              </w:rPr>
              <w:t>9.3 电子投标解密失败及突发情况的补救</w:t>
            </w:r>
          </w:p>
          <w:p w14:paraId="3ED43D66">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highlight w:val="none"/>
              </w:rPr>
            </w:pPr>
            <w:r>
              <w:rPr>
                <w:rFonts w:hint="eastAsia" w:ascii="宋体" w:hAnsi="宋体" w:cs="宋体"/>
                <w:color w:val="auto"/>
                <w:highlight w:val="none"/>
              </w:rPr>
              <w:t xml:space="preserve">9.3.1 按照交易平台关于全流程电子化项目的相关指引进行操作。详见：全国公共资源交易平台（广东省·韶关市）（https://ygp.gdzwfw.gov.cn/ggzy-portal/#/440200/index）交易指引栏目发布的最新版操作指引。  </w:t>
            </w:r>
          </w:p>
          <w:p w14:paraId="7B5A87E9">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highlight w:val="none"/>
              </w:rPr>
            </w:pPr>
            <w:r>
              <w:rPr>
                <w:rFonts w:hint="eastAsia" w:ascii="宋体" w:hAnsi="宋体" w:cs="宋体"/>
                <w:color w:val="auto"/>
                <w:highlight w:val="none"/>
              </w:rPr>
              <w:t>9.3.2 补救方案：</w:t>
            </w:r>
          </w:p>
          <w:p w14:paraId="4648CEC2">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highlight w:val="none"/>
              </w:rPr>
            </w:pPr>
            <w:r>
              <w:rPr>
                <w:rFonts w:hint="eastAsia" w:ascii="宋体" w:hAnsi="宋体" w:cs="宋体"/>
                <w:color w:val="auto"/>
                <w:highlight w:val="none"/>
              </w:rPr>
              <w:t>投标文件解密失败的补救方案：</w:t>
            </w:r>
          </w:p>
          <w:p w14:paraId="40FD1163">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highlight w:val="none"/>
              </w:rPr>
            </w:pPr>
            <w:r>
              <w:rPr>
                <w:rFonts w:hint="eastAsia" w:ascii="宋体" w:hAnsi="宋体" w:cs="宋体"/>
                <w:color w:val="auto"/>
                <w:highlight w:val="none"/>
              </w:rPr>
              <w:t>在规定时间内，因投标人之外原因(指网络瘫痪、服务器损坏、交易系统故障短期无法恢复)等导致的电子投标文件解密失败，在开标现场解密环节由代理授权后，解密失败投标人可在交易平台在规定时间（代理机构授权后30分钟内）内重新提交投标文件继续开标程序。</w:t>
            </w:r>
          </w:p>
          <w:p w14:paraId="40539620">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highlight w:val="none"/>
              </w:rPr>
            </w:pPr>
            <w:r>
              <w:rPr>
                <w:rFonts w:hint="eastAsia" w:ascii="宋体" w:hAnsi="宋体" w:cs="宋体"/>
                <w:color w:val="auto"/>
                <w:highlight w:val="none"/>
              </w:rPr>
              <w:t>（2）评标时突发情况的补救方案</w:t>
            </w:r>
          </w:p>
          <w:p w14:paraId="328B8162">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highlight w:val="none"/>
              </w:rPr>
            </w:pPr>
            <w:r>
              <w:rPr>
                <w:rFonts w:hint="eastAsia" w:ascii="宋体" w:hAnsi="宋体" w:cs="宋体"/>
                <w:color w:val="auto"/>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2E39F2D6">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highlight w:val="none"/>
              </w:rPr>
              <w:t>（3）除发生上述情况外，开标评标均以投标人通过交易平台网上递交的电子投标文件为准。</w:t>
            </w:r>
          </w:p>
        </w:tc>
      </w:tr>
      <w:tr w14:paraId="04A5B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6651EDC5">
            <w:pPr>
              <w:pStyle w:val="57"/>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8781" w:type="dxa"/>
            <w:gridSpan w:val="2"/>
            <w:tcBorders>
              <w:top w:val="single" w:color="auto" w:sz="4" w:space="0"/>
              <w:left w:val="single" w:color="auto" w:sz="2" w:space="0"/>
              <w:bottom w:val="single" w:color="auto" w:sz="4" w:space="0"/>
              <w:right w:val="single" w:color="auto" w:sz="12" w:space="0"/>
            </w:tcBorders>
          </w:tcPr>
          <w:p w14:paraId="157B3DA1">
            <w:pPr>
              <w:pStyle w:val="57"/>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在 10.1 条款后增加如下条款：10.2款、10.3款、10.4款、10.5款、10.6款、10.7款、10.8款。</w:t>
            </w:r>
          </w:p>
          <w:p w14:paraId="2D89020E">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10.2信用等级的确定原则：</w:t>
            </w:r>
          </w:p>
          <w:p w14:paraId="782C2BE8">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10.2.1招标文件中的信用等级指的是广东省交通运输厅最新一年度的信用评价。如无广东省最新一年度信用等级而上一年度有广东省信用等级的，则其原信用等级可延续一年，但在递交资审申请文件（资格后审的为投标文件）时信用等级的使用次数应按上一年度公布的信用评价结果顺延上一年度的使用次数，使用次数有关规定执行粤交基[2014]564 号文的要求。</w:t>
            </w:r>
          </w:p>
          <w:p w14:paraId="25C031ED">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10.2.2信用等级延续 1 年后仍无信用评价等级的，按照初次进入广东省确定，原则上按 B 级对待，但下列情况除外：最新年度的全国公路从业单位（施工单位）信用评价结果 为 C 级或 D 级的，则按最新一年度的全国综合评价结果等级对待；或最新一年度的全国综合评价结果未被评为 C 级或 D 级的，但在广东省最近年度原评价等级为 D 级的，则按 C 级对待。</w:t>
            </w:r>
          </w:p>
          <w:p w14:paraId="26CEB355">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10.2.3AA、A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日时的信用等级作比较，按“就低原则”认定等级，即降低等级的按低等级认定、升高等级的仍维持资审时的申请等级）。</w:t>
            </w:r>
          </w:p>
          <w:p w14:paraId="2A49869E">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10.2.4在招标评标中，信用评价等级采用按次、按标段或标类（指资格预审时未明确具体标段的情形）申请使用的原则，即在同一次招标中的多个标段的投标，可自愿对其中部分或全部标段申请使用 AA 或A 信用等级，无论中标与否，均应根据申请递交投标（或申请）文件情况按标段计算使用次数（非投标人原因导致招标失败的情况除外）。</w:t>
            </w:r>
          </w:p>
          <w:p w14:paraId="1664A301">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10.3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14:paraId="183C90EA">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10.4如果开标后至中标通知书发出前，中标候选人发生投标人须知 1.4.4（1）至（7） 的情形及中标候选人信用等级被广东省交通运输厅直接降为 D 级的情形，则取消其中标资格，按否决其投标处理；发生以上情况时，招标人按推荐中标候选人排名顺序依次确定中标人，或重新组织招标。</w:t>
            </w:r>
          </w:p>
          <w:p w14:paraId="1F072B54">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10.5 本招标文件中所有“类似工程”均指</w:t>
            </w:r>
            <w:r>
              <w:rPr>
                <w:rFonts w:hint="eastAsia" w:ascii="宋体" w:hAnsi="宋体" w:cs="宋体"/>
                <w:b/>
                <w:color w:val="auto"/>
                <w:sz w:val="24"/>
                <w:szCs w:val="24"/>
                <w:highlight w:val="none"/>
                <w:u w:val="single"/>
              </w:rPr>
              <w:t>新建</w:t>
            </w:r>
            <w:r>
              <w:rPr>
                <w:rFonts w:hint="eastAsia" w:ascii="宋体" w:hAnsi="宋体" w:cs="宋体"/>
                <w:b/>
                <w:color w:val="auto"/>
                <w:sz w:val="24"/>
                <w:szCs w:val="24"/>
                <w:highlight w:val="none"/>
                <w:u w:val="single"/>
                <w:lang w:val="en-US" w:eastAsia="zh-CN"/>
              </w:rPr>
              <w:t>或</w:t>
            </w:r>
            <w:r>
              <w:rPr>
                <w:rFonts w:hint="eastAsia" w:ascii="宋体" w:hAnsi="宋体" w:cs="宋体"/>
                <w:b/>
                <w:color w:val="auto"/>
                <w:sz w:val="24"/>
                <w:szCs w:val="24"/>
                <w:highlight w:val="none"/>
                <w:u w:val="single"/>
              </w:rPr>
              <w:t>改、扩建、路面改造</w:t>
            </w:r>
            <w:r>
              <w:rPr>
                <w:rFonts w:hint="eastAsia" w:ascii="宋体" w:hAnsi="宋体" w:cs="宋体"/>
                <w:b/>
                <w:color w:val="auto"/>
                <w:sz w:val="24"/>
                <w:szCs w:val="24"/>
                <w:highlight w:val="none"/>
                <w:u w:val="single"/>
                <w:lang w:val="en-US" w:eastAsia="zh-CN"/>
              </w:rPr>
              <w:t>四</w:t>
            </w:r>
            <w:r>
              <w:rPr>
                <w:rFonts w:hint="eastAsia" w:ascii="宋体" w:hAnsi="宋体" w:cs="宋体"/>
                <w:b/>
                <w:color w:val="auto"/>
                <w:sz w:val="24"/>
                <w:szCs w:val="24"/>
                <w:highlight w:val="none"/>
                <w:u w:val="single"/>
              </w:rPr>
              <w:t>级以上（含</w:t>
            </w:r>
            <w:r>
              <w:rPr>
                <w:rFonts w:hint="eastAsia" w:ascii="宋体" w:hAnsi="宋体" w:cs="宋体"/>
                <w:b/>
                <w:color w:val="auto"/>
                <w:sz w:val="24"/>
                <w:szCs w:val="24"/>
                <w:highlight w:val="none"/>
                <w:u w:val="single"/>
                <w:lang w:val="en-US" w:eastAsia="zh-CN"/>
              </w:rPr>
              <w:t>四</w:t>
            </w:r>
            <w:r>
              <w:rPr>
                <w:rFonts w:hint="eastAsia" w:ascii="宋体" w:hAnsi="宋体" w:cs="宋体"/>
                <w:b/>
                <w:color w:val="auto"/>
                <w:sz w:val="24"/>
                <w:szCs w:val="24"/>
                <w:highlight w:val="none"/>
                <w:u w:val="single"/>
              </w:rPr>
              <w:t>级）</w:t>
            </w:r>
            <w:r>
              <w:rPr>
                <w:rFonts w:hint="eastAsia" w:ascii="宋体" w:hAnsi="宋体" w:cs="宋体"/>
                <w:bCs/>
                <w:color w:val="auto"/>
                <w:sz w:val="24"/>
                <w:szCs w:val="24"/>
                <w:highlight w:val="none"/>
              </w:rPr>
              <w:t>公路工程</w:t>
            </w:r>
            <w:r>
              <w:rPr>
                <w:rFonts w:hint="eastAsia" w:ascii="宋体" w:hAnsi="宋体" w:cs="宋体"/>
                <w:color w:val="auto"/>
                <w:sz w:val="24"/>
                <w:szCs w:val="24"/>
                <w:highlight w:val="none"/>
              </w:rPr>
              <w:t>施工项目。</w:t>
            </w:r>
            <w:r>
              <w:rPr>
                <w:rFonts w:hint="eastAsia" w:ascii="宋体" w:hAnsi="宋体" w:cs="宋体"/>
                <w:color w:val="auto"/>
                <w:sz w:val="24"/>
                <w:szCs w:val="24"/>
                <w:highlight w:val="none"/>
                <w:u w:val="single"/>
              </w:rPr>
              <w:t>在采用新建的公路项目完工业绩时，对于同公路等级改、扩建中的新建桥梁或隧道工程业绩也应认可。</w:t>
            </w:r>
          </w:p>
          <w:p w14:paraId="058247DB">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10.6有关业绩的说明：</w:t>
            </w:r>
          </w:p>
          <w:p w14:paraId="0431EDEC">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10.6.1</w:t>
            </w:r>
          </w:p>
          <w:p w14:paraId="3C2A68C4">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a、特大桥及大桥按国家最新颁布的标准进行划分；</w:t>
            </w:r>
          </w:p>
          <w:p w14:paraId="7DC2B202">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b、完成整座桥梁的半幅或整座桥梁其中的一部分工作内容达到特大桥或大桥对应技术标准的，按相应标标准以座计算；</w:t>
            </w:r>
          </w:p>
          <w:p w14:paraId="7BCF37B2">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c、同一投标人的单座桥梁仅能计一次，只完成整个工程部分分部工程不参与计算业绩。</w:t>
            </w:r>
          </w:p>
          <w:p w14:paraId="5E267323">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10.6.2</w:t>
            </w:r>
          </w:p>
          <w:p w14:paraId="6A56ACB9">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a、特长隧道：单座隧道单洞（即左洞加右洞）总长大于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14:paraId="0EFDDE15">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b、长隧道：单座隧道单洞（即左洞加右洞）总长大于 2000 米且不大于 6000 米</w:t>
            </w:r>
          </w:p>
          <w:p w14:paraId="773231C0">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的，或完成单座隧道的一部分且该部分的单洞累计长度大于 2000 米且不大于 6000 米的，均按 1 座计；</w:t>
            </w:r>
          </w:p>
          <w:p w14:paraId="21CF2692">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c、同一座隧道同时满足条件的，同一投标人只计算一次业绩；特长隧道可计为长隧道。</w:t>
            </w:r>
          </w:p>
          <w:p w14:paraId="23222AFC">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10.7 若投标人</w:t>
            </w:r>
            <w:r>
              <w:rPr>
                <w:rFonts w:hint="eastAsia" w:ascii="宋体" w:hAnsi="宋体" w:cs="宋体"/>
                <w:bCs/>
                <w:color w:val="auto"/>
                <w:sz w:val="24"/>
                <w:szCs w:val="24"/>
                <w:highlight w:val="none"/>
              </w:rPr>
              <w:t>网上报名</w:t>
            </w:r>
            <w:r>
              <w:rPr>
                <w:rFonts w:hint="eastAsia" w:ascii="宋体" w:hAnsi="宋体" w:cs="宋体"/>
                <w:color w:val="auto"/>
                <w:sz w:val="24"/>
                <w:szCs w:val="24"/>
                <w:highlight w:val="none"/>
              </w:rPr>
              <w:t>并获取招标文件后，因故放弃投标，但最迟未在投标文件递交截止日1天以书面形式通知招标人，招标人有权将投标人此行为上报省级交通主管部门，作为不良记录纳入公路建设市场信用信息管理系统。</w:t>
            </w:r>
          </w:p>
          <w:p w14:paraId="5E9FBD3C">
            <w:pPr>
              <w:pStyle w:val="57"/>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10.8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tc>
      </w:tr>
      <w:tr w14:paraId="7C957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14:paraId="4009F1C5">
            <w:pPr>
              <w:pStyle w:val="57"/>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8781" w:type="dxa"/>
            <w:gridSpan w:val="2"/>
            <w:tcBorders>
              <w:top w:val="single" w:color="auto" w:sz="4" w:space="0"/>
              <w:left w:val="single" w:color="auto" w:sz="2" w:space="0"/>
              <w:bottom w:val="single" w:color="auto" w:sz="4" w:space="0"/>
              <w:right w:val="single" w:color="auto" w:sz="12" w:space="0"/>
            </w:tcBorders>
          </w:tcPr>
          <w:p w14:paraId="464675D7">
            <w:pPr>
              <w:spacing w:line="380" w:lineRule="exact"/>
              <w:rPr>
                <w:rFonts w:ascii="宋体" w:hAnsi="宋体" w:cs="宋体"/>
                <w:bCs/>
                <w:color w:val="auto"/>
                <w:sz w:val="24"/>
                <w:szCs w:val="24"/>
                <w:highlight w:val="none"/>
              </w:rPr>
            </w:pPr>
            <w:r>
              <w:rPr>
                <w:rFonts w:hint="eastAsia" w:ascii="宋体" w:hAnsi="宋体" w:cs="宋体"/>
                <w:bCs/>
                <w:color w:val="auto"/>
                <w:sz w:val="24"/>
                <w:szCs w:val="24"/>
                <w:highlight w:val="none"/>
              </w:rPr>
              <w:t>投标人须知正文增加第11款内容：</w:t>
            </w:r>
          </w:p>
          <w:p w14:paraId="1BBDA242">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本项目的招标代理服务费及评委评审费由中标人支付，投标人必须综合考虑此费用，并计入投标成本报价中，不另列；中标人须在中标候选人公示期结束后、领取中标通知书前向招标代理机构支付招标代理服务费及评委评审费，方可领取中标通知书。</w:t>
            </w:r>
          </w:p>
        </w:tc>
      </w:tr>
      <w:tr w14:paraId="1A4A4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9749" w:type="dxa"/>
            <w:gridSpan w:val="3"/>
            <w:tcBorders>
              <w:top w:val="single" w:color="auto" w:sz="4" w:space="0"/>
              <w:left w:val="single" w:color="auto" w:sz="12" w:space="0"/>
              <w:bottom w:val="single" w:color="auto" w:sz="4" w:space="0"/>
              <w:right w:val="single" w:color="auto" w:sz="12" w:space="0"/>
            </w:tcBorders>
            <w:vAlign w:val="center"/>
          </w:tcPr>
          <w:p w14:paraId="3AD21902">
            <w:pPr>
              <w:pStyle w:val="15"/>
              <w:spacing w:line="38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备注：“投标人须知”前附表是“投标人须知”正文内容的补充、细化和修改，投标人应结合“投标人须知”正文与“投标人须知”前附表两部分内容仔细阅读“投标人须知”。</w:t>
            </w:r>
          </w:p>
        </w:tc>
      </w:tr>
    </w:tbl>
    <w:p w14:paraId="6422F9DF">
      <w:pPr>
        <w:pStyle w:val="4"/>
        <w:spacing w:before="140" w:after="140" w:line="360" w:lineRule="auto"/>
        <w:jc w:val="center"/>
        <w:rPr>
          <w:rFonts w:ascii="宋体" w:hAnsi="宋体" w:cs="黑体"/>
          <w:bCs w:val="0"/>
          <w:color w:val="auto"/>
          <w:sz w:val="30"/>
          <w:szCs w:val="30"/>
          <w:highlight w:val="none"/>
        </w:rPr>
      </w:pPr>
      <w:r>
        <w:rPr>
          <w:rFonts w:hint="eastAsia" w:ascii="宋体" w:hAnsi="宋体" w:cs="黑体"/>
          <w:bCs w:val="0"/>
          <w:color w:val="auto"/>
          <w:sz w:val="30"/>
          <w:szCs w:val="30"/>
          <w:highlight w:val="none"/>
        </w:rPr>
        <w:br w:type="page"/>
      </w:r>
      <w:bookmarkStart w:id="32" w:name="_Toc43475663"/>
      <w:bookmarkStart w:id="33" w:name="_Toc7714"/>
    </w:p>
    <w:p w14:paraId="6E2462AC">
      <w:pPr>
        <w:pStyle w:val="4"/>
        <w:spacing w:before="140" w:after="140" w:line="360" w:lineRule="auto"/>
        <w:jc w:val="center"/>
        <w:rPr>
          <w:rFonts w:ascii="宋体" w:hAnsi="宋体" w:cs="黑体"/>
          <w:bCs w:val="0"/>
          <w:color w:val="auto"/>
          <w:sz w:val="30"/>
          <w:szCs w:val="30"/>
          <w:highlight w:val="none"/>
        </w:rPr>
      </w:pPr>
    </w:p>
    <w:p w14:paraId="427F0B25">
      <w:pPr>
        <w:pStyle w:val="4"/>
        <w:spacing w:before="140" w:after="140" w:line="360" w:lineRule="auto"/>
        <w:jc w:val="center"/>
        <w:rPr>
          <w:rFonts w:ascii="宋体" w:hAnsi="宋体" w:cs="黑体"/>
          <w:bCs w:val="0"/>
          <w:color w:val="auto"/>
          <w:sz w:val="30"/>
          <w:szCs w:val="30"/>
          <w:highlight w:val="none"/>
        </w:rPr>
      </w:pPr>
      <w:r>
        <w:rPr>
          <w:rFonts w:hint="eastAsia" w:ascii="宋体" w:hAnsi="宋体" w:cs="黑体"/>
          <w:bCs w:val="0"/>
          <w:color w:val="auto"/>
          <w:sz w:val="30"/>
          <w:szCs w:val="30"/>
          <w:highlight w:val="none"/>
        </w:rPr>
        <w:t>附录1  资格审查条件（资质最低要求）</w:t>
      </w:r>
      <w:bookmarkEnd w:id="32"/>
      <w:bookmarkEnd w:id="33"/>
    </w:p>
    <w:tbl>
      <w:tblPr>
        <w:tblStyle w:val="42"/>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7CD25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672" w:type="dxa"/>
            <w:vAlign w:val="center"/>
          </w:tcPr>
          <w:p w14:paraId="3202EDBD">
            <w:pPr>
              <w:pStyle w:val="15"/>
              <w:jc w:val="center"/>
              <w:rPr>
                <w:rFonts w:ascii="Calibri" w:hAnsi="Calibri"/>
                <w:color w:val="auto"/>
                <w:sz w:val="24"/>
                <w:highlight w:val="none"/>
              </w:rPr>
            </w:pPr>
            <w:r>
              <w:rPr>
                <w:rFonts w:hint="eastAsia" w:ascii="宋体" w:hAnsi="宋体"/>
                <w:b/>
                <w:bCs/>
                <w:color w:val="auto"/>
                <w:sz w:val="24"/>
                <w:highlight w:val="none"/>
              </w:rPr>
              <w:t>施工企业资质等级要求</w:t>
            </w:r>
          </w:p>
        </w:tc>
      </w:tr>
      <w:tr w14:paraId="0FA8E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14:paraId="11E4ACA8">
            <w:pPr>
              <w:pStyle w:val="15"/>
              <w:spacing w:line="360" w:lineRule="auto"/>
              <w:ind w:firstLine="480" w:firstLineChars="200"/>
              <w:rPr>
                <w:rFonts w:ascii="宋体" w:hAnsi="宋体"/>
                <w:color w:val="auto"/>
                <w:sz w:val="24"/>
                <w:highlight w:val="none"/>
              </w:rPr>
            </w:pPr>
            <w:r>
              <w:rPr>
                <w:rFonts w:hint="eastAsia" w:ascii="宋体" w:hAnsi="宋体"/>
                <w:color w:val="auto"/>
                <w:sz w:val="24"/>
                <w:highlight w:val="none"/>
              </w:rPr>
              <w:t>具备</w:t>
            </w:r>
            <w:r>
              <w:rPr>
                <w:rFonts w:hint="eastAsia" w:ascii="宋体" w:hAnsi="宋体"/>
                <w:color w:val="auto"/>
                <w:sz w:val="24"/>
                <w:highlight w:val="none"/>
                <w:lang w:val="en-US" w:eastAsia="zh-CN"/>
              </w:rPr>
              <w:t>住房城乡建设主管部门核发</w:t>
            </w:r>
            <w:r>
              <w:rPr>
                <w:rFonts w:hint="eastAsia" w:ascii="宋体" w:hAnsi="宋体"/>
                <w:color w:val="auto"/>
                <w:sz w:val="24"/>
                <w:highlight w:val="none"/>
              </w:rPr>
              <w:t>的公路工程施工总承包三级以上（含三级）资质。</w:t>
            </w:r>
          </w:p>
        </w:tc>
      </w:tr>
    </w:tbl>
    <w:p w14:paraId="0644170A">
      <w:pPr>
        <w:rPr>
          <w:color w:val="auto"/>
          <w:highlight w:val="none"/>
        </w:rPr>
      </w:pPr>
      <w:bookmarkStart w:id="34" w:name="_Toc466575329"/>
      <w:bookmarkStart w:id="35" w:name="_Toc451261208"/>
      <w:bookmarkStart w:id="36" w:name="_Toc18853"/>
      <w:bookmarkStart w:id="37" w:name="_Toc393546205"/>
      <w:bookmarkStart w:id="38" w:name="_Toc330406140"/>
      <w:bookmarkStart w:id="39" w:name="_Toc238804055"/>
      <w:r>
        <w:rPr>
          <w:rFonts w:hint="eastAsia"/>
          <w:color w:val="auto"/>
          <w:highlight w:val="none"/>
        </w:rPr>
        <w:t xml:space="preserve">注：投标人应根据投标文件第二章“投标人须知”第 </w:t>
      </w:r>
      <w:r>
        <w:rPr>
          <w:rFonts w:hint="eastAsia" w:ascii="宋体" w:hAnsi="宋体"/>
          <w:color w:val="auto"/>
          <w:szCs w:val="21"/>
          <w:highlight w:val="none"/>
        </w:rPr>
        <w:t xml:space="preserve">3.5.1 </w:t>
      </w:r>
      <w:r>
        <w:rPr>
          <w:rFonts w:hint="eastAsia"/>
          <w:color w:val="auto"/>
          <w:highlight w:val="none"/>
        </w:rPr>
        <w:t>项的要求附相关证明材料。</w:t>
      </w:r>
    </w:p>
    <w:p w14:paraId="6A2DD371">
      <w:pPr>
        <w:pStyle w:val="52"/>
        <w:rPr>
          <w:color w:val="auto"/>
          <w:highlight w:val="none"/>
        </w:rPr>
      </w:pPr>
    </w:p>
    <w:p w14:paraId="70229F4D">
      <w:pPr>
        <w:pStyle w:val="4"/>
        <w:spacing w:before="140" w:after="140" w:line="360" w:lineRule="auto"/>
        <w:jc w:val="center"/>
        <w:rPr>
          <w:rFonts w:hint="eastAsia" w:ascii="宋体" w:hAnsi="宋体" w:cs="黑体"/>
          <w:bCs w:val="0"/>
          <w:color w:val="auto"/>
          <w:sz w:val="30"/>
          <w:szCs w:val="30"/>
          <w:highlight w:val="none"/>
        </w:rPr>
      </w:pPr>
      <w:bookmarkStart w:id="40" w:name="_Toc43475664"/>
    </w:p>
    <w:p w14:paraId="6EABE865">
      <w:pPr>
        <w:pStyle w:val="4"/>
        <w:spacing w:before="140" w:after="140" w:line="360" w:lineRule="auto"/>
        <w:jc w:val="center"/>
        <w:rPr>
          <w:rFonts w:ascii="宋体" w:hAnsi="宋体" w:cs="黑体"/>
          <w:bCs w:val="0"/>
          <w:color w:val="auto"/>
          <w:sz w:val="30"/>
          <w:szCs w:val="30"/>
          <w:highlight w:val="none"/>
        </w:rPr>
      </w:pPr>
      <w:r>
        <w:rPr>
          <w:rFonts w:hint="eastAsia" w:ascii="宋体" w:hAnsi="宋体" w:cs="黑体"/>
          <w:bCs w:val="0"/>
          <w:color w:val="auto"/>
          <w:sz w:val="30"/>
          <w:szCs w:val="30"/>
          <w:highlight w:val="none"/>
        </w:rPr>
        <w:t>附录2  资格审查条件（财务最低要求）</w:t>
      </w:r>
      <w:bookmarkEnd w:id="34"/>
      <w:bookmarkEnd w:id="35"/>
      <w:bookmarkEnd w:id="36"/>
      <w:bookmarkEnd w:id="40"/>
    </w:p>
    <w:tbl>
      <w:tblPr>
        <w:tblStyle w:val="42"/>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14:paraId="74B5B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9746" w:type="dxa"/>
            <w:vAlign w:val="center"/>
          </w:tcPr>
          <w:p w14:paraId="1D011CAC">
            <w:pPr>
              <w:pStyle w:val="15"/>
              <w:spacing w:line="360" w:lineRule="auto"/>
              <w:jc w:val="center"/>
              <w:rPr>
                <w:rFonts w:ascii="Calibri" w:hAnsi="Calibri"/>
                <w:color w:val="auto"/>
                <w:sz w:val="24"/>
                <w:highlight w:val="none"/>
              </w:rPr>
            </w:pPr>
            <w:r>
              <w:rPr>
                <w:rFonts w:hint="eastAsia" w:ascii="宋体" w:hAnsi="宋体"/>
                <w:b/>
                <w:bCs/>
                <w:color w:val="auto"/>
                <w:sz w:val="24"/>
                <w:highlight w:val="none"/>
              </w:rPr>
              <w:t>财 务 要 求</w:t>
            </w:r>
          </w:p>
        </w:tc>
      </w:tr>
      <w:tr w14:paraId="71E4F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9746" w:type="dxa"/>
            <w:vAlign w:val="center"/>
          </w:tcPr>
          <w:p w14:paraId="470CB2E7">
            <w:pPr>
              <w:pStyle w:val="15"/>
              <w:spacing w:line="360" w:lineRule="auto"/>
              <w:ind w:firstLine="480" w:firstLineChars="200"/>
              <w:rPr>
                <w:rFonts w:ascii="宋体" w:hAnsi="宋体"/>
                <w:color w:val="auto"/>
                <w:sz w:val="24"/>
                <w:highlight w:val="none"/>
              </w:rPr>
            </w:pPr>
            <w:r>
              <w:rPr>
                <w:rFonts w:ascii="宋体" w:hAnsi="宋体"/>
                <w:color w:val="auto"/>
                <w:sz w:val="24"/>
                <w:highlight w:val="none"/>
              </w:rPr>
              <w:t>1、企业净资产（总资产-总负债）不少于</w:t>
            </w:r>
            <w:r>
              <w:rPr>
                <w:rFonts w:hint="eastAsia" w:ascii="宋体" w:hAnsi="宋体"/>
                <w:color w:val="auto"/>
                <w:sz w:val="24"/>
                <w:highlight w:val="none"/>
                <w:lang w:val="en-US" w:eastAsia="zh-CN"/>
              </w:rPr>
              <w:t>1</w:t>
            </w:r>
            <w:r>
              <w:rPr>
                <w:rFonts w:ascii="宋体" w:hAnsi="宋体"/>
                <w:color w:val="auto"/>
                <w:sz w:val="24"/>
                <w:highlight w:val="none"/>
              </w:rPr>
              <w:t xml:space="preserve">000万元人民币； </w:t>
            </w:r>
          </w:p>
          <w:p w14:paraId="66C7D16A">
            <w:pPr>
              <w:pStyle w:val="15"/>
              <w:spacing w:line="360" w:lineRule="auto"/>
              <w:ind w:firstLine="480" w:firstLineChars="200"/>
              <w:rPr>
                <w:rFonts w:ascii="宋体" w:hAnsi="宋体"/>
                <w:color w:val="auto"/>
                <w:sz w:val="24"/>
                <w:highlight w:val="none"/>
              </w:rPr>
            </w:pPr>
            <w:r>
              <w:rPr>
                <w:rFonts w:ascii="宋体" w:hAnsi="宋体"/>
                <w:color w:val="auto"/>
                <w:sz w:val="24"/>
                <w:highlight w:val="none"/>
              </w:rPr>
              <w:t>2、营运资金（流动资产－流动负债）不少于</w:t>
            </w:r>
            <w:r>
              <w:rPr>
                <w:rFonts w:hint="eastAsia" w:ascii="宋体" w:hAnsi="宋体"/>
                <w:color w:val="auto"/>
                <w:sz w:val="24"/>
                <w:highlight w:val="none"/>
                <w:lang w:val="en-US" w:eastAsia="zh-CN"/>
              </w:rPr>
              <w:t>1</w:t>
            </w:r>
            <w:r>
              <w:rPr>
                <w:rFonts w:hint="eastAsia" w:ascii="宋体" w:hAnsi="宋体"/>
                <w:color w:val="auto"/>
                <w:sz w:val="24"/>
                <w:highlight w:val="none"/>
              </w:rPr>
              <w:t>0</w:t>
            </w:r>
            <w:r>
              <w:rPr>
                <w:rFonts w:ascii="宋体" w:hAnsi="宋体"/>
                <w:color w:val="auto"/>
                <w:sz w:val="24"/>
                <w:highlight w:val="none"/>
              </w:rPr>
              <w:t xml:space="preserve">00万元人民币；  </w:t>
            </w:r>
          </w:p>
          <w:p w14:paraId="380488B1">
            <w:pPr>
              <w:pStyle w:val="15"/>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kern w:val="0"/>
                <w:sz w:val="24"/>
                <w:highlight w:val="none"/>
              </w:rPr>
              <w:t>近三个年度的</w:t>
            </w:r>
            <w:r>
              <w:rPr>
                <w:rFonts w:hint="eastAsia" w:ascii="宋体" w:hAnsi="宋体"/>
                <w:color w:val="auto"/>
                <w:kern w:val="0"/>
                <w:sz w:val="24"/>
                <w:highlight w:val="none"/>
                <w:lang w:eastAsia="zh-CN"/>
              </w:rPr>
              <w:t>年</w:t>
            </w:r>
            <w:r>
              <w:rPr>
                <w:rFonts w:hint="eastAsia" w:ascii="宋体" w:hAnsi="宋体"/>
                <w:color w:val="auto"/>
                <w:kern w:val="0"/>
                <w:sz w:val="24"/>
                <w:highlight w:val="none"/>
              </w:rPr>
              <w:t>平均营业总收入不少于</w:t>
            </w:r>
            <w:r>
              <w:rPr>
                <w:rFonts w:hint="eastAsia" w:ascii="宋体" w:hAnsi="宋体"/>
                <w:color w:val="auto"/>
                <w:sz w:val="24"/>
                <w:highlight w:val="none"/>
                <w:lang w:val="en-US" w:eastAsia="zh-CN"/>
              </w:rPr>
              <w:t>2</w:t>
            </w:r>
            <w:r>
              <w:rPr>
                <w:rFonts w:hint="eastAsia" w:ascii="宋体" w:hAnsi="宋体"/>
                <w:color w:val="auto"/>
                <w:sz w:val="24"/>
                <w:highlight w:val="none"/>
              </w:rPr>
              <w:t>0</w:t>
            </w:r>
            <w:r>
              <w:rPr>
                <w:rFonts w:ascii="宋体" w:hAnsi="宋体"/>
                <w:color w:val="auto"/>
                <w:sz w:val="24"/>
                <w:highlight w:val="none"/>
              </w:rPr>
              <w:t>00</w:t>
            </w:r>
            <w:r>
              <w:rPr>
                <w:rFonts w:hint="eastAsia" w:ascii="宋体" w:hAnsi="宋体"/>
                <w:color w:val="auto"/>
                <w:kern w:val="0"/>
                <w:sz w:val="24"/>
                <w:highlight w:val="none"/>
              </w:rPr>
              <w:t>万元人民币</w:t>
            </w:r>
            <w:r>
              <w:rPr>
                <w:rFonts w:hint="eastAsia" w:ascii="宋体" w:hAnsi="宋体"/>
                <w:color w:val="auto"/>
                <w:sz w:val="24"/>
                <w:highlight w:val="none"/>
              </w:rPr>
              <w:t>；</w:t>
            </w:r>
          </w:p>
          <w:p w14:paraId="5F6361DE">
            <w:pPr>
              <w:pStyle w:val="15"/>
              <w:spacing w:line="360" w:lineRule="auto"/>
              <w:ind w:firstLine="480" w:firstLineChars="200"/>
              <w:rPr>
                <w:rFonts w:ascii="宋体" w:hAnsi="宋体"/>
                <w:color w:val="auto"/>
                <w:sz w:val="24"/>
                <w:highlight w:val="none"/>
              </w:rPr>
            </w:pPr>
            <w:r>
              <w:rPr>
                <w:rFonts w:hint="eastAsia" w:ascii="宋体" w:hAnsi="宋体"/>
                <w:color w:val="auto"/>
                <w:sz w:val="24"/>
                <w:highlight w:val="none"/>
              </w:rPr>
              <w:t>4、近三个年度至少有2年盈利。</w:t>
            </w:r>
          </w:p>
        </w:tc>
      </w:tr>
      <w:bookmarkEnd w:id="37"/>
      <w:bookmarkEnd w:id="38"/>
      <w:bookmarkEnd w:id="39"/>
    </w:tbl>
    <w:p w14:paraId="6273E146">
      <w:pPr>
        <w:ind w:firstLine="420" w:firstLineChars="200"/>
        <w:rPr>
          <w:rFonts w:hint="eastAsia" w:ascii="宋体" w:hAnsi="宋体"/>
          <w:color w:val="auto"/>
          <w:szCs w:val="21"/>
          <w:highlight w:val="none"/>
        </w:rPr>
      </w:pPr>
      <w:bookmarkStart w:id="41" w:name="_Toc18126"/>
      <w:r>
        <w:rPr>
          <w:rFonts w:hint="eastAsia" w:ascii="宋体" w:hAnsi="宋体"/>
          <w:color w:val="auto"/>
          <w:szCs w:val="21"/>
          <w:highlight w:val="none"/>
        </w:rPr>
        <w:t>注：1、企业净资产、营运资金是按交通运输部“全国公路建设市场信用信息管理系统”登记的最新年度 (近三个年度的最后一年，下同) 数据计算得出。近三个年度是指</w:t>
      </w:r>
      <w:r>
        <w:rPr>
          <w:rFonts w:hint="eastAsia" w:ascii="宋体" w:hAnsi="宋体"/>
          <w:color w:val="auto"/>
          <w:szCs w:val="21"/>
          <w:highlight w:val="none"/>
          <w:u w:val="single"/>
        </w:rPr>
        <w:t>20</w:t>
      </w:r>
      <w:r>
        <w:rPr>
          <w:rFonts w:hint="eastAsia" w:ascii="宋体" w:hAnsi="宋体"/>
          <w:color w:val="auto"/>
          <w:szCs w:val="21"/>
          <w:highlight w:val="none"/>
          <w:u w:val="single"/>
          <w:lang w:val="en-US" w:eastAsia="zh-CN"/>
        </w:rPr>
        <w:t>21</w:t>
      </w:r>
      <w:r>
        <w:rPr>
          <w:rFonts w:hint="eastAsia" w:ascii="宋体" w:hAnsi="宋体"/>
          <w:color w:val="auto"/>
          <w:szCs w:val="21"/>
          <w:highlight w:val="none"/>
          <w:u w:val="single"/>
        </w:rPr>
        <w:t>年度、202</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年度、202</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年度</w:t>
      </w:r>
      <w:r>
        <w:rPr>
          <w:rFonts w:hint="eastAsia" w:ascii="宋体" w:hAnsi="宋体"/>
          <w:color w:val="auto"/>
          <w:szCs w:val="21"/>
          <w:highlight w:val="none"/>
        </w:rPr>
        <w:t>。</w:t>
      </w:r>
    </w:p>
    <w:p w14:paraId="772563DC">
      <w:pPr>
        <w:ind w:firstLine="420" w:firstLineChars="200"/>
        <w:rPr>
          <w:color w:val="auto"/>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、投标人应根据招标文件第二章“投标人须知”第 3.5.2 项的要求附相关证明材料。</w:t>
      </w:r>
    </w:p>
    <w:p w14:paraId="0AAEAC34">
      <w:pPr>
        <w:pStyle w:val="4"/>
        <w:spacing w:before="140" w:after="140" w:line="360" w:lineRule="auto"/>
        <w:jc w:val="both"/>
        <w:rPr>
          <w:rFonts w:hint="eastAsia" w:ascii="宋体" w:hAnsi="宋体" w:cs="黑体"/>
          <w:bCs w:val="0"/>
          <w:color w:val="auto"/>
          <w:sz w:val="30"/>
          <w:szCs w:val="30"/>
          <w:highlight w:val="none"/>
        </w:rPr>
      </w:pPr>
      <w:bookmarkStart w:id="42" w:name="_Toc43475665"/>
    </w:p>
    <w:p w14:paraId="697FD475">
      <w:pPr>
        <w:pStyle w:val="4"/>
        <w:spacing w:before="140" w:after="140" w:line="360" w:lineRule="auto"/>
        <w:jc w:val="center"/>
        <w:rPr>
          <w:rFonts w:hint="eastAsia" w:ascii="宋体" w:hAnsi="宋体" w:cs="黑体"/>
          <w:bCs w:val="0"/>
          <w:color w:val="auto"/>
          <w:sz w:val="30"/>
          <w:szCs w:val="30"/>
          <w:highlight w:val="none"/>
        </w:rPr>
      </w:pPr>
      <w:r>
        <w:rPr>
          <w:rFonts w:hint="eastAsia" w:ascii="宋体" w:hAnsi="宋体" w:cs="黑体"/>
          <w:bCs w:val="0"/>
          <w:color w:val="auto"/>
          <w:sz w:val="30"/>
          <w:szCs w:val="30"/>
          <w:highlight w:val="none"/>
        </w:rPr>
        <w:br w:type="page"/>
      </w:r>
    </w:p>
    <w:p w14:paraId="5123C43D">
      <w:pPr>
        <w:pStyle w:val="4"/>
        <w:spacing w:before="140" w:after="140" w:line="360" w:lineRule="auto"/>
        <w:jc w:val="center"/>
        <w:rPr>
          <w:rFonts w:ascii="宋体" w:hAnsi="宋体" w:cs="黑体"/>
          <w:bCs w:val="0"/>
          <w:color w:val="auto"/>
          <w:sz w:val="30"/>
          <w:szCs w:val="30"/>
          <w:highlight w:val="none"/>
        </w:rPr>
      </w:pPr>
      <w:r>
        <w:rPr>
          <w:rFonts w:hint="eastAsia" w:ascii="宋体" w:hAnsi="宋体" w:cs="黑体"/>
          <w:bCs w:val="0"/>
          <w:color w:val="auto"/>
          <w:sz w:val="30"/>
          <w:szCs w:val="30"/>
          <w:highlight w:val="none"/>
        </w:rPr>
        <w:t>附录3  资格审查条件（业绩最低要求）</w:t>
      </w:r>
      <w:bookmarkEnd w:id="41"/>
      <w:bookmarkEnd w:id="42"/>
    </w:p>
    <w:tbl>
      <w:tblPr>
        <w:tblStyle w:val="42"/>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7000B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72" w:type="dxa"/>
            <w:vAlign w:val="center"/>
          </w:tcPr>
          <w:p w14:paraId="56D18DB0">
            <w:pPr>
              <w:pStyle w:val="15"/>
              <w:spacing w:line="360" w:lineRule="auto"/>
              <w:jc w:val="center"/>
              <w:rPr>
                <w:rFonts w:ascii="Calibri" w:hAnsi="Calibri"/>
                <w:color w:val="auto"/>
                <w:sz w:val="24"/>
                <w:highlight w:val="none"/>
              </w:rPr>
            </w:pPr>
            <w:r>
              <w:rPr>
                <w:rFonts w:hint="eastAsia" w:ascii="宋体" w:hAnsi="宋体"/>
                <w:b/>
                <w:bCs/>
                <w:color w:val="auto"/>
                <w:sz w:val="24"/>
                <w:highlight w:val="none"/>
              </w:rPr>
              <w:t>业 绩 要 求</w:t>
            </w:r>
          </w:p>
        </w:tc>
      </w:tr>
      <w:tr w14:paraId="28CD7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9672" w:type="dxa"/>
            <w:vAlign w:val="center"/>
          </w:tcPr>
          <w:p w14:paraId="172BEE66">
            <w:pPr>
              <w:widowControl/>
              <w:spacing w:line="360" w:lineRule="auto"/>
              <w:ind w:firstLine="480" w:firstLineChars="200"/>
              <w:textAlignment w:val="baseline"/>
              <w:rPr>
                <w:rStyle w:val="113"/>
                <w:rFonts w:hint="eastAsia" w:ascii="宋体" w:hAnsi="宋体" w:eastAsia="宋体"/>
                <w:color w:val="auto"/>
                <w:sz w:val="24"/>
                <w:highlight w:val="none"/>
                <w:lang w:eastAsia="zh-CN"/>
              </w:rPr>
            </w:pPr>
            <w:r>
              <w:rPr>
                <w:rStyle w:val="113"/>
                <w:rFonts w:ascii="宋体" w:hAnsi="宋体"/>
                <w:color w:val="auto"/>
                <w:sz w:val="24"/>
                <w:highlight w:val="none"/>
              </w:rPr>
              <w:t>近</w:t>
            </w:r>
            <w:r>
              <w:rPr>
                <w:rStyle w:val="113"/>
                <w:rFonts w:hint="eastAsia" w:ascii="宋体" w:hAnsi="宋体"/>
                <w:color w:val="auto"/>
                <w:sz w:val="24"/>
                <w:highlight w:val="none"/>
              </w:rPr>
              <w:t>五</w:t>
            </w:r>
            <w:r>
              <w:rPr>
                <w:rStyle w:val="113"/>
                <w:rFonts w:ascii="宋体" w:hAnsi="宋体"/>
                <w:color w:val="auto"/>
                <w:sz w:val="24"/>
                <w:highlight w:val="none"/>
              </w:rPr>
              <w:t>年</w:t>
            </w:r>
            <w:r>
              <w:rPr>
                <w:rStyle w:val="113"/>
                <w:rFonts w:hint="eastAsia" w:ascii="宋体" w:hAnsi="宋体"/>
                <w:color w:val="auto"/>
                <w:sz w:val="24"/>
                <w:highlight w:val="none"/>
              </w:rPr>
              <w:t>内，成功完成</w:t>
            </w:r>
            <w:r>
              <w:rPr>
                <w:rStyle w:val="113"/>
                <w:rFonts w:hint="eastAsia" w:ascii="宋体" w:hAnsi="宋体"/>
                <w:color w:val="auto"/>
                <w:sz w:val="24"/>
                <w:highlight w:val="none"/>
                <w:lang w:eastAsia="zh-CN"/>
              </w:rPr>
              <w:t>：</w:t>
            </w:r>
          </w:p>
          <w:p w14:paraId="1B475760">
            <w:pPr>
              <w:widowControl/>
              <w:spacing w:line="360" w:lineRule="auto"/>
              <w:ind w:firstLine="480" w:firstLineChars="200"/>
              <w:textAlignment w:val="baseline"/>
              <w:rPr>
                <w:rFonts w:ascii="宋体" w:hAnsi="宋体"/>
                <w:color w:val="auto"/>
                <w:kern w:val="0"/>
                <w:sz w:val="24"/>
                <w:highlight w:val="none"/>
              </w:rPr>
            </w:pPr>
            <w:r>
              <w:rPr>
                <w:rStyle w:val="113"/>
                <w:rFonts w:hint="eastAsia" w:ascii="宋体" w:hAnsi="宋体"/>
                <w:color w:val="auto"/>
                <w:sz w:val="24"/>
                <w:highlight w:val="none"/>
              </w:rPr>
              <w:t>类似工程</w:t>
            </w:r>
            <w:r>
              <w:rPr>
                <w:rStyle w:val="113"/>
                <w:rFonts w:hint="eastAsia" w:ascii="宋体" w:hAnsi="宋体"/>
                <w:color w:val="auto"/>
                <w:sz w:val="24"/>
                <w:highlight w:val="none"/>
                <w:lang w:val="en-US" w:eastAsia="zh-CN"/>
              </w:rPr>
              <w:t>水泥混凝土（或沥青混凝土）路面工程</w:t>
            </w:r>
            <w:r>
              <w:rPr>
                <w:rStyle w:val="113"/>
                <w:rFonts w:hint="eastAsia" w:ascii="宋体" w:hAnsi="宋体"/>
                <w:color w:val="auto"/>
                <w:sz w:val="24"/>
                <w:highlight w:val="none"/>
              </w:rPr>
              <w:t xml:space="preserve">至少 </w:t>
            </w:r>
            <w:r>
              <w:rPr>
                <w:rStyle w:val="113"/>
                <w:rFonts w:hint="eastAsia" w:ascii="宋体" w:hAnsi="宋体"/>
                <w:color w:val="auto"/>
                <w:sz w:val="24"/>
                <w:highlight w:val="none"/>
                <w:u w:val="single"/>
              </w:rPr>
              <w:t>2</w:t>
            </w:r>
            <w:r>
              <w:rPr>
                <w:rStyle w:val="113"/>
                <w:rFonts w:hint="eastAsia" w:ascii="宋体" w:hAnsi="宋体"/>
                <w:color w:val="auto"/>
                <w:sz w:val="24"/>
                <w:highlight w:val="none"/>
              </w:rPr>
              <w:t>个标段（其中有一个标段里程不少于</w:t>
            </w:r>
            <w:r>
              <w:rPr>
                <w:rStyle w:val="113"/>
                <w:rFonts w:hint="eastAsia" w:ascii="宋体" w:hAnsi="宋体"/>
                <w:color w:val="auto"/>
                <w:sz w:val="24"/>
                <w:highlight w:val="none"/>
                <w:u w:val="single"/>
                <w:lang w:val="en-US" w:eastAsia="zh-CN"/>
              </w:rPr>
              <w:t>11</w:t>
            </w:r>
            <w:r>
              <w:rPr>
                <w:rStyle w:val="113"/>
                <w:rFonts w:hint="eastAsia" w:ascii="宋体" w:hAnsi="宋体"/>
                <w:color w:val="auto"/>
                <w:sz w:val="24"/>
                <w:highlight w:val="none"/>
              </w:rPr>
              <w:t>km），且类似工程累计里程不少于</w:t>
            </w:r>
            <w:r>
              <w:rPr>
                <w:rStyle w:val="113"/>
                <w:rFonts w:hint="eastAsia" w:ascii="宋体" w:hAnsi="宋体"/>
                <w:color w:val="auto"/>
                <w:sz w:val="24"/>
                <w:highlight w:val="none"/>
                <w:u w:val="single"/>
                <w:lang w:val="en-US" w:eastAsia="zh-CN"/>
              </w:rPr>
              <w:t>25</w:t>
            </w:r>
            <w:r>
              <w:rPr>
                <w:rStyle w:val="113"/>
                <w:rFonts w:hint="eastAsia" w:ascii="宋体" w:hAnsi="宋体"/>
                <w:color w:val="auto"/>
                <w:sz w:val="24"/>
                <w:highlight w:val="none"/>
              </w:rPr>
              <w:t>km。</w:t>
            </w:r>
          </w:p>
        </w:tc>
      </w:tr>
    </w:tbl>
    <w:p w14:paraId="490F8087">
      <w:pPr>
        <w:pStyle w:val="15"/>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olor w:val="auto"/>
          <w:szCs w:val="21"/>
          <w:highlight w:val="none"/>
        </w:rPr>
      </w:pPr>
      <w:r>
        <w:rPr>
          <w:rFonts w:hint="eastAsia" w:ascii="宋体" w:hAnsi="宋体"/>
          <w:color w:val="auto"/>
          <w:sz w:val="24"/>
          <w:highlight w:val="none"/>
        </w:rPr>
        <w:t>注：</w:t>
      </w:r>
      <w:bookmarkStart w:id="43" w:name="_Toc328041282"/>
      <w:bookmarkEnd w:id="43"/>
      <w:bookmarkStart w:id="44" w:name="_Toc346891120"/>
      <w:bookmarkEnd w:id="44"/>
      <w:r>
        <w:rPr>
          <w:rFonts w:hint="eastAsia" w:ascii="宋体" w:hAnsi="宋体"/>
          <w:color w:val="auto"/>
          <w:szCs w:val="21"/>
          <w:highlight w:val="none"/>
        </w:rPr>
        <w:t>1、本附录所要求的业绩仅限中华人民共和国境内业绩。</w:t>
      </w:r>
    </w:p>
    <w:p w14:paraId="0F946D5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若投标人提供的业绩证明为联合体业绩，则按交通运输部“全国公路建设市场信用信息管理系统”业绩信息的网页截图体现其完成的相关专项工程的工程量认定，无法界定其完成的相关专项工程的工程量，此业绩不予认定。</w:t>
      </w:r>
    </w:p>
    <w:p w14:paraId="1F8ED5D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、投标人应根据招标文件第二章“投标人须知”第 3.5.3 项的要求附相关证明材料。</w:t>
      </w:r>
    </w:p>
    <w:p w14:paraId="496CB76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、近五年是指：20</w:t>
      </w:r>
      <w:r>
        <w:rPr>
          <w:rFonts w:ascii="宋体" w:hAnsi="宋体"/>
          <w:color w:val="auto"/>
          <w:szCs w:val="21"/>
          <w:highlight w:val="none"/>
        </w:rPr>
        <w:t>1</w:t>
      </w:r>
      <w:r>
        <w:rPr>
          <w:rFonts w:hint="eastAsia" w:ascii="宋体" w:hAnsi="宋体"/>
          <w:color w:val="auto"/>
          <w:szCs w:val="21"/>
          <w:highlight w:val="none"/>
          <w:lang w:val="en-US" w:eastAsia="zh-CN"/>
        </w:rPr>
        <w:t>9</w:t>
      </w:r>
      <w:r>
        <w:rPr>
          <w:rFonts w:hint="eastAsia" w:ascii="宋体" w:hAnsi="宋体"/>
          <w:color w:val="auto"/>
          <w:szCs w:val="21"/>
          <w:highlight w:val="none"/>
        </w:rPr>
        <w:t>年1月1日至投标文件递交截止之日止。</w:t>
      </w:r>
    </w:p>
    <w:p w14:paraId="58A6B2A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Style w:val="113"/>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、类似工程是指：</w:t>
      </w:r>
      <w:r>
        <w:rPr>
          <w:rFonts w:hint="eastAsia" w:ascii="宋体" w:hAnsi="宋体"/>
          <w:color w:val="auto"/>
          <w:szCs w:val="21"/>
          <w:highlight w:val="none"/>
          <w:u w:val="single"/>
        </w:rPr>
        <w:t>新建或改、扩建、路面改造四级以上（含四级）</w:t>
      </w:r>
      <w:r>
        <w:rPr>
          <w:rFonts w:hint="eastAsia" w:ascii="宋体" w:hAnsi="宋体"/>
          <w:color w:val="auto"/>
          <w:szCs w:val="21"/>
          <w:highlight w:val="none"/>
        </w:rPr>
        <w:t>公路施工项目。</w:t>
      </w:r>
      <w:r>
        <w:rPr>
          <w:rFonts w:hint="eastAsia" w:ascii="宋体" w:hAnsi="宋体"/>
          <w:color w:val="auto"/>
          <w:szCs w:val="21"/>
          <w:highlight w:val="none"/>
          <w:u w:val="single"/>
        </w:rPr>
        <w:t>在采用新建公路项目完工业绩时，对于同公路等级改、扩建中的新建桥梁或隧道工程业绩也应认可。</w:t>
      </w:r>
      <w:r>
        <w:rPr>
          <w:rStyle w:val="113"/>
          <w:rFonts w:ascii="宋体" w:hAnsi="宋体"/>
          <w:color w:val="auto"/>
          <w:szCs w:val="21"/>
          <w:highlight w:val="none"/>
        </w:rPr>
        <w:t xml:space="preserve"> </w:t>
      </w:r>
    </w:p>
    <w:p w14:paraId="5EA67189">
      <w:pPr>
        <w:pStyle w:val="15"/>
        <w:spacing w:line="360" w:lineRule="auto"/>
        <w:jc w:val="left"/>
        <w:rPr>
          <w:rFonts w:ascii="宋体" w:hAnsi="宋体" w:cs="宋体"/>
          <w:color w:val="auto"/>
          <w:kern w:val="0"/>
          <w:sz w:val="24"/>
          <w:highlight w:val="none"/>
        </w:rPr>
      </w:pPr>
    </w:p>
    <w:p w14:paraId="40FA448A">
      <w:pPr>
        <w:rPr>
          <w:color w:val="auto"/>
          <w:highlight w:val="none"/>
        </w:rPr>
      </w:pPr>
      <w:bookmarkStart w:id="45" w:name="_Toc27756"/>
      <w:bookmarkStart w:id="46" w:name="_Toc25225"/>
      <w:bookmarkStart w:id="47" w:name="_Toc466575333"/>
      <w:bookmarkStart w:id="48" w:name="_Toc451261211"/>
    </w:p>
    <w:p w14:paraId="53B61B19">
      <w:pPr>
        <w:pStyle w:val="52"/>
        <w:rPr>
          <w:color w:val="auto"/>
          <w:highlight w:val="none"/>
        </w:rPr>
      </w:pPr>
    </w:p>
    <w:p w14:paraId="323F3898">
      <w:pPr>
        <w:pStyle w:val="52"/>
        <w:rPr>
          <w:color w:val="auto"/>
          <w:highlight w:val="none"/>
        </w:rPr>
      </w:pPr>
    </w:p>
    <w:p w14:paraId="152EE7FD">
      <w:pPr>
        <w:pStyle w:val="4"/>
        <w:jc w:val="center"/>
        <w:rPr>
          <w:color w:val="auto"/>
          <w:highlight w:val="none"/>
        </w:rPr>
      </w:pPr>
      <w:bookmarkStart w:id="49" w:name="_Toc43475666"/>
      <w:r>
        <w:rPr>
          <w:rFonts w:hint="eastAsia"/>
          <w:color w:val="auto"/>
          <w:highlight w:val="none"/>
        </w:rPr>
        <w:t>附录4  资格审查条件(信誉最低要求)</w:t>
      </w:r>
      <w:bookmarkEnd w:id="45"/>
      <w:bookmarkEnd w:id="49"/>
    </w:p>
    <w:tbl>
      <w:tblPr>
        <w:tblStyle w:val="42"/>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14:paraId="4671D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14:paraId="23AA7706">
            <w:pPr>
              <w:jc w:val="center"/>
              <w:rPr>
                <w:rFonts w:ascii="宋体" w:hAnsi="宋体"/>
                <w:color w:val="auto"/>
                <w:sz w:val="24"/>
                <w:highlight w:val="none"/>
              </w:rPr>
            </w:pPr>
            <w:r>
              <w:rPr>
                <w:rFonts w:hint="eastAsia" w:ascii="宋体" w:hAnsi="宋体"/>
                <w:b/>
                <w:bCs/>
                <w:color w:val="auto"/>
                <w:sz w:val="24"/>
                <w:highlight w:val="none"/>
              </w:rPr>
              <w:t>信 誉 要 求</w:t>
            </w:r>
          </w:p>
        </w:tc>
      </w:tr>
      <w:tr w14:paraId="612EB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4" w:hRule="atLeast"/>
          <w:jc w:val="center"/>
        </w:trPr>
        <w:tc>
          <w:tcPr>
            <w:tcW w:w="9239" w:type="dxa"/>
            <w:vAlign w:val="center"/>
          </w:tcPr>
          <w:p w14:paraId="19602542">
            <w:pPr>
              <w:pStyle w:val="57"/>
              <w:spacing w:line="360" w:lineRule="auto"/>
              <w:ind w:firstLine="480"/>
              <w:jc w:val="both"/>
              <w:rPr>
                <w:rFonts w:hint="eastAsia" w:ascii="宋体" w:hAnsi="宋体" w:cs="宋体"/>
                <w:color w:val="auto"/>
                <w:kern w:val="2"/>
                <w:highlight w:val="none"/>
              </w:rPr>
            </w:pPr>
            <w:r>
              <w:rPr>
                <w:rFonts w:hint="eastAsia" w:ascii="宋体" w:hAnsi="宋体" w:cs="宋体"/>
                <w:color w:val="auto"/>
                <w:kern w:val="2"/>
                <w:highlight w:val="none"/>
              </w:rPr>
              <w:t>在最新年度广东省公路工程从业单位（施工单位）信用评价（含无最新年度而上一年度有信用评价）中，信用等级未被评为 D 级；</w:t>
            </w:r>
          </w:p>
          <w:p w14:paraId="6E4F055B">
            <w:pPr>
              <w:pStyle w:val="57"/>
              <w:spacing w:line="360" w:lineRule="auto"/>
              <w:ind w:firstLine="480"/>
              <w:jc w:val="both"/>
              <w:rPr>
                <w:rFonts w:ascii="宋体" w:hAnsi="宋体"/>
                <w:color w:val="auto"/>
                <w:highlight w:val="none"/>
              </w:rPr>
            </w:pPr>
            <w:r>
              <w:rPr>
                <w:rFonts w:hint="eastAsia" w:ascii="宋体" w:hAnsi="宋体" w:cs="宋体"/>
                <w:color w:val="auto"/>
                <w:kern w:val="2"/>
                <w:highlight w:val="none"/>
              </w:rPr>
              <w:t>初次进入广东省的投标人，在最新年度的全国公路从业单位（施工单位）信用评价结果中未被评为 D 级</w:t>
            </w:r>
            <w:r>
              <w:rPr>
                <w:rFonts w:hint="eastAsia" w:ascii="宋体" w:hAnsi="宋体" w:cs="宋体"/>
                <w:color w:val="auto"/>
                <w:kern w:val="2"/>
                <w:highlight w:val="none"/>
                <w:lang w:eastAsia="zh-CN"/>
              </w:rPr>
              <w:t>。</w:t>
            </w:r>
          </w:p>
        </w:tc>
      </w:tr>
    </w:tbl>
    <w:p w14:paraId="67C4E2CE">
      <w:pPr>
        <w:ind w:firstLine="420" w:firstLineChars="200"/>
        <w:rPr>
          <w:rFonts w:hint="eastAsia" w:ascii="宋体" w:hAnsi="宋体"/>
          <w:color w:val="auto"/>
          <w:szCs w:val="21"/>
          <w:highlight w:val="none"/>
        </w:rPr>
      </w:pPr>
      <w:r>
        <w:rPr>
          <w:rFonts w:hint="eastAsia" w:ascii="宋体" w:hAnsi="宋体"/>
          <w:color w:val="auto"/>
          <w:szCs w:val="21"/>
          <w:highlight w:val="none"/>
        </w:rPr>
        <w:t>注：1、信用等级的确定原则遵遁投标人须知前附表 10.2 款的规定。</w:t>
      </w:r>
    </w:p>
    <w:p w14:paraId="04E41D3E">
      <w:pPr>
        <w:ind w:firstLine="420" w:firstLineChars="200"/>
        <w:rPr>
          <w:rFonts w:ascii="宋体" w:hAnsi="宋体" w:cs="宋体"/>
          <w:color w:val="auto"/>
          <w:sz w:val="24"/>
          <w:highlight w:val="none"/>
          <w:lang w:val="zh-CN"/>
        </w:rPr>
      </w:pPr>
      <w:r>
        <w:rPr>
          <w:rFonts w:hint="eastAsia" w:ascii="宋体" w:hAnsi="宋体"/>
          <w:color w:val="auto"/>
          <w:szCs w:val="21"/>
          <w:highlight w:val="none"/>
        </w:rPr>
        <w:t>2、投标人应根据第九章“投标文件格式”中“八、资格审查资料  (五) 投标人的信誉情况表”填写情况说明。</w:t>
      </w:r>
    </w:p>
    <w:p w14:paraId="02B2614A">
      <w:pPr>
        <w:pStyle w:val="4"/>
        <w:spacing w:before="140" w:after="140" w:line="360" w:lineRule="auto"/>
        <w:jc w:val="center"/>
        <w:rPr>
          <w:rFonts w:ascii="宋体" w:hAnsi="宋体" w:cs="黑体"/>
          <w:bCs w:val="0"/>
          <w:color w:val="auto"/>
          <w:sz w:val="30"/>
          <w:szCs w:val="30"/>
          <w:highlight w:val="none"/>
        </w:rPr>
      </w:pPr>
      <w:bookmarkStart w:id="50" w:name="_Toc43475667"/>
    </w:p>
    <w:p w14:paraId="42363616">
      <w:pPr>
        <w:pStyle w:val="4"/>
        <w:spacing w:before="140" w:after="140" w:line="360" w:lineRule="auto"/>
        <w:jc w:val="center"/>
        <w:rPr>
          <w:rFonts w:hint="eastAsia" w:ascii="宋体" w:hAnsi="宋体" w:cs="黑体"/>
          <w:bCs w:val="0"/>
          <w:color w:val="auto"/>
          <w:sz w:val="30"/>
          <w:szCs w:val="30"/>
          <w:highlight w:val="none"/>
        </w:rPr>
      </w:pPr>
      <w:r>
        <w:rPr>
          <w:rFonts w:hint="eastAsia" w:ascii="宋体" w:hAnsi="宋体" w:cs="黑体"/>
          <w:bCs w:val="0"/>
          <w:color w:val="auto"/>
          <w:sz w:val="30"/>
          <w:szCs w:val="30"/>
          <w:highlight w:val="none"/>
        </w:rPr>
        <w:br w:type="page"/>
      </w:r>
    </w:p>
    <w:p w14:paraId="5DB2AEC0">
      <w:pPr>
        <w:pStyle w:val="4"/>
        <w:spacing w:before="140" w:after="140" w:line="360" w:lineRule="auto"/>
        <w:jc w:val="center"/>
        <w:rPr>
          <w:rFonts w:ascii="宋体" w:hAnsi="宋体" w:cs="黑体"/>
          <w:bCs w:val="0"/>
          <w:color w:val="auto"/>
          <w:sz w:val="30"/>
          <w:szCs w:val="30"/>
          <w:highlight w:val="none"/>
        </w:rPr>
      </w:pPr>
      <w:r>
        <w:rPr>
          <w:rFonts w:hint="eastAsia" w:ascii="宋体" w:hAnsi="宋体" w:cs="黑体"/>
          <w:bCs w:val="0"/>
          <w:color w:val="auto"/>
          <w:sz w:val="30"/>
          <w:szCs w:val="30"/>
          <w:highlight w:val="none"/>
        </w:rPr>
        <w:t>附录5  资格审查条件(项目经理和项目总工最低要求)</w:t>
      </w:r>
      <w:bookmarkEnd w:id="46"/>
      <w:bookmarkEnd w:id="47"/>
      <w:bookmarkEnd w:id="48"/>
      <w:bookmarkEnd w:id="50"/>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20"/>
        <w:gridCol w:w="5760"/>
        <w:gridCol w:w="1980"/>
      </w:tblGrid>
      <w:tr w14:paraId="526BF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84" w:type="dxa"/>
            <w:noWrap w:val="0"/>
            <w:vAlign w:val="center"/>
          </w:tcPr>
          <w:p w14:paraId="1D2671E3">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人  员</w:t>
            </w:r>
          </w:p>
        </w:tc>
        <w:tc>
          <w:tcPr>
            <w:tcW w:w="720" w:type="dxa"/>
            <w:noWrap w:val="0"/>
            <w:vAlign w:val="center"/>
          </w:tcPr>
          <w:p w14:paraId="6F5A6424">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数量</w:t>
            </w:r>
          </w:p>
        </w:tc>
        <w:tc>
          <w:tcPr>
            <w:tcW w:w="5760" w:type="dxa"/>
            <w:noWrap w:val="0"/>
            <w:vAlign w:val="center"/>
          </w:tcPr>
          <w:p w14:paraId="1D45C3BD">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资 格 要 求</w:t>
            </w:r>
          </w:p>
        </w:tc>
        <w:tc>
          <w:tcPr>
            <w:tcW w:w="1980" w:type="dxa"/>
            <w:noWrap w:val="0"/>
            <w:vAlign w:val="center"/>
          </w:tcPr>
          <w:p w14:paraId="59B8E6B2">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在 岗 要 求</w:t>
            </w:r>
          </w:p>
        </w:tc>
      </w:tr>
      <w:tr w14:paraId="57AF1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184" w:type="dxa"/>
            <w:noWrap w:val="0"/>
            <w:vAlign w:val="center"/>
          </w:tcPr>
          <w:p w14:paraId="1B7A850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项目经理</w:t>
            </w:r>
          </w:p>
        </w:tc>
        <w:tc>
          <w:tcPr>
            <w:tcW w:w="720" w:type="dxa"/>
            <w:noWrap w:val="0"/>
            <w:vAlign w:val="center"/>
          </w:tcPr>
          <w:p w14:paraId="0A2C251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5760" w:type="dxa"/>
            <w:noWrap w:val="0"/>
            <w:vAlign w:val="center"/>
          </w:tcPr>
          <w:p w14:paraId="70FCEAC2">
            <w:pPr>
              <w:keepNext w:val="0"/>
              <w:keepLines w:val="0"/>
              <w:pageBreakBefore w:val="0"/>
              <w:widowControl w:val="0"/>
              <w:kinsoku/>
              <w:wordWrap/>
              <w:overflowPunct/>
              <w:topLinePunct w:val="0"/>
              <w:autoSpaceDE/>
              <w:autoSpaceDN/>
              <w:bidi w:val="0"/>
              <w:adjustRightInd/>
              <w:snapToGrid w:val="0"/>
              <w:spacing w:line="400" w:lineRule="exact"/>
              <w:ind w:right="6" w:rightChars="3"/>
              <w:textAlignment w:val="auto"/>
              <w:rPr>
                <w:rFonts w:hint="eastAsia" w:ascii="宋体" w:hAnsi="宋体"/>
                <w:color w:val="auto"/>
                <w:sz w:val="24"/>
                <w:highlight w:val="none"/>
              </w:rPr>
            </w:pPr>
            <w:r>
              <w:rPr>
                <w:rFonts w:hint="eastAsia" w:ascii="宋体" w:hAnsi="宋体" w:cs="宋体"/>
                <w:color w:val="auto"/>
                <w:sz w:val="24"/>
                <w:highlight w:val="none"/>
              </w:rPr>
              <w:t>工程师</w:t>
            </w:r>
            <w:r>
              <w:rPr>
                <w:rFonts w:hint="eastAsia" w:ascii="宋体" w:hAnsi="宋体" w:cs="宋体"/>
                <w:color w:val="auto"/>
                <w:sz w:val="24"/>
                <w:highlight w:val="none"/>
                <w:lang w:eastAsia="zh-CN"/>
              </w:rPr>
              <w:t>，</w:t>
            </w:r>
            <w:r>
              <w:rPr>
                <w:rFonts w:hint="eastAsia" w:ascii="宋体" w:hAnsi="宋体" w:cs="宋体"/>
                <w:color w:val="auto"/>
                <w:sz w:val="24"/>
                <w:highlight w:val="none"/>
              </w:rPr>
              <w:t>担任类似工程项目经理（或项目副经理或项目总工）岗位累计</w:t>
            </w:r>
            <w:r>
              <w:rPr>
                <w:rFonts w:hint="eastAsia" w:ascii="宋体" w:hAnsi="宋体" w:cs="宋体"/>
                <w:color w:val="auto"/>
                <w:sz w:val="24"/>
                <w:highlight w:val="none"/>
                <w:u w:val="single"/>
              </w:rPr>
              <w:t>12</w:t>
            </w:r>
            <w:r>
              <w:rPr>
                <w:rFonts w:hint="eastAsia" w:ascii="宋体" w:hAnsi="宋体" w:cs="宋体"/>
                <w:color w:val="auto"/>
                <w:sz w:val="24"/>
                <w:highlight w:val="none"/>
              </w:rPr>
              <w:t>个月，</w:t>
            </w:r>
            <w:r>
              <w:rPr>
                <w:rFonts w:hint="eastAsia" w:ascii="宋体" w:hAnsi="宋体" w:cs="宋体"/>
                <w:color w:val="auto"/>
                <w:sz w:val="24"/>
                <w:highlight w:val="none"/>
                <w:lang w:val="en-US" w:eastAsia="zh-CN"/>
              </w:rPr>
              <w:t>并</w:t>
            </w:r>
            <w:r>
              <w:rPr>
                <w:rFonts w:hint="eastAsia" w:ascii="Times New Roman" w:hAnsi="Times New Roman"/>
                <w:color w:val="auto"/>
                <w:sz w:val="24"/>
                <w:highlight w:val="none"/>
              </w:rPr>
              <w:t>持有有效的“公路工程”专业二级以上（含二级）注册建造师证书，具有交通运输部门颁发的有效安全生产“三类人员”B类证书。</w:t>
            </w:r>
          </w:p>
        </w:tc>
        <w:tc>
          <w:tcPr>
            <w:tcW w:w="1980" w:type="dxa"/>
            <w:vMerge w:val="restart"/>
            <w:noWrap w:val="0"/>
            <w:vAlign w:val="center"/>
          </w:tcPr>
          <w:p w14:paraId="4679FD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无在岗项目（指目前未在其他项目上任职，或虽在其他项目上任职但本项目中标后能够从该项目撤离）</w:t>
            </w:r>
          </w:p>
        </w:tc>
      </w:tr>
      <w:tr w14:paraId="3173A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184" w:type="dxa"/>
            <w:noWrap w:val="0"/>
            <w:vAlign w:val="center"/>
          </w:tcPr>
          <w:p w14:paraId="47A7684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项目总工</w:t>
            </w:r>
          </w:p>
        </w:tc>
        <w:tc>
          <w:tcPr>
            <w:tcW w:w="720" w:type="dxa"/>
            <w:noWrap w:val="0"/>
            <w:vAlign w:val="center"/>
          </w:tcPr>
          <w:p w14:paraId="40AAFC0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5760" w:type="dxa"/>
            <w:noWrap w:val="0"/>
            <w:vAlign w:val="center"/>
          </w:tcPr>
          <w:p w14:paraId="532C6486">
            <w:pPr>
              <w:keepNext w:val="0"/>
              <w:keepLines w:val="0"/>
              <w:pageBreakBefore w:val="0"/>
              <w:widowControl w:val="0"/>
              <w:kinsoku/>
              <w:wordWrap/>
              <w:overflowPunct/>
              <w:topLinePunct w:val="0"/>
              <w:autoSpaceDE/>
              <w:autoSpaceDN/>
              <w:bidi w:val="0"/>
              <w:adjustRightInd/>
              <w:spacing w:line="400" w:lineRule="exact"/>
              <w:ind w:right="6" w:rightChars="3"/>
              <w:textAlignment w:val="auto"/>
              <w:rPr>
                <w:rFonts w:hint="eastAsia" w:ascii="宋体" w:hAnsi="宋体" w:cs="宋体"/>
                <w:color w:val="auto"/>
                <w:sz w:val="24"/>
                <w:highlight w:val="none"/>
              </w:rPr>
            </w:pPr>
            <w:r>
              <w:rPr>
                <w:rFonts w:hint="eastAsia" w:ascii="宋体" w:hAnsi="宋体" w:cs="宋体"/>
                <w:color w:val="auto"/>
                <w:sz w:val="24"/>
                <w:highlight w:val="none"/>
              </w:rPr>
              <w:t>路桥相关专业</w:t>
            </w:r>
            <w:r>
              <w:rPr>
                <w:rFonts w:hint="eastAsia" w:ascii="宋体" w:hAnsi="宋体" w:cs="宋体"/>
                <w:color w:val="auto"/>
                <w:sz w:val="24"/>
                <w:highlight w:val="none"/>
                <w:lang w:val="en-US" w:eastAsia="zh-CN"/>
              </w:rPr>
              <w:t>高级</w:t>
            </w:r>
            <w:r>
              <w:rPr>
                <w:rFonts w:hint="eastAsia" w:ascii="宋体" w:hAnsi="宋体" w:cs="宋体"/>
                <w:color w:val="auto"/>
                <w:sz w:val="24"/>
                <w:highlight w:val="none"/>
              </w:rPr>
              <w:t>工程师，主管类似工程技术工作岗位累计</w:t>
            </w:r>
            <w:r>
              <w:rPr>
                <w:rFonts w:hint="eastAsia" w:ascii="宋体" w:hAnsi="宋体" w:cs="宋体"/>
                <w:color w:val="auto"/>
                <w:sz w:val="24"/>
                <w:highlight w:val="none"/>
                <w:u w:val="single"/>
              </w:rPr>
              <w:t>12</w:t>
            </w:r>
            <w:r>
              <w:rPr>
                <w:rFonts w:hint="eastAsia" w:ascii="宋体" w:hAnsi="宋体" w:cs="宋体"/>
                <w:color w:val="auto"/>
                <w:sz w:val="24"/>
                <w:highlight w:val="none"/>
              </w:rPr>
              <w:t>个月，具有交通运输部门颁发的有效安全三类人员”B类证书。</w:t>
            </w:r>
          </w:p>
        </w:tc>
        <w:tc>
          <w:tcPr>
            <w:tcW w:w="1980" w:type="dxa"/>
            <w:vMerge w:val="continue"/>
            <w:noWrap w:val="0"/>
            <w:vAlign w:val="center"/>
          </w:tcPr>
          <w:p w14:paraId="1E742770">
            <w:pPr>
              <w:spacing w:line="360" w:lineRule="auto"/>
              <w:rPr>
                <w:rFonts w:hint="eastAsia" w:ascii="宋体" w:hAnsi="宋体" w:cs="宋体"/>
                <w:color w:val="auto"/>
                <w:sz w:val="24"/>
                <w:highlight w:val="none"/>
              </w:rPr>
            </w:pPr>
          </w:p>
        </w:tc>
      </w:tr>
    </w:tbl>
    <w:p w14:paraId="1A183523">
      <w:pPr>
        <w:rPr>
          <w:rFonts w:hint="eastAsia" w:ascii="宋体" w:hAnsi="宋体"/>
          <w:color w:val="auto"/>
          <w:szCs w:val="21"/>
          <w:highlight w:val="none"/>
        </w:rPr>
      </w:pPr>
      <w:r>
        <w:rPr>
          <w:rFonts w:hint="eastAsia" w:ascii="宋体" w:hAnsi="宋体"/>
          <w:color w:val="auto"/>
          <w:szCs w:val="21"/>
          <w:highlight w:val="none"/>
        </w:rPr>
        <w:t>注：1、资格要求的人员建造师注册证书、安全生产“三类人员”B 类证书均应在投标人所在单位，否则视为无效。</w:t>
      </w:r>
    </w:p>
    <w:p w14:paraId="161F4125">
      <w:pPr>
        <w:ind w:firstLine="420" w:firstLineChars="200"/>
        <w:rPr>
          <w:rFonts w:hint="eastAsia" w:ascii="宋体" w:hAnsi="宋体"/>
          <w:color w:val="auto"/>
          <w:szCs w:val="21"/>
          <w:highlight w:val="none"/>
        </w:rPr>
      </w:pPr>
      <w:r>
        <w:rPr>
          <w:rFonts w:hint="eastAsia" w:ascii="宋体" w:hAnsi="宋体"/>
          <w:color w:val="auto"/>
          <w:szCs w:val="21"/>
          <w:highlight w:val="none"/>
        </w:rPr>
        <w:t>2、主管技术工作指：担任过项目经理、项目副经理、总工程师、质检部门负责人、工程部门负责人。担任类似工程项目经理（或项目副经理或项目总工）岗位经验累计时间、主管类似工程技术工作岗位经验累计时间统计至月，计算时尾数如不少于15天的按1个月计，不足15天部分不计。</w:t>
      </w:r>
    </w:p>
    <w:p w14:paraId="23D80FFE">
      <w:pPr>
        <w:ind w:firstLine="420" w:firstLineChars="200"/>
        <w:rPr>
          <w:rFonts w:ascii="宋体" w:hAnsi="宋体"/>
          <w:color w:val="auto"/>
          <w:szCs w:val="21"/>
          <w:highlight w:val="none"/>
        </w:rPr>
      </w:pPr>
      <w:r>
        <w:rPr>
          <w:rFonts w:hint="eastAsia" w:ascii="宋体" w:hAnsi="宋体"/>
          <w:color w:val="auto"/>
          <w:szCs w:val="21"/>
          <w:highlight w:val="none"/>
        </w:rPr>
        <w:t>3、投标人应根据招标文件第二章“投标人须知”第 3.5.5 项的要求附相关证明材料。</w:t>
      </w:r>
    </w:p>
    <w:p w14:paraId="2724569C">
      <w:pPr>
        <w:pStyle w:val="52"/>
        <w:rPr>
          <w:color w:val="auto"/>
          <w:highlight w:val="none"/>
        </w:rPr>
      </w:pPr>
    </w:p>
    <w:p w14:paraId="608BE73A">
      <w:pPr>
        <w:pStyle w:val="4"/>
        <w:spacing w:before="140" w:after="140" w:line="360" w:lineRule="auto"/>
        <w:jc w:val="center"/>
        <w:rPr>
          <w:rFonts w:hint="eastAsia" w:ascii="宋体" w:hAnsi="宋体" w:cs="黑体"/>
          <w:bCs w:val="0"/>
          <w:color w:val="auto"/>
          <w:sz w:val="30"/>
          <w:szCs w:val="30"/>
          <w:highlight w:val="none"/>
        </w:rPr>
      </w:pPr>
      <w:bookmarkStart w:id="51" w:name="_Toc8287"/>
      <w:bookmarkStart w:id="52" w:name="_Toc43475668"/>
      <w:r>
        <w:rPr>
          <w:rFonts w:hint="eastAsia" w:ascii="宋体" w:hAnsi="宋体" w:cs="黑体"/>
          <w:bCs w:val="0"/>
          <w:color w:val="auto"/>
          <w:sz w:val="30"/>
          <w:szCs w:val="30"/>
          <w:highlight w:val="none"/>
        </w:rPr>
        <w:br w:type="page"/>
      </w:r>
    </w:p>
    <w:p w14:paraId="4431CE72">
      <w:pPr>
        <w:pStyle w:val="4"/>
        <w:spacing w:before="140" w:after="140" w:line="360" w:lineRule="auto"/>
        <w:jc w:val="center"/>
        <w:rPr>
          <w:rFonts w:ascii="宋体" w:hAnsi="宋体" w:cs="黑体"/>
          <w:bCs w:val="0"/>
          <w:color w:val="auto"/>
          <w:sz w:val="30"/>
          <w:szCs w:val="30"/>
          <w:highlight w:val="none"/>
        </w:rPr>
      </w:pPr>
      <w:r>
        <w:rPr>
          <w:rFonts w:hint="eastAsia" w:ascii="宋体" w:hAnsi="宋体" w:cs="黑体"/>
          <w:bCs w:val="0"/>
          <w:color w:val="auto"/>
          <w:sz w:val="30"/>
          <w:szCs w:val="30"/>
          <w:highlight w:val="none"/>
        </w:rPr>
        <w:t>附录6  资格审查条件(</w:t>
      </w:r>
      <w:bookmarkStart w:id="53" w:name="OLE_LINK1"/>
      <w:r>
        <w:rPr>
          <w:rFonts w:hint="eastAsia" w:ascii="宋体" w:hAnsi="宋体" w:cs="黑体"/>
          <w:bCs w:val="0"/>
          <w:color w:val="auto"/>
          <w:sz w:val="30"/>
          <w:szCs w:val="30"/>
          <w:highlight w:val="none"/>
        </w:rPr>
        <w:t>其他管理人员和技术人员最低要求</w:t>
      </w:r>
      <w:bookmarkEnd w:id="53"/>
      <w:r>
        <w:rPr>
          <w:rFonts w:hint="eastAsia" w:ascii="宋体" w:hAnsi="宋体" w:cs="黑体"/>
          <w:bCs w:val="0"/>
          <w:color w:val="auto"/>
          <w:sz w:val="30"/>
          <w:szCs w:val="30"/>
          <w:highlight w:val="none"/>
        </w:rPr>
        <w:t>)</w:t>
      </w:r>
      <w:bookmarkEnd w:id="51"/>
      <w:bookmarkEnd w:id="52"/>
    </w:p>
    <w:tbl>
      <w:tblPr>
        <w:tblStyle w:val="42"/>
        <w:tblW w:w="9577" w:type="dxa"/>
        <w:tblInd w:w="0" w:type="dxa"/>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0" w:type="dxa"/>
          <w:bottom w:w="0" w:type="dxa"/>
          <w:right w:w="0" w:type="dxa"/>
        </w:tblCellMar>
      </w:tblPr>
      <w:tblGrid>
        <w:gridCol w:w="2634"/>
        <w:gridCol w:w="990"/>
        <w:gridCol w:w="5953"/>
      </w:tblGrid>
      <w:tr w14:paraId="6B490584">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634" w:type="dxa"/>
            <w:vAlign w:val="center"/>
          </w:tcPr>
          <w:p w14:paraId="72750200">
            <w:pPr>
              <w:jc w:val="center"/>
              <w:rPr>
                <w:rFonts w:hint="eastAsia" w:ascii="宋体" w:hAnsi="宋体"/>
                <w:b/>
                <w:color w:val="auto"/>
                <w:sz w:val="28"/>
                <w:szCs w:val="28"/>
                <w:highlight w:val="none"/>
              </w:rPr>
            </w:pPr>
            <w:r>
              <w:rPr>
                <w:rFonts w:hint="eastAsia" w:ascii="宋体" w:hAnsi="宋体"/>
                <w:b/>
                <w:color w:val="auto"/>
                <w:sz w:val="28"/>
                <w:szCs w:val="28"/>
                <w:highlight w:val="none"/>
              </w:rPr>
              <w:t>人  员</w:t>
            </w:r>
          </w:p>
        </w:tc>
        <w:tc>
          <w:tcPr>
            <w:tcW w:w="990" w:type="dxa"/>
            <w:vAlign w:val="center"/>
          </w:tcPr>
          <w:p w14:paraId="23A09BAB">
            <w:pPr>
              <w:jc w:val="center"/>
              <w:rPr>
                <w:rFonts w:hint="eastAsia" w:ascii="宋体" w:hAnsi="宋体"/>
                <w:b/>
                <w:color w:val="auto"/>
                <w:sz w:val="28"/>
                <w:szCs w:val="28"/>
                <w:highlight w:val="none"/>
              </w:rPr>
            </w:pPr>
            <w:r>
              <w:rPr>
                <w:rFonts w:hint="eastAsia" w:ascii="宋体" w:hAnsi="宋体"/>
                <w:b/>
                <w:color w:val="auto"/>
                <w:sz w:val="28"/>
                <w:szCs w:val="28"/>
                <w:highlight w:val="none"/>
              </w:rPr>
              <w:t>数量</w:t>
            </w:r>
          </w:p>
        </w:tc>
        <w:tc>
          <w:tcPr>
            <w:tcW w:w="5953" w:type="dxa"/>
            <w:vAlign w:val="center"/>
          </w:tcPr>
          <w:p w14:paraId="57388847">
            <w:pPr>
              <w:jc w:val="center"/>
              <w:rPr>
                <w:rFonts w:hint="eastAsia" w:ascii="宋体" w:hAnsi="宋体"/>
                <w:b/>
                <w:color w:val="auto"/>
                <w:sz w:val="28"/>
                <w:szCs w:val="28"/>
                <w:highlight w:val="none"/>
              </w:rPr>
            </w:pPr>
            <w:r>
              <w:rPr>
                <w:rFonts w:hint="eastAsia" w:ascii="宋体" w:hAnsi="宋体"/>
                <w:b/>
                <w:color w:val="auto"/>
                <w:sz w:val="28"/>
                <w:szCs w:val="28"/>
                <w:highlight w:val="none"/>
              </w:rPr>
              <w:t>资 格 要 求</w:t>
            </w:r>
          </w:p>
        </w:tc>
      </w:tr>
      <w:tr w14:paraId="63A09C4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634" w:type="dxa"/>
            <w:vAlign w:val="center"/>
          </w:tcPr>
          <w:p w14:paraId="3EDD4520">
            <w:pPr>
              <w:jc w:val="center"/>
              <w:rPr>
                <w:rFonts w:hint="eastAsia" w:ascii="宋体" w:hAnsi="宋体" w:eastAsia="宋体" w:cs="宋体"/>
                <w:color w:val="auto"/>
                <w:sz w:val="24"/>
                <w:szCs w:val="24"/>
                <w:highlight w:val="none"/>
                <w:lang w:eastAsia="zh-CN"/>
              </w:rPr>
            </w:pPr>
            <w:r>
              <w:rPr>
                <w:rFonts w:ascii="宋体" w:hAnsi="宋体" w:cs="宋体"/>
                <w:color w:val="auto"/>
                <w:spacing w:val="-2"/>
                <w:sz w:val="24"/>
                <w:szCs w:val="24"/>
                <w:highlight w:val="none"/>
              </w:rPr>
              <w:t>质</w:t>
            </w:r>
            <w:r>
              <w:rPr>
                <w:rFonts w:ascii="宋体" w:hAnsi="宋体" w:cs="宋体"/>
                <w:color w:val="auto"/>
                <w:spacing w:val="-1"/>
                <w:sz w:val="24"/>
                <w:szCs w:val="24"/>
                <w:highlight w:val="none"/>
              </w:rPr>
              <w:t>检</w:t>
            </w:r>
            <w:r>
              <w:rPr>
                <w:rFonts w:hint="eastAsia" w:ascii="宋体" w:hAnsi="宋体" w:cs="宋体"/>
                <w:color w:val="auto"/>
                <w:spacing w:val="-1"/>
                <w:sz w:val="24"/>
                <w:szCs w:val="24"/>
                <w:highlight w:val="none"/>
                <w:lang w:val="en-US" w:eastAsia="zh-CN"/>
              </w:rPr>
              <w:t>工程师</w:t>
            </w:r>
          </w:p>
        </w:tc>
        <w:tc>
          <w:tcPr>
            <w:tcW w:w="990" w:type="dxa"/>
            <w:vAlign w:val="center"/>
          </w:tcPr>
          <w:p w14:paraId="44EE596E">
            <w:pPr>
              <w:jc w:val="center"/>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1</w:t>
            </w:r>
          </w:p>
        </w:tc>
        <w:tc>
          <w:tcPr>
            <w:tcW w:w="5953" w:type="dxa"/>
            <w:vAlign w:val="center"/>
          </w:tcPr>
          <w:p w14:paraId="165FB6A9">
            <w:pPr>
              <w:rPr>
                <w:rFonts w:ascii="宋体" w:hAnsi="宋体" w:cs="宋体"/>
                <w:color w:val="auto"/>
                <w:sz w:val="24"/>
                <w:szCs w:val="24"/>
                <w:highlight w:val="none"/>
              </w:rPr>
            </w:pPr>
            <w:r>
              <w:rPr>
                <w:rFonts w:hint="eastAsia" w:ascii="宋体" w:hAnsi="宋体" w:cs="宋体"/>
                <w:color w:val="auto"/>
                <w:sz w:val="24"/>
                <w:szCs w:val="24"/>
                <w:highlight w:val="none"/>
              </w:rPr>
              <w:t>路桥相关专业工程师，累计</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年从事类似工程经验。</w:t>
            </w:r>
          </w:p>
        </w:tc>
      </w:tr>
      <w:tr w14:paraId="1514A8B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790" w:hRule="atLeast"/>
        </w:trPr>
        <w:tc>
          <w:tcPr>
            <w:tcW w:w="2634" w:type="dxa"/>
            <w:vAlign w:val="center"/>
          </w:tcPr>
          <w:p w14:paraId="01A44748">
            <w:pPr>
              <w:jc w:val="center"/>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计划工程师</w:t>
            </w:r>
          </w:p>
        </w:tc>
        <w:tc>
          <w:tcPr>
            <w:tcW w:w="990" w:type="dxa"/>
            <w:vAlign w:val="center"/>
          </w:tcPr>
          <w:p w14:paraId="4DB3AA61">
            <w:pPr>
              <w:jc w:val="center"/>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1</w:t>
            </w:r>
          </w:p>
        </w:tc>
        <w:tc>
          <w:tcPr>
            <w:tcW w:w="5953" w:type="dxa"/>
            <w:vAlign w:val="center"/>
          </w:tcPr>
          <w:p w14:paraId="163C0967">
            <w:pPr>
              <w:jc w:val="left"/>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路桥</w:t>
            </w:r>
            <w:r>
              <w:rPr>
                <w:rFonts w:hint="eastAsia" w:ascii="宋体" w:hAnsi="宋体" w:cs="宋体"/>
                <w:color w:val="auto"/>
                <w:sz w:val="24"/>
                <w:szCs w:val="24"/>
                <w:highlight w:val="none"/>
              </w:rPr>
              <w:t>相关专业工程师</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累计</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年从事类似工程经验，</w:t>
            </w:r>
            <w:r>
              <w:rPr>
                <w:rFonts w:hint="eastAsia" w:ascii="宋体" w:hAnsi="宋体" w:cs="宋体"/>
                <w:color w:val="auto"/>
                <w:spacing w:val="-2"/>
                <w:sz w:val="24"/>
                <w:szCs w:val="24"/>
                <w:highlight w:val="none"/>
              </w:rPr>
              <w:t>具有住房和城乡建设部颁发的注册造价工程师证书</w:t>
            </w:r>
            <w:r>
              <w:rPr>
                <w:rFonts w:hint="eastAsia" w:ascii="宋体" w:hAnsi="宋体" w:cs="宋体"/>
                <w:color w:val="auto"/>
                <w:spacing w:val="-2"/>
                <w:sz w:val="24"/>
                <w:szCs w:val="24"/>
                <w:highlight w:val="none"/>
                <w:lang w:val="en-US" w:eastAsia="zh-CN"/>
              </w:rPr>
              <w:t>或二级以上（含二级）造价工程师注册证（土木建筑工程专业），</w:t>
            </w:r>
            <w:r>
              <w:rPr>
                <w:rFonts w:hint="eastAsia" w:ascii="宋体" w:hAnsi="宋体" w:cs="宋体"/>
                <w:color w:val="auto"/>
                <w:spacing w:val="-2"/>
                <w:sz w:val="24"/>
                <w:szCs w:val="24"/>
                <w:highlight w:val="none"/>
              </w:rPr>
              <w:t>或交通运输部（原交通部）颁发的</w:t>
            </w:r>
            <w:r>
              <w:rPr>
                <w:rFonts w:hint="eastAsia" w:ascii="宋体" w:hAnsi="宋体" w:cs="宋体"/>
                <w:color w:val="auto"/>
                <w:spacing w:val="-2"/>
                <w:sz w:val="24"/>
                <w:szCs w:val="24"/>
                <w:highlight w:val="none"/>
                <w:lang w:val="en-US" w:eastAsia="zh-CN"/>
              </w:rPr>
              <w:t>乙</w:t>
            </w:r>
            <w:r>
              <w:rPr>
                <w:rFonts w:hint="eastAsia" w:ascii="宋体" w:hAnsi="宋体" w:cs="宋体"/>
                <w:color w:val="auto"/>
                <w:spacing w:val="-2"/>
                <w:sz w:val="24"/>
                <w:szCs w:val="24"/>
                <w:highlight w:val="none"/>
              </w:rPr>
              <w:t>级造价人员证书</w:t>
            </w:r>
            <w:r>
              <w:rPr>
                <w:rFonts w:hint="eastAsia" w:ascii="宋体" w:hAnsi="宋体" w:cs="宋体"/>
                <w:color w:val="auto"/>
                <w:spacing w:val="-2"/>
                <w:sz w:val="24"/>
                <w:szCs w:val="24"/>
                <w:highlight w:val="none"/>
                <w:lang w:val="en-US" w:eastAsia="zh-CN"/>
              </w:rPr>
              <w:t>或二级以上（含二级）造价工程师注册证（交通运输工程专业）</w:t>
            </w:r>
            <w:r>
              <w:rPr>
                <w:rFonts w:hint="eastAsia" w:ascii="宋体" w:hAnsi="宋体" w:cs="宋体"/>
                <w:color w:val="auto"/>
                <w:spacing w:val="-2"/>
                <w:sz w:val="24"/>
                <w:szCs w:val="24"/>
                <w:highlight w:val="none"/>
              </w:rPr>
              <w:t>。</w:t>
            </w:r>
          </w:p>
        </w:tc>
      </w:tr>
      <w:tr w14:paraId="313E3360">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634" w:type="dxa"/>
            <w:vAlign w:val="center"/>
          </w:tcPr>
          <w:p w14:paraId="6294A035">
            <w:pPr>
              <w:jc w:val="center"/>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道路工程师</w:t>
            </w:r>
          </w:p>
        </w:tc>
        <w:tc>
          <w:tcPr>
            <w:tcW w:w="990" w:type="dxa"/>
            <w:vAlign w:val="center"/>
          </w:tcPr>
          <w:p w14:paraId="62C35BDA">
            <w:pPr>
              <w:jc w:val="center"/>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1</w:t>
            </w:r>
          </w:p>
        </w:tc>
        <w:tc>
          <w:tcPr>
            <w:tcW w:w="5953" w:type="dxa"/>
            <w:vAlign w:val="center"/>
          </w:tcPr>
          <w:p w14:paraId="08A6DEAB">
            <w:pPr>
              <w:jc w:val="left"/>
              <w:rPr>
                <w:rFonts w:hint="eastAsia" w:ascii="宋体" w:hAnsi="宋体" w:cs="宋体"/>
                <w:color w:val="auto"/>
                <w:spacing w:val="-2"/>
                <w:sz w:val="24"/>
                <w:szCs w:val="24"/>
                <w:highlight w:val="none"/>
              </w:rPr>
            </w:pPr>
            <w:r>
              <w:rPr>
                <w:rFonts w:hint="eastAsia" w:ascii="宋体" w:hAnsi="宋体" w:cs="宋体"/>
                <w:color w:val="auto"/>
                <w:sz w:val="24"/>
                <w:szCs w:val="24"/>
                <w:highlight w:val="none"/>
              </w:rPr>
              <w:t>路桥相关专业工程师，累计</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年从事类似工程经验。</w:t>
            </w:r>
          </w:p>
        </w:tc>
      </w:tr>
      <w:tr w14:paraId="46749005">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634" w:type="dxa"/>
            <w:vAlign w:val="center"/>
          </w:tcPr>
          <w:p w14:paraId="75B2B01F">
            <w:pPr>
              <w:jc w:val="center"/>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测量工程师</w:t>
            </w:r>
          </w:p>
        </w:tc>
        <w:tc>
          <w:tcPr>
            <w:tcW w:w="990" w:type="dxa"/>
            <w:vAlign w:val="center"/>
          </w:tcPr>
          <w:p w14:paraId="1E806377">
            <w:pPr>
              <w:jc w:val="center"/>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1</w:t>
            </w:r>
          </w:p>
        </w:tc>
        <w:tc>
          <w:tcPr>
            <w:tcW w:w="5953" w:type="dxa"/>
            <w:vAlign w:val="center"/>
          </w:tcPr>
          <w:p w14:paraId="321B01E1">
            <w:pPr>
              <w:jc w:val="left"/>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工程师，</w:t>
            </w:r>
            <w:r>
              <w:rPr>
                <w:rFonts w:hint="eastAsia" w:ascii="宋体" w:hAnsi="宋体" w:cs="宋体"/>
                <w:color w:val="auto"/>
                <w:sz w:val="24"/>
                <w:szCs w:val="24"/>
                <w:highlight w:val="none"/>
              </w:rPr>
              <w:t>累计</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年从事类似工程经验。</w:t>
            </w:r>
          </w:p>
        </w:tc>
      </w:tr>
      <w:tr w14:paraId="7E95CF8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634" w:type="dxa"/>
            <w:vAlign w:val="center"/>
          </w:tcPr>
          <w:p w14:paraId="54D82DF2">
            <w:pPr>
              <w:jc w:val="center"/>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试验工程师</w:t>
            </w:r>
          </w:p>
        </w:tc>
        <w:tc>
          <w:tcPr>
            <w:tcW w:w="990" w:type="dxa"/>
            <w:vAlign w:val="center"/>
          </w:tcPr>
          <w:p w14:paraId="102E927A">
            <w:pPr>
              <w:jc w:val="center"/>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1</w:t>
            </w:r>
          </w:p>
        </w:tc>
        <w:tc>
          <w:tcPr>
            <w:tcW w:w="5953" w:type="dxa"/>
            <w:vAlign w:val="center"/>
          </w:tcPr>
          <w:p w14:paraId="48CE13B4">
            <w:pPr>
              <w:jc w:val="left"/>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持有行政主管部门核发的公路工程试验检测师资格证书或试验检测工程师资格证书，</w:t>
            </w:r>
            <w:r>
              <w:rPr>
                <w:rFonts w:hint="eastAsia" w:ascii="宋体" w:hAnsi="宋体" w:cs="宋体"/>
                <w:color w:val="auto"/>
                <w:sz w:val="24"/>
                <w:szCs w:val="24"/>
                <w:highlight w:val="none"/>
              </w:rPr>
              <w:t>累计</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年从事类似工程经验。</w:t>
            </w:r>
          </w:p>
        </w:tc>
      </w:tr>
      <w:tr w14:paraId="7ED8801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634" w:type="dxa"/>
            <w:vAlign w:val="center"/>
          </w:tcPr>
          <w:p w14:paraId="7FDA9527">
            <w:pPr>
              <w:jc w:val="center"/>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财务负责人</w:t>
            </w:r>
          </w:p>
        </w:tc>
        <w:tc>
          <w:tcPr>
            <w:tcW w:w="990" w:type="dxa"/>
            <w:vAlign w:val="center"/>
          </w:tcPr>
          <w:p w14:paraId="4D018DEC">
            <w:pPr>
              <w:jc w:val="center"/>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1</w:t>
            </w:r>
          </w:p>
        </w:tc>
        <w:tc>
          <w:tcPr>
            <w:tcW w:w="5953" w:type="dxa"/>
            <w:vAlign w:val="center"/>
          </w:tcPr>
          <w:p w14:paraId="72F0C7D6">
            <w:pPr>
              <w:rPr>
                <w:rFonts w:ascii="宋体" w:hAnsi="宋体" w:cs="宋体"/>
                <w:color w:val="auto"/>
                <w:sz w:val="24"/>
                <w:szCs w:val="24"/>
                <w:highlight w:val="none"/>
              </w:rPr>
            </w:pPr>
            <w:r>
              <w:rPr>
                <w:rFonts w:hint="eastAsia" w:ascii="宋体" w:hAnsi="宋体" w:cs="宋体"/>
                <w:color w:val="auto"/>
                <w:sz w:val="24"/>
                <w:szCs w:val="24"/>
                <w:highlight w:val="none"/>
              </w:rPr>
              <w:t>累计</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年从事类似工程经验。</w:t>
            </w:r>
          </w:p>
        </w:tc>
      </w:tr>
      <w:tr w14:paraId="0E77757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2634" w:type="dxa"/>
            <w:vAlign w:val="center"/>
          </w:tcPr>
          <w:p w14:paraId="73E6B614">
            <w:pPr>
              <w:jc w:val="center"/>
              <w:rPr>
                <w:rFonts w:ascii="宋体" w:hAnsi="宋体" w:cs="宋体"/>
                <w:color w:val="auto"/>
                <w:sz w:val="24"/>
                <w:szCs w:val="24"/>
                <w:highlight w:val="none"/>
              </w:rPr>
            </w:pPr>
            <w:r>
              <w:rPr>
                <w:rFonts w:ascii="宋体" w:hAnsi="宋体" w:cs="宋体"/>
                <w:color w:val="auto"/>
                <w:spacing w:val="-1"/>
                <w:sz w:val="24"/>
                <w:szCs w:val="24"/>
                <w:highlight w:val="none"/>
              </w:rPr>
              <w:t>专职安全生产管理</w:t>
            </w:r>
            <w:r>
              <w:rPr>
                <w:rFonts w:ascii="宋体" w:hAnsi="宋体" w:cs="宋体"/>
                <w:color w:val="auto"/>
                <w:sz w:val="24"/>
                <w:szCs w:val="24"/>
                <w:highlight w:val="none"/>
              </w:rPr>
              <w:t>人员</w:t>
            </w:r>
          </w:p>
        </w:tc>
        <w:tc>
          <w:tcPr>
            <w:tcW w:w="990" w:type="dxa"/>
            <w:vAlign w:val="center"/>
          </w:tcPr>
          <w:p w14:paraId="3B6445EC">
            <w:pPr>
              <w:jc w:val="center"/>
              <w:rPr>
                <w:rFonts w:hint="eastAsia" w:ascii="宋体" w:hAnsi="宋体" w:cs="宋体"/>
                <w:color w:val="auto"/>
                <w:spacing w:val="-1"/>
                <w:sz w:val="24"/>
                <w:szCs w:val="24"/>
                <w:highlight w:val="none"/>
              </w:rPr>
            </w:pPr>
            <w:r>
              <w:rPr>
                <w:rFonts w:hint="eastAsia" w:ascii="宋体" w:hAnsi="宋体" w:cs="宋体"/>
                <w:color w:val="auto"/>
                <w:spacing w:val="-1"/>
                <w:sz w:val="24"/>
                <w:szCs w:val="24"/>
                <w:highlight w:val="none"/>
              </w:rPr>
              <w:t>1</w:t>
            </w:r>
          </w:p>
        </w:tc>
        <w:tc>
          <w:tcPr>
            <w:tcW w:w="5953" w:type="dxa"/>
            <w:vAlign w:val="center"/>
          </w:tcPr>
          <w:p w14:paraId="2060C05F">
            <w:pPr>
              <w:rPr>
                <w:rFonts w:ascii="宋体" w:hAnsi="宋体" w:cs="宋体"/>
                <w:color w:val="auto"/>
                <w:sz w:val="24"/>
                <w:szCs w:val="24"/>
                <w:highlight w:val="none"/>
              </w:rPr>
            </w:pPr>
            <w:r>
              <w:rPr>
                <w:rFonts w:hint="eastAsia" w:ascii="宋体" w:hAnsi="宋体" w:cs="宋体"/>
                <w:color w:val="auto"/>
                <w:spacing w:val="-1"/>
                <w:sz w:val="24"/>
                <w:szCs w:val="24"/>
                <w:highlight w:val="none"/>
              </w:rPr>
              <w:t>具有交通运输主管部门颁发的安全生产“三类人员”C类证书，</w:t>
            </w:r>
            <w:r>
              <w:rPr>
                <w:rFonts w:hint="eastAsia" w:ascii="宋体" w:hAnsi="宋体" w:cs="宋体"/>
                <w:color w:val="auto"/>
                <w:sz w:val="24"/>
                <w:szCs w:val="24"/>
                <w:highlight w:val="none"/>
              </w:rPr>
              <w:t>累计</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年从事类似工程经验</w:t>
            </w:r>
            <w:r>
              <w:rPr>
                <w:rFonts w:hint="eastAsia" w:ascii="宋体" w:hAnsi="宋体" w:cs="宋体"/>
                <w:color w:val="auto"/>
                <w:spacing w:val="-1"/>
                <w:sz w:val="24"/>
                <w:szCs w:val="24"/>
                <w:highlight w:val="none"/>
              </w:rPr>
              <w:t>。</w:t>
            </w:r>
          </w:p>
        </w:tc>
      </w:tr>
      <w:tr w14:paraId="1076133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634" w:type="dxa"/>
            <w:vAlign w:val="center"/>
          </w:tcPr>
          <w:p w14:paraId="2CC4C63F">
            <w:pPr>
              <w:jc w:val="center"/>
              <w:rPr>
                <w:rFonts w:ascii="宋体" w:hAnsi="宋体" w:cs="宋体"/>
                <w:color w:val="auto"/>
                <w:sz w:val="24"/>
                <w:szCs w:val="24"/>
                <w:highlight w:val="none"/>
              </w:rPr>
            </w:pPr>
            <w:r>
              <w:rPr>
                <w:rFonts w:ascii="宋体" w:hAnsi="宋体" w:cs="宋体"/>
                <w:color w:val="auto"/>
                <w:spacing w:val="-5"/>
                <w:sz w:val="24"/>
                <w:szCs w:val="24"/>
                <w:highlight w:val="none"/>
              </w:rPr>
              <w:t>资</w:t>
            </w:r>
            <w:r>
              <w:rPr>
                <w:rFonts w:ascii="宋体" w:hAnsi="宋体" w:cs="宋体"/>
                <w:color w:val="auto"/>
                <w:spacing w:val="-3"/>
                <w:sz w:val="24"/>
                <w:szCs w:val="24"/>
                <w:highlight w:val="none"/>
              </w:rPr>
              <w:t>料员</w:t>
            </w:r>
          </w:p>
        </w:tc>
        <w:tc>
          <w:tcPr>
            <w:tcW w:w="990" w:type="dxa"/>
            <w:vAlign w:val="center"/>
          </w:tcPr>
          <w:p w14:paraId="6C05CB2E">
            <w:pPr>
              <w:jc w:val="center"/>
              <w:rPr>
                <w:rFonts w:hint="eastAsia" w:ascii="宋体" w:hAnsi="宋体" w:cs="宋体"/>
                <w:color w:val="auto"/>
                <w:spacing w:val="-1"/>
                <w:sz w:val="24"/>
                <w:szCs w:val="24"/>
                <w:highlight w:val="none"/>
              </w:rPr>
            </w:pPr>
            <w:r>
              <w:rPr>
                <w:rFonts w:hint="eastAsia" w:ascii="宋体" w:hAnsi="宋体" w:cs="宋体"/>
                <w:color w:val="auto"/>
                <w:spacing w:val="-1"/>
                <w:sz w:val="24"/>
                <w:szCs w:val="24"/>
                <w:highlight w:val="none"/>
              </w:rPr>
              <w:t>1</w:t>
            </w:r>
          </w:p>
        </w:tc>
        <w:tc>
          <w:tcPr>
            <w:tcW w:w="5953" w:type="dxa"/>
            <w:vAlign w:val="center"/>
          </w:tcPr>
          <w:p w14:paraId="55143907">
            <w:pPr>
              <w:rPr>
                <w:rFonts w:ascii="宋体" w:hAnsi="宋体" w:cs="宋体"/>
                <w:color w:val="auto"/>
                <w:sz w:val="24"/>
                <w:szCs w:val="24"/>
                <w:highlight w:val="none"/>
              </w:rPr>
            </w:pPr>
            <w:r>
              <w:rPr>
                <w:rFonts w:hint="eastAsia" w:ascii="宋体" w:hAnsi="宋体" w:cs="宋体"/>
                <w:color w:val="auto"/>
                <w:sz w:val="24"/>
                <w:szCs w:val="24"/>
                <w:highlight w:val="none"/>
              </w:rPr>
              <w:t>资料员，累计</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年从事类似工程经验。</w:t>
            </w:r>
          </w:p>
        </w:tc>
      </w:tr>
    </w:tbl>
    <w:p w14:paraId="678392D5">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szCs w:val="24"/>
          <w:highlight w:val="none"/>
        </w:rPr>
        <w:t>注：</w:t>
      </w:r>
      <w:r>
        <w:rPr>
          <w:rFonts w:hint="eastAsia" w:ascii="宋体" w:hAnsi="宋体" w:cs="宋体"/>
          <w:b w:val="0"/>
          <w:bCs w:val="0"/>
          <w:color w:val="auto"/>
          <w:sz w:val="24"/>
          <w:highlight w:val="none"/>
        </w:rPr>
        <w:t>1、投标人不须填报附录6所要求拟投入本项目的其他主要管理人员和技术人员，只须按招标文件第九章投标文件格式（一、投标函）的格式承诺，中标人在进场前向招标人提交实际投入的人员。</w:t>
      </w:r>
    </w:p>
    <w:p w14:paraId="02FE06E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2、投标人中标后专职安全生产管理人员的配备应按照交通部《公路水运工程安全生产监督管理办法》（交通部令2017年第25号）的要求执行。</w:t>
      </w:r>
    </w:p>
    <w:p w14:paraId="2448B8E8">
      <w:pPr>
        <w:spacing w:line="360" w:lineRule="auto"/>
        <w:rPr>
          <w:color w:val="auto"/>
          <w:sz w:val="24"/>
          <w:highlight w:val="none"/>
        </w:rPr>
      </w:pPr>
    </w:p>
    <w:p w14:paraId="1E3DE4C4">
      <w:pPr>
        <w:pStyle w:val="52"/>
        <w:rPr>
          <w:color w:val="auto"/>
          <w:highlight w:val="none"/>
        </w:rPr>
      </w:pPr>
    </w:p>
    <w:p w14:paraId="0797AE79">
      <w:pPr>
        <w:pStyle w:val="4"/>
        <w:jc w:val="center"/>
        <w:rPr>
          <w:rFonts w:ascii="宋体" w:hAnsi="宋体" w:cs="黑体"/>
          <w:color w:val="auto"/>
          <w:sz w:val="30"/>
          <w:szCs w:val="30"/>
          <w:highlight w:val="none"/>
        </w:rPr>
      </w:pPr>
    </w:p>
    <w:p w14:paraId="6145C5D9">
      <w:pPr>
        <w:pStyle w:val="4"/>
        <w:jc w:val="center"/>
        <w:rPr>
          <w:rFonts w:ascii="宋体" w:hAnsi="宋体" w:cs="黑体"/>
          <w:color w:val="auto"/>
          <w:sz w:val="30"/>
          <w:szCs w:val="30"/>
          <w:highlight w:val="none"/>
        </w:rPr>
      </w:pPr>
      <w:r>
        <w:rPr>
          <w:rFonts w:hint="eastAsia" w:ascii="宋体" w:hAnsi="宋体" w:cs="黑体"/>
          <w:color w:val="auto"/>
          <w:sz w:val="30"/>
          <w:szCs w:val="30"/>
          <w:highlight w:val="none"/>
        </w:rPr>
        <w:br w:type="page"/>
      </w:r>
    </w:p>
    <w:p w14:paraId="510D110B">
      <w:pPr>
        <w:pStyle w:val="4"/>
        <w:jc w:val="center"/>
        <w:rPr>
          <w:rFonts w:ascii="宋体" w:hAnsi="宋体" w:cs="黑体"/>
          <w:color w:val="auto"/>
          <w:sz w:val="30"/>
          <w:szCs w:val="30"/>
          <w:highlight w:val="none"/>
        </w:rPr>
      </w:pPr>
      <w:bookmarkStart w:id="54" w:name="_Toc43475669"/>
      <w:r>
        <w:rPr>
          <w:rFonts w:hint="eastAsia" w:ascii="宋体" w:hAnsi="宋体" w:cs="黑体"/>
          <w:color w:val="auto"/>
          <w:sz w:val="30"/>
          <w:szCs w:val="30"/>
          <w:highlight w:val="none"/>
        </w:rPr>
        <w:t>附录7  资格审查条件（主要设备最低要求）</w:t>
      </w:r>
      <w:bookmarkEnd w:id="54"/>
    </w:p>
    <w:tbl>
      <w:tblPr>
        <w:tblStyle w:val="42"/>
        <w:tblpPr w:leftFromText="180" w:rightFromText="180" w:vertAnchor="text" w:horzAnchor="page" w:tblpXSpec="center" w:tblpY="109"/>
        <w:tblOverlap w:val="never"/>
        <w:tblW w:w="9236" w:type="dxa"/>
        <w:tblInd w:w="0" w:type="dxa"/>
        <w:tblLayout w:type="fixed"/>
        <w:tblCellMar>
          <w:top w:w="0" w:type="dxa"/>
          <w:left w:w="0" w:type="dxa"/>
          <w:bottom w:w="0" w:type="dxa"/>
          <w:right w:w="0" w:type="dxa"/>
        </w:tblCellMar>
      </w:tblPr>
      <w:tblGrid>
        <w:gridCol w:w="775"/>
        <w:gridCol w:w="2962"/>
        <w:gridCol w:w="3206"/>
        <w:gridCol w:w="845"/>
        <w:gridCol w:w="1448"/>
      </w:tblGrid>
      <w:tr w14:paraId="6DF06FAC">
        <w:tblPrEx>
          <w:tblCellMar>
            <w:top w:w="0" w:type="dxa"/>
            <w:left w:w="0" w:type="dxa"/>
            <w:bottom w:w="0" w:type="dxa"/>
            <w:right w:w="0" w:type="dxa"/>
          </w:tblCellMar>
        </w:tblPrEx>
        <w:trPr>
          <w:trHeight w:val="599" w:hRule="exact"/>
        </w:trPr>
        <w:tc>
          <w:tcPr>
            <w:tcW w:w="775" w:type="dxa"/>
            <w:tcBorders>
              <w:top w:val="single" w:color="000000" w:sz="12" w:space="0"/>
              <w:left w:val="single" w:color="000000" w:sz="12" w:space="0"/>
              <w:bottom w:val="single" w:color="000000" w:sz="8" w:space="0"/>
              <w:right w:val="single" w:color="000000" w:sz="8" w:space="0"/>
            </w:tcBorders>
            <w:vAlign w:val="center"/>
          </w:tcPr>
          <w:p w14:paraId="588285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962" w:type="dxa"/>
            <w:tcBorders>
              <w:top w:val="single" w:color="000000" w:sz="12" w:space="0"/>
              <w:left w:val="single" w:color="000000" w:sz="8" w:space="0"/>
              <w:bottom w:val="single" w:color="000000" w:sz="8" w:space="0"/>
              <w:right w:val="single" w:color="000000" w:sz="8" w:space="0"/>
            </w:tcBorders>
            <w:vAlign w:val="center"/>
          </w:tcPr>
          <w:p w14:paraId="6C8139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3206" w:type="dxa"/>
            <w:tcBorders>
              <w:top w:val="single" w:color="000000" w:sz="12" w:space="0"/>
              <w:left w:val="single" w:color="000000" w:sz="8" w:space="0"/>
              <w:bottom w:val="single" w:color="000000" w:sz="8" w:space="0"/>
              <w:right w:val="single" w:color="000000" w:sz="8" w:space="0"/>
            </w:tcBorders>
            <w:vAlign w:val="center"/>
          </w:tcPr>
          <w:p w14:paraId="3935C5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规格、功率及容量</w:t>
            </w:r>
          </w:p>
        </w:tc>
        <w:tc>
          <w:tcPr>
            <w:tcW w:w="845" w:type="dxa"/>
            <w:tcBorders>
              <w:top w:val="single" w:color="000000" w:sz="12" w:space="0"/>
              <w:left w:val="single" w:color="000000" w:sz="8" w:space="0"/>
              <w:bottom w:val="single" w:color="000000" w:sz="8" w:space="0"/>
              <w:right w:val="single" w:color="000000" w:sz="8" w:space="0"/>
            </w:tcBorders>
            <w:vAlign w:val="center"/>
          </w:tcPr>
          <w:p w14:paraId="079446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1448" w:type="dxa"/>
            <w:tcBorders>
              <w:top w:val="single" w:color="000000" w:sz="12" w:space="0"/>
              <w:left w:val="single" w:color="000000" w:sz="8" w:space="0"/>
              <w:bottom w:val="single" w:color="000000" w:sz="8" w:space="0"/>
              <w:right w:val="single" w:color="000000" w:sz="12" w:space="0"/>
            </w:tcBorders>
            <w:vAlign w:val="center"/>
          </w:tcPr>
          <w:p w14:paraId="3575F4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最低数量</w:t>
            </w:r>
          </w:p>
        </w:tc>
      </w:tr>
      <w:tr w14:paraId="09F163BB">
        <w:tblPrEx>
          <w:tblCellMar>
            <w:top w:w="0" w:type="dxa"/>
            <w:left w:w="0" w:type="dxa"/>
            <w:bottom w:w="0" w:type="dxa"/>
            <w:right w:w="0" w:type="dxa"/>
          </w:tblCellMar>
        </w:tblPrEx>
        <w:trPr>
          <w:trHeight w:val="599" w:hRule="exact"/>
        </w:trPr>
        <w:tc>
          <w:tcPr>
            <w:tcW w:w="775"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5330500">
            <w:pPr>
              <w:spacing w:line="360" w:lineRule="exact"/>
              <w:jc w:val="center"/>
              <w:rPr>
                <w:rFonts w:ascii="宋体" w:hAnsi="宋体" w:cs="宋体"/>
                <w:color w:val="auto"/>
                <w:sz w:val="24"/>
                <w:highlight w:val="none"/>
              </w:rPr>
            </w:pPr>
            <w:r>
              <w:rPr>
                <w:rFonts w:hint="eastAsia" w:ascii="宋体" w:hAnsi="宋体" w:cs="宋体"/>
                <w:color w:val="auto"/>
                <w:sz w:val="22"/>
                <w:szCs w:val="22"/>
                <w:highlight w:val="none"/>
              </w:rPr>
              <w:t>1</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60A93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平地机</w:t>
            </w:r>
          </w:p>
        </w:tc>
        <w:tc>
          <w:tcPr>
            <w:tcW w:w="32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614A8">
            <w:pPr>
              <w:spacing w:line="360" w:lineRule="auto"/>
              <w:jc w:val="center"/>
              <w:rPr>
                <w:rFonts w:ascii="宋体" w:hAnsi="宋体" w:cs="宋体"/>
                <w:color w:val="auto"/>
                <w:sz w:val="24"/>
                <w:highlight w:val="none"/>
              </w:rPr>
            </w:pPr>
            <w:r>
              <w:rPr>
                <w:rFonts w:hint="eastAsia" w:ascii="宋体" w:cs="宋体"/>
                <w:color w:val="auto"/>
                <w:sz w:val="24"/>
                <w:highlight w:val="none"/>
              </w:rPr>
              <w:t>≥180KW</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194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8"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0C646CC3">
            <w:pPr>
              <w:spacing w:line="360" w:lineRule="auto"/>
              <w:jc w:val="center"/>
              <w:rPr>
                <w:rFonts w:ascii="宋体" w:hAnsi="宋体" w:cs="宋体"/>
                <w:color w:val="auto"/>
                <w:sz w:val="24"/>
                <w:highlight w:val="none"/>
              </w:rPr>
            </w:pPr>
            <w:r>
              <w:rPr>
                <w:rFonts w:ascii="宋体" w:hAnsi="宋体" w:cs="宋体"/>
                <w:color w:val="auto"/>
                <w:sz w:val="24"/>
                <w:highlight w:val="none"/>
              </w:rPr>
              <w:t>1</w:t>
            </w:r>
          </w:p>
        </w:tc>
      </w:tr>
      <w:tr w14:paraId="486ABAC9">
        <w:tblPrEx>
          <w:tblCellMar>
            <w:top w:w="0" w:type="dxa"/>
            <w:left w:w="0" w:type="dxa"/>
            <w:bottom w:w="0" w:type="dxa"/>
            <w:right w:w="0" w:type="dxa"/>
          </w:tblCellMar>
        </w:tblPrEx>
        <w:trPr>
          <w:trHeight w:val="515" w:hRule="exact"/>
        </w:trPr>
        <w:tc>
          <w:tcPr>
            <w:tcW w:w="775"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0E33C93">
            <w:pPr>
              <w:spacing w:line="360" w:lineRule="exact"/>
              <w:jc w:val="center"/>
              <w:rPr>
                <w:rFonts w:ascii="宋体" w:hAnsi="宋体" w:cs="宋体"/>
                <w:color w:val="auto"/>
                <w:sz w:val="24"/>
                <w:highlight w:val="none"/>
              </w:rPr>
            </w:pPr>
            <w:r>
              <w:rPr>
                <w:rFonts w:hint="eastAsia" w:ascii="宋体" w:hAnsi="宋体" w:cs="宋体"/>
                <w:color w:val="auto"/>
                <w:sz w:val="22"/>
                <w:szCs w:val="22"/>
                <w:highlight w:val="none"/>
              </w:rPr>
              <w:t>2</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BA03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振动压路机</w:t>
            </w:r>
          </w:p>
        </w:tc>
        <w:tc>
          <w:tcPr>
            <w:tcW w:w="32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5D7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18T</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54A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8"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7D4C93C">
            <w:pPr>
              <w:spacing w:line="360" w:lineRule="auto"/>
              <w:jc w:val="center"/>
              <w:rPr>
                <w:rFonts w:ascii="宋体" w:hAnsi="宋体" w:cs="宋体"/>
                <w:color w:val="auto"/>
                <w:sz w:val="24"/>
                <w:highlight w:val="none"/>
              </w:rPr>
            </w:pPr>
            <w:r>
              <w:rPr>
                <w:rFonts w:ascii="宋体" w:hAnsi="宋体" w:cs="宋体"/>
                <w:color w:val="auto"/>
                <w:sz w:val="24"/>
                <w:highlight w:val="none"/>
              </w:rPr>
              <w:t>1</w:t>
            </w:r>
          </w:p>
        </w:tc>
      </w:tr>
      <w:tr w14:paraId="0FD8EE98">
        <w:tblPrEx>
          <w:tblCellMar>
            <w:top w:w="0" w:type="dxa"/>
            <w:left w:w="0" w:type="dxa"/>
            <w:bottom w:w="0" w:type="dxa"/>
            <w:right w:w="0" w:type="dxa"/>
          </w:tblCellMar>
        </w:tblPrEx>
        <w:trPr>
          <w:trHeight w:val="515" w:hRule="exact"/>
        </w:trPr>
        <w:tc>
          <w:tcPr>
            <w:tcW w:w="775"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CA00B80">
            <w:pPr>
              <w:spacing w:line="360" w:lineRule="exact"/>
              <w:jc w:val="center"/>
              <w:rPr>
                <w:rFonts w:ascii="宋体" w:hAnsi="宋体" w:cs="宋体"/>
                <w:color w:val="auto"/>
                <w:sz w:val="24"/>
                <w:highlight w:val="none"/>
              </w:rPr>
            </w:pPr>
            <w:r>
              <w:rPr>
                <w:rFonts w:hint="eastAsia" w:ascii="宋体" w:hAnsi="宋体" w:cs="宋体"/>
                <w:color w:val="auto"/>
                <w:sz w:val="22"/>
                <w:szCs w:val="22"/>
                <w:highlight w:val="none"/>
              </w:rPr>
              <w:t>3</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E2A8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混凝土搅拌运输车</w:t>
            </w:r>
          </w:p>
        </w:tc>
        <w:tc>
          <w:tcPr>
            <w:tcW w:w="32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812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6m3</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94B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辆</w:t>
            </w:r>
          </w:p>
        </w:tc>
        <w:tc>
          <w:tcPr>
            <w:tcW w:w="1448"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082EAF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r>
      <w:tr w14:paraId="2246A7EB">
        <w:tblPrEx>
          <w:tblCellMar>
            <w:top w:w="0" w:type="dxa"/>
            <w:left w:w="0" w:type="dxa"/>
            <w:bottom w:w="0" w:type="dxa"/>
            <w:right w:w="0" w:type="dxa"/>
          </w:tblCellMar>
        </w:tblPrEx>
        <w:trPr>
          <w:trHeight w:val="599" w:hRule="exact"/>
        </w:trPr>
        <w:tc>
          <w:tcPr>
            <w:tcW w:w="775"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580243E">
            <w:pPr>
              <w:spacing w:line="360" w:lineRule="exact"/>
              <w:jc w:val="center"/>
              <w:rPr>
                <w:rFonts w:ascii="宋体" w:hAnsi="宋体" w:cs="宋体"/>
                <w:color w:val="auto"/>
                <w:sz w:val="24"/>
                <w:highlight w:val="none"/>
              </w:rPr>
            </w:pPr>
            <w:r>
              <w:rPr>
                <w:rFonts w:hint="eastAsia" w:ascii="宋体" w:hAnsi="宋体" w:cs="宋体"/>
                <w:color w:val="auto"/>
                <w:sz w:val="22"/>
                <w:szCs w:val="22"/>
                <w:highlight w:val="none"/>
              </w:rPr>
              <w:t>4</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A0FF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装载机</w:t>
            </w:r>
          </w:p>
        </w:tc>
        <w:tc>
          <w:tcPr>
            <w:tcW w:w="32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675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2m3</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118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8"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B5C30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r>
      <w:tr w14:paraId="3BFEB01B">
        <w:tblPrEx>
          <w:tblCellMar>
            <w:top w:w="0" w:type="dxa"/>
            <w:left w:w="0" w:type="dxa"/>
            <w:bottom w:w="0" w:type="dxa"/>
            <w:right w:w="0" w:type="dxa"/>
          </w:tblCellMar>
        </w:tblPrEx>
        <w:trPr>
          <w:trHeight w:val="599" w:hRule="exact"/>
        </w:trPr>
        <w:tc>
          <w:tcPr>
            <w:tcW w:w="775"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8BCE07E">
            <w:pPr>
              <w:spacing w:line="360" w:lineRule="exact"/>
              <w:jc w:val="center"/>
              <w:rPr>
                <w:rFonts w:ascii="宋体" w:hAnsi="宋体" w:cs="宋体"/>
                <w:color w:val="auto"/>
                <w:sz w:val="24"/>
                <w:highlight w:val="none"/>
              </w:rPr>
            </w:pPr>
            <w:r>
              <w:rPr>
                <w:rFonts w:hint="eastAsia" w:ascii="宋体" w:hAnsi="宋体" w:cs="宋体"/>
                <w:color w:val="auto"/>
                <w:sz w:val="22"/>
                <w:szCs w:val="22"/>
                <w:highlight w:val="none"/>
              </w:rPr>
              <w:t>5</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D6C1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挖掘机</w:t>
            </w:r>
          </w:p>
        </w:tc>
        <w:tc>
          <w:tcPr>
            <w:tcW w:w="32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0ABED">
            <w:pPr>
              <w:spacing w:line="360" w:lineRule="auto"/>
              <w:jc w:val="center"/>
              <w:rPr>
                <w:rFonts w:ascii="宋体" w:hAnsi="宋体" w:cs="宋体"/>
                <w:color w:val="auto"/>
                <w:sz w:val="24"/>
                <w:highlight w:val="none"/>
              </w:rPr>
            </w:pPr>
            <w:r>
              <w:rPr>
                <w:rFonts w:ascii="宋体" w:hAnsi="宋体" w:cs="宋体"/>
                <w:color w:val="auto"/>
                <w:sz w:val="24"/>
                <w:highlight w:val="none"/>
              </w:rPr>
              <w:t>1.0m3</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4BF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8"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C690FC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r>
      <w:tr w14:paraId="2F91678A">
        <w:tblPrEx>
          <w:tblCellMar>
            <w:top w:w="0" w:type="dxa"/>
            <w:left w:w="0" w:type="dxa"/>
            <w:bottom w:w="0" w:type="dxa"/>
            <w:right w:w="0" w:type="dxa"/>
          </w:tblCellMar>
        </w:tblPrEx>
        <w:trPr>
          <w:trHeight w:val="599" w:hRule="exact"/>
        </w:trPr>
        <w:tc>
          <w:tcPr>
            <w:tcW w:w="775"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FF282E5">
            <w:pPr>
              <w:spacing w:line="360" w:lineRule="exact"/>
              <w:jc w:val="center"/>
              <w:rPr>
                <w:rFonts w:ascii="宋体" w:hAnsi="宋体" w:cs="宋体"/>
                <w:color w:val="auto"/>
                <w:sz w:val="24"/>
                <w:highlight w:val="none"/>
              </w:rPr>
            </w:pPr>
            <w:r>
              <w:rPr>
                <w:rFonts w:hint="eastAsia" w:ascii="宋体" w:hAnsi="宋体" w:cs="宋体"/>
                <w:color w:val="auto"/>
                <w:sz w:val="22"/>
                <w:szCs w:val="22"/>
                <w:highlight w:val="none"/>
              </w:rPr>
              <w:t>6</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D6AC8">
            <w:pPr>
              <w:spacing w:line="240" w:lineRule="auto"/>
              <w:ind w:firstLine="240" w:firstLineChars="100"/>
              <w:jc w:val="both"/>
              <w:rPr>
                <w:rFonts w:ascii="宋体" w:hAnsi="宋体" w:cs="宋体"/>
                <w:color w:val="auto"/>
                <w:sz w:val="24"/>
                <w:highlight w:val="none"/>
              </w:rPr>
            </w:pPr>
            <w:r>
              <w:rPr>
                <w:rFonts w:ascii="宋体" w:cs="宋体"/>
                <w:color w:val="auto"/>
                <w:sz w:val="24"/>
                <w:highlight w:val="none"/>
              </w:rPr>
              <w:t>推土机</w:t>
            </w:r>
          </w:p>
        </w:tc>
        <w:tc>
          <w:tcPr>
            <w:tcW w:w="32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E7F50">
            <w:pPr>
              <w:spacing w:line="240" w:lineRule="auto"/>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w:t>
            </w:r>
            <w:r>
              <w:rPr>
                <w:rFonts w:ascii="宋体" w:cs="宋体"/>
                <w:color w:val="auto"/>
                <w:sz w:val="24"/>
                <w:highlight w:val="none"/>
              </w:rPr>
              <w:t>165kw</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top"/>
          </w:tcPr>
          <w:p w14:paraId="16C2FE61">
            <w:pPr>
              <w:spacing w:line="360" w:lineRule="auto"/>
              <w:ind w:firstLine="240" w:firstLineChars="100"/>
              <w:rPr>
                <w:rFonts w:ascii="宋体" w:hAnsi="宋体" w:cs="宋体"/>
                <w:color w:val="auto"/>
                <w:sz w:val="24"/>
                <w:highlight w:val="none"/>
              </w:rPr>
            </w:pPr>
            <w:r>
              <w:rPr>
                <w:rFonts w:ascii="宋体" w:cs="宋体"/>
                <w:color w:val="auto"/>
                <w:sz w:val="24"/>
                <w:highlight w:val="none"/>
              </w:rPr>
              <w:t>台</w:t>
            </w:r>
          </w:p>
        </w:tc>
        <w:tc>
          <w:tcPr>
            <w:tcW w:w="1448"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57572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r>
      <w:tr w14:paraId="26C8032B">
        <w:tblPrEx>
          <w:tblCellMar>
            <w:top w:w="0" w:type="dxa"/>
            <w:left w:w="0" w:type="dxa"/>
            <w:bottom w:w="0" w:type="dxa"/>
            <w:right w:w="0" w:type="dxa"/>
          </w:tblCellMar>
        </w:tblPrEx>
        <w:trPr>
          <w:trHeight w:val="599" w:hRule="exact"/>
        </w:trPr>
        <w:tc>
          <w:tcPr>
            <w:tcW w:w="775"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6F45DFB">
            <w:pPr>
              <w:spacing w:line="360" w:lineRule="exact"/>
              <w:jc w:val="center"/>
              <w:rPr>
                <w:rFonts w:ascii="宋体" w:hAnsi="宋体" w:cs="宋体"/>
                <w:color w:val="auto"/>
                <w:sz w:val="24"/>
                <w:highlight w:val="none"/>
              </w:rPr>
            </w:pPr>
            <w:r>
              <w:rPr>
                <w:rFonts w:hint="eastAsia" w:ascii="宋体" w:hAnsi="宋体" w:cs="宋体"/>
                <w:color w:val="auto"/>
                <w:sz w:val="22"/>
                <w:szCs w:val="22"/>
                <w:highlight w:val="none"/>
              </w:rPr>
              <w:t>7</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3B744">
            <w:pPr>
              <w:spacing w:line="360" w:lineRule="auto"/>
              <w:ind w:firstLine="240" w:firstLineChars="100"/>
              <w:rPr>
                <w:rFonts w:ascii="宋体" w:hAnsi="宋体" w:cs="宋体"/>
                <w:color w:val="auto"/>
                <w:sz w:val="24"/>
                <w:highlight w:val="none"/>
              </w:rPr>
            </w:pPr>
            <w:r>
              <w:rPr>
                <w:color w:val="auto"/>
                <w:sz w:val="24"/>
                <w:highlight w:val="none"/>
              </w:rPr>
              <w:t>载重汽车</w:t>
            </w:r>
          </w:p>
        </w:tc>
        <w:tc>
          <w:tcPr>
            <w:tcW w:w="32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E3823">
            <w:pPr>
              <w:spacing w:line="360" w:lineRule="auto"/>
              <w:jc w:val="center"/>
              <w:rPr>
                <w:rFonts w:ascii="宋体" w:hAnsi="宋体" w:cs="宋体"/>
                <w:color w:val="auto"/>
                <w:sz w:val="24"/>
                <w:highlight w:val="none"/>
              </w:rPr>
            </w:pPr>
            <w:r>
              <w:rPr>
                <w:rFonts w:hint="eastAsia" w:ascii="宋体" w:cs="宋体"/>
                <w:color w:val="auto"/>
                <w:sz w:val="24"/>
                <w:highlight w:val="none"/>
              </w:rPr>
              <w:t>15t以上</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5AA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8"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4DD6A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r>
      <w:tr w14:paraId="7222839E">
        <w:tblPrEx>
          <w:tblCellMar>
            <w:top w:w="0" w:type="dxa"/>
            <w:left w:w="0" w:type="dxa"/>
            <w:bottom w:w="0" w:type="dxa"/>
            <w:right w:w="0" w:type="dxa"/>
          </w:tblCellMar>
        </w:tblPrEx>
        <w:trPr>
          <w:trHeight w:val="848" w:hRule="exact"/>
        </w:trPr>
        <w:tc>
          <w:tcPr>
            <w:tcW w:w="775"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897FA25">
            <w:pPr>
              <w:spacing w:line="360" w:lineRule="exact"/>
              <w:jc w:val="center"/>
              <w:rPr>
                <w:rFonts w:ascii="宋体" w:hAnsi="宋体" w:cs="宋体"/>
                <w:color w:val="auto"/>
                <w:sz w:val="24"/>
                <w:highlight w:val="none"/>
              </w:rPr>
            </w:pPr>
            <w:r>
              <w:rPr>
                <w:rFonts w:hint="eastAsia" w:ascii="宋体" w:hAnsi="宋体" w:cs="宋体"/>
                <w:color w:val="auto"/>
                <w:sz w:val="22"/>
                <w:szCs w:val="22"/>
                <w:highlight w:val="none"/>
              </w:rPr>
              <w:t>8</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3EB57">
            <w:pPr>
              <w:rPr>
                <w:rFonts w:ascii="宋体" w:hAnsi="宋体" w:cs="宋体" w:eastAsiaTheme="minorEastAsia"/>
                <w:color w:val="auto"/>
                <w:sz w:val="24"/>
                <w:highlight w:val="none"/>
              </w:rPr>
            </w:pPr>
            <w:r>
              <w:rPr>
                <w:rFonts w:hint="eastAsia" w:ascii="宋体" w:cs="宋体"/>
                <w:color w:val="auto"/>
                <w:sz w:val="24"/>
                <w:highlight w:val="none"/>
              </w:rPr>
              <w:t>水泥混凝土自动计量拌合楼</w:t>
            </w:r>
          </w:p>
        </w:tc>
        <w:tc>
          <w:tcPr>
            <w:tcW w:w="32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E9AFD">
            <w:pPr>
              <w:adjustRightInd w:val="0"/>
              <w:snapToGrid w:val="0"/>
              <w:jc w:val="center"/>
              <w:rPr>
                <w:rFonts w:ascii="宋体" w:hAnsi="宋体" w:cs="宋体" w:eastAsiaTheme="minorEastAsia"/>
                <w:color w:val="auto"/>
                <w:sz w:val="24"/>
                <w:highlight w:val="none"/>
              </w:rPr>
            </w:pPr>
            <w:r>
              <w:rPr>
                <w:rFonts w:hint="eastAsia" w:ascii="宋体" w:cs="宋体"/>
                <w:color w:val="auto"/>
                <w:sz w:val="24"/>
                <w:highlight w:val="none"/>
              </w:rPr>
              <w:t>≥120m3/h</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BA4B1">
            <w:pPr>
              <w:adjustRightInd w:val="0"/>
              <w:snapToGrid w:val="0"/>
              <w:jc w:val="center"/>
              <w:rPr>
                <w:rFonts w:ascii="宋体" w:hAnsi="宋体" w:cs="宋体" w:eastAsiaTheme="minorEastAsia"/>
                <w:color w:val="auto"/>
                <w:sz w:val="24"/>
                <w:highlight w:val="none"/>
              </w:rPr>
            </w:pPr>
            <w:r>
              <w:rPr>
                <w:rFonts w:hint="eastAsia" w:ascii="宋体" w:cs="宋体"/>
                <w:color w:val="auto"/>
                <w:sz w:val="24"/>
                <w:highlight w:val="none"/>
              </w:rPr>
              <w:t>套</w:t>
            </w:r>
          </w:p>
        </w:tc>
        <w:tc>
          <w:tcPr>
            <w:tcW w:w="1448"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6688CE0">
            <w:pPr>
              <w:adjustRightInd w:val="0"/>
              <w:snapToGrid w:val="0"/>
              <w:jc w:val="center"/>
              <w:rPr>
                <w:rFonts w:ascii="宋体" w:hAnsi="宋体" w:cs="宋体" w:eastAsiaTheme="minorEastAsia"/>
                <w:color w:val="auto"/>
                <w:sz w:val="24"/>
                <w:highlight w:val="none"/>
              </w:rPr>
            </w:pPr>
            <w:r>
              <w:rPr>
                <w:rFonts w:ascii="宋体" w:hAnsi="宋体" w:cs="宋体"/>
                <w:color w:val="auto"/>
                <w:sz w:val="24"/>
                <w:highlight w:val="none"/>
              </w:rPr>
              <w:t>1</w:t>
            </w:r>
          </w:p>
        </w:tc>
      </w:tr>
      <w:tr w14:paraId="27ACA037">
        <w:tblPrEx>
          <w:tblCellMar>
            <w:top w:w="0" w:type="dxa"/>
            <w:left w:w="0" w:type="dxa"/>
            <w:bottom w:w="0" w:type="dxa"/>
            <w:right w:w="0" w:type="dxa"/>
          </w:tblCellMar>
        </w:tblPrEx>
        <w:trPr>
          <w:trHeight w:val="623" w:hRule="atLeast"/>
        </w:trPr>
        <w:tc>
          <w:tcPr>
            <w:tcW w:w="775"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C6F5660">
            <w:pPr>
              <w:spacing w:line="360" w:lineRule="exact"/>
              <w:jc w:val="center"/>
              <w:rPr>
                <w:rFonts w:ascii="宋体" w:hAnsi="宋体" w:cs="宋体"/>
                <w:color w:val="auto"/>
                <w:sz w:val="24"/>
                <w:highlight w:val="none"/>
              </w:rPr>
            </w:pPr>
            <w:r>
              <w:rPr>
                <w:rFonts w:hint="eastAsia" w:ascii="宋体" w:hAnsi="宋体" w:cs="宋体"/>
                <w:color w:val="auto"/>
                <w:sz w:val="22"/>
                <w:szCs w:val="22"/>
                <w:highlight w:val="none"/>
              </w:rPr>
              <w:t>9</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36BE1">
            <w:pPr>
              <w:spacing w:line="360" w:lineRule="auto"/>
              <w:ind w:firstLine="240" w:firstLineChars="100"/>
              <w:rPr>
                <w:rFonts w:ascii="宋体" w:hAnsi="宋体" w:cs="宋体"/>
                <w:color w:val="auto"/>
                <w:sz w:val="24"/>
                <w:highlight w:val="none"/>
              </w:rPr>
            </w:pPr>
            <w:r>
              <w:rPr>
                <w:rFonts w:hint="eastAsia" w:ascii="宋体" w:cs="宋体"/>
                <w:color w:val="auto"/>
                <w:sz w:val="24"/>
                <w:highlight w:val="none"/>
              </w:rPr>
              <w:t>稳定粒料拌和设备</w:t>
            </w:r>
          </w:p>
        </w:tc>
        <w:tc>
          <w:tcPr>
            <w:tcW w:w="32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F7747">
            <w:pPr>
              <w:adjustRightInd w:val="0"/>
              <w:snapToGrid w:val="0"/>
              <w:jc w:val="center"/>
              <w:rPr>
                <w:rFonts w:ascii="宋体" w:hAnsi="宋体" w:cs="宋体" w:eastAsiaTheme="minorEastAsia"/>
                <w:color w:val="auto"/>
                <w:sz w:val="24"/>
                <w:highlight w:val="none"/>
              </w:rPr>
            </w:pPr>
            <w:r>
              <w:rPr>
                <w:rFonts w:hint="eastAsia" w:ascii="宋体" w:cs="宋体"/>
                <w:color w:val="auto"/>
                <w:sz w:val="24"/>
                <w:highlight w:val="none"/>
              </w:rPr>
              <w:t>≥500t/h</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B06E1">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座</w:t>
            </w:r>
          </w:p>
        </w:tc>
        <w:tc>
          <w:tcPr>
            <w:tcW w:w="1448"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53BF81F">
            <w:pPr>
              <w:adjustRightInd w:val="0"/>
              <w:snapToGrid w:val="0"/>
              <w:jc w:val="center"/>
              <w:rPr>
                <w:rFonts w:ascii="宋体" w:hAnsi="宋体" w:cs="宋体" w:eastAsiaTheme="minorEastAsia"/>
                <w:color w:val="auto"/>
                <w:sz w:val="24"/>
                <w:highlight w:val="none"/>
              </w:rPr>
            </w:pPr>
            <w:r>
              <w:rPr>
                <w:rFonts w:ascii="宋体" w:hAnsi="宋体" w:cs="宋体"/>
                <w:color w:val="auto"/>
                <w:sz w:val="24"/>
                <w:highlight w:val="none"/>
              </w:rPr>
              <w:t>1</w:t>
            </w:r>
          </w:p>
        </w:tc>
      </w:tr>
      <w:tr w14:paraId="59F48712">
        <w:tblPrEx>
          <w:tblCellMar>
            <w:top w:w="0" w:type="dxa"/>
            <w:left w:w="0" w:type="dxa"/>
            <w:bottom w:w="0" w:type="dxa"/>
            <w:right w:w="0" w:type="dxa"/>
          </w:tblCellMar>
        </w:tblPrEx>
        <w:trPr>
          <w:trHeight w:val="955" w:hRule="exact"/>
        </w:trPr>
        <w:tc>
          <w:tcPr>
            <w:tcW w:w="775"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7E3390B">
            <w:pPr>
              <w:spacing w:line="360" w:lineRule="exact"/>
              <w:jc w:val="center"/>
              <w:rPr>
                <w:rFonts w:ascii="宋体" w:hAnsi="宋体" w:cs="宋体"/>
                <w:color w:val="auto"/>
                <w:sz w:val="24"/>
                <w:highlight w:val="none"/>
              </w:rPr>
            </w:pPr>
            <w:r>
              <w:rPr>
                <w:rFonts w:hint="eastAsia" w:ascii="宋体" w:hAnsi="宋体" w:cs="宋体"/>
                <w:color w:val="auto"/>
                <w:sz w:val="22"/>
                <w:szCs w:val="22"/>
                <w:highlight w:val="none"/>
              </w:rPr>
              <w:t>10</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B6AB2">
            <w:pPr>
              <w:spacing w:line="360" w:lineRule="auto"/>
              <w:ind w:firstLine="240" w:firstLineChars="100"/>
              <w:rPr>
                <w:rFonts w:ascii="宋体" w:hAnsi="宋体" w:cs="宋体"/>
                <w:color w:val="auto"/>
                <w:sz w:val="24"/>
                <w:highlight w:val="none"/>
              </w:rPr>
            </w:pPr>
            <w:r>
              <w:rPr>
                <w:rFonts w:hint="eastAsia" w:ascii="宋体" w:cs="宋体"/>
                <w:color w:val="auto"/>
                <w:sz w:val="24"/>
                <w:highlight w:val="none"/>
              </w:rPr>
              <w:t>水泥砼滑模摊铺机</w:t>
            </w:r>
          </w:p>
        </w:tc>
        <w:tc>
          <w:tcPr>
            <w:tcW w:w="32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A4AB6">
            <w:pPr>
              <w:spacing w:line="360" w:lineRule="auto"/>
              <w:ind w:firstLine="240" w:firstLineChars="100"/>
              <w:jc w:val="center"/>
              <w:rPr>
                <w:rFonts w:ascii="宋体" w:hAnsi="宋体" w:cs="宋体" w:eastAsiaTheme="minorEastAsia"/>
                <w:color w:val="auto"/>
                <w:sz w:val="24"/>
                <w:highlight w:val="none"/>
              </w:rPr>
            </w:pPr>
            <w:r>
              <w:rPr>
                <w:rFonts w:hint="eastAsia" w:ascii="宋体" w:cs="宋体"/>
                <w:color w:val="auto"/>
                <w:sz w:val="24"/>
                <w:highlight w:val="none"/>
              </w:rPr>
              <w:t>一次性摊铺宽度≥12m、带 DBI装置</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419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8"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0ADDC85">
            <w:pPr>
              <w:spacing w:line="360" w:lineRule="auto"/>
              <w:jc w:val="center"/>
              <w:rPr>
                <w:rFonts w:ascii="宋体" w:hAnsi="宋体" w:cs="宋体" w:eastAsiaTheme="minorEastAsia"/>
                <w:color w:val="auto"/>
                <w:sz w:val="24"/>
                <w:highlight w:val="none"/>
              </w:rPr>
            </w:pPr>
            <w:r>
              <w:rPr>
                <w:rFonts w:ascii="宋体" w:hAnsi="宋体" w:cs="宋体"/>
                <w:color w:val="auto"/>
                <w:sz w:val="24"/>
                <w:highlight w:val="none"/>
              </w:rPr>
              <w:t>1</w:t>
            </w:r>
          </w:p>
        </w:tc>
      </w:tr>
      <w:tr w14:paraId="58DB2BBF">
        <w:tblPrEx>
          <w:tblCellMar>
            <w:top w:w="0" w:type="dxa"/>
            <w:left w:w="0" w:type="dxa"/>
            <w:bottom w:w="0" w:type="dxa"/>
            <w:right w:w="0" w:type="dxa"/>
          </w:tblCellMar>
        </w:tblPrEx>
        <w:trPr>
          <w:trHeight w:val="620" w:hRule="exact"/>
        </w:trPr>
        <w:tc>
          <w:tcPr>
            <w:tcW w:w="775" w:type="dxa"/>
            <w:tcBorders>
              <w:top w:val="single" w:color="000000" w:sz="8" w:space="0"/>
              <w:left w:val="single" w:color="000000" w:sz="12" w:space="0"/>
              <w:bottom w:val="single" w:color="000000" w:sz="8" w:space="0"/>
              <w:right w:val="single" w:color="000000" w:sz="8" w:space="0"/>
            </w:tcBorders>
            <w:vAlign w:val="center"/>
          </w:tcPr>
          <w:p w14:paraId="7468DBC7">
            <w:pPr>
              <w:spacing w:line="360" w:lineRule="exact"/>
              <w:jc w:val="center"/>
              <w:rPr>
                <w:rFonts w:ascii="宋体" w:hAnsi="宋体" w:cs="宋体"/>
                <w:color w:val="auto"/>
                <w:sz w:val="24"/>
                <w:highlight w:val="none"/>
              </w:rPr>
            </w:pPr>
            <w:r>
              <w:rPr>
                <w:rFonts w:hint="eastAsia" w:ascii="宋体" w:hAnsi="宋体" w:cs="宋体"/>
                <w:color w:val="auto"/>
                <w:sz w:val="22"/>
                <w:szCs w:val="22"/>
                <w:highlight w:val="none"/>
              </w:rPr>
              <w:t>11</w:t>
            </w:r>
          </w:p>
        </w:tc>
        <w:tc>
          <w:tcPr>
            <w:tcW w:w="2962" w:type="dxa"/>
            <w:tcBorders>
              <w:top w:val="single" w:color="000000" w:sz="8" w:space="0"/>
              <w:left w:val="single" w:color="000000" w:sz="8" w:space="0"/>
              <w:bottom w:val="single" w:color="000000" w:sz="8" w:space="0"/>
              <w:right w:val="single" w:color="000000" w:sz="8" w:space="0"/>
            </w:tcBorders>
            <w:vAlign w:val="center"/>
          </w:tcPr>
          <w:p w14:paraId="08D4C13D">
            <w:pPr>
              <w:spacing w:line="360" w:lineRule="auto"/>
              <w:ind w:firstLine="240" w:firstLineChars="100"/>
              <w:rPr>
                <w:rFonts w:ascii="宋体" w:hAnsi="宋体" w:cs="宋体" w:eastAsiaTheme="minorEastAsia"/>
                <w:color w:val="auto"/>
                <w:sz w:val="24"/>
                <w:highlight w:val="none"/>
              </w:rPr>
            </w:pPr>
            <w:r>
              <w:rPr>
                <w:rFonts w:hint="eastAsia" w:ascii="宋体" w:cs="宋体"/>
                <w:color w:val="auto"/>
                <w:sz w:val="24"/>
                <w:highlight w:val="none"/>
              </w:rPr>
              <w:t>基层摊铺机</w:t>
            </w:r>
          </w:p>
        </w:tc>
        <w:tc>
          <w:tcPr>
            <w:tcW w:w="3206" w:type="dxa"/>
            <w:tcBorders>
              <w:top w:val="single" w:color="000000" w:sz="8" w:space="0"/>
              <w:left w:val="single" w:color="000000" w:sz="8" w:space="0"/>
              <w:bottom w:val="single" w:color="000000" w:sz="8" w:space="0"/>
              <w:right w:val="single" w:color="000000" w:sz="8" w:space="0"/>
            </w:tcBorders>
            <w:vAlign w:val="center"/>
          </w:tcPr>
          <w:p w14:paraId="22B458FA">
            <w:pPr>
              <w:spacing w:line="360" w:lineRule="auto"/>
              <w:ind w:firstLine="240" w:firstLineChars="100"/>
              <w:rPr>
                <w:rFonts w:ascii="宋体" w:hAnsi="宋体" w:cs="宋体" w:eastAsiaTheme="minorEastAsia"/>
                <w:color w:val="auto"/>
                <w:sz w:val="24"/>
                <w:highlight w:val="none"/>
              </w:rPr>
            </w:pPr>
            <w:r>
              <w:rPr>
                <w:rFonts w:hint="eastAsia" w:ascii="宋体" w:cs="宋体"/>
                <w:color w:val="auto"/>
                <w:sz w:val="24"/>
                <w:highlight w:val="none"/>
              </w:rPr>
              <w:t>一次性摊铺宽度≥7.5m</w:t>
            </w:r>
          </w:p>
        </w:tc>
        <w:tc>
          <w:tcPr>
            <w:tcW w:w="845" w:type="dxa"/>
            <w:tcBorders>
              <w:top w:val="single" w:color="000000" w:sz="8" w:space="0"/>
              <w:left w:val="single" w:color="000000" w:sz="8" w:space="0"/>
              <w:bottom w:val="single" w:color="000000" w:sz="8" w:space="0"/>
              <w:right w:val="single" w:color="000000" w:sz="8" w:space="0"/>
            </w:tcBorders>
            <w:vAlign w:val="center"/>
          </w:tcPr>
          <w:p w14:paraId="761B4786">
            <w:pPr>
              <w:spacing w:line="360" w:lineRule="auto"/>
              <w:jc w:val="center"/>
              <w:rPr>
                <w:rFonts w:ascii="宋体" w:hAnsi="宋体" w:cs="宋体" w:eastAsiaTheme="minorEastAsia"/>
                <w:color w:val="auto"/>
                <w:sz w:val="24"/>
                <w:highlight w:val="none"/>
              </w:rPr>
            </w:pPr>
            <w:r>
              <w:rPr>
                <w:rFonts w:hint="eastAsia" w:ascii="宋体" w:hAnsi="宋体" w:cs="宋体"/>
                <w:color w:val="auto"/>
                <w:sz w:val="24"/>
                <w:highlight w:val="none"/>
              </w:rPr>
              <w:t>台</w:t>
            </w:r>
          </w:p>
        </w:tc>
        <w:tc>
          <w:tcPr>
            <w:tcW w:w="1448" w:type="dxa"/>
            <w:tcBorders>
              <w:top w:val="single" w:color="000000" w:sz="8" w:space="0"/>
              <w:left w:val="single" w:color="000000" w:sz="8" w:space="0"/>
              <w:bottom w:val="single" w:color="000000" w:sz="8" w:space="0"/>
              <w:right w:val="single" w:color="000000" w:sz="12" w:space="0"/>
            </w:tcBorders>
            <w:vAlign w:val="center"/>
          </w:tcPr>
          <w:p w14:paraId="7AFAB22E">
            <w:pPr>
              <w:spacing w:line="360" w:lineRule="auto"/>
              <w:jc w:val="center"/>
              <w:rPr>
                <w:rFonts w:ascii="宋体" w:hAnsi="宋体" w:cs="宋体" w:eastAsiaTheme="minorEastAsia"/>
                <w:color w:val="auto"/>
                <w:sz w:val="24"/>
                <w:highlight w:val="none"/>
              </w:rPr>
            </w:pPr>
            <w:r>
              <w:rPr>
                <w:rFonts w:hint="eastAsia" w:ascii="宋体" w:hAnsi="宋体" w:cs="宋体"/>
                <w:color w:val="auto"/>
                <w:sz w:val="24"/>
                <w:highlight w:val="none"/>
              </w:rPr>
              <w:t>1</w:t>
            </w:r>
          </w:p>
        </w:tc>
      </w:tr>
    </w:tbl>
    <w:p w14:paraId="023C7808">
      <w:pPr>
        <w:widowControl/>
        <w:jc w:val="left"/>
        <w:rPr>
          <w:rFonts w:ascii="宋体" w:hAnsi="宋体"/>
          <w:color w:val="auto"/>
          <w:sz w:val="24"/>
          <w:highlight w:val="none"/>
        </w:rPr>
      </w:pPr>
    </w:p>
    <w:p w14:paraId="6A42148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olor w:val="auto"/>
          <w:sz w:val="24"/>
          <w:szCs w:val="24"/>
          <w:highlight w:val="none"/>
        </w:rPr>
        <w:t>注：</w:t>
      </w:r>
      <w:r>
        <w:rPr>
          <w:rFonts w:hint="eastAsia" w:ascii="宋体" w:hAnsi="宋体" w:cs="宋体"/>
          <w:b/>
          <w:color w:val="auto"/>
          <w:kern w:val="0"/>
          <w:sz w:val="24"/>
          <w:highlight w:val="none"/>
          <w:lang w:bidi="ar"/>
        </w:rPr>
        <w:t>1、投标文件无须填报附录7所要求拟投入本项目的主要设备，只须按招标文件第九章投标文件格式（一、投标函）的格式承诺，中标人在进场前向招标人提交实际投入的设备。</w:t>
      </w:r>
    </w:p>
    <w:p w14:paraId="0182D046">
      <w:pPr>
        <w:widowControl/>
        <w:adjustRightInd w:val="0"/>
        <w:spacing w:before="12" w:line="360" w:lineRule="auto"/>
        <w:ind w:firstLine="480" w:firstLineChars="200"/>
        <w:jc w:val="left"/>
        <w:rPr>
          <w:rFonts w:hint="eastAsia" w:ascii="宋体" w:hAnsi="宋体" w:cs="宋体"/>
          <w:color w:val="auto"/>
          <w:highlight w:val="none"/>
        </w:rPr>
      </w:pPr>
      <w:r>
        <w:rPr>
          <w:rFonts w:hint="eastAsia" w:ascii="宋体" w:hAnsi="宋体" w:cs="宋体"/>
          <w:color w:val="auto"/>
          <w:kern w:val="0"/>
          <w:sz w:val="24"/>
          <w:highlight w:val="none"/>
          <w:lang w:bidi="ar"/>
        </w:rPr>
        <w:t>2、投标人应保证主要设备可以正常使用。</w:t>
      </w:r>
    </w:p>
    <w:p w14:paraId="6C79F541">
      <w:pPr>
        <w:spacing w:line="360" w:lineRule="auto"/>
        <w:ind w:firstLine="480" w:firstLineChars="200"/>
        <w:rPr>
          <w:rFonts w:ascii="宋体" w:hAnsi="宋体" w:cs="宋体"/>
          <w:color w:val="auto"/>
          <w:szCs w:val="21"/>
          <w:highlight w:val="none"/>
        </w:rPr>
      </w:pPr>
      <w:r>
        <w:rPr>
          <w:rFonts w:hint="eastAsia" w:ascii="宋体" w:hAnsi="宋体" w:cs="宋体"/>
          <w:color w:val="auto"/>
          <w:kern w:val="0"/>
          <w:sz w:val="24"/>
          <w:highlight w:val="none"/>
          <w:lang w:bidi="ar"/>
        </w:rPr>
        <w:t>3、招标人有权根据标段的工程特点、工程量及工程进度情况要求增加相应的施工设备，由此不存在索赔问题。</w:t>
      </w:r>
    </w:p>
    <w:p w14:paraId="1E62AB33">
      <w:pPr>
        <w:ind w:left="240"/>
        <w:rPr>
          <w:rFonts w:hint="default" w:ascii="宋体" w:hAnsi="宋体" w:eastAsia="宋体"/>
          <w:color w:val="auto"/>
          <w:sz w:val="24"/>
          <w:highlight w:val="none"/>
          <w:lang w:val="en-US" w:eastAsia="zh-CN"/>
        </w:rPr>
      </w:pPr>
      <w:r>
        <w:rPr>
          <w:rFonts w:hint="eastAsia" w:ascii="宋体" w:hAnsi="宋体"/>
          <w:color w:val="auto"/>
          <w:sz w:val="24"/>
          <w:highlight w:val="none"/>
        </w:rPr>
        <w:br w:type="page"/>
      </w:r>
      <w:r>
        <w:rPr>
          <w:rFonts w:hint="eastAsia" w:ascii="宋体" w:hAnsi="宋体"/>
          <w:color w:val="auto"/>
          <w:sz w:val="24"/>
          <w:highlight w:val="none"/>
          <w:lang w:val="en-US" w:eastAsia="zh-CN"/>
        </w:rPr>
        <w:t xml:space="preserve">  </w:t>
      </w:r>
    </w:p>
    <w:p w14:paraId="0AF65E16">
      <w:pPr>
        <w:pStyle w:val="69"/>
        <w:spacing w:before="156"/>
        <w:rPr>
          <w:color w:val="auto"/>
          <w:highlight w:val="none"/>
        </w:rPr>
      </w:pPr>
      <w:bookmarkStart w:id="55" w:name="_Toc43475670"/>
      <w:bookmarkStart w:id="56" w:name="_Toc11325"/>
      <w:bookmarkStart w:id="57" w:name="_Toc2293"/>
      <w:r>
        <w:rPr>
          <w:rFonts w:hint="eastAsia"/>
          <w:color w:val="auto"/>
          <w:highlight w:val="none"/>
        </w:rPr>
        <w:t>总则</w:t>
      </w:r>
      <w:bookmarkEnd w:id="55"/>
      <w:bookmarkEnd w:id="56"/>
      <w:bookmarkEnd w:id="57"/>
    </w:p>
    <w:p w14:paraId="2381CC06">
      <w:pPr>
        <w:pStyle w:val="71"/>
        <w:rPr>
          <w:color w:val="auto"/>
          <w:highlight w:val="none"/>
        </w:rPr>
      </w:pPr>
      <w:bookmarkStart w:id="58" w:name="_Toc13126"/>
      <w:bookmarkStart w:id="59" w:name="_Toc43475671"/>
      <w:bookmarkStart w:id="60" w:name="_Toc4935"/>
      <w:r>
        <w:rPr>
          <w:rFonts w:hint="eastAsia"/>
          <w:color w:val="auto"/>
          <w:highlight w:val="none"/>
        </w:rPr>
        <w:t>项目概况</w:t>
      </w:r>
      <w:bookmarkEnd w:id="58"/>
      <w:bookmarkEnd w:id="59"/>
      <w:bookmarkEnd w:id="60"/>
    </w:p>
    <w:p w14:paraId="309366F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1.1.1 根据《中华人民共和国招标投标法》《中华人民共和国招标投标法实施条例》《公路工程建设项目招标投标管理办法》等有关法律、法规和规章的规定，本招标项目已具备招标条件，现对本标段施工进行招标。</w:t>
      </w:r>
    </w:p>
    <w:p w14:paraId="40D46FB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 本招标项目招标人：见投标人须知前附表。</w:t>
      </w:r>
    </w:p>
    <w:p w14:paraId="2940037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1.1.3 本标段招标代理机构：见投标人须知前附表。</w:t>
      </w:r>
    </w:p>
    <w:p w14:paraId="12CA8AF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1.1.4 本招标项目名称：见投标人须知前附表。</w:t>
      </w:r>
    </w:p>
    <w:p w14:paraId="2B1B2CE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1.1.5 本标段建设地点：见投标人须知前附表。</w:t>
      </w:r>
    </w:p>
    <w:p w14:paraId="02B9C6C0">
      <w:pPr>
        <w:pStyle w:val="71"/>
        <w:rPr>
          <w:color w:val="auto"/>
          <w:highlight w:val="none"/>
        </w:rPr>
      </w:pPr>
      <w:bookmarkStart w:id="61" w:name="_Toc31619"/>
      <w:bookmarkStart w:id="62" w:name="_Toc43475672"/>
      <w:bookmarkStart w:id="63" w:name="_Toc9325"/>
      <w:r>
        <w:rPr>
          <w:rFonts w:hint="eastAsia"/>
          <w:color w:val="auto"/>
          <w:highlight w:val="none"/>
        </w:rPr>
        <w:t>招标项目的资金来源和落实情况</w:t>
      </w:r>
      <w:bookmarkEnd w:id="61"/>
      <w:bookmarkEnd w:id="62"/>
      <w:bookmarkEnd w:id="63"/>
    </w:p>
    <w:p w14:paraId="0E0148A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1.2.1 资金来源及比例：见投标人须知前附表。</w:t>
      </w:r>
    </w:p>
    <w:p w14:paraId="7F8E066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1.2.2 资金落实情况：见投标人须知前附表。</w:t>
      </w:r>
    </w:p>
    <w:p w14:paraId="1805D29D">
      <w:pPr>
        <w:pStyle w:val="71"/>
        <w:rPr>
          <w:color w:val="auto"/>
          <w:highlight w:val="none"/>
        </w:rPr>
      </w:pPr>
      <w:bookmarkStart w:id="64" w:name="_Toc11165"/>
      <w:bookmarkStart w:id="65" w:name="_Toc43475673"/>
      <w:bookmarkStart w:id="66" w:name="_Toc13421"/>
      <w:r>
        <w:rPr>
          <w:rFonts w:hint="eastAsia"/>
          <w:color w:val="auto"/>
          <w:highlight w:val="none"/>
        </w:rPr>
        <w:t>招标范围、计划工期、质量要求和安全目标</w:t>
      </w:r>
      <w:bookmarkEnd w:id="64"/>
      <w:bookmarkEnd w:id="65"/>
      <w:bookmarkEnd w:id="66"/>
    </w:p>
    <w:p w14:paraId="3A65F64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1.3.1 本标段的招标范围：见投标人须知前附表。</w:t>
      </w:r>
    </w:p>
    <w:p w14:paraId="0F94B8D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1.3.2 本标段的计划工期：见投标人须知前附表。</w:t>
      </w:r>
    </w:p>
    <w:p w14:paraId="4F2ECD4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1.3.3 本标段的质量要求：见投标人须知前附表。</w:t>
      </w:r>
    </w:p>
    <w:p w14:paraId="3D4DDF5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1.3.4 本标段的安全</w:t>
      </w:r>
      <w:r>
        <w:rPr>
          <w:rFonts w:hint="eastAsia"/>
          <w:color w:val="auto"/>
          <w:highlight w:val="none"/>
        </w:rPr>
        <w:t>目标：</w:t>
      </w:r>
      <w:r>
        <w:rPr>
          <w:rFonts w:hint="eastAsia" w:ascii="宋体" w:hAnsi="宋体" w:cs="宋体"/>
          <w:color w:val="auto"/>
          <w:highlight w:val="none"/>
        </w:rPr>
        <w:t>见投标人须知前附表。</w:t>
      </w:r>
    </w:p>
    <w:p w14:paraId="4D5F12AB">
      <w:pPr>
        <w:pStyle w:val="71"/>
        <w:rPr>
          <w:color w:val="auto"/>
          <w:highlight w:val="none"/>
        </w:rPr>
      </w:pPr>
      <w:bookmarkStart w:id="67" w:name="_Toc43475674"/>
      <w:bookmarkStart w:id="68" w:name="_Toc24385"/>
      <w:bookmarkStart w:id="69" w:name="_Toc32214"/>
      <w:r>
        <w:rPr>
          <w:rFonts w:hint="eastAsia"/>
          <w:color w:val="auto"/>
          <w:highlight w:val="none"/>
        </w:rPr>
        <w:t>投标人资格要求（适用于未进行资格预审的）</w:t>
      </w:r>
      <w:bookmarkEnd w:id="67"/>
      <w:bookmarkEnd w:id="68"/>
      <w:bookmarkEnd w:id="69"/>
    </w:p>
    <w:p w14:paraId="60C109A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1.4.1 投标人应具备承担本标段施工的资质条件、能力和信誉。</w:t>
      </w:r>
    </w:p>
    <w:p w14:paraId="35B02C9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（1）资质要求：见投标人须知前附表；</w:t>
      </w:r>
    </w:p>
    <w:p w14:paraId="464B2DA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（2）财务要求：见投标人须知前附表；</w:t>
      </w:r>
    </w:p>
    <w:p w14:paraId="4A838BC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（3）业绩要求：见投标人须知前附表；</w:t>
      </w:r>
    </w:p>
    <w:p w14:paraId="20B8B60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（4）信誉要求：见投标人须知前附表；</w:t>
      </w:r>
    </w:p>
    <w:p w14:paraId="4BBCC58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（5）项目经理和项目总工资格：见投标人须知前附表；</w:t>
      </w:r>
    </w:p>
    <w:p w14:paraId="71A0383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（6）其他要求：见投标人须知前附表。</w:t>
      </w:r>
    </w:p>
    <w:p w14:paraId="32BDF420">
      <w:pPr>
        <w:pStyle w:val="59"/>
        <w:spacing w:line="360" w:lineRule="auto"/>
        <w:ind w:firstLine="480" w:firstLineChars="200"/>
        <w:rPr>
          <w:rFonts w:ascii="宋体" w:hAnsi="宋体" w:cs="宋体"/>
          <w:color w:val="auto"/>
          <w:highlight w:val="none"/>
        </w:rPr>
      </w:pPr>
      <w:r>
        <w:rPr>
          <w:color w:val="auto"/>
          <w:highlight w:val="none"/>
        </w:rPr>
        <w:t>需要提交的相关</w:t>
      </w:r>
      <w:r>
        <w:rPr>
          <w:rFonts w:hint="eastAsia" w:ascii="宋体" w:hAnsi="宋体" w:cs="宋体"/>
          <w:color w:val="auto"/>
          <w:highlight w:val="none"/>
        </w:rPr>
        <w:t>证明</w:t>
      </w:r>
      <w:r>
        <w:rPr>
          <w:color w:val="auto"/>
          <w:highlight w:val="none"/>
        </w:rPr>
        <w:t>材料见本章第</w:t>
      </w:r>
      <w:r>
        <w:rPr>
          <w:rFonts w:eastAsia="Times New Roman"/>
          <w:color w:val="auto"/>
          <w:highlight w:val="none"/>
        </w:rPr>
        <w:t xml:space="preserve">3.5 </w:t>
      </w:r>
      <w:r>
        <w:rPr>
          <w:color w:val="auto"/>
          <w:highlight w:val="none"/>
        </w:rPr>
        <w:t>款的规定</w:t>
      </w:r>
      <w:r>
        <w:rPr>
          <w:rFonts w:hint="eastAsia"/>
          <w:color w:val="auto"/>
          <w:highlight w:val="none"/>
        </w:rPr>
        <w:t>。</w:t>
      </w:r>
    </w:p>
    <w:p w14:paraId="7D20C82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1.4.2 投标人须知前附表规定接受联合体投标的，联合体除应符合本章第 1.4.1项和投标人须知前附表的要求外，还应遵守以下规定：</w:t>
      </w:r>
    </w:p>
    <w:p w14:paraId="73C26CC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 xml:space="preserve"> </w:t>
      </w:r>
      <w:r>
        <w:rPr>
          <w:rFonts w:hint="eastAsia" w:ascii="宋体" w:hAnsi="宋体" w:cs="宋体"/>
          <w:color w:val="auto"/>
          <w:highlight w:val="none"/>
        </w:rPr>
        <w:t>联合体各方应按招标文件提供的格式签订联合体协议书，明确联合体牵头人和各方权利义务，并承诺就中标项目向招标人承担连带责任；</w:t>
      </w:r>
    </w:p>
    <w:p w14:paraId="1D3CDAA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14:paraId="778832E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（3）联合体各方不得再以自己名义单独或参加其他联合体在同一标段中投标；</w:t>
      </w:r>
    </w:p>
    <w:p w14:paraId="0C12C1C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100801A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（5）尽管委任了联合体牵头人，但联合体各成员在投标、签订合同与履行合同过程中，仍负有连带的和各自的法律责任。</w:t>
      </w:r>
    </w:p>
    <w:p w14:paraId="2250D84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1.4.3投标人（包括联合体各成员）不得与本标段相关单位存在下列关联关系：</w:t>
      </w:r>
    </w:p>
    <w:p w14:paraId="1DBEFB9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（1）为招标人不具有独立法人资格的附属机构（单位）；</w:t>
      </w:r>
    </w:p>
    <w:p w14:paraId="523BC24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（2）与招标人存在利害关系且可能影响招标公正性；</w:t>
      </w:r>
    </w:p>
    <w:p w14:paraId="23560D4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（3）与本标段的其他投标人同为一个单位负责人；</w:t>
      </w:r>
    </w:p>
    <w:p w14:paraId="6EE44E4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（4）与本标段的其他投标人存在控股、管理关系；</w:t>
      </w:r>
    </w:p>
    <w:p w14:paraId="407ED99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（5）为本标段前期准备提供设计或咨询服务的法人或其任何附属机构（单位）；</w:t>
      </w:r>
    </w:p>
    <w:p w14:paraId="63D26DF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（6）为本标段的监理人；</w:t>
      </w:r>
    </w:p>
    <w:p w14:paraId="648A2DF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（7）为本标段的代建人；</w:t>
      </w:r>
    </w:p>
    <w:p w14:paraId="76BAC6F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（8）为本标段的招标代理机构；</w:t>
      </w:r>
    </w:p>
    <w:p w14:paraId="7A7314F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（9）与本标段的监理人或代建人或招标代理机构同为一个法定代表人；</w:t>
      </w:r>
    </w:p>
    <w:p w14:paraId="3272E5E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（10）与本标段的监理人或代建人或招标代理机构存在控股或参股关系；</w:t>
      </w:r>
    </w:p>
    <w:p w14:paraId="625A431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（11）法律法规或投标人须知前附表规定的其他情形。</w:t>
      </w:r>
    </w:p>
    <w:p w14:paraId="15A5A2B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1.4.4</w:t>
      </w:r>
      <w:r>
        <w:rPr>
          <w:rFonts w:hint="eastAsia" w:ascii="宋体" w:hAnsi="宋体" w:cs="宋体"/>
          <w:color w:val="auto"/>
          <w:highlight w:val="none"/>
          <w:lang w:val="en-US" w:eastAsia="zh-CN"/>
        </w:rPr>
        <w:t xml:space="preserve"> </w:t>
      </w:r>
      <w:r>
        <w:rPr>
          <w:rFonts w:hint="eastAsia" w:ascii="宋体" w:hAnsi="宋体" w:cs="宋体"/>
          <w:color w:val="auto"/>
          <w:highlight w:val="none"/>
        </w:rPr>
        <w:t>投标人（包括联合体各成员）不得存在下列不良状况或不良信用记录：</w:t>
      </w:r>
    </w:p>
    <w:p w14:paraId="6D22868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（1）被省级及以上交通运输主管部门取消招标项目所在地的投标资格且处于有效期内；</w:t>
      </w:r>
    </w:p>
    <w:p w14:paraId="1ADD30C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（2）被责令停业，暂扣或吊销执照，或吊销资质证书；</w:t>
      </w:r>
    </w:p>
    <w:p w14:paraId="69BE3EC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（3）进入清算程序，或被宣告破产，或其他丧失履约能力的情形；</w:t>
      </w:r>
    </w:p>
    <w:p w14:paraId="626D477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（4）在国家企业信用信息公示系统（http://www.gsxt.gov.cn/）中被列入严重违法失信企业名单；</w:t>
      </w:r>
    </w:p>
    <w:p w14:paraId="773B41A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（5）在“信用中国”网站（http://www.creditchina.gov.cn/）中被列入失信被执行人名单；</w:t>
      </w:r>
    </w:p>
    <w:p w14:paraId="32E257E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（6）投标人或其法定代表人、拟委任的项目经理在近三年内有行贿犯罪行为的（行贿犯罪行为的认定以检察机关职务犯罪预防部门出具的查询结果为准）；</w:t>
      </w:r>
    </w:p>
    <w:p w14:paraId="3D9DA93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（7）法律法规或投标人须知前附表规定的其他情形。</w:t>
      </w:r>
    </w:p>
    <w:p w14:paraId="714EBB0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1.4.5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14:paraId="69DE79A9">
      <w:pPr>
        <w:pStyle w:val="71"/>
        <w:rPr>
          <w:color w:val="auto"/>
          <w:highlight w:val="none"/>
        </w:rPr>
      </w:pPr>
      <w:bookmarkStart w:id="70" w:name="_Toc32451"/>
      <w:bookmarkStart w:id="71" w:name="_Toc43475675"/>
      <w:bookmarkStart w:id="72" w:name="_Toc18622"/>
      <w:r>
        <w:rPr>
          <w:rFonts w:hint="eastAsia"/>
          <w:color w:val="auto"/>
          <w:highlight w:val="none"/>
        </w:rPr>
        <w:t>费用承担</w:t>
      </w:r>
      <w:bookmarkEnd w:id="70"/>
      <w:bookmarkEnd w:id="71"/>
      <w:bookmarkEnd w:id="72"/>
    </w:p>
    <w:p w14:paraId="16D309E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投标人准备和参加投标活动发生的费用自理。</w:t>
      </w:r>
    </w:p>
    <w:p w14:paraId="28177614">
      <w:pPr>
        <w:pStyle w:val="71"/>
        <w:rPr>
          <w:color w:val="auto"/>
          <w:highlight w:val="none"/>
        </w:rPr>
      </w:pPr>
      <w:bookmarkStart w:id="73" w:name="_Toc43475676"/>
      <w:bookmarkStart w:id="74" w:name="_Toc30845"/>
      <w:bookmarkStart w:id="75" w:name="_Toc7728"/>
      <w:r>
        <w:rPr>
          <w:rFonts w:hint="eastAsia"/>
          <w:color w:val="auto"/>
          <w:highlight w:val="none"/>
        </w:rPr>
        <w:t>保密</w:t>
      </w:r>
      <w:bookmarkEnd w:id="73"/>
      <w:bookmarkEnd w:id="74"/>
      <w:bookmarkEnd w:id="75"/>
    </w:p>
    <w:p w14:paraId="7085907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参与招标投标活动的各方应对招标文件和投标文件中的商业和技术等秘密保密， 否则应承担相应的法律责任。</w:t>
      </w:r>
    </w:p>
    <w:p w14:paraId="4FC87B58">
      <w:pPr>
        <w:pStyle w:val="71"/>
        <w:rPr>
          <w:color w:val="auto"/>
          <w:highlight w:val="none"/>
        </w:rPr>
      </w:pPr>
      <w:bookmarkStart w:id="76" w:name="_Toc27711"/>
      <w:bookmarkStart w:id="77" w:name="_Toc43475677"/>
      <w:bookmarkStart w:id="78" w:name="_Toc30800"/>
      <w:r>
        <w:rPr>
          <w:rFonts w:hint="eastAsia"/>
          <w:color w:val="auto"/>
          <w:highlight w:val="none"/>
        </w:rPr>
        <w:t>语言文字</w:t>
      </w:r>
      <w:bookmarkEnd w:id="76"/>
      <w:bookmarkEnd w:id="77"/>
      <w:bookmarkEnd w:id="78"/>
    </w:p>
    <w:p w14:paraId="597C25F7">
      <w:pPr>
        <w:pStyle w:val="59"/>
        <w:spacing w:line="360" w:lineRule="auto"/>
        <w:ind w:firstLine="480" w:firstLineChars="200"/>
        <w:rPr>
          <w:rFonts w:ascii="宋体" w:hAnsi="宋体" w:cs="宋体"/>
          <w:color w:val="auto"/>
          <w:highlight w:val="none"/>
        </w:rPr>
      </w:pPr>
      <w:r>
        <w:rPr>
          <w:color w:val="auto"/>
          <w:highlight w:val="none"/>
        </w:rPr>
        <w:t>招标投标文件使用的语言文字为中文。专用术语使用外文的，应附有中文注释</w:t>
      </w:r>
      <w:r>
        <w:rPr>
          <w:rFonts w:hint="eastAsia" w:ascii="宋体" w:hAnsi="宋体" w:cs="宋体"/>
          <w:color w:val="auto"/>
          <w:highlight w:val="none"/>
        </w:rPr>
        <w:t>。</w:t>
      </w:r>
    </w:p>
    <w:p w14:paraId="30A73711">
      <w:pPr>
        <w:pStyle w:val="71"/>
        <w:rPr>
          <w:color w:val="auto"/>
          <w:highlight w:val="none"/>
        </w:rPr>
      </w:pPr>
      <w:bookmarkStart w:id="79" w:name="_Toc19030"/>
      <w:bookmarkStart w:id="80" w:name="_Toc19075"/>
      <w:bookmarkStart w:id="81" w:name="_Toc43475678"/>
      <w:r>
        <w:rPr>
          <w:rFonts w:hint="eastAsia"/>
          <w:color w:val="auto"/>
          <w:highlight w:val="none"/>
        </w:rPr>
        <w:t>计量单位</w:t>
      </w:r>
      <w:bookmarkEnd w:id="79"/>
      <w:bookmarkEnd w:id="80"/>
      <w:bookmarkEnd w:id="81"/>
    </w:p>
    <w:p w14:paraId="4C16E77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所有计量均采用中华人民共和国法定计量单位。</w:t>
      </w:r>
    </w:p>
    <w:p w14:paraId="0D2BAE9F">
      <w:pPr>
        <w:pStyle w:val="71"/>
        <w:rPr>
          <w:color w:val="auto"/>
          <w:highlight w:val="none"/>
        </w:rPr>
      </w:pPr>
      <w:bookmarkStart w:id="82" w:name="_Toc43475679"/>
      <w:bookmarkStart w:id="83" w:name="_Toc11791"/>
      <w:bookmarkStart w:id="84" w:name="_Toc9140"/>
      <w:r>
        <w:rPr>
          <w:rFonts w:hint="eastAsia"/>
          <w:color w:val="auto"/>
          <w:highlight w:val="none"/>
        </w:rPr>
        <w:t>踏勘现场</w:t>
      </w:r>
      <w:bookmarkEnd w:id="82"/>
      <w:bookmarkEnd w:id="83"/>
      <w:bookmarkEnd w:id="84"/>
    </w:p>
    <w:p w14:paraId="5F4DEF9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14:paraId="3BFE1AB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1.9.2 投标人踏勘现场发生的费用自理。</w:t>
      </w:r>
    </w:p>
    <w:p w14:paraId="4FC94DE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1.9.3 除招标人的原因外，投标人自行负责在踏勘现场中所发生的人员伤亡和财产损失。</w:t>
      </w:r>
    </w:p>
    <w:p w14:paraId="2418FA4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1.9.4 招标人在踏勘现场中介绍的工程场地和相关的周边环境情况，供投标人在编制投标文件时参考，招标人不对投标人据此作出的判断和决策负责。</w:t>
      </w:r>
    </w:p>
    <w:p w14:paraId="7226621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40878D39">
      <w:pPr>
        <w:pStyle w:val="71"/>
        <w:rPr>
          <w:color w:val="auto"/>
          <w:highlight w:val="none"/>
        </w:rPr>
      </w:pPr>
      <w:bookmarkStart w:id="85" w:name="_Toc16718"/>
      <w:bookmarkStart w:id="86" w:name="_Toc7547"/>
      <w:bookmarkStart w:id="87" w:name="_Toc43475680"/>
      <w:r>
        <w:rPr>
          <w:rFonts w:hint="eastAsia"/>
          <w:color w:val="auto"/>
          <w:highlight w:val="none"/>
        </w:rPr>
        <w:t>投标预备会</w:t>
      </w:r>
      <w:bookmarkEnd w:id="85"/>
      <w:bookmarkEnd w:id="86"/>
      <w:bookmarkEnd w:id="87"/>
    </w:p>
    <w:p w14:paraId="2B55DD9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1.10.1 第一章“招标公告”或“投标邀请书”规定召开投标预备会的，招标人按规定的时间和地点召开投标预备会，澄清投标人提出的问题。</w:t>
      </w:r>
    </w:p>
    <w:p w14:paraId="0EAC70B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1.10.2 投标人应按投标人须知前附表规定的时间和形式将提出的问题送达招标人，以便招标人在会议期间澄清。</w:t>
      </w:r>
    </w:p>
    <w:p w14:paraId="3633D40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1.10.3 投标预备会后，招标人将对投标人所提问题的澄清，以本章第 2.2 款规定的形式通知所有购买招标文件的投标人。该澄清内容为招标文件的组成部分。</w:t>
      </w:r>
    </w:p>
    <w:p w14:paraId="54847B6A">
      <w:pPr>
        <w:pStyle w:val="71"/>
        <w:rPr>
          <w:color w:val="auto"/>
          <w:highlight w:val="none"/>
        </w:rPr>
      </w:pPr>
      <w:bookmarkStart w:id="88" w:name="_Toc496"/>
      <w:bookmarkStart w:id="89" w:name="_Toc43475681"/>
      <w:bookmarkStart w:id="90" w:name="_Toc25367"/>
      <w:r>
        <w:rPr>
          <w:rFonts w:hint="eastAsia"/>
          <w:color w:val="auto"/>
          <w:highlight w:val="none"/>
        </w:rPr>
        <w:t>分包</w:t>
      </w:r>
      <w:bookmarkEnd w:id="88"/>
      <w:bookmarkEnd w:id="89"/>
      <w:bookmarkEnd w:id="90"/>
    </w:p>
    <w:p w14:paraId="4DC4DFA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1.11.1投标人拟在中标后将中标项目的部分非主体、非关键性工作进行分包的， 应符合以下规定：</w:t>
      </w:r>
    </w:p>
    <w:p w14:paraId="7C7BE10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（1）分包内容要求：允许分包的工程范围仅限于非关键性工程或适合专业化队伍施工的专项工程。招标人允许分包或不允许分包的专项工程（如有）应在投标人须知前附表中载明。</w:t>
      </w:r>
    </w:p>
    <w:p w14:paraId="44D2BF9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（2）接受分包的第三人资格要求：分包人的资格能力应与其分包工程的标准和规模相适应，且具备投标人须知前附表中规定的资格条件。</w:t>
      </w:r>
    </w:p>
    <w:p w14:paraId="3CB07EB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（3）其他要求：投标人如有分包计划，应按第九章“投标文件格式”的要求填写</w:t>
      </w:r>
    </w:p>
    <w:p w14:paraId="49D8129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“拟分包项目情况表”，明确拟分包的工程及规模，且投标人中标后的分包应满足合同条款第 4.3 款的相关要求。</w:t>
      </w:r>
    </w:p>
    <w:p w14:paraId="27278D2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1.11.2中标人不得向他人转让中标项目，接受分包的人不得再次分包。中标人应就分包项目向招标人负责，接受分包的人就分包项目承担连带责任。</w:t>
      </w:r>
    </w:p>
    <w:p w14:paraId="4EB57598">
      <w:pPr>
        <w:pStyle w:val="71"/>
        <w:rPr>
          <w:color w:val="auto"/>
          <w:highlight w:val="none"/>
        </w:rPr>
      </w:pPr>
      <w:bookmarkStart w:id="91" w:name="_Toc27550"/>
      <w:bookmarkStart w:id="92" w:name="_Toc29923"/>
      <w:bookmarkStart w:id="93" w:name="_Toc43475682"/>
      <w:r>
        <w:rPr>
          <w:rFonts w:hint="eastAsia"/>
          <w:color w:val="auto"/>
          <w:highlight w:val="none"/>
        </w:rPr>
        <w:t>响应和偏差</w:t>
      </w:r>
      <w:bookmarkEnd w:id="91"/>
      <w:bookmarkEnd w:id="92"/>
      <w:bookmarkEnd w:id="93"/>
    </w:p>
    <w:p w14:paraId="7E9F795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1.12.1投标文件偏离招标文件某些要求，视为投标文件存在偏差。偏差包括重大偏差和细微偏差。</w:t>
      </w:r>
    </w:p>
    <w:p w14:paraId="0A384BA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1.12.2投标文件应对招标文件的实质性要求和条件作出满足性或更有利于招标人的响应，否则，视为投标文件存在重大偏差，投标人的投标将被否决。</w:t>
      </w:r>
    </w:p>
    <w:p w14:paraId="535C676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投标文件存在第三章“评标办法”中所列任一否决投标情形的，均属于存在重大偏差。</w:t>
      </w:r>
    </w:p>
    <w:p w14:paraId="68B8A0D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1.12.3投标文件中的下列偏差为细微偏差：</w:t>
      </w:r>
    </w:p>
    <w:p w14:paraId="7BDA9F1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按照第三章“评标办法”的规定对投标价进行算术性错误修正及其他错误修正后，最终投标报价未超过最高投标限价（如有）的情况下，出现第三章“评标办法”规定的算术性错误和投标报价的其他错误；</w:t>
      </w:r>
    </w:p>
    <w:p w14:paraId="0265B59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（2）施工组织设计（含关键工程技术方案）和项目管理机构不够完善；</w:t>
      </w:r>
    </w:p>
    <w:p w14:paraId="70731BF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（3）投标文件页码不连续、采用活页夹装订、个别文字有遗漏错误等不影响投标文件实质性内容的偏差。</w:t>
      </w:r>
    </w:p>
    <w:p w14:paraId="13CF67D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1.12.4评标委员会对投标文件中的细微偏差按如下规定处理：</w:t>
      </w:r>
    </w:p>
    <w:p w14:paraId="01CBB7C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（1）对于本章第 1.12.3 项（1）目所述的细微偏差，按照第三章“评标办法”的规定予以修正并要求投标人进行澄清；</w:t>
      </w:r>
    </w:p>
    <w:p w14:paraId="2312EA2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1FA4E8A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（3）对于本章第 1.12.3 项（3）目所述的细微偏差，可要求投标人对细微偏差进行澄清。</w:t>
      </w:r>
    </w:p>
    <w:p w14:paraId="79E8E77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1.12.5投标人应根据招标文件的要求提供施工组织设计等内容以对招标文件作出响应。</w:t>
      </w:r>
    </w:p>
    <w:p w14:paraId="1CEF58BE">
      <w:pPr>
        <w:pStyle w:val="69"/>
        <w:spacing w:before="156"/>
        <w:rPr>
          <w:color w:val="auto"/>
          <w:highlight w:val="none"/>
        </w:rPr>
      </w:pPr>
      <w:bookmarkStart w:id="94" w:name="_Toc18201"/>
      <w:bookmarkStart w:id="95" w:name="_Toc14851"/>
      <w:bookmarkStart w:id="96" w:name="_Toc43475683"/>
      <w:r>
        <w:rPr>
          <w:rFonts w:hint="eastAsia"/>
          <w:color w:val="auto"/>
          <w:highlight w:val="none"/>
        </w:rPr>
        <w:t>招标文件</w:t>
      </w:r>
      <w:bookmarkEnd w:id="94"/>
      <w:bookmarkEnd w:id="95"/>
      <w:bookmarkEnd w:id="96"/>
    </w:p>
    <w:p w14:paraId="15BDBC1A">
      <w:pPr>
        <w:pStyle w:val="71"/>
        <w:rPr>
          <w:color w:val="auto"/>
          <w:highlight w:val="none"/>
        </w:rPr>
      </w:pPr>
      <w:bookmarkStart w:id="97" w:name="_Toc22888"/>
      <w:bookmarkStart w:id="98" w:name="_Toc43475684"/>
      <w:bookmarkStart w:id="99" w:name="_Toc21484"/>
      <w:r>
        <w:rPr>
          <w:rFonts w:hint="eastAsia"/>
          <w:color w:val="auto"/>
          <w:highlight w:val="none"/>
        </w:rPr>
        <w:t>招标文件的组成</w:t>
      </w:r>
      <w:bookmarkEnd w:id="97"/>
      <w:bookmarkEnd w:id="98"/>
      <w:bookmarkEnd w:id="99"/>
    </w:p>
    <w:p w14:paraId="206FFA9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本招标文件包括：</w:t>
      </w:r>
    </w:p>
    <w:p w14:paraId="0D8F6FB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（1）招标公告（或投标邀请书）；</w:t>
      </w:r>
    </w:p>
    <w:p w14:paraId="06B68CF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（2）投标人须知；</w:t>
      </w:r>
    </w:p>
    <w:p w14:paraId="3B0B912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（3）评标办法；</w:t>
      </w:r>
    </w:p>
    <w:p w14:paraId="4562DF4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（4）合同条款及格式；</w:t>
      </w:r>
    </w:p>
    <w:p w14:paraId="2298867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（5）工程量清单；</w:t>
      </w:r>
    </w:p>
    <w:p w14:paraId="45E6FF5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（6）图纸；</w:t>
      </w:r>
    </w:p>
    <w:p w14:paraId="782C623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（7）技术规范；</w:t>
      </w:r>
    </w:p>
    <w:p w14:paraId="2185508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（8）工程量清单计量规则；</w:t>
      </w:r>
    </w:p>
    <w:p w14:paraId="1DEEA3E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（9）投标文件格式；</w:t>
      </w:r>
    </w:p>
    <w:p w14:paraId="43A1905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（10）投标人须知前附表规定的其他资料。</w:t>
      </w:r>
    </w:p>
    <w:p w14:paraId="5D1C05E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根据本章第 1.10 款、第 2.2 款和第 2.3 款对招标文件所作的澄清、修改，构成招标文件的组成部分。</w:t>
      </w:r>
    </w:p>
    <w:p w14:paraId="366FB45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当招标文件、招标文件的澄清或修改等在同一内容的表述上不一致时，以最后发出的书面文件为准。</w:t>
      </w:r>
    </w:p>
    <w:p w14:paraId="28B230F7">
      <w:pPr>
        <w:pStyle w:val="71"/>
        <w:rPr>
          <w:color w:val="auto"/>
          <w:highlight w:val="none"/>
        </w:rPr>
      </w:pPr>
      <w:bookmarkStart w:id="100" w:name="_Toc26732"/>
      <w:bookmarkStart w:id="101" w:name="_Toc43475685"/>
      <w:bookmarkStart w:id="102" w:name="_Toc16577"/>
      <w:r>
        <w:rPr>
          <w:rFonts w:hint="eastAsia"/>
          <w:color w:val="auto"/>
          <w:highlight w:val="none"/>
        </w:rPr>
        <w:t>招标文件的澄清</w:t>
      </w:r>
      <w:bookmarkEnd w:id="100"/>
      <w:bookmarkEnd w:id="101"/>
      <w:bookmarkEnd w:id="102"/>
    </w:p>
    <w:p w14:paraId="5338611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14:paraId="5FAF1F8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14:paraId="314E006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2.2.3投标人在收到澄清后，应按投标人须知前附表规定的时间和形式通知招标人，确认已收到该澄清。</w:t>
      </w:r>
    </w:p>
    <w:p w14:paraId="7B01FD5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2.2.4除非招标人认为确有必要答复，否则，招标人有权拒绝回复投标人在本章第 2.2.1 项规定的时间后提出的任何澄清要求。</w:t>
      </w:r>
    </w:p>
    <w:p w14:paraId="318CF57F">
      <w:pPr>
        <w:pStyle w:val="71"/>
        <w:rPr>
          <w:color w:val="auto"/>
          <w:highlight w:val="none"/>
        </w:rPr>
      </w:pPr>
      <w:bookmarkStart w:id="103" w:name="_Toc3321"/>
      <w:bookmarkStart w:id="104" w:name="_Toc10051"/>
      <w:bookmarkStart w:id="105" w:name="_Toc43475686"/>
      <w:r>
        <w:rPr>
          <w:rFonts w:hint="eastAsia"/>
          <w:color w:val="auto"/>
          <w:highlight w:val="none"/>
        </w:rPr>
        <w:t>招标文件的修改</w:t>
      </w:r>
      <w:bookmarkEnd w:id="103"/>
      <w:bookmarkEnd w:id="104"/>
      <w:bookmarkEnd w:id="105"/>
    </w:p>
    <w:p w14:paraId="03179F0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14:paraId="4AA421F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2.3.2投标人收到修改内容后，应按投标人须知前附表规定的时间和形式通知招标人，确认已收到该修改。</w:t>
      </w:r>
    </w:p>
    <w:p w14:paraId="00563B3F">
      <w:pPr>
        <w:pStyle w:val="71"/>
        <w:rPr>
          <w:color w:val="auto"/>
          <w:highlight w:val="none"/>
        </w:rPr>
      </w:pPr>
      <w:bookmarkStart w:id="106" w:name="_Toc43475687"/>
      <w:bookmarkStart w:id="107" w:name="_Toc54"/>
      <w:bookmarkStart w:id="108" w:name="_Toc5802"/>
      <w:r>
        <w:rPr>
          <w:rFonts w:hint="eastAsia"/>
          <w:color w:val="auto"/>
          <w:highlight w:val="none"/>
        </w:rPr>
        <w:t>招标文件的异议</w:t>
      </w:r>
      <w:bookmarkEnd w:id="106"/>
      <w:bookmarkEnd w:id="107"/>
      <w:bookmarkEnd w:id="108"/>
    </w:p>
    <w:p w14:paraId="3424977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投标人或其他利害关系人对招标文件有异议的，应在投标截止时间 10 日前以书面形式提出。招标人将在收到异议之日起 3 日内作出答复；作出答复前，将暂停招标投标活动。</w:t>
      </w:r>
    </w:p>
    <w:p w14:paraId="3E63F30B">
      <w:pPr>
        <w:pStyle w:val="69"/>
        <w:spacing w:before="156"/>
        <w:rPr>
          <w:color w:val="auto"/>
          <w:highlight w:val="none"/>
        </w:rPr>
      </w:pPr>
      <w:bookmarkStart w:id="109" w:name="_Toc17093"/>
      <w:bookmarkStart w:id="110" w:name="_Toc43475688"/>
      <w:bookmarkStart w:id="111" w:name="_Toc8676"/>
      <w:r>
        <w:rPr>
          <w:rFonts w:hint="eastAsia"/>
          <w:color w:val="auto"/>
          <w:highlight w:val="none"/>
        </w:rPr>
        <w:t>投标文件</w:t>
      </w:r>
      <w:bookmarkEnd w:id="109"/>
      <w:bookmarkEnd w:id="110"/>
      <w:bookmarkEnd w:id="111"/>
    </w:p>
    <w:p w14:paraId="41DFA01F">
      <w:pPr>
        <w:pStyle w:val="71"/>
        <w:rPr>
          <w:color w:val="auto"/>
          <w:highlight w:val="none"/>
        </w:rPr>
      </w:pPr>
      <w:bookmarkStart w:id="112" w:name="_Toc10611"/>
      <w:bookmarkStart w:id="113" w:name="_Toc27990"/>
      <w:bookmarkStart w:id="114" w:name="_Toc43475689"/>
      <w:r>
        <w:rPr>
          <w:rFonts w:hint="eastAsia"/>
          <w:color w:val="auto"/>
          <w:highlight w:val="none"/>
        </w:rPr>
        <w:t>投标文件的组成</w:t>
      </w:r>
      <w:bookmarkEnd w:id="112"/>
      <w:bookmarkEnd w:id="113"/>
      <w:bookmarkEnd w:id="114"/>
    </w:p>
    <w:p w14:paraId="4D490DD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根据投标人须知前附表规定的不同形式，投标文件的组成应满足相应条款要求。</w:t>
      </w:r>
    </w:p>
    <w:p w14:paraId="1CBADD26">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若采用双信封形式，第 3.1.1 项采用以下条款：</w:t>
      </w:r>
    </w:p>
    <w:p w14:paraId="618DDE0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3.1.1投标文件应包括下列内容：</w:t>
      </w:r>
    </w:p>
    <w:p w14:paraId="34CF49C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第一个信封（商务及技术文件）：</w:t>
      </w:r>
    </w:p>
    <w:p w14:paraId="6DBBED0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（1）投标函及投标函附录；</w:t>
      </w:r>
    </w:p>
    <w:p w14:paraId="4F5A7B2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（2）授权委托书或法定代表人身份证明；</w:t>
      </w:r>
    </w:p>
    <w:p w14:paraId="25BD631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（3）联合体协议书；</w:t>
      </w:r>
    </w:p>
    <w:p w14:paraId="32E38BF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（4）投标保证金；</w:t>
      </w:r>
    </w:p>
    <w:p w14:paraId="27521DE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（5）施工组织设计；</w:t>
      </w:r>
    </w:p>
    <w:p w14:paraId="646AB29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（6）项目管理机构；</w:t>
      </w:r>
    </w:p>
    <w:p w14:paraId="292C3D0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（7）拟分包项目情况表；</w:t>
      </w:r>
    </w:p>
    <w:p w14:paraId="3CA5A4E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（8）资格审查资料；</w:t>
      </w:r>
    </w:p>
    <w:p w14:paraId="27D6B79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（9）投标人须知前附表规定的其他资料。</w:t>
      </w:r>
    </w:p>
    <w:p w14:paraId="457B496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第二个信封（报价文件）：</w:t>
      </w:r>
    </w:p>
    <w:p w14:paraId="07B0E3F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（1）调价函及调价后的工程量清单；</w:t>
      </w:r>
    </w:p>
    <w:p w14:paraId="429A5B4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（2）投标函；</w:t>
      </w:r>
    </w:p>
    <w:p w14:paraId="21D4031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（3）已标价工程量清单；</w:t>
      </w:r>
    </w:p>
    <w:p w14:paraId="2EEA1AF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（4）合同用款估算表。</w:t>
      </w:r>
    </w:p>
    <w:p w14:paraId="136D921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投标人在评标过程中作出的符合法律法规和招标文件规定的澄清确认，构成投标文件的组成部分。</w:t>
      </w:r>
    </w:p>
    <w:p w14:paraId="2056D625">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若采用单信封形式，第 3.1.1 项采用以下条款：</w:t>
      </w:r>
    </w:p>
    <w:p w14:paraId="2D6ED40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  投标文件应包括下列内容：</w:t>
      </w:r>
    </w:p>
    <w:p w14:paraId="441194D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（1）投标函及投标函附录；</w:t>
      </w:r>
    </w:p>
    <w:p w14:paraId="754A696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（2）授权委托书或法定代表人身份证明；</w:t>
      </w:r>
    </w:p>
    <w:p w14:paraId="00DF65C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（3）联合体协议书；</w:t>
      </w:r>
    </w:p>
    <w:p w14:paraId="1697997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（4）投标保证金；</w:t>
      </w:r>
    </w:p>
    <w:p w14:paraId="1E76123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（5）已标价工程量清单；</w:t>
      </w:r>
    </w:p>
    <w:p w14:paraId="5F30C6B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（6）施工组织设计；</w:t>
      </w:r>
    </w:p>
    <w:p w14:paraId="2631000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（7）项目管理机构；</w:t>
      </w:r>
    </w:p>
    <w:p w14:paraId="7E07134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（8）拟分包项目情况表；</w:t>
      </w:r>
    </w:p>
    <w:p w14:paraId="65CC864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（9）资格审查资料；</w:t>
      </w:r>
    </w:p>
    <w:p w14:paraId="1938275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（10）调价函及调价后的工程量清单（如有）；</w:t>
      </w:r>
    </w:p>
    <w:p w14:paraId="3D58726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（11）投标人须知前附表规定的其他资料。</w:t>
      </w:r>
    </w:p>
    <w:p w14:paraId="776D597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投标人在评标过程中作出的符合法律法规和招标文件规定的澄清确认，构成投标文件的组成部分。</w:t>
      </w:r>
    </w:p>
    <w:p w14:paraId="644E832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3.1.2投标人须知前附表规定不接受联合体投标的，或投标人没有组成联合体的，投标文件不包括本章第 3.1.1（3）目所指的联合体协议书。</w:t>
      </w:r>
    </w:p>
    <w:p w14:paraId="141B5FF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 投标人须知前附表未要求提交投标保证金的，投标文件不包括本章第 3.1.1（4）目所指的投标保证金。</w:t>
      </w:r>
    </w:p>
    <w:p w14:paraId="3F55BF19">
      <w:pPr>
        <w:pStyle w:val="71"/>
        <w:rPr>
          <w:color w:val="auto"/>
          <w:highlight w:val="none"/>
        </w:rPr>
      </w:pPr>
      <w:bookmarkStart w:id="115" w:name="_Toc8391"/>
      <w:bookmarkStart w:id="116" w:name="_Toc5966"/>
      <w:bookmarkStart w:id="117" w:name="_Toc43475690"/>
      <w:r>
        <w:rPr>
          <w:rFonts w:hint="eastAsia"/>
          <w:color w:val="auto"/>
          <w:highlight w:val="none"/>
        </w:rPr>
        <w:t>投标报价</w:t>
      </w:r>
      <w:bookmarkEnd w:id="115"/>
      <w:bookmarkEnd w:id="116"/>
      <w:bookmarkEnd w:id="117"/>
    </w:p>
    <w:p w14:paraId="56C3245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3.2.1投标报价应包括国家规定的增值税税金，除投标人须知前附表另有规定外， 增值税税金按一般计税方法计算。投标人应按第九章“投标文件格式”的要求在投标函中进行报价并填写工程量清单相应表格。</w:t>
      </w:r>
    </w:p>
    <w:p w14:paraId="1FFA2F7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工程量清单的填写分下列两种方式。投标人应按投标人须知前附表规定的方式填写工程量清单。</w:t>
      </w:r>
    </w:p>
    <w:p w14:paraId="0738416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7FC3FB7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14:paraId="6EDECB1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投标人根据招标人提供的工程量固化清单电子文件填报完成并打印的投标工程量清单中的投标报价和投标函大写金额报价应一致，如果报价金额出现差异，其投标将被否决。</w:t>
      </w:r>
    </w:p>
    <w:p w14:paraId="5F0795E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14:paraId="42EB010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3.2.2投标人应充分了解本项目的总体情况以及影响投标报价的其他要素。</w:t>
      </w:r>
    </w:p>
    <w:p w14:paraId="254C1DF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3.2.3本项目的报价方式见投标人须知前附表。投标人在投标截止时间前修改投标函中的投标总报价，应同时修改投标文件“已标价工程量清单”中的相应报价。此修改须符合本章第 4.3 款的有关要求。</w:t>
      </w:r>
    </w:p>
    <w:p w14:paraId="158A3F6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3.2.4投标人如果发现工程量清单中的数量与图纸中数量不一致时，应立即通知招标人核查，除非招标人以书面方式予以更正，否则，应以工程量清单中列出的数量为准。</w:t>
      </w:r>
    </w:p>
    <w:p w14:paraId="7CCACEE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14:paraId="39A104C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3.2.6除投标人须知前附表另有规定外，招标人不接受调价函。若招标人接受调价函，则应在招标文件中给出调价函的格式。投标人若有调价函则应遵循如下规定：</w:t>
      </w:r>
    </w:p>
    <w:p w14:paraId="7ECA1C1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（1）调价函必须采用招标文件规定的格式；调价函应说明调价后的最终报价，并以最终报价为准，而且投标人只能有一次调价的机会；</w:t>
      </w:r>
    </w:p>
    <w:p w14:paraId="6A4202D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（2）工程量清单中招标人指定的报价不允许调价；</w:t>
      </w:r>
    </w:p>
    <w:p w14:paraId="72EB414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（3）调价函必须附有调价后的工程量清单；调价函必须粘贴或机械装订在投标文件正本首页，与投标文件一起密封提交。</w:t>
      </w:r>
    </w:p>
    <w:p w14:paraId="63672D0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14:paraId="4613DE3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（4）若招标人接受调价函，投标人调价后的工程量清单和有效调价函的大写金额报价应保持一致，如果报价金额出现差异，则以有效调价函的大写金额报价为准。</w:t>
      </w:r>
    </w:p>
    <w:p w14:paraId="08DDB36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646DED0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3.2.8招标人设有最高投标限价的，投标人的投标报价不得超过最高投标限价， 最高投标限价在投标人须知前附表中载明。</w:t>
      </w:r>
    </w:p>
    <w:p w14:paraId="37F7AC6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3.2.9投标报价的其他要求见投标人须知前附表。</w:t>
      </w:r>
    </w:p>
    <w:p w14:paraId="004FF476">
      <w:pPr>
        <w:pStyle w:val="71"/>
        <w:rPr>
          <w:color w:val="auto"/>
          <w:highlight w:val="none"/>
        </w:rPr>
      </w:pPr>
      <w:bookmarkStart w:id="118" w:name="_Toc14703"/>
      <w:bookmarkStart w:id="119" w:name="_Toc21854"/>
      <w:bookmarkStart w:id="120" w:name="_Toc43475691"/>
      <w:r>
        <w:rPr>
          <w:rFonts w:hint="eastAsia"/>
          <w:color w:val="auto"/>
          <w:highlight w:val="none"/>
        </w:rPr>
        <w:t>投标有效期</w:t>
      </w:r>
      <w:bookmarkEnd w:id="118"/>
      <w:bookmarkEnd w:id="119"/>
      <w:bookmarkEnd w:id="120"/>
    </w:p>
    <w:p w14:paraId="0D3E7F4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3.3.1除投标人须知前附表另有规定外，投标有效期为 90 日。</w:t>
      </w:r>
    </w:p>
    <w:p w14:paraId="32F1035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3.3.2在投标有效期内，投标人撤销投标文件的，应承担招标文件和法律规定的责任。</w:t>
      </w:r>
    </w:p>
    <w:p w14:paraId="70FB09E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30446B7D">
      <w:pPr>
        <w:pStyle w:val="71"/>
        <w:rPr>
          <w:color w:val="auto"/>
          <w:highlight w:val="none"/>
        </w:rPr>
      </w:pPr>
      <w:bookmarkStart w:id="121" w:name="_Toc43475692"/>
      <w:bookmarkStart w:id="122" w:name="_Toc25629"/>
      <w:bookmarkStart w:id="123" w:name="_Toc20948"/>
      <w:r>
        <w:rPr>
          <w:rFonts w:hint="eastAsia"/>
          <w:color w:val="auto"/>
          <w:highlight w:val="none"/>
        </w:rPr>
        <w:t>投标保证金</w:t>
      </w:r>
      <w:bookmarkEnd w:id="121"/>
      <w:bookmarkEnd w:id="122"/>
      <w:bookmarkEnd w:id="123"/>
    </w:p>
    <w:p w14:paraId="3F36D20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14:paraId="5C9FC87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投标保证金应采用现金、支票、银行保函或招标人在投标人须知前附表规定的其他形式。</w:t>
      </w:r>
    </w:p>
    <w:p w14:paraId="018F844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14:paraId="7782534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（2）若采用银行保函，则应由符合投标人须知前附表规定级别的银行开具，并采用招标文件提供的格式。银行保函复印件装订在投标文件内，原件应在递交投标文件截止时间之前单独密封递交给招标人。</w:t>
      </w:r>
    </w:p>
    <w:p w14:paraId="4F5A36C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无论采取何种形式的投标保证金，投标保证金有效期均应与投标有效期一致。招标人如果按本章第 3.3.3 项的规定延长了投标有效期，则投标保证金的有效期也相应延长。</w:t>
      </w:r>
    </w:p>
    <w:p w14:paraId="7E903E7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3.4.2投标人不按本章第 3.4.1 项要求提交投标保证金的，评标委员会将否决其投标。</w:t>
      </w:r>
    </w:p>
    <w:p w14:paraId="79BF002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14:paraId="5BD674A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利息计算原则见投标人须知前附表。</w:t>
      </w:r>
    </w:p>
    <w:p w14:paraId="6F6EBF3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3.4.4有下列情形之一的，投标保证金将不予退还：</w:t>
      </w:r>
    </w:p>
    <w:p w14:paraId="1A41529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（1）投标人在投标有效期内撤销投标文件；</w:t>
      </w:r>
    </w:p>
    <w:p w14:paraId="2B0D9DF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（2）中标人在收到中标通知书后，无正当理由不与招标人订立合同，在签订合同时向招标人提出附加条件，或不按照招标文件要求提交履约保证金；</w:t>
      </w:r>
    </w:p>
    <w:p w14:paraId="7CEC4665">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（3）发生投标人须知前附表规定的其他可以不予退还投标保证金的情形。</w:t>
      </w:r>
    </w:p>
    <w:p w14:paraId="099FC46B">
      <w:pPr>
        <w:pStyle w:val="71"/>
        <w:spacing w:line="480" w:lineRule="exact"/>
        <w:rPr>
          <w:color w:val="auto"/>
          <w:highlight w:val="none"/>
        </w:rPr>
      </w:pPr>
      <w:bookmarkStart w:id="124" w:name="_Toc7507"/>
      <w:bookmarkStart w:id="125" w:name="_Toc4081"/>
      <w:bookmarkStart w:id="126" w:name="_Toc43475693"/>
      <w:r>
        <w:rPr>
          <w:rFonts w:hint="eastAsia"/>
          <w:color w:val="auto"/>
          <w:highlight w:val="none"/>
        </w:rPr>
        <w:t>资格审查资料（适用于未进行资格预审的）</w:t>
      </w:r>
      <w:bookmarkEnd w:id="124"/>
      <w:bookmarkEnd w:id="125"/>
      <w:bookmarkEnd w:id="126"/>
    </w:p>
    <w:p w14:paraId="6F251E76">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除投标人须知前附表另有规定外，投标人应按下列规定提供资格审查资料，以证明其满足本章第 1.4 款规定的资质、财务、业绩、信誉等要求。</w:t>
      </w:r>
    </w:p>
    <w:p w14:paraId="3CD96B62">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14:paraId="1FCF7244">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14:paraId="7DF9B23D">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0AD19009">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3.5.3“近年完成的类似项目”应是已列入交通运输主管部门“公路建设市场信用信息管理系统”并公开的主包已建业绩或分包已建业绩，具体时间要求见投标人须知前附表。</w:t>
      </w:r>
    </w:p>
    <w:p w14:paraId="583018AD">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“近年完成的类似项目情况表”应附在交通运输部“全国公路建设市场信用信息管理系统”（网址：</w:t>
      </w:r>
      <w:r>
        <w:rPr>
          <w:color w:val="auto"/>
          <w:highlight w:val="none"/>
        </w:rPr>
        <w:fldChar w:fldCharType="begin"/>
      </w:r>
      <w:r>
        <w:rPr>
          <w:color w:val="auto"/>
          <w:highlight w:val="none"/>
        </w:rPr>
        <w:instrText xml:space="preserve"> HYPERLINK "http://glxy.mot.gov.cn/BM/）中查询到的企业" </w:instrText>
      </w:r>
      <w:r>
        <w:rPr>
          <w:color w:val="auto"/>
          <w:highlight w:val="none"/>
        </w:rPr>
        <w:fldChar w:fldCharType="separate"/>
      </w:r>
      <w:r>
        <w:rPr>
          <w:rStyle w:val="49"/>
          <w:rFonts w:hint="eastAsia" w:ascii="宋体" w:hAnsi="宋体" w:cs="宋体"/>
          <w:color w:val="auto"/>
          <w:sz w:val="24"/>
          <w:szCs w:val="24"/>
          <w:highlight w:val="none"/>
        </w:rPr>
        <w:t>http://glxy.mot.gov.cn/BM/）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49"/>
          <w:rFonts w:hint="eastAsia" w:ascii="宋体" w:hAnsi="宋体" w:cs="宋体"/>
          <w:color w:val="auto"/>
          <w:sz w:val="24"/>
          <w:szCs w:val="24"/>
          <w:highlight w:val="none"/>
        </w:rPr>
        <w:fldChar w:fldCharType="end"/>
      </w:r>
    </w:p>
    <w:p w14:paraId="65BF6074">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如投标人未提供相关项目网页截图复印件或相关项目网页截图的信息无法证实投标人满足招标文件规定的资格审查条件（业绩最低要求），则该项目业绩不予认定。</w:t>
      </w:r>
    </w:p>
    <w:p w14:paraId="5836AF0F">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3.5.4“投标人的信誉情况表”应附投标人在国家企业信用信息公示系统中未被列入严重违法失信企业名单、在“信用中国”网站中未被列入失信被执行人名单的网页截图复印件。</w:t>
      </w:r>
    </w:p>
    <w:p w14:paraId="2E066953">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14:paraId="7DC8924C">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14:paraId="193B0A0B">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3.5.6“拟委任的其他管理和技术人员汇总表”（如有）应填报满足投标人须知前附表附录 6 规定的其他人员的相关信息。                                           </w:t>
      </w:r>
    </w:p>
    <w:p w14:paraId="10649DF0">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3.5.7“拟投入本标段的主要施工机械表”“拟配备本标段的主要材料试验、测量、质检仪器设备表”（如有）应填报满足投标人须知前附表附录 7 规定的机械设备和试验检测设备。</w:t>
      </w:r>
    </w:p>
    <w:p w14:paraId="0FA48C3A">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3.5.8投标人须知前附表规定接受联合体投标的，本章第 3.5.1 项至第 3.5.7 项规定的表格和资料应包括联合体各方相关情况。</w:t>
      </w:r>
    </w:p>
    <w:p w14:paraId="42E07338">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3.5.9除合同条款约定的特殊情形外，投标人在投标文件中填报的项目经理和项目总工不允许更换。</w:t>
      </w:r>
    </w:p>
    <w:p w14:paraId="61F7BB20">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14:paraId="0FC782E4">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1B0C1351">
      <w:pPr>
        <w:pStyle w:val="71"/>
        <w:spacing w:line="499" w:lineRule="exact"/>
        <w:rPr>
          <w:color w:val="auto"/>
          <w:highlight w:val="none"/>
        </w:rPr>
      </w:pPr>
      <w:bookmarkStart w:id="127" w:name="_Toc16547"/>
      <w:bookmarkStart w:id="128" w:name="_Toc43475694"/>
      <w:bookmarkStart w:id="129" w:name="_Toc29836"/>
      <w:r>
        <w:rPr>
          <w:rFonts w:hint="eastAsia"/>
          <w:color w:val="auto"/>
          <w:highlight w:val="none"/>
        </w:rPr>
        <w:t>备选投标方案</w:t>
      </w:r>
      <w:bookmarkEnd w:id="127"/>
      <w:bookmarkEnd w:id="128"/>
      <w:bookmarkEnd w:id="129"/>
    </w:p>
    <w:p w14:paraId="4A568086">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3.6.1除投标人须知前附表规定允许外，投标人不得递交备选投标方案，否则其投标将被否决。</w:t>
      </w:r>
    </w:p>
    <w:p w14:paraId="648EE8D9">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25DF2C74">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3.6.3投标人提供两个或两个以上投标报价，或在投标文件中提供一个报价，但同时提供两个或两个以上施工组织设计的，视为提供备选方案。</w:t>
      </w:r>
    </w:p>
    <w:p w14:paraId="69619B21">
      <w:pPr>
        <w:pStyle w:val="71"/>
        <w:spacing w:line="499" w:lineRule="exact"/>
        <w:rPr>
          <w:color w:val="auto"/>
          <w:highlight w:val="none"/>
        </w:rPr>
      </w:pPr>
      <w:bookmarkStart w:id="130" w:name="_Toc43475695"/>
      <w:bookmarkStart w:id="131" w:name="_Toc14793"/>
      <w:bookmarkStart w:id="132" w:name="_Toc32152"/>
      <w:r>
        <w:rPr>
          <w:rFonts w:hint="eastAsia"/>
          <w:color w:val="auto"/>
          <w:highlight w:val="none"/>
        </w:rPr>
        <w:t>投标文件的编制</w:t>
      </w:r>
      <w:bookmarkEnd w:id="130"/>
      <w:bookmarkEnd w:id="131"/>
      <w:bookmarkEnd w:id="132"/>
    </w:p>
    <w:p w14:paraId="2D2CA10F">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3.7.1投标文件应按第九章“投标文件格式”进行编写，如有必要，可以增加附页， 作为投标文件的组成部分。其中，投标函附录在满足招标文件实质性要求的基础上， 可以提出比招标文件要求更有利于招标人的承诺。</w:t>
      </w:r>
    </w:p>
    <w:p w14:paraId="2A9BDFFC">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3.7.2投标文件应对招标文件有关工期、投标有效期、质量要求、安全目标、技术标准和要求、招标范围等实质性内容作出响应。</w:t>
      </w:r>
    </w:p>
    <w:p w14:paraId="05DDF712">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14:paraId="24A25640">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如果投标文件由委托代理人签署，则投标人须提交授权委托书，授权委托书应按第九章“投标文件格式”的要求出具，并由法定代表人和委托代理人亲笔签名，不得使用印章、签名章或其他电子制版签名代替。</w:t>
      </w:r>
    </w:p>
    <w:p w14:paraId="293831F9">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如果由投标人的法定代表人亲自签署投标文件，则投标人须提交法定代表人身份证明，身份证明应符合第九章“投标文件格式”的要求。</w:t>
      </w:r>
    </w:p>
    <w:p w14:paraId="7C3C32C7">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以联合体形式参与投标的，投标文件由联合体牵头人的法定代表人或其委托代理人按上述规定签署并加盖联合体牵头人单位章。法定代表人授权委托书或法定代表人身份证明须由</w:t>
      </w:r>
    </w:p>
    <w:p w14:paraId="12D583DB">
      <w:pPr>
        <w:adjustRightInd w:val="0"/>
        <w:snapToGrid w:val="0"/>
        <w:spacing w:line="499" w:lineRule="exact"/>
        <w:rPr>
          <w:rFonts w:ascii="宋体" w:hAnsi="宋体" w:cs="宋体"/>
          <w:color w:val="auto"/>
          <w:sz w:val="24"/>
          <w:highlight w:val="none"/>
        </w:rPr>
      </w:pPr>
      <w:r>
        <w:rPr>
          <w:rFonts w:hint="eastAsia" w:ascii="宋体" w:hAnsi="宋体" w:cs="宋体"/>
          <w:color w:val="auto"/>
          <w:sz w:val="24"/>
          <w:highlight w:val="none"/>
        </w:rPr>
        <w:t>联合体牵头人按上述规定出具。</w:t>
      </w:r>
    </w:p>
    <w:p w14:paraId="005212A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投标文件应尽量避免涂改、行间插字或删除。如果出现上述情况，改动之处应由投标人的法定代表人或其授权的代理人签字或盖单位章。</w:t>
      </w:r>
    </w:p>
    <w:p w14:paraId="6E2AF19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14:paraId="4936D18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14:paraId="38F8EE0B">
      <w:pPr>
        <w:pStyle w:val="69"/>
        <w:spacing w:before="156"/>
        <w:rPr>
          <w:color w:val="auto"/>
          <w:highlight w:val="none"/>
        </w:rPr>
      </w:pPr>
      <w:bookmarkStart w:id="133" w:name="_Toc43475696"/>
      <w:bookmarkStart w:id="134" w:name="_Toc17102"/>
      <w:bookmarkStart w:id="135" w:name="_Toc30022"/>
      <w:r>
        <w:rPr>
          <w:rFonts w:hint="eastAsia"/>
          <w:color w:val="auto"/>
          <w:highlight w:val="none"/>
        </w:rPr>
        <w:t>投标</w:t>
      </w:r>
      <w:bookmarkEnd w:id="133"/>
      <w:bookmarkEnd w:id="134"/>
      <w:bookmarkEnd w:id="135"/>
    </w:p>
    <w:p w14:paraId="70CCD96C">
      <w:pPr>
        <w:pStyle w:val="71"/>
        <w:rPr>
          <w:color w:val="auto"/>
          <w:highlight w:val="none"/>
        </w:rPr>
      </w:pPr>
      <w:bookmarkStart w:id="136" w:name="_Toc846"/>
      <w:bookmarkStart w:id="137" w:name="_Toc43475697"/>
      <w:bookmarkStart w:id="138" w:name="_Toc7543"/>
      <w:r>
        <w:rPr>
          <w:rFonts w:hint="eastAsia"/>
          <w:color w:val="auto"/>
          <w:highlight w:val="none"/>
        </w:rPr>
        <w:t>投标文件的密封和标识</w:t>
      </w:r>
      <w:bookmarkEnd w:id="136"/>
      <w:bookmarkEnd w:id="137"/>
      <w:bookmarkEnd w:id="138"/>
    </w:p>
    <w:p w14:paraId="6A332874">
      <w:pPr>
        <w:pStyle w:val="59"/>
        <w:spacing w:line="360" w:lineRule="auto"/>
        <w:rPr>
          <w:rFonts w:ascii="宋体" w:hAnsi="宋体" w:cs="宋体"/>
          <w:b/>
          <w:bCs/>
          <w:color w:val="auto"/>
          <w:highlight w:val="none"/>
        </w:rPr>
      </w:pPr>
      <w:r>
        <w:rPr>
          <w:rFonts w:hint="eastAsia" w:ascii="宋体" w:hAnsi="宋体" w:cs="宋体"/>
          <w:b/>
          <w:bCs/>
          <w:color w:val="auto"/>
          <w:highlight w:val="none"/>
        </w:rPr>
        <w:t>若采用双信封形式，第 4.1.1 项和第 4.1.2 项采用以下条款：</w:t>
      </w:r>
    </w:p>
    <w:p w14:paraId="0957723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14:paraId="11AFF0D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采用银行保函形式提交投标保证金的，银行保函原件应密封在单独的封套中。</w:t>
      </w:r>
    </w:p>
    <w:p w14:paraId="372B6E1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4.1.2投标文件第一个信封（商务及技术文件）、第二个信封（报价文件）以及银行保函封套上应写明的内容见投标人须知前附表。</w:t>
      </w:r>
    </w:p>
    <w:p w14:paraId="289BEA3A">
      <w:pPr>
        <w:pStyle w:val="59"/>
        <w:spacing w:line="360" w:lineRule="auto"/>
        <w:rPr>
          <w:rFonts w:ascii="宋体" w:hAnsi="宋体" w:cs="宋体"/>
          <w:b/>
          <w:bCs/>
          <w:color w:val="auto"/>
          <w:highlight w:val="none"/>
        </w:rPr>
      </w:pPr>
      <w:r>
        <w:rPr>
          <w:rFonts w:hint="eastAsia" w:ascii="宋体" w:hAnsi="宋体" w:cs="宋体"/>
          <w:b/>
          <w:bCs/>
          <w:color w:val="auto"/>
          <w:highlight w:val="none"/>
        </w:rPr>
        <w:t>若采用单信封形式，第 4.1.1 项和第 4.1.2 项采用以下条款：</w:t>
      </w:r>
    </w:p>
    <w:p w14:paraId="0970E57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14:paraId="0B43443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采用银行保函形式提交投标保证金的，银行保函原件应密封在单独的封套中。</w:t>
      </w:r>
    </w:p>
    <w:p w14:paraId="0ED730A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4.1.2投标文件以及银行保函封套上应写明的内容见投标人须知前附表。</w:t>
      </w:r>
    </w:p>
    <w:p w14:paraId="1F48C73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4.1.3未按本章第 4.1.1 项要求密封的投标文件，招标人将予以拒收。</w:t>
      </w:r>
    </w:p>
    <w:p w14:paraId="5F79D3FC">
      <w:pPr>
        <w:pStyle w:val="71"/>
        <w:rPr>
          <w:color w:val="auto"/>
          <w:highlight w:val="none"/>
        </w:rPr>
      </w:pPr>
      <w:bookmarkStart w:id="139" w:name="_Toc26267"/>
      <w:bookmarkStart w:id="140" w:name="_Toc15836"/>
      <w:bookmarkStart w:id="141" w:name="_Toc43475698"/>
      <w:r>
        <w:rPr>
          <w:rFonts w:hint="eastAsia"/>
          <w:color w:val="auto"/>
          <w:highlight w:val="none"/>
        </w:rPr>
        <w:t>投标文件的递交</w:t>
      </w:r>
      <w:bookmarkEnd w:id="139"/>
      <w:bookmarkEnd w:id="140"/>
      <w:bookmarkEnd w:id="141"/>
    </w:p>
    <w:p w14:paraId="1755744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4.2.1投标人应在第一章“招标公告”或“投标邀请书”规定的投标截止时间前递交投标文件。</w:t>
      </w:r>
    </w:p>
    <w:p w14:paraId="2BEB163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4.2.2投标人递交投标文件的地点：见第一章“招标公告”或“投标邀请书”。</w:t>
      </w:r>
    </w:p>
    <w:p w14:paraId="641A595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4.2.3除投标人须知前附表另有规定外，投标人所递交的投标文件不予退还。投标人少于 3 个的，投标文件当场退还给投标人。</w:t>
      </w:r>
    </w:p>
    <w:p w14:paraId="33F7E8F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4.2.4招标人收到投标文件后，向投标人出具签收凭证。</w:t>
      </w:r>
    </w:p>
    <w:p w14:paraId="248EF8F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4.2.5逾期送达的或未送达指定地点的投标文件，招标人将予以拒收。</w:t>
      </w:r>
    </w:p>
    <w:p w14:paraId="748EDF59">
      <w:pPr>
        <w:pStyle w:val="71"/>
        <w:rPr>
          <w:color w:val="auto"/>
          <w:highlight w:val="none"/>
        </w:rPr>
      </w:pPr>
      <w:bookmarkStart w:id="142" w:name="_Toc21683"/>
      <w:bookmarkStart w:id="143" w:name="_Toc43475699"/>
      <w:bookmarkStart w:id="144" w:name="_Toc4348"/>
      <w:r>
        <w:rPr>
          <w:rFonts w:hint="eastAsia"/>
          <w:color w:val="auto"/>
          <w:highlight w:val="none"/>
        </w:rPr>
        <w:t>投标文件的修改与撤回</w:t>
      </w:r>
      <w:bookmarkEnd w:id="142"/>
      <w:bookmarkEnd w:id="143"/>
      <w:bookmarkEnd w:id="144"/>
    </w:p>
    <w:p w14:paraId="67753A4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4.3.1在本章第 4.2.1 项规定的投标截止时间前，投标人可以修改或撤回已递交的投标文件，但应以书面形式通知招标人。</w:t>
      </w:r>
    </w:p>
    <w:p w14:paraId="3C1D3E7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4.3.2投标人修改或撤回已递交投标文件的书面通知应按照本章第3.7.3 项的要求签字或盖章。招标人收到书面通知后，向投标人出具签收凭证。</w:t>
      </w:r>
    </w:p>
    <w:p w14:paraId="3733C4F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4.3.3投标人撤回投标文件的，招标人自收到投标人书面撤回通知之日起 5 日内退还已收取的投标保证金。</w:t>
      </w:r>
    </w:p>
    <w:p w14:paraId="171B4DF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4.3.4修改的内容为投标文件的组成部分。修改的投标文件应按照本章第 3 条、第 4 条的规定进行编制、密封、标记和递交，并标明“修改”字样。</w:t>
      </w:r>
    </w:p>
    <w:p w14:paraId="6107E4A0">
      <w:pPr>
        <w:pStyle w:val="69"/>
        <w:spacing w:before="156"/>
        <w:rPr>
          <w:color w:val="auto"/>
          <w:highlight w:val="none"/>
        </w:rPr>
      </w:pPr>
      <w:bookmarkStart w:id="145" w:name="_Toc24477"/>
      <w:bookmarkStart w:id="146" w:name="_Toc43475700"/>
      <w:bookmarkStart w:id="147" w:name="_Toc19606"/>
      <w:r>
        <w:rPr>
          <w:rFonts w:hint="eastAsia"/>
          <w:color w:val="auto"/>
          <w:highlight w:val="none"/>
        </w:rPr>
        <w:t>开标</w:t>
      </w:r>
      <w:bookmarkEnd w:id="145"/>
      <w:bookmarkEnd w:id="146"/>
      <w:bookmarkEnd w:id="147"/>
    </w:p>
    <w:p w14:paraId="18F370EA">
      <w:pPr>
        <w:pStyle w:val="15"/>
        <w:spacing w:before="1"/>
        <w:rPr>
          <w:rFonts w:ascii="宋体" w:hAnsi="宋体" w:cs="宋体"/>
          <w:b/>
          <w:bCs/>
          <w:color w:val="auto"/>
          <w:sz w:val="24"/>
          <w:highlight w:val="none"/>
        </w:rPr>
      </w:pPr>
      <w:r>
        <w:rPr>
          <w:rFonts w:hint="eastAsia" w:ascii="宋体" w:hAnsi="宋体" w:cs="宋体"/>
          <w:b/>
          <w:bCs/>
          <w:color w:val="auto"/>
          <w:sz w:val="24"/>
          <w:highlight w:val="none"/>
        </w:rPr>
        <w:t>若采用双信封形式，第 5.1 款采用以下条款：</w:t>
      </w:r>
    </w:p>
    <w:p w14:paraId="1D174991">
      <w:pPr>
        <w:pStyle w:val="71"/>
        <w:numPr>
          <w:ilvl w:val="0"/>
          <w:numId w:val="0"/>
        </w:numPr>
        <w:spacing w:line="360" w:lineRule="auto"/>
        <w:rPr>
          <w:color w:val="auto"/>
          <w:highlight w:val="none"/>
        </w:rPr>
      </w:pPr>
      <w:bookmarkStart w:id="148" w:name="_bookmark61"/>
      <w:bookmarkEnd w:id="148"/>
      <w:bookmarkStart w:id="149" w:name="_Toc11481"/>
      <w:bookmarkStart w:id="150" w:name="_Toc43475701"/>
      <w:bookmarkStart w:id="151" w:name="_Toc16362"/>
      <w:r>
        <w:rPr>
          <w:rFonts w:hint="eastAsia"/>
          <w:color w:val="auto"/>
          <w:highlight w:val="none"/>
        </w:rPr>
        <w:t>5.1 开标时间和地点</w:t>
      </w:r>
      <w:bookmarkEnd w:id="149"/>
      <w:bookmarkEnd w:id="150"/>
      <w:bookmarkEnd w:id="151"/>
    </w:p>
    <w:p w14:paraId="7E56CD2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招标人在本章第 4.2.1 项规定的投标截止时间（开标时间）和投标人须知前附表</w:t>
      </w:r>
      <w:r>
        <w:rPr>
          <w:rFonts w:hint="eastAsia" w:ascii="宋体" w:hAnsi="宋体" w:cs="宋体"/>
          <w:color w:val="auto"/>
          <w:spacing w:val="-2"/>
          <w:highlight w:val="none"/>
        </w:rPr>
        <w:t>规定的地点对</w:t>
      </w:r>
      <w:r>
        <w:rPr>
          <w:rFonts w:hint="eastAsia" w:ascii="宋体" w:hAnsi="宋体" w:cs="宋体"/>
          <w:color w:val="auto"/>
          <w:highlight w:val="none"/>
        </w:rPr>
        <w:t>收到</w:t>
      </w:r>
      <w:r>
        <w:rPr>
          <w:rFonts w:hint="eastAsia" w:ascii="宋体" w:hAnsi="宋体" w:cs="宋体"/>
          <w:color w:val="auto"/>
          <w:spacing w:val="-2"/>
          <w:highlight w:val="none"/>
        </w:rPr>
        <w:t>的投标文件</w:t>
      </w:r>
      <w:r>
        <w:rPr>
          <w:rFonts w:hint="eastAsia" w:ascii="宋体" w:hAnsi="宋体" w:cs="宋体"/>
          <w:color w:val="auto"/>
          <w:highlight w:val="none"/>
        </w:rPr>
        <w:t>第一</w:t>
      </w:r>
      <w:r>
        <w:rPr>
          <w:rFonts w:hint="eastAsia" w:ascii="宋体" w:hAnsi="宋体" w:cs="宋体"/>
          <w:color w:val="auto"/>
          <w:spacing w:val="-2"/>
          <w:highlight w:val="none"/>
        </w:rPr>
        <w:t>个信封</w:t>
      </w:r>
      <w:r>
        <w:rPr>
          <w:rFonts w:hint="eastAsia" w:ascii="宋体" w:hAnsi="宋体" w:cs="宋体"/>
          <w:color w:val="auto"/>
          <w:highlight w:val="none"/>
        </w:rPr>
        <w:t>（商务及技术文件</w:t>
      </w:r>
      <w:r>
        <w:rPr>
          <w:rFonts w:hint="eastAsia" w:ascii="宋体" w:hAnsi="宋体" w:cs="宋体"/>
          <w:color w:val="auto"/>
          <w:spacing w:val="-32"/>
          <w:highlight w:val="none"/>
        </w:rPr>
        <w:t>）</w:t>
      </w:r>
      <w:r>
        <w:rPr>
          <w:rFonts w:hint="eastAsia" w:ascii="宋体" w:hAnsi="宋体" w:cs="宋体"/>
          <w:color w:val="auto"/>
          <w:spacing w:val="-6"/>
          <w:highlight w:val="none"/>
        </w:rPr>
        <w:t>公开开标，并邀请所有投标人的法定代表人或其委托代理人准时</w:t>
      </w:r>
      <w:r>
        <w:rPr>
          <w:rFonts w:hint="eastAsia" w:ascii="宋体" w:hAnsi="宋体" w:cs="宋体"/>
          <w:color w:val="auto"/>
          <w:highlight w:val="none"/>
        </w:rPr>
        <w:t>参加</w:t>
      </w:r>
      <w:r>
        <w:rPr>
          <w:rFonts w:hint="eastAsia" w:ascii="宋体" w:hAnsi="宋体" w:cs="宋体"/>
          <w:color w:val="auto"/>
          <w:spacing w:val="-6"/>
          <w:highlight w:val="none"/>
        </w:rPr>
        <w:t>。</w:t>
      </w:r>
    </w:p>
    <w:p w14:paraId="102CAC0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招标人在投标人须知前附表规定的时间和地点对投标文件第二个信封（报价文件）公开开标，并邀请所有投标人的法定代表人或其委托代理人准时参加。</w:t>
      </w:r>
    </w:p>
    <w:p w14:paraId="65407A58">
      <w:pPr>
        <w:pStyle w:val="59"/>
        <w:spacing w:line="360" w:lineRule="auto"/>
        <w:ind w:firstLine="464" w:firstLineChars="200"/>
        <w:rPr>
          <w:rFonts w:ascii="宋体" w:hAnsi="宋体" w:cs="宋体"/>
          <w:color w:val="auto"/>
          <w:highlight w:val="none"/>
        </w:rPr>
      </w:pPr>
      <w:r>
        <w:rPr>
          <w:rFonts w:hint="eastAsia" w:ascii="宋体" w:hAnsi="宋体" w:cs="宋体"/>
          <w:color w:val="auto"/>
          <w:spacing w:val="-4"/>
          <w:highlight w:val="none"/>
        </w:rPr>
        <w:t>投标人若未派</w:t>
      </w:r>
      <w:r>
        <w:rPr>
          <w:rFonts w:hint="eastAsia" w:ascii="宋体" w:hAnsi="宋体" w:cs="宋体"/>
          <w:color w:val="auto"/>
          <w:highlight w:val="none"/>
        </w:rPr>
        <w:t>法定代表人</w:t>
      </w:r>
      <w:r>
        <w:rPr>
          <w:rFonts w:hint="eastAsia" w:ascii="宋体" w:hAnsi="宋体" w:cs="宋体"/>
          <w:color w:val="auto"/>
          <w:spacing w:val="-4"/>
          <w:highlight w:val="none"/>
        </w:rPr>
        <w:t>或委托代理人出席开标活动，视为该投标人默认开标结果。</w:t>
      </w:r>
    </w:p>
    <w:p w14:paraId="5ED6B163">
      <w:pPr>
        <w:adjustRightInd w:val="0"/>
        <w:snapToGrid w:val="0"/>
        <w:spacing w:line="360" w:lineRule="auto"/>
        <w:ind w:firstLine="482" w:firstLineChars="200"/>
        <w:rPr>
          <w:rFonts w:ascii="宋体" w:hAnsi="宋体" w:cs="宋体"/>
          <w:b/>
          <w:bCs/>
          <w:color w:val="auto"/>
          <w:sz w:val="24"/>
          <w:highlight w:val="none"/>
        </w:rPr>
      </w:pPr>
    </w:p>
    <w:p w14:paraId="7DF17DE3">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若采用单信封形式，第 5.1 款采用以下条款：</w:t>
      </w:r>
    </w:p>
    <w:p w14:paraId="010B275E">
      <w:pPr>
        <w:pStyle w:val="71"/>
        <w:numPr>
          <w:ilvl w:val="0"/>
          <w:numId w:val="0"/>
        </w:numPr>
        <w:spacing w:line="360" w:lineRule="auto"/>
        <w:rPr>
          <w:color w:val="auto"/>
          <w:highlight w:val="none"/>
        </w:rPr>
      </w:pPr>
      <w:bookmarkStart w:id="152" w:name="_bookmark62"/>
      <w:bookmarkEnd w:id="152"/>
      <w:bookmarkStart w:id="153" w:name="_Toc43475702"/>
      <w:bookmarkStart w:id="154" w:name="_Toc25702"/>
      <w:bookmarkStart w:id="155" w:name="_Toc29307"/>
      <w:r>
        <w:rPr>
          <w:rFonts w:hint="eastAsia"/>
          <w:color w:val="auto"/>
          <w:highlight w:val="none"/>
        </w:rPr>
        <w:t>5.1 开标时间和地点</w:t>
      </w:r>
      <w:bookmarkEnd w:id="153"/>
      <w:bookmarkEnd w:id="154"/>
      <w:bookmarkEnd w:id="155"/>
    </w:p>
    <w:p w14:paraId="70312BD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招标人在本章第 4.2.1 项规定的投标截止时间（开标时间）和投标人须知前附表规定的地点公开开标，并邀请所有投标人的法定代表人或其委托代理人准时参加。</w:t>
      </w:r>
    </w:p>
    <w:p w14:paraId="4B2B46C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投标人若未派法定代表人</w:t>
      </w:r>
      <w:r>
        <w:rPr>
          <w:rFonts w:hint="eastAsia" w:ascii="宋体" w:hAnsi="宋体" w:cs="宋体"/>
          <w:color w:val="auto"/>
          <w:spacing w:val="-4"/>
          <w:highlight w:val="none"/>
        </w:rPr>
        <w:t>或委托代理人出席开标活动，视为该投标人默认开标结果。</w:t>
      </w:r>
    </w:p>
    <w:p w14:paraId="375E6F12">
      <w:pPr>
        <w:adjustRightInd w:val="0"/>
        <w:snapToGrid w:val="0"/>
        <w:spacing w:line="360" w:lineRule="auto"/>
        <w:ind w:firstLine="482" w:firstLineChars="200"/>
        <w:rPr>
          <w:rFonts w:ascii="宋体" w:hAnsi="宋体" w:cs="宋体"/>
          <w:b/>
          <w:bCs/>
          <w:color w:val="auto"/>
          <w:sz w:val="24"/>
          <w:highlight w:val="none"/>
        </w:rPr>
      </w:pPr>
    </w:p>
    <w:p w14:paraId="14A0FC04">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若采用双信封形式，第 5.2 款采用以下条款：</w:t>
      </w:r>
    </w:p>
    <w:p w14:paraId="66677F41">
      <w:pPr>
        <w:pStyle w:val="71"/>
        <w:numPr>
          <w:ilvl w:val="0"/>
          <w:numId w:val="0"/>
        </w:numPr>
        <w:spacing w:line="360" w:lineRule="auto"/>
        <w:rPr>
          <w:rFonts w:ascii="宋体" w:hAnsi="宋体" w:cs="宋体"/>
          <w:color w:val="auto"/>
          <w:highlight w:val="none"/>
        </w:rPr>
      </w:pPr>
      <w:bookmarkStart w:id="156" w:name="_bookmark63"/>
      <w:bookmarkEnd w:id="156"/>
      <w:bookmarkStart w:id="157" w:name="_Toc43475703"/>
      <w:bookmarkStart w:id="158" w:name="_Toc3383"/>
      <w:bookmarkStart w:id="159" w:name="_Toc20358"/>
      <w:r>
        <w:rPr>
          <w:rFonts w:hint="eastAsia" w:ascii="宋体" w:hAnsi="宋体" w:cs="宋体"/>
          <w:color w:val="auto"/>
          <w:highlight w:val="none"/>
        </w:rPr>
        <w:t>5.2 开标程序</w:t>
      </w:r>
      <w:bookmarkEnd w:id="157"/>
      <w:bookmarkEnd w:id="158"/>
      <w:bookmarkEnd w:id="159"/>
    </w:p>
    <w:p w14:paraId="3BD041F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5.2.1 主持人按下列程序对投标文件第一个信封（商务及技术文件）进行开标：</w:t>
      </w:r>
    </w:p>
    <w:p w14:paraId="3E73B5C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（1）宣布开标纪律；</w:t>
      </w:r>
    </w:p>
    <w:p w14:paraId="65A38CE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（2）公布在投标截止时间前递交投标文件的投标人数量；</w:t>
      </w:r>
    </w:p>
    <w:p w14:paraId="5F2C30E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（3）宣布开标人、唱标人、记录人等有关人员姓名；</w:t>
      </w:r>
    </w:p>
    <w:p w14:paraId="3A23B16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（4）按照投标人须知前附表规定由投标人推选的代表检查投标文件的密封情况；</w:t>
      </w:r>
    </w:p>
    <w:p w14:paraId="557FB49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（5）按照投标人须知前附表规定的开标顺序当众开标，公布标段名称、投标人名称、投标保证金的递交情况、工期及其他内容，并记录在案；</w:t>
      </w:r>
    </w:p>
    <w:p w14:paraId="3175BE3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（6）投标人代表、招标人代表、记录人等有关人员在开标记录上签字确认；</w:t>
      </w:r>
    </w:p>
    <w:p w14:paraId="15B3455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（7）开标结束。</w:t>
      </w:r>
    </w:p>
    <w:p w14:paraId="3D3095A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5.2.2 在投标文件第一个信封（商务及技术文件）开标现场，投标文件第二个信封（报价文件）不予开封，由招标人密封保存。</w:t>
      </w:r>
    </w:p>
    <w:p w14:paraId="6746F49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5.2.3 招标人将按照本章第 5.1 款规定的时间和地点对投标文件第二个信封（报价文件）进行开标。主持人按下列程序进行开标：</w:t>
      </w:r>
    </w:p>
    <w:p w14:paraId="1406121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（1）宣布开标纪律；</w:t>
      </w:r>
    </w:p>
    <w:p w14:paraId="52662CF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（2）当众拆开投标文件第一个信封（商务及技术文件）评审结果的密封袋，宣布通过投标文件第一个信封（商务及技术文件）评审的投标人名单；</w:t>
      </w:r>
    </w:p>
    <w:p w14:paraId="36CBFD8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（3）宣布开标人、唱标人、记录人等有关人员姓名；</w:t>
      </w:r>
    </w:p>
    <w:p w14:paraId="75084A6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（4）按照投标人须知前附表规定由投标人推选的代表检查投标文件的密封情况；</w:t>
      </w:r>
    </w:p>
    <w:p w14:paraId="1DB15F1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14:paraId="2AFCF63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（6）计算并宣布评标基准价；</w:t>
      </w:r>
    </w:p>
    <w:p w14:paraId="66FE783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（7）将未通过投标文件第一个信封（商务及技术文件）评审的投标文件第二个信封（报价文件）退还给投标人；</w:t>
      </w:r>
    </w:p>
    <w:p w14:paraId="4DF469A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（8）投标人代表、招标人代表、记录人等有关人员在开标记录上签字确认；</w:t>
      </w:r>
    </w:p>
    <w:p w14:paraId="722C924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（9）开标结束。</w:t>
      </w:r>
    </w:p>
    <w:p w14:paraId="6A923B8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14:paraId="34419BA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（1）未在投标函上填写投标总价；</w:t>
      </w:r>
    </w:p>
    <w:p w14:paraId="24690DA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（2）投标报价或调价函中的报价超出招标人公布的最高投标限价（如有）；</w:t>
      </w:r>
    </w:p>
    <w:p w14:paraId="2DD0A26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（3）投标报价或调价函中报价的大写金额无法确定具体数值；</w:t>
      </w:r>
    </w:p>
    <w:p w14:paraId="5B40DA4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（4）投标函上填写的标段号与投标文件封套上标记的标段号不一致。</w:t>
      </w:r>
    </w:p>
    <w:p w14:paraId="6BA460A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70FFDC0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auto"/>
          <w:spacing w:val="-7"/>
          <w:highlight w:val="none"/>
        </w:rPr>
        <w:t>经招标人当场核查确认之后，可</w:t>
      </w:r>
      <w:r>
        <w:rPr>
          <w:rFonts w:hint="eastAsia" w:ascii="宋体" w:hAnsi="宋体" w:cs="宋体"/>
          <w:color w:val="auto"/>
          <w:highlight w:val="none"/>
        </w:rPr>
        <w:t>重新</w:t>
      </w:r>
      <w:r>
        <w:rPr>
          <w:rFonts w:hint="eastAsia" w:ascii="宋体" w:hAnsi="宋体" w:cs="宋体"/>
          <w:color w:val="auto"/>
          <w:spacing w:val="-7"/>
          <w:highlight w:val="none"/>
        </w:rPr>
        <w:t>宣读其投标文件。若投标人现场未提出疑问，则</w:t>
      </w:r>
      <w:r>
        <w:rPr>
          <w:rFonts w:hint="eastAsia" w:ascii="宋体" w:hAnsi="宋体" w:cs="宋体"/>
          <w:color w:val="auto"/>
          <w:highlight w:val="none"/>
        </w:rPr>
        <w:t>认为投标人已确认招标人宣读的内容。</w:t>
      </w:r>
    </w:p>
    <w:p w14:paraId="2136E3AC">
      <w:pPr>
        <w:pStyle w:val="15"/>
        <w:spacing w:line="307" w:lineRule="exact"/>
        <w:ind w:left="849"/>
        <w:rPr>
          <w:rFonts w:ascii="宋体" w:hAnsi="宋体" w:cs="宋体"/>
          <w:b/>
          <w:bCs/>
          <w:color w:val="auto"/>
          <w:sz w:val="24"/>
          <w:highlight w:val="none"/>
        </w:rPr>
      </w:pPr>
    </w:p>
    <w:p w14:paraId="3FBFD988">
      <w:pPr>
        <w:pStyle w:val="15"/>
        <w:spacing w:line="307" w:lineRule="exact"/>
        <w:rPr>
          <w:rFonts w:ascii="宋体" w:hAnsi="宋体" w:cs="宋体"/>
          <w:b/>
          <w:bCs/>
          <w:color w:val="auto"/>
          <w:sz w:val="24"/>
          <w:highlight w:val="none"/>
        </w:rPr>
      </w:pPr>
      <w:r>
        <w:rPr>
          <w:rFonts w:hint="eastAsia" w:ascii="宋体" w:hAnsi="宋体" w:cs="宋体"/>
          <w:b/>
          <w:bCs/>
          <w:color w:val="auto"/>
          <w:sz w:val="24"/>
          <w:highlight w:val="none"/>
        </w:rPr>
        <w:t>若采用单信封形式，第 5.2 款采用以下条款：</w:t>
      </w:r>
    </w:p>
    <w:p w14:paraId="4E0E0D92">
      <w:pPr>
        <w:pStyle w:val="71"/>
        <w:numPr>
          <w:ilvl w:val="0"/>
          <w:numId w:val="0"/>
        </w:numPr>
        <w:spacing w:line="360" w:lineRule="auto"/>
        <w:rPr>
          <w:rFonts w:ascii="宋体" w:hAnsi="宋体" w:cs="宋体"/>
          <w:color w:val="auto"/>
          <w:highlight w:val="none"/>
        </w:rPr>
      </w:pPr>
      <w:bookmarkStart w:id="160" w:name="_bookmark64"/>
      <w:bookmarkEnd w:id="160"/>
      <w:bookmarkStart w:id="161" w:name="_Toc19648"/>
      <w:bookmarkStart w:id="162" w:name="_Toc23268"/>
      <w:bookmarkStart w:id="163" w:name="_Toc43475704"/>
      <w:r>
        <w:rPr>
          <w:rFonts w:hint="eastAsia" w:ascii="宋体" w:hAnsi="宋体" w:cs="宋体"/>
          <w:color w:val="auto"/>
          <w:highlight w:val="none"/>
        </w:rPr>
        <w:t>5.2 开标程序</w:t>
      </w:r>
      <w:bookmarkEnd w:id="161"/>
      <w:bookmarkEnd w:id="162"/>
      <w:bookmarkEnd w:id="163"/>
    </w:p>
    <w:p w14:paraId="6CB3B59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5.2.1 主持人按下列程序进行开标：</w:t>
      </w:r>
    </w:p>
    <w:p w14:paraId="1EE7831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（1）宣布开标纪律；</w:t>
      </w:r>
    </w:p>
    <w:p w14:paraId="3299F86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（2）公布在投标截止时间前递交投标文件的投标人数量；</w:t>
      </w:r>
    </w:p>
    <w:p w14:paraId="1518553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（3）宣布开标人、唱标人、记录人等有关人员姓名；</w:t>
      </w:r>
    </w:p>
    <w:p w14:paraId="2E2DD04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（4）按照投标人须知前附表规定由投标人推选的代表检查投标文件的密封情况；</w:t>
      </w:r>
    </w:p>
    <w:p w14:paraId="0AC0426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（5）按照投标人须知前附表规定的开标顺序当众开标，公布标段名称、投标人名称、投标保证金的递交情况、投标报价、工期及其他内容，并记录在案；</w:t>
      </w:r>
    </w:p>
    <w:p w14:paraId="37E594B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（6）计算并宣布评标基准价；</w:t>
      </w:r>
    </w:p>
    <w:p w14:paraId="2ADCAD9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（7）投标人代表、招标人代表、记录人等有关人员在开标记录上签字确认；</w:t>
      </w:r>
    </w:p>
    <w:p w14:paraId="100CFA4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（8）开标结束。</w:t>
      </w:r>
    </w:p>
    <w:p w14:paraId="67B4DA9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5.2.2 若采用合理低价法或综合评分法，在开标现场，招标人将按第三章“评标办法”规定的原则计算并宣布评标基准价。若招标人发现投标文件出现以下任一情况， 其投标报价将不再参加评标基准价的计算：</w:t>
      </w:r>
    </w:p>
    <w:p w14:paraId="1932BE2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（1）未在投标函上填写投标总价；</w:t>
      </w:r>
    </w:p>
    <w:p w14:paraId="6149FAEA">
      <w:pPr>
        <w:pStyle w:val="59"/>
        <w:spacing w:line="360" w:lineRule="auto"/>
        <w:ind w:firstLine="476" w:firstLineChars="200"/>
        <w:rPr>
          <w:rFonts w:ascii="宋体" w:hAnsi="宋体" w:cs="宋体"/>
          <w:color w:val="auto"/>
          <w:highlight w:val="none"/>
        </w:rPr>
      </w:pPr>
      <w:r>
        <w:rPr>
          <w:rFonts w:hint="eastAsia" w:ascii="宋体" w:hAnsi="宋体" w:cs="宋体"/>
          <w:color w:val="auto"/>
          <w:spacing w:val="-1"/>
          <w:highlight w:val="none"/>
        </w:rPr>
        <w:t>（</w:t>
      </w:r>
      <w:r>
        <w:rPr>
          <w:rFonts w:hint="eastAsia" w:ascii="宋体" w:hAnsi="宋体" w:cs="宋体"/>
          <w:color w:val="auto"/>
          <w:highlight w:val="none"/>
        </w:rPr>
        <w:t>2）投标报价或调价函中的报价超出招标人公布的最高投标限价（如有</w:t>
      </w:r>
      <w:r>
        <w:rPr>
          <w:rFonts w:hint="eastAsia" w:ascii="宋体" w:hAnsi="宋体" w:cs="宋体"/>
          <w:color w:val="auto"/>
          <w:spacing w:val="-120"/>
          <w:highlight w:val="none"/>
        </w:rPr>
        <w:t>）</w:t>
      </w:r>
      <w:r>
        <w:rPr>
          <w:rFonts w:hint="eastAsia" w:ascii="宋体" w:hAnsi="宋体" w:cs="宋体"/>
          <w:color w:val="auto"/>
          <w:highlight w:val="none"/>
        </w:rPr>
        <w:t>；</w:t>
      </w:r>
    </w:p>
    <w:p w14:paraId="6B93C2A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（3）投标报价或调价函中报价的大写金额无法确定具体数值；</w:t>
      </w:r>
    </w:p>
    <w:p w14:paraId="3586716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（4）投标函上填写的标段号与投标文件封套上标记的标段号不一致。</w:t>
      </w:r>
    </w:p>
    <w:p w14:paraId="6AC2BB3C">
      <w:pPr>
        <w:pStyle w:val="59"/>
        <w:spacing w:line="360" w:lineRule="auto"/>
        <w:ind w:firstLine="460" w:firstLineChars="200"/>
        <w:rPr>
          <w:rFonts w:ascii="宋体" w:hAnsi="宋体" w:cs="宋体"/>
          <w:color w:val="auto"/>
          <w:highlight w:val="none"/>
        </w:rPr>
      </w:pPr>
      <w:r>
        <w:rPr>
          <w:rFonts w:hint="eastAsia" w:ascii="宋体" w:hAnsi="宋体" w:cs="宋体"/>
          <w:color w:val="auto"/>
          <w:spacing w:val="-5"/>
          <w:highlight w:val="none"/>
        </w:rPr>
        <w:t>如果投标人认为某一标段的评标基准价计算有误，有权在开标现场提出，经招标</w:t>
      </w:r>
      <w:r>
        <w:rPr>
          <w:rFonts w:hint="eastAsia" w:ascii="宋体" w:hAnsi="宋体" w:cs="宋体"/>
          <w:color w:val="auto"/>
          <w:spacing w:val="-12"/>
          <w:highlight w:val="none"/>
        </w:rPr>
        <w:t>人当场核实确认之后，可</w:t>
      </w:r>
      <w:r>
        <w:rPr>
          <w:rFonts w:hint="eastAsia" w:ascii="宋体" w:hAnsi="宋体" w:cs="宋体"/>
          <w:color w:val="auto"/>
          <w:highlight w:val="none"/>
        </w:rPr>
        <w:t>重新</w:t>
      </w:r>
      <w:r>
        <w:rPr>
          <w:rFonts w:hint="eastAsia" w:ascii="宋体" w:hAnsi="宋体" w:cs="宋体"/>
          <w:color w:val="auto"/>
          <w:spacing w:val="-12"/>
          <w:highlight w:val="none"/>
        </w:rPr>
        <w:t>宣布评标基准价。开标现场宣布的评标基准价除计算有误经评标委员会修正外，在整个评标期间保持不变，不随任何因素发生变化。</w:t>
      </w:r>
    </w:p>
    <w:p w14:paraId="6F00C2B9">
      <w:pPr>
        <w:pStyle w:val="59"/>
        <w:spacing w:line="360" w:lineRule="auto"/>
        <w:ind w:firstLine="480" w:firstLineChars="200"/>
        <w:rPr>
          <w:color w:val="auto"/>
          <w:highlight w:val="none"/>
        </w:rPr>
      </w:pPr>
      <w:r>
        <w:rPr>
          <w:rFonts w:hint="eastAsia" w:ascii="宋体" w:hAnsi="宋体" w:cs="宋体"/>
          <w:color w:val="auto"/>
          <w:highlight w:val="none"/>
        </w:rPr>
        <w:t>5.2.3 若</w:t>
      </w:r>
      <w:r>
        <w:rPr>
          <w:color w:val="auto"/>
          <w:highlight w:val="none"/>
        </w:rPr>
        <w:t>招标人宣读的内容与投标文件不符，投标人有权在开标现场提出疑问，</w:t>
      </w:r>
      <w:r>
        <w:rPr>
          <w:color w:val="auto"/>
          <w:spacing w:val="-7"/>
          <w:highlight w:val="none"/>
        </w:rPr>
        <w:t>经招标人当场核查确认之后，可重新宣读其投标文件。若投标人现场未提出疑问，则</w:t>
      </w:r>
      <w:r>
        <w:rPr>
          <w:color w:val="auto"/>
          <w:highlight w:val="none"/>
        </w:rPr>
        <w:t>认为投标人已确认招标人宣读的内容。</w:t>
      </w:r>
    </w:p>
    <w:p w14:paraId="675D7794">
      <w:pPr>
        <w:pStyle w:val="59"/>
        <w:spacing w:line="360" w:lineRule="auto"/>
        <w:ind w:firstLine="482" w:firstLineChars="200"/>
        <w:rPr>
          <w:color w:val="auto"/>
          <w:highlight w:val="none"/>
        </w:rPr>
      </w:pPr>
      <w:r>
        <w:rPr>
          <w:rFonts w:hint="eastAsia" w:ascii="宋体" w:hAnsi="宋体" w:cs="宋体"/>
          <w:b/>
          <w:color w:val="auto"/>
          <w:highlight w:val="none"/>
        </w:rPr>
        <w:t>5.3 开标异议</w:t>
      </w:r>
    </w:p>
    <w:p w14:paraId="64BA6E08">
      <w:pPr>
        <w:pStyle w:val="59"/>
        <w:spacing w:line="360" w:lineRule="auto"/>
        <w:ind w:firstLine="480" w:firstLineChars="200"/>
        <w:rPr>
          <w:color w:val="auto"/>
          <w:highlight w:val="none"/>
        </w:rPr>
      </w:pPr>
      <w:r>
        <w:rPr>
          <w:rFonts w:hint="eastAsia"/>
          <w:color w:val="auto"/>
          <w:highlight w:val="none"/>
        </w:rPr>
        <w:t>投标人对开标有异议的，应在开标现场提出，招标人当场作出答复，并制作记录，有异议的投标人代表、招标人代表、记录人等有关人员在记录上签字确认。</w:t>
      </w:r>
    </w:p>
    <w:p w14:paraId="2B8F6A8D">
      <w:pPr>
        <w:pStyle w:val="69"/>
        <w:spacing w:before="156"/>
        <w:rPr>
          <w:color w:val="auto"/>
          <w:highlight w:val="none"/>
        </w:rPr>
      </w:pPr>
      <w:bookmarkStart w:id="164" w:name="_Toc32113"/>
      <w:bookmarkStart w:id="165" w:name="_Toc14516"/>
      <w:bookmarkStart w:id="166" w:name="_Toc43475705"/>
      <w:r>
        <w:rPr>
          <w:rFonts w:hint="eastAsia"/>
          <w:color w:val="auto"/>
          <w:highlight w:val="none"/>
        </w:rPr>
        <w:t>评标</w:t>
      </w:r>
      <w:bookmarkEnd w:id="164"/>
      <w:bookmarkEnd w:id="165"/>
      <w:bookmarkEnd w:id="166"/>
    </w:p>
    <w:p w14:paraId="2EA1017B">
      <w:pPr>
        <w:pStyle w:val="71"/>
        <w:numPr>
          <w:ilvl w:val="0"/>
          <w:numId w:val="0"/>
        </w:numPr>
        <w:spacing w:line="360" w:lineRule="auto"/>
        <w:rPr>
          <w:rFonts w:ascii="宋体" w:hAnsi="宋体" w:cs="宋体"/>
          <w:color w:val="auto"/>
          <w:highlight w:val="none"/>
        </w:rPr>
      </w:pPr>
      <w:bookmarkStart w:id="167" w:name="_Toc494"/>
      <w:bookmarkStart w:id="168" w:name="_Toc11570"/>
      <w:bookmarkStart w:id="169" w:name="_Toc43475706"/>
      <w:r>
        <w:rPr>
          <w:rFonts w:hint="eastAsia" w:ascii="宋体" w:hAnsi="宋体" w:cs="宋体"/>
          <w:color w:val="auto"/>
          <w:highlight w:val="none"/>
        </w:rPr>
        <w:t>6.1 评标委员会</w:t>
      </w:r>
      <w:bookmarkEnd w:id="167"/>
      <w:bookmarkEnd w:id="168"/>
      <w:bookmarkEnd w:id="169"/>
    </w:p>
    <w:p w14:paraId="7E933E0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14:paraId="4962F88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6.1.2 评标委员会成员有下列情形之一的，应当回避：</w:t>
      </w:r>
    </w:p>
    <w:p w14:paraId="1EB5F3C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（1）为负责招标项目监督管理的交通运输主管部门的工作人员；</w:t>
      </w:r>
    </w:p>
    <w:p w14:paraId="15E67D3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（2）与投标人法定代表人或其委托代理人有近亲属关系；</w:t>
      </w:r>
    </w:p>
    <w:p w14:paraId="25CB478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（3）为投标人的工作人员或退休人员；</w:t>
      </w:r>
    </w:p>
    <w:p w14:paraId="53F864E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（4）与投标人有其他利害关系，可能影响评标活动公正性；</w:t>
      </w:r>
    </w:p>
    <w:p w14:paraId="1534309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（5）在与招标投标有关的活动中有过违法违规行为、曾受过行政处罚或刑事处罚。</w:t>
      </w:r>
    </w:p>
    <w:p w14:paraId="51CA259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6.1.3评标过程中，评标委员会成员有回避事由、擅离职守或因健康等原因不能继续评标的，招标人有权更换。被更换的评标委员会成员作出的评审结论无效，由更换后的评标委员会成员重新进行评审。</w:t>
      </w:r>
    </w:p>
    <w:p w14:paraId="6874BB83">
      <w:pPr>
        <w:pStyle w:val="71"/>
        <w:numPr>
          <w:ilvl w:val="0"/>
          <w:numId w:val="0"/>
        </w:numPr>
        <w:spacing w:line="360" w:lineRule="auto"/>
        <w:rPr>
          <w:rFonts w:ascii="宋体" w:hAnsi="宋体" w:cs="宋体"/>
          <w:color w:val="auto"/>
          <w:highlight w:val="none"/>
        </w:rPr>
      </w:pPr>
      <w:bookmarkStart w:id="170" w:name="_Toc16826"/>
      <w:bookmarkStart w:id="171" w:name="_Toc43475707"/>
      <w:bookmarkStart w:id="172" w:name="_Toc16027"/>
      <w:r>
        <w:rPr>
          <w:rFonts w:hint="eastAsia" w:ascii="宋体" w:hAnsi="宋体" w:cs="宋体"/>
          <w:color w:val="auto"/>
          <w:highlight w:val="none"/>
        </w:rPr>
        <w:t>6.2 评标原则</w:t>
      </w:r>
      <w:bookmarkEnd w:id="170"/>
      <w:bookmarkEnd w:id="171"/>
      <w:bookmarkEnd w:id="172"/>
    </w:p>
    <w:p w14:paraId="6CCD118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评标活动遵循公平、公正、科学和择优的原则。</w:t>
      </w:r>
    </w:p>
    <w:p w14:paraId="4FE02DCC">
      <w:pPr>
        <w:pStyle w:val="71"/>
        <w:numPr>
          <w:ilvl w:val="0"/>
          <w:numId w:val="0"/>
        </w:numPr>
        <w:spacing w:line="360" w:lineRule="auto"/>
        <w:rPr>
          <w:rFonts w:ascii="宋体" w:hAnsi="宋体" w:cs="宋体"/>
          <w:color w:val="auto"/>
          <w:highlight w:val="none"/>
        </w:rPr>
      </w:pPr>
      <w:bookmarkStart w:id="173" w:name="_Toc43475708"/>
      <w:bookmarkStart w:id="174" w:name="_Toc10176"/>
      <w:bookmarkStart w:id="175" w:name="_Toc13218"/>
      <w:r>
        <w:rPr>
          <w:rFonts w:hint="eastAsia" w:ascii="宋体" w:hAnsi="宋体" w:cs="宋体"/>
          <w:color w:val="auto"/>
          <w:highlight w:val="none"/>
        </w:rPr>
        <w:t>6.3 评标</w:t>
      </w:r>
      <w:bookmarkEnd w:id="173"/>
      <w:bookmarkEnd w:id="174"/>
      <w:bookmarkEnd w:id="175"/>
    </w:p>
    <w:p w14:paraId="1EF2FE5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6.3.1评标委员会按照第三章“评标办法”规定的方法、评审因素、标准和程序对投标文件进行评审。第三章“评标办法”没有规定的方法、评审因素和标准，不作为评标依据。</w:t>
      </w:r>
    </w:p>
    <w:p w14:paraId="45A433D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6.3.2评标完成后，评标委员会应向招标人提交书面评标报告和中标候选人名单。评标委员会推荐中标候选人的人数见投标人须知前附表。</w:t>
      </w:r>
    </w:p>
    <w:p w14:paraId="58F2F633">
      <w:pPr>
        <w:pStyle w:val="69"/>
        <w:spacing w:before="156"/>
        <w:rPr>
          <w:color w:val="auto"/>
          <w:highlight w:val="none"/>
        </w:rPr>
      </w:pPr>
      <w:bookmarkStart w:id="176" w:name="_Toc14072"/>
      <w:bookmarkStart w:id="177" w:name="_Toc7643"/>
      <w:bookmarkStart w:id="178" w:name="_Toc43475709"/>
      <w:r>
        <w:rPr>
          <w:rFonts w:hint="eastAsia"/>
          <w:color w:val="auto"/>
          <w:highlight w:val="none"/>
        </w:rPr>
        <w:t>合同授予</w:t>
      </w:r>
      <w:bookmarkEnd w:id="176"/>
      <w:bookmarkEnd w:id="177"/>
      <w:bookmarkEnd w:id="178"/>
    </w:p>
    <w:p w14:paraId="516CE56A">
      <w:pPr>
        <w:pStyle w:val="71"/>
        <w:numPr>
          <w:ilvl w:val="0"/>
          <w:numId w:val="0"/>
        </w:numPr>
        <w:spacing w:line="360" w:lineRule="auto"/>
        <w:rPr>
          <w:rFonts w:ascii="宋体" w:hAnsi="宋体" w:cs="宋体"/>
          <w:color w:val="auto"/>
          <w:highlight w:val="none"/>
        </w:rPr>
      </w:pPr>
      <w:bookmarkStart w:id="179" w:name="_Toc14770"/>
      <w:bookmarkStart w:id="180" w:name="_Toc11047"/>
      <w:bookmarkStart w:id="181" w:name="_Toc43475710"/>
      <w:r>
        <w:rPr>
          <w:rFonts w:hint="eastAsia" w:ascii="宋体" w:hAnsi="宋体" w:cs="宋体"/>
          <w:color w:val="auto"/>
          <w:highlight w:val="none"/>
        </w:rPr>
        <w:t>7.1中标候选人公示</w:t>
      </w:r>
      <w:bookmarkEnd w:id="179"/>
      <w:bookmarkEnd w:id="180"/>
      <w:bookmarkEnd w:id="181"/>
    </w:p>
    <w:p w14:paraId="4616212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招标人在收到评标报告之日起 3 日内，按照投标人须知前附表规定的公示媒介和期限公示中标候选人，公示期不得少于 3 日，公示内容包括：</w:t>
      </w:r>
    </w:p>
    <w:p w14:paraId="7CB4AE2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（1）中标候选人排序、名称、投标报价，对工程质量要求、安全目标和工期的响应情况；</w:t>
      </w:r>
    </w:p>
    <w:p w14:paraId="14235FF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（2）中标候选人在投标文件中承诺的项目经理和项目总工姓名、个人业绩、相关证书名称和编号；</w:t>
      </w:r>
    </w:p>
    <w:p w14:paraId="7033B8C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（3）中标候选人在投标文件中填报的项目业绩；</w:t>
      </w:r>
    </w:p>
    <w:p w14:paraId="5F6A4E5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（4）被否决投标的投标人名称、否决依据和原因；</w:t>
      </w:r>
    </w:p>
    <w:p w14:paraId="42D506D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（5）提出异议的渠道和方式；</w:t>
      </w:r>
    </w:p>
    <w:p w14:paraId="77EFA6D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（6）投标人须知前附表规定公示的其他内容。</w:t>
      </w:r>
    </w:p>
    <w:p w14:paraId="5A39AEBD">
      <w:pPr>
        <w:pStyle w:val="71"/>
        <w:numPr>
          <w:ilvl w:val="0"/>
          <w:numId w:val="0"/>
        </w:numPr>
        <w:spacing w:line="360" w:lineRule="auto"/>
        <w:rPr>
          <w:rFonts w:ascii="宋体" w:hAnsi="宋体" w:cs="宋体"/>
          <w:color w:val="auto"/>
          <w:highlight w:val="none"/>
        </w:rPr>
      </w:pPr>
      <w:bookmarkStart w:id="182" w:name="_Toc18347"/>
      <w:bookmarkStart w:id="183" w:name="_Toc43475711"/>
      <w:bookmarkStart w:id="184" w:name="_Toc9144"/>
      <w:r>
        <w:rPr>
          <w:rFonts w:hint="eastAsia" w:ascii="宋体" w:hAnsi="宋体" w:cs="宋体"/>
          <w:color w:val="auto"/>
          <w:highlight w:val="none"/>
        </w:rPr>
        <w:t>7.2评标结果异议</w:t>
      </w:r>
      <w:bookmarkEnd w:id="182"/>
      <w:bookmarkEnd w:id="183"/>
      <w:bookmarkEnd w:id="184"/>
    </w:p>
    <w:p w14:paraId="768E43D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投标人或其他利害关系人对依法必须进行招标的项目的评标结果有异议的，应在中标候选人公示期间提出。招标人将在收到异议之日起 3 日内作出答复；作出答复前， 将暂停招标投标活动。</w:t>
      </w:r>
    </w:p>
    <w:p w14:paraId="7E9A55F8">
      <w:pPr>
        <w:pStyle w:val="71"/>
        <w:numPr>
          <w:ilvl w:val="0"/>
          <w:numId w:val="0"/>
        </w:numPr>
        <w:spacing w:line="360" w:lineRule="auto"/>
        <w:rPr>
          <w:rFonts w:ascii="宋体" w:hAnsi="宋体" w:cs="宋体"/>
          <w:color w:val="auto"/>
          <w:highlight w:val="none"/>
        </w:rPr>
      </w:pPr>
      <w:bookmarkStart w:id="185" w:name="_Toc9592"/>
      <w:bookmarkStart w:id="186" w:name="_Toc43475712"/>
      <w:bookmarkStart w:id="187" w:name="_Toc2966"/>
      <w:r>
        <w:rPr>
          <w:rFonts w:hint="eastAsia" w:ascii="宋体" w:hAnsi="宋体" w:cs="宋体"/>
          <w:color w:val="auto"/>
          <w:highlight w:val="none"/>
        </w:rPr>
        <w:t>7.3中标候选人履约能力审查</w:t>
      </w:r>
      <w:bookmarkEnd w:id="185"/>
      <w:bookmarkEnd w:id="186"/>
      <w:bookmarkEnd w:id="187"/>
    </w:p>
    <w:p w14:paraId="3D6A2B2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5E69FF55">
      <w:pPr>
        <w:pStyle w:val="71"/>
        <w:numPr>
          <w:ilvl w:val="0"/>
          <w:numId w:val="0"/>
        </w:numPr>
        <w:spacing w:line="360" w:lineRule="auto"/>
        <w:rPr>
          <w:rFonts w:ascii="宋体" w:hAnsi="宋体" w:cs="宋体"/>
          <w:color w:val="auto"/>
          <w:highlight w:val="none"/>
        </w:rPr>
      </w:pPr>
      <w:bookmarkStart w:id="188" w:name="_Toc12376"/>
      <w:bookmarkStart w:id="189" w:name="_Toc11384"/>
      <w:bookmarkStart w:id="190" w:name="_Toc43475713"/>
      <w:r>
        <w:rPr>
          <w:rFonts w:hint="eastAsia" w:ascii="宋体" w:hAnsi="宋体" w:cs="宋体"/>
          <w:color w:val="auto"/>
          <w:highlight w:val="none"/>
        </w:rPr>
        <w:t>7.4定标</w:t>
      </w:r>
      <w:bookmarkEnd w:id="188"/>
      <w:bookmarkEnd w:id="189"/>
      <w:bookmarkEnd w:id="190"/>
    </w:p>
    <w:p w14:paraId="6698999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按照投标人须知前附表的规定，招标人或招标人授权的评标委员会依法确定中标人。</w:t>
      </w:r>
    </w:p>
    <w:p w14:paraId="072FB02E">
      <w:pPr>
        <w:pStyle w:val="71"/>
        <w:numPr>
          <w:ilvl w:val="0"/>
          <w:numId w:val="0"/>
        </w:numPr>
        <w:spacing w:line="360" w:lineRule="auto"/>
        <w:rPr>
          <w:rFonts w:ascii="宋体" w:hAnsi="宋体" w:cs="宋体"/>
          <w:color w:val="auto"/>
          <w:highlight w:val="none"/>
        </w:rPr>
      </w:pPr>
      <w:bookmarkStart w:id="191" w:name="_Toc43475714"/>
      <w:bookmarkStart w:id="192" w:name="_Toc12433"/>
      <w:bookmarkStart w:id="193" w:name="_Toc6352"/>
      <w:r>
        <w:rPr>
          <w:rFonts w:hint="eastAsia" w:ascii="宋体" w:hAnsi="宋体" w:cs="宋体"/>
          <w:color w:val="auto"/>
          <w:highlight w:val="none"/>
        </w:rPr>
        <w:t>7.5中标通知</w:t>
      </w:r>
      <w:bookmarkEnd w:id="191"/>
      <w:bookmarkEnd w:id="192"/>
      <w:bookmarkEnd w:id="193"/>
    </w:p>
    <w:p w14:paraId="1D76BC9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在本章第 3.3 款规定的投标有效期内，招标人以投标人须知前附表规定的形式向中标人发出中标通知书，同时将中标结果通知未中标的投标人。</w:t>
      </w:r>
    </w:p>
    <w:p w14:paraId="30D7AF49">
      <w:pPr>
        <w:pStyle w:val="71"/>
        <w:numPr>
          <w:ilvl w:val="0"/>
          <w:numId w:val="0"/>
        </w:numPr>
        <w:spacing w:line="360" w:lineRule="auto"/>
        <w:rPr>
          <w:rFonts w:ascii="宋体" w:hAnsi="宋体" w:cs="宋体"/>
          <w:color w:val="auto"/>
          <w:highlight w:val="none"/>
        </w:rPr>
      </w:pPr>
      <w:bookmarkStart w:id="194" w:name="_Toc7550"/>
      <w:bookmarkStart w:id="195" w:name="_Toc25675"/>
      <w:bookmarkStart w:id="196" w:name="_Toc43475715"/>
      <w:r>
        <w:rPr>
          <w:rFonts w:hint="eastAsia" w:ascii="宋体" w:hAnsi="宋体" w:cs="宋体"/>
          <w:color w:val="auto"/>
          <w:highlight w:val="none"/>
        </w:rPr>
        <w:t>7.6中标结果公告</w:t>
      </w:r>
      <w:bookmarkEnd w:id="194"/>
      <w:bookmarkEnd w:id="195"/>
      <w:bookmarkEnd w:id="196"/>
    </w:p>
    <w:p w14:paraId="447A988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招标人在确定中标人之日起 3 日内，按照投标人须知前附表规定的公告媒介和期限公告中标结果，公告期不得少于 3 日。公告内容包括中标人名称、中标价。</w:t>
      </w:r>
    </w:p>
    <w:p w14:paraId="66D072E7">
      <w:pPr>
        <w:pStyle w:val="71"/>
        <w:numPr>
          <w:ilvl w:val="0"/>
          <w:numId w:val="0"/>
        </w:numPr>
        <w:spacing w:line="360" w:lineRule="auto"/>
        <w:rPr>
          <w:rFonts w:ascii="宋体" w:hAnsi="宋体" w:cs="宋体"/>
          <w:color w:val="auto"/>
          <w:highlight w:val="none"/>
        </w:rPr>
      </w:pPr>
      <w:bookmarkStart w:id="197" w:name="_Toc20034"/>
      <w:bookmarkStart w:id="198" w:name="_Toc43475716"/>
      <w:bookmarkStart w:id="199" w:name="_Toc10013"/>
      <w:r>
        <w:rPr>
          <w:rFonts w:hint="eastAsia" w:ascii="宋体" w:hAnsi="宋体" w:cs="宋体"/>
          <w:color w:val="auto"/>
          <w:highlight w:val="none"/>
        </w:rPr>
        <w:t>7.7履约保证金</w:t>
      </w:r>
      <w:bookmarkEnd w:id="197"/>
      <w:bookmarkEnd w:id="198"/>
      <w:bookmarkEnd w:id="199"/>
    </w:p>
    <w:p w14:paraId="6A404FB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78A2E53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采用银行保函时，应由符合投标人须知前附表规定级别的银行开具，所需的费用由中标人承担，中标人应保证银行保函有效。</w:t>
      </w:r>
    </w:p>
    <w:p w14:paraId="0A0747B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7.7.2中标人不能按本章第 7.7.1 项要求提交履约保证金的，视为放弃中标，其投标保证金不予退还，给招标人造成的损失超过投标保证金数额的，中标人还应对超过部分予以赔偿。</w:t>
      </w:r>
    </w:p>
    <w:p w14:paraId="764319A2">
      <w:pPr>
        <w:pStyle w:val="71"/>
        <w:numPr>
          <w:ilvl w:val="0"/>
          <w:numId w:val="0"/>
        </w:numPr>
        <w:spacing w:line="360" w:lineRule="auto"/>
        <w:rPr>
          <w:rFonts w:ascii="宋体" w:hAnsi="宋体" w:cs="宋体"/>
          <w:color w:val="auto"/>
          <w:highlight w:val="none"/>
        </w:rPr>
      </w:pPr>
      <w:bookmarkStart w:id="200" w:name="_Toc43475717"/>
      <w:bookmarkStart w:id="201" w:name="_Toc27583"/>
      <w:bookmarkStart w:id="202" w:name="_Toc4886"/>
      <w:r>
        <w:rPr>
          <w:rFonts w:hint="eastAsia" w:ascii="宋体" w:hAnsi="宋体" w:cs="宋体"/>
          <w:color w:val="auto"/>
          <w:highlight w:val="none"/>
        </w:rPr>
        <w:t>7.8签订合同</w:t>
      </w:r>
      <w:bookmarkEnd w:id="200"/>
      <w:bookmarkEnd w:id="201"/>
      <w:bookmarkEnd w:id="202"/>
    </w:p>
    <w:p w14:paraId="4E7009B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1A2221F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7.8.2发出中标通知书后，招标人无正当理由拒签合同，或在签订合同时向中标人提出附加条件的，招标人向中标人退还投标保证金；给中标人造成损失的，还应赔偿损失。</w:t>
      </w:r>
    </w:p>
    <w:p w14:paraId="1058A4F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7.8.3签约合同价的确定原则如下：</w:t>
      </w:r>
    </w:p>
    <w:p w14:paraId="417065A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（1）按照评标办法规定对投标报价进行修正后，若修正后的最终投标报价小于开标时的投标函大写金额报价，则签订合同时以修正后的最终投标报价为准；</w:t>
      </w:r>
    </w:p>
    <w:p w14:paraId="2EE47CB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14:paraId="2967FC6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7.8.4联合体中标的，联合体各方应共同与招标人签订合同，就中标项目向招标人承担连带责任。</w:t>
      </w:r>
    </w:p>
    <w:p w14:paraId="1901348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7.8.5招标人和中标人在签订合同协议书的同时，须按照本招标文件规定的格式和要求签订廉政合同及安全生产合同，明确双方在廉政建设和安全生产方面的权利和义务以及应承担的违约责任。</w:t>
      </w:r>
    </w:p>
    <w:p w14:paraId="70D42F27">
      <w:pPr>
        <w:pStyle w:val="69"/>
        <w:spacing w:before="156"/>
        <w:rPr>
          <w:color w:val="auto"/>
          <w:highlight w:val="none"/>
        </w:rPr>
      </w:pPr>
      <w:bookmarkStart w:id="203" w:name="_Toc32608"/>
      <w:bookmarkStart w:id="204" w:name="_Toc1683"/>
      <w:bookmarkStart w:id="205" w:name="_Toc43475718"/>
      <w:r>
        <w:rPr>
          <w:rFonts w:hint="eastAsia"/>
          <w:color w:val="auto"/>
          <w:highlight w:val="none"/>
        </w:rPr>
        <w:t>纪律和监督</w:t>
      </w:r>
      <w:bookmarkEnd w:id="203"/>
      <w:bookmarkEnd w:id="204"/>
      <w:bookmarkEnd w:id="205"/>
    </w:p>
    <w:p w14:paraId="77308C42">
      <w:pPr>
        <w:pStyle w:val="71"/>
        <w:numPr>
          <w:ilvl w:val="0"/>
          <w:numId w:val="0"/>
        </w:numPr>
        <w:spacing w:line="360" w:lineRule="auto"/>
        <w:rPr>
          <w:rFonts w:ascii="宋体" w:hAnsi="宋体" w:cs="宋体"/>
          <w:color w:val="auto"/>
          <w:highlight w:val="none"/>
        </w:rPr>
      </w:pPr>
      <w:bookmarkStart w:id="206" w:name="_Toc43475719"/>
      <w:bookmarkStart w:id="207" w:name="_Toc18388"/>
      <w:bookmarkStart w:id="208" w:name="_Toc19942"/>
      <w:r>
        <w:rPr>
          <w:rFonts w:hint="eastAsia" w:ascii="宋体" w:hAnsi="宋体" w:cs="宋体"/>
          <w:color w:val="auto"/>
          <w:highlight w:val="none"/>
        </w:rPr>
        <w:t>8.1对招标人的纪律要求</w:t>
      </w:r>
      <w:bookmarkEnd w:id="206"/>
      <w:bookmarkEnd w:id="207"/>
      <w:bookmarkEnd w:id="208"/>
    </w:p>
    <w:p w14:paraId="0C6521C1">
      <w:pPr>
        <w:pStyle w:val="58"/>
        <w:spacing w:line="360" w:lineRule="auto"/>
        <w:rPr>
          <w:rFonts w:ascii="宋体" w:hAnsi="宋体" w:cs="宋体"/>
          <w:color w:val="auto"/>
          <w:highlight w:val="none"/>
        </w:rPr>
      </w:pPr>
      <w:r>
        <w:rPr>
          <w:rFonts w:hint="eastAsia" w:ascii="宋体" w:hAnsi="宋体" w:cs="宋体"/>
          <w:color w:val="auto"/>
          <w:highlight w:val="none"/>
        </w:rPr>
        <w:t>招标人不得泄露招标投标活动中应保密的情况和资料，不得与投标人串通损害国家利益、社会公共利益或他人合法权益。</w:t>
      </w:r>
    </w:p>
    <w:p w14:paraId="5C6D9AF8">
      <w:pPr>
        <w:pStyle w:val="71"/>
        <w:numPr>
          <w:ilvl w:val="0"/>
          <w:numId w:val="0"/>
        </w:numPr>
        <w:spacing w:line="360" w:lineRule="auto"/>
        <w:rPr>
          <w:rFonts w:ascii="宋体" w:hAnsi="宋体" w:cs="宋体"/>
          <w:color w:val="auto"/>
          <w:highlight w:val="none"/>
        </w:rPr>
      </w:pPr>
      <w:bookmarkStart w:id="209" w:name="_Toc43475720"/>
      <w:bookmarkStart w:id="210" w:name="_Toc7432"/>
      <w:bookmarkStart w:id="211" w:name="_Toc11030"/>
      <w:r>
        <w:rPr>
          <w:rFonts w:hint="eastAsia" w:ascii="宋体" w:hAnsi="宋体" w:cs="宋体"/>
          <w:color w:val="auto"/>
          <w:highlight w:val="none"/>
        </w:rPr>
        <w:t>8.2对投标人的纪律要求</w:t>
      </w:r>
      <w:bookmarkEnd w:id="209"/>
      <w:bookmarkEnd w:id="210"/>
      <w:bookmarkEnd w:id="211"/>
    </w:p>
    <w:p w14:paraId="290FC092">
      <w:pPr>
        <w:pStyle w:val="58"/>
        <w:spacing w:line="360" w:lineRule="auto"/>
        <w:rPr>
          <w:rFonts w:ascii="宋体" w:hAnsi="宋体" w:cs="宋体"/>
          <w:color w:val="auto"/>
          <w:highlight w:val="none"/>
        </w:rPr>
      </w:pPr>
      <w:r>
        <w:rPr>
          <w:rFonts w:hint="eastAsia" w:ascii="宋体" w:hAnsi="宋体" w:cs="宋体"/>
          <w:color w:val="auto"/>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14:paraId="75DAA665">
      <w:pPr>
        <w:pStyle w:val="71"/>
        <w:numPr>
          <w:ilvl w:val="0"/>
          <w:numId w:val="0"/>
        </w:numPr>
        <w:spacing w:line="360" w:lineRule="auto"/>
        <w:rPr>
          <w:rFonts w:ascii="宋体" w:hAnsi="宋体" w:cs="宋体"/>
          <w:color w:val="auto"/>
          <w:highlight w:val="none"/>
        </w:rPr>
      </w:pPr>
      <w:bookmarkStart w:id="212" w:name="_Toc43475721"/>
      <w:bookmarkStart w:id="213" w:name="_Toc15026"/>
      <w:bookmarkStart w:id="214" w:name="_Toc23985"/>
      <w:r>
        <w:rPr>
          <w:rFonts w:hint="eastAsia" w:ascii="宋体" w:hAnsi="宋体" w:cs="宋体"/>
          <w:color w:val="auto"/>
          <w:highlight w:val="none"/>
        </w:rPr>
        <w:t>8.3对评标委员会成员的纪律要求</w:t>
      </w:r>
      <w:bookmarkEnd w:id="212"/>
      <w:bookmarkEnd w:id="213"/>
      <w:bookmarkEnd w:id="214"/>
    </w:p>
    <w:p w14:paraId="0357F691">
      <w:pPr>
        <w:pStyle w:val="58"/>
        <w:spacing w:line="360" w:lineRule="auto"/>
        <w:rPr>
          <w:rFonts w:ascii="宋体" w:hAnsi="宋体" w:cs="宋体"/>
          <w:color w:val="auto"/>
          <w:highlight w:val="none"/>
        </w:rPr>
      </w:pPr>
      <w:r>
        <w:rPr>
          <w:rFonts w:hint="eastAsia" w:ascii="宋体" w:hAnsi="宋体" w:cs="宋体"/>
          <w:color w:val="auto"/>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687BA3C1">
      <w:pPr>
        <w:pStyle w:val="71"/>
        <w:numPr>
          <w:ilvl w:val="0"/>
          <w:numId w:val="0"/>
        </w:numPr>
        <w:spacing w:line="360" w:lineRule="auto"/>
        <w:rPr>
          <w:rFonts w:ascii="宋体" w:hAnsi="宋体" w:cs="宋体"/>
          <w:color w:val="auto"/>
          <w:highlight w:val="none"/>
        </w:rPr>
      </w:pPr>
      <w:bookmarkStart w:id="215" w:name="_Toc20211"/>
      <w:bookmarkStart w:id="216" w:name="_Toc43475722"/>
      <w:bookmarkStart w:id="217" w:name="_Toc31858"/>
      <w:r>
        <w:rPr>
          <w:rFonts w:hint="eastAsia" w:ascii="宋体" w:hAnsi="宋体" w:cs="宋体"/>
          <w:color w:val="auto"/>
          <w:highlight w:val="none"/>
        </w:rPr>
        <w:t>8.4对与评标活动有关的工作人员的纪律要求</w:t>
      </w:r>
      <w:bookmarkEnd w:id="215"/>
      <w:bookmarkEnd w:id="216"/>
      <w:bookmarkEnd w:id="217"/>
    </w:p>
    <w:p w14:paraId="5C856216">
      <w:pPr>
        <w:pStyle w:val="58"/>
        <w:spacing w:line="360" w:lineRule="auto"/>
        <w:rPr>
          <w:rFonts w:ascii="宋体" w:hAnsi="宋体" w:cs="宋体"/>
          <w:color w:val="auto"/>
          <w:highlight w:val="none"/>
        </w:rPr>
      </w:pPr>
      <w:r>
        <w:rPr>
          <w:rFonts w:hint="eastAsia" w:ascii="宋体" w:hAnsi="宋体" w:cs="宋体"/>
          <w:color w:val="auto"/>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12413AE5">
      <w:pPr>
        <w:pStyle w:val="71"/>
        <w:numPr>
          <w:ilvl w:val="0"/>
          <w:numId w:val="0"/>
        </w:numPr>
        <w:spacing w:line="360" w:lineRule="auto"/>
        <w:rPr>
          <w:rFonts w:ascii="宋体" w:hAnsi="宋体" w:cs="宋体"/>
          <w:color w:val="auto"/>
          <w:highlight w:val="none"/>
        </w:rPr>
      </w:pPr>
      <w:bookmarkStart w:id="218" w:name="_Toc43475723"/>
      <w:bookmarkStart w:id="219" w:name="_Toc24359"/>
      <w:bookmarkStart w:id="220" w:name="_Toc22887"/>
      <w:r>
        <w:rPr>
          <w:rFonts w:hint="eastAsia" w:ascii="宋体" w:hAnsi="宋体" w:cs="宋体"/>
          <w:color w:val="auto"/>
          <w:highlight w:val="none"/>
        </w:rPr>
        <w:t>8.5投诉</w:t>
      </w:r>
      <w:bookmarkEnd w:id="218"/>
      <w:bookmarkEnd w:id="219"/>
      <w:bookmarkEnd w:id="220"/>
    </w:p>
    <w:p w14:paraId="2C14CB6F">
      <w:pPr>
        <w:pStyle w:val="58"/>
        <w:spacing w:line="360" w:lineRule="auto"/>
        <w:rPr>
          <w:rFonts w:ascii="宋体" w:hAnsi="宋体" w:cs="宋体"/>
          <w:color w:val="auto"/>
          <w:highlight w:val="none"/>
        </w:rPr>
      </w:pPr>
      <w:r>
        <w:rPr>
          <w:rFonts w:hint="eastAsia" w:ascii="宋体" w:hAnsi="宋体" w:cs="宋体"/>
          <w:color w:val="auto"/>
          <w:highlight w:val="none"/>
        </w:rPr>
        <w:t>8.5.1投标人或其他利害关系人认为招标投标活动不符合法律、行政法规规定的， 可以自知道或应当知道之日起 10 日内向有关行政监督部门投诉。投诉应有明确的请求和必要的证明材料。</w:t>
      </w:r>
    </w:p>
    <w:p w14:paraId="54FD3AFB">
      <w:pPr>
        <w:pStyle w:val="58"/>
        <w:spacing w:line="360" w:lineRule="auto"/>
        <w:rPr>
          <w:rFonts w:ascii="宋体" w:hAnsi="宋体" w:cs="宋体"/>
          <w:color w:val="auto"/>
          <w:highlight w:val="none"/>
        </w:rPr>
      </w:pPr>
      <w:r>
        <w:rPr>
          <w:rFonts w:hint="eastAsia" w:ascii="宋体" w:hAnsi="宋体" w:cs="宋体"/>
          <w:color w:val="auto"/>
          <w:highlight w:val="none"/>
        </w:rPr>
        <w:t>监督部门的联系方式见投标人须知前附表。</w:t>
      </w:r>
    </w:p>
    <w:p w14:paraId="6FAE8A82">
      <w:pPr>
        <w:pStyle w:val="58"/>
        <w:spacing w:line="360" w:lineRule="auto"/>
        <w:rPr>
          <w:rFonts w:ascii="宋体" w:hAnsi="宋体" w:cs="宋体"/>
          <w:color w:val="auto"/>
          <w:highlight w:val="none"/>
        </w:rPr>
      </w:pPr>
      <w:r>
        <w:rPr>
          <w:rFonts w:hint="eastAsia" w:ascii="宋体" w:hAnsi="宋体" w:cs="宋体"/>
          <w:color w:val="auto"/>
          <w:highlight w:val="none"/>
        </w:rPr>
        <w:t>8.5.2投标人或其他利害关系人对招标文件、开标和评标结果提出投诉的，应按照本章第 2.4 款、第 5.3 款和第 7.2 款的规定先向招标人提出异议。异议答复期间不计算在第 8.5.1 项规定的期限内。</w:t>
      </w:r>
    </w:p>
    <w:p w14:paraId="1C3E59F5">
      <w:pPr>
        <w:pStyle w:val="69"/>
        <w:spacing w:before="156"/>
        <w:rPr>
          <w:color w:val="auto"/>
          <w:highlight w:val="none"/>
        </w:rPr>
      </w:pPr>
      <w:bookmarkStart w:id="221" w:name="_Toc16397"/>
      <w:bookmarkStart w:id="222" w:name="_Toc18834"/>
      <w:bookmarkStart w:id="223" w:name="_Toc43475724"/>
      <w:r>
        <w:rPr>
          <w:rFonts w:hint="eastAsia"/>
          <w:color w:val="auto"/>
          <w:highlight w:val="none"/>
        </w:rPr>
        <w:t>是否采用电子招标投标</w:t>
      </w:r>
      <w:bookmarkEnd w:id="221"/>
      <w:bookmarkEnd w:id="222"/>
      <w:bookmarkEnd w:id="223"/>
    </w:p>
    <w:p w14:paraId="3A93ED4C">
      <w:pPr>
        <w:pStyle w:val="58"/>
        <w:spacing w:line="360" w:lineRule="auto"/>
        <w:rPr>
          <w:rFonts w:ascii="宋体" w:hAnsi="宋体" w:cs="宋体"/>
          <w:color w:val="auto"/>
          <w:highlight w:val="none"/>
        </w:rPr>
      </w:pPr>
      <w:r>
        <w:rPr>
          <w:rFonts w:hint="eastAsia" w:ascii="宋体" w:hAnsi="宋体" w:cs="宋体"/>
          <w:color w:val="auto"/>
          <w:highlight w:val="none"/>
        </w:rPr>
        <w:t>本招标项目是否采用电子招标投标方式，见投标人须知前附表。</w:t>
      </w:r>
    </w:p>
    <w:p w14:paraId="2AE02774">
      <w:pPr>
        <w:pStyle w:val="69"/>
        <w:spacing w:before="156"/>
        <w:rPr>
          <w:rFonts w:ascii="宋体" w:hAnsi="宋体" w:cs="宋体"/>
          <w:color w:val="auto"/>
          <w:highlight w:val="none"/>
        </w:rPr>
      </w:pPr>
      <w:bookmarkStart w:id="224" w:name="_Toc43475725"/>
      <w:bookmarkStart w:id="225" w:name="_Toc22521"/>
      <w:bookmarkStart w:id="226" w:name="_Toc29544"/>
      <w:r>
        <w:rPr>
          <w:rFonts w:hint="eastAsia" w:ascii="宋体" w:hAnsi="宋体" w:cs="宋体"/>
          <w:color w:val="auto"/>
          <w:highlight w:val="none"/>
        </w:rPr>
        <w:t>需要补充的其他内容</w:t>
      </w:r>
      <w:bookmarkEnd w:id="224"/>
      <w:bookmarkEnd w:id="225"/>
      <w:bookmarkEnd w:id="226"/>
    </w:p>
    <w:p w14:paraId="33B1E94A">
      <w:pPr>
        <w:pStyle w:val="58"/>
        <w:spacing w:line="360" w:lineRule="auto"/>
        <w:rPr>
          <w:rFonts w:ascii="宋体" w:hAnsi="宋体" w:cs="宋体"/>
          <w:color w:val="auto"/>
          <w:highlight w:val="none"/>
        </w:rPr>
      </w:pPr>
      <w:r>
        <w:rPr>
          <w:rFonts w:hint="eastAsia" w:ascii="宋体" w:hAnsi="宋体" w:cs="宋体"/>
          <w:color w:val="auto"/>
          <w:highlight w:val="none"/>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14:paraId="7FA6DD3C">
      <w:pPr>
        <w:pStyle w:val="58"/>
        <w:spacing w:line="360" w:lineRule="auto"/>
        <w:ind w:firstLine="0" w:firstLineChars="0"/>
        <w:rPr>
          <w:rFonts w:ascii="宋体" w:hAnsi="宋体" w:cs="宋体"/>
          <w:color w:val="auto"/>
          <w:highlight w:val="none"/>
        </w:rPr>
      </w:pPr>
      <w:r>
        <w:rPr>
          <w:rFonts w:hint="eastAsia" w:ascii="宋体" w:hAnsi="宋体" w:cs="宋体"/>
          <w:color w:val="auto"/>
          <w:highlight w:val="none"/>
        </w:rPr>
        <w:t>需要补充的其他内容：见投标人须知前附表。</w:t>
      </w:r>
    </w:p>
    <w:p w14:paraId="0851734A">
      <w:pPr>
        <w:pStyle w:val="58"/>
        <w:spacing w:line="360" w:lineRule="auto"/>
        <w:ind w:firstLine="0" w:firstLineChars="0"/>
        <w:rPr>
          <w:rFonts w:ascii="宋体" w:hAnsi="宋体" w:cs="宋体"/>
          <w:color w:val="auto"/>
          <w:highlight w:val="none"/>
        </w:rPr>
      </w:pPr>
    </w:p>
    <w:p w14:paraId="3F1A560B">
      <w:pPr>
        <w:pStyle w:val="58"/>
        <w:rPr>
          <w:rFonts w:ascii="宋体" w:hAnsi="宋体" w:cs="宋体"/>
          <w:color w:val="auto"/>
          <w:highlight w:val="none"/>
        </w:rPr>
      </w:pPr>
    </w:p>
    <w:p w14:paraId="5358D7B9">
      <w:pPr>
        <w:pStyle w:val="58"/>
        <w:ind w:firstLine="0" w:firstLineChars="0"/>
        <w:rPr>
          <w:rFonts w:ascii="宋体" w:hAnsi="宋体" w:cs="宋体"/>
          <w:color w:val="auto"/>
          <w:highlight w:val="none"/>
        </w:rPr>
        <w:sectPr>
          <w:pgSz w:w="11906" w:h="16838"/>
          <w:pgMar w:top="1134" w:right="1134" w:bottom="1134" w:left="1134" w:header="851" w:footer="992" w:gutter="0"/>
          <w:cols w:space="720" w:num="1"/>
          <w:docGrid w:type="lines" w:linePitch="312" w:charSpace="0"/>
        </w:sectPr>
      </w:pPr>
    </w:p>
    <w:p w14:paraId="28BD5B12">
      <w:pPr>
        <w:pStyle w:val="69"/>
        <w:numPr>
          <w:ilvl w:val="1"/>
          <w:numId w:val="0"/>
        </w:numPr>
        <w:spacing w:before="156" w:line="360" w:lineRule="auto"/>
        <w:outlineLvl w:val="2"/>
        <w:rPr>
          <w:rFonts w:ascii="宋体" w:hAnsi="宋体" w:cs="宋体"/>
          <w:color w:val="auto"/>
          <w:highlight w:val="none"/>
        </w:rPr>
      </w:pPr>
      <w:bookmarkStart w:id="227" w:name="_Toc43475726"/>
      <w:bookmarkStart w:id="228" w:name="_Toc8014"/>
      <w:bookmarkStart w:id="229" w:name="_Toc19478"/>
      <w:r>
        <w:rPr>
          <w:rFonts w:hint="eastAsia" w:ascii="宋体" w:hAnsi="宋体" w:cs="宋体"/>
          <w:color w:val="auto"/>
          <w:highlight w:val="none"/>
        </w:rPr>
        <w:t>附件一：开标记录表</w:t>
      </w:r>
      <w:bookmarkEnd w:id="227"/>
      <w:bookmarkEnd w:id="228"/>
      <w:bookmarkEnd w:id="229"/>
    </w:p>
    <w:p w14:paraId="3EC37D44">
      <w:pPr>
        <w:pStyle w:val="58"/>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u w:val="single"/>
        </w:rPr>
        <w:t xml:space="preserve">（项目名称） </w:t>
      </w:r>
      <w:r>
        <w:rPr>
          <w:rFonts w:hint="eastAsia" w:ascii="宋体" w:hAnsi="宋体" w:cs="宋体"/>
          <w:b/>
          <w:bCs/>
          <w:color w:val="auto"/>
          <w:sz w:val="30"/>
          <w:szCs w:val="30"/>
          <w:highlight w:val="none"/>
        </w:rPr>
        <w:t>第一个信封（商务及技术文件）</w:t>
      </w:r>
    </w:p>
    <w:p w14:paraId="366C511B">
      <w:pPr>
        <w:pStyle w:val="58"/>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开标记录表</w:t>
      </w:r>
    </w:p>
    <w:p w14:paraId="2AC44319">
      <w:pPr>
        <w:pStyle w:val="58"/>
        <w:spacing w:line="360" w:lineRule="auto"/>
        <w:ind w:firstLine="0" w:firstLineChars="0"/>
        <w:jc w:val="right"/>
        <w:rPr>
          <w:rFonts w:ascii="宋体" w:hAnsi="宋体" w:cs="宋体"/>
          <w:color w:val="auto"/>
          <w:highlight w:val="none"/>
        </w:rPr>
      </w:pPr>
      <w:r>
        <w:rPr>
          <w:rFonts w:hint="eastAsia" w:ascii="宋体" w:hAnsi="宋体" w:cs="宋体"/>
          <w:color w:val="auto"/>
          <w:highlight w:val="none"/>
        </w:rPr>
        <w:t>开标时间：年＿月＿日＿时＿分</w:t>
      </w:r>
    </w:p>
    <w:tbl>
      <w:tblPr>
        <w:tblStyle w:val="42"/>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14:paraId="5A85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66514442">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439" w:type="dxa"/>
            <w:vAlign w:val="center"/>
          </w:tcPr>
          <w:p w14:paraId="37A0C692">
            <w:pPr>
              <w:spacing w:line="360" w:lineRule="auto"/>
              <w:jc w:val="center"/>
              <w:rPr>
                <w:rFonts w:ascii="宋体" w:hAnsi="宋体" w:cs="宋体"/>
                <w:color w:val="auto"/>
                <w:highlight w:val="none"/>
              </w:rPr>
            </w:pPr>
            <w:r>
              <w:rPr>
                <w:rFonts w:hint="eastAsia" w:ascii="宋体" w:hAnsi="宋体" w:cs="宋体"/>
                <w:color w:val="auto"/>
                <w:highlight w:val="none"/>
              </w:rPr>
              <w:t>投标人</w:t>
            </w:r>
          </w:p>
        </w:tc>
        <w:tc>
          <w:tcPr>
            <w:tcW w:w="1641" w:type="dxa"/>
            <w:vAlign w:val="center"/>
          </w:tcPr>
          <w:p w14:paraId="5F44D724">
            <w:pPr>
              <w:spacing w:line="360" w:lineRule="auto"/>
              <w:jc w:val="center"/>
              <w:rPr>
                <w:rFonts w:ascii="宋体" w:hAnsi="宋体" w:cs="宋体"/>
                <w:color w:val="auto"/>
                <w:highlight w:val="none"/>
              </w:rPr>
            </w:pPr>
            <w:r>
              <w:rPr>
                <w:rFonts w:hint="eastAsia" w:ascii="宋体" w:hAnsi="宋体" w:cs="宋体"/>
                <w:color w:val="auto"/>
                <w:highlight w:val="none"/>
              </w:rPr>
              <w:t>密封情况</w:t>
            </w:r>
          </w:p>
        </w:tc>
        <w:tc>
          <w:tcPr>
            <w:tcW w:w="1971" w:type="dxa"/>
            <w:vAlign w:val="center"/>
          </w:tcPr>
          <w:p w14:paraId="45F689E3">
            <w:pPr>
              <w:spacing w:line="360" w:lineRule="auto"/>
              <w:jc w:val="center"/>
              <w:rPr>
                <w:rFonts w:ascii="宋体" w:hAnsi="宋体" w:cs="宋体"/>
                <w:color w:val="auto"/>
                <w:highlight w:val="none"/>
              </w:rPr>
            </w:pPr>
            <w:r>
              <w:rPr>
                <w:rFonts w:hint="eastAsia" w:ascii="宋体" w:hAnsi="宋体" w:cs="宋体"/>
                <w:color w:val="auto"/>
                <w:highlight w:val="none"/>
              </w:rPr>
              <w:t>投标保证金</w:t>
            </w:r>
          </w:p>
          <w:p w14:paraId="681B62D1">
            <w:pPr>
              <w:spacing w:line="360" w:lineRule="auto"/>
              <w:jc w:val="center"/>
              <w:rPr>
                <w:rFonts w:ascii="宋体" w:hAnsi="宋体" w:cs="宋体"/>
                <w:color w:val="auto"/>
                <w:highlight w:val="none"/>
              </w:rPr>
            </w:pPr>
            <w:r>
              <w:rPr>
                <w:rFonts w:hint="eastAsia" w:ascii="宋体" w:hAnsi="宋体" w:cs="宋体"/>
                <w:color w:val="auto"/>
                <w:highlight w:val="none"/>
              </w:rPr>
              <w:t>递交情况</w:t>
            </w:r>
          </w:p>
        </w:tc>
        <w:tc>
          <w:tcPr>
            <w:tcW w:w="986" w:type="dxa"/>
            <w:vAlign w:val="center"/>
          </w:tcPr>
          <w:p w14:paraId="5088F0AC">
            <w:pPr>
              <w:spacing w:line="360" w:lineRule="auto"/>
              <w:jc w:val="center"/>
              <w:rPr>
                <w:rFonts w:ascii="宋体" w:hAnsi="宋体" w:cs="宋体"/>
                <w:color w:val="auto"/>
                <w:highlight w:val="none"/>
              </w:rPr>
            </w:pPr>
            <w:r>
              <w:rPr>
                <w:rFonts w:hint="eastAsia" w:ascii="宋体" w:hAnsi="宋体" w:cs="宋体"/>
                <w:color w:val="auto"/>
                <w:highlight w:val="none"/>
              </w:rPr>
              <w:t>质量</w:t>
            </w:r>
          </w:p>
          <w:p w14:paraId="7F774E02">
            <w:pPr>
              <w:spacing w:line="360" w:lineRule="auto"/>
              <w:jc w:val="center"/>
              <w:rPr>
                <w:rFonts w:ascii="宋体" w:hAnsi="宋体" w:cs="宋体"/>
                <w:color w:val="auto"/>
                <w:highlight w:val="none"/>
              </w:rPr>
            </w:pPr>
            <w:r>
              <w:rPr>
                <w:rFonts w:hint="eastAsia" w:ascii="宋体" w:hAnsi="宋体" w:cs="宋体"/>
                <w:color w:val="auto"/>
                <w:highlight w:val="none"/>
              </w:rPr>
              <w:t>目标</w:t>
            </w:r>
          </w:p>
        </w:tc>
        <w:tc>
          <w:tcPr>
            <w:tcW w:w="841" w:type="dxa"/>
            <w:vAlign w:val="center"/>
          </w:tcPr>
          <w:p w14:paraId="33F01ABC">
            <w:pPr>
              <w:spacing w:line="360" w:lineRule="auto"/>
              <w:jc w:val="center"/>
              <w:rPr>
                <w:rFonts w:ascii="宋体" w:hAnsi="宋体" w:cs="宋体"/>
                <w:color w:val="auto"/>
                <w:highlight w:val="none"/>
              </w:rPr>
            </w:pPr>
            <w:r>
              <w:rPr>
                <w:rFonts w:hint="eastAsia" w:ascii="宋体" w:hAnsi="宋体" w:cs="宋体"/>
                <w:color w:val="auto"/>
                <w:highlight w:val="none"/>
              </w:rPr>
              <w:t>工期</w:t>
            </w:r>
          </w:p>
        </w:tc>
        <w:tc>
          <w:tcPr>
            <w:tcW w:w="1241" w:type="dxa"/>
            <w:vAlign w:val="center"/>
          </w:tcPr>
          <w:p w14:paraId="7835827B">
            <w:pPr>
              <w:spacing w:line="360" w:lineRule="auto"/>
              <w:jc w:val="center"/>
              <w:rPr>
                <w:rFonts w:ascii="宋体" w:hAnsi="宋体" w:cs="宋体"/>
                <w:color w:val="auto"/>
                <w:highlight w:val="none"/>
              </w:rPr>
            </w:pPr>
            <w:r>
              <w:rPr>
                <w:rFonts w:hint="eastAsia" w:ascii="宋体" w:hAnsi="宋体" w:cs="宋体"/>
                <w:color w:val="auto"/>
                <w:highlight w:val="none"/>
              </w:rPr>
              <w:t>备注</w:t>
            </w:r>
          </w:p>
        </w:tc>
        <w:tc>
          <w:tcPr>
            <w:tcW w:w="1241" w:type="dxa"/>
          </w:tcPr>
          <w:p w14:paraId="7A4A623B">
            <w:pPr>
              <w:pStyle w:val="80"/>
              <w:rPr>
                <w:rFonts w:ascii="Calibri" w:hAnsi="Calibri"/>
                <w:color w:val="auto"/>
                <w:sz w:val="20"/>
                <w:highlight w:val="none"/>
              </w:rPr>
            </w:pPr>
          </w:p>
          <w:p w14:paraId="2C437ABC">
            <w:pPr>
              <w:spacing w:line="360" w:lineRule="auto"/>
              <w:jc w:val="center"/>
              <w:rPr>
                <w:rFonts w:ascii="宋体" w:hAnsi="宋体" w:cs="宋体"/>
                <w:color w:val="auto"/>
                <w:highlight w:val="none"/>
              </w:rPr>
            </w:pPr>
            <w:r>
              <w:rPr>
                <w:rFonts w:hint="eastAsia" w:ascii="宋体" w:hAnsi="宋体" w:cs="宋体"/>
                <w:color w:val="auto"/>
                <w:highlight w:val="none"/>
              </w:rPr>
              <w:t>投标人代表签名</w:t>
            </w:r>
          </w:p>
        </w:tc>
      </w:tr>
      <w:tr w14:paraId="20C6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7A24DBBE">
            <w:pPr>
              <w:pStyle w:val="58"/>
              <w:spacing w:line="360" w:lineRule="auto"/>
              <w:ind w:firstLine="0" w:firstLineChars="0"/>
              <w:jc w:val="center"/>
              <w:rPr>
                <w:rFonts w:ascii="宋体" w:hAnsi="宋体" w:cs="宋体"/>
                <w:color w:val="auto"/>
                <w:highlight w:val="none"/>
              </w:rPr>
            </w:pPr>
          </w:p>
        </w:tc>
        <w:tc>
          <w:tcPr>
            <w:tcW w:w="1439" w:type="dxa"/>
            <w:vAlign w:val="center"/>
          </w:tcPr>
          <w:p w14:paraId="23043068">
            <w:pPr>
              <w:pStyle w:val="58"/>
              <w:spacing w:line="360" w:lineRule="auto"/>
              <w:ind w:firstLine="0" w:firstLineChars="0"/>
              <w:jc w:val="center"/>
              <w:rPr>
                <w:rFonts w:ascii="宋体" w:hAnsi="宋体" w:cs="宋体"/>
                <w:color w:val="auto"/>
                <w:highlight w:val="none"/>
              </w:rPr>
            </w:pPr>
          </w:p>
        </w:tc>
        <w:tc>
          <w:tcPr>
            <w:tcW w:w="1641" w:type="dxa"/>
            <w:vAlign w:val="center"/>
          </w:tcPr>
          <w:p w14:paraId="16AC7DCC">
            <w:pPr>
              <w:pStyle w:val="58"/>
              <w:spacing w:line="360" w:lineRule="auto"/>
              <w:ind w:firstLine="0" w:firstLineChars="0"/>
              <w:jc w:val="center"/>
              <w:rPr>
                <w:rFonts w:ascii="宋体" w:hAnsi="宋体" w:cs="宋体"/>
                <w:color w:val="auto"/>
                <w:highlight w:val="none"/>
              </w:rPr>
            </w:pPr>
          </w:p>
        </w:tc>
        <w:tc>
          <w:tcPr>
            <w:tcW w:w="1971" w:type="dxa"/>
            <w:vAlign w:val="center"/>
          </w:tcPr>
          <w:p w14:paraId="6C4D0C5F">
            <w:pPr>
              <w:pStyle w:val="58"/>
              <w:spacing w:line="360" w:lineRule="auto"/>
              <w:ind w:firstLine="0" w:firstLineChars="0"/>
              <w:jc w:val="center"/>
              <w:rPr>
                <w:rFonts w:ascii="宋体" w:hAnsi="宋体" w:cs="宋体"/>
                <w:color w:val="auto"/>
                <w:highlight w:val="none"/>
              </w:rPr>
            </w:pPr>
          </w:p>
        </w:tc>
        <w:tc>
          <w:tcPr>
            <w:tcW w:w="986" w:type="dxa"/>
            <w:vAlign w:val="center"/>
          </w:tcPr>
          <w:p w14:paraId="2F4AABEA">
            <w:pPr>
              <w:pStyle w:val="58"/>
              <w:spacing w:line="360" w:lineRule="auto"/>
              <w:ind w:firstLine="0" w:firstLineChars="0"/>
              <w:jc w:val="center"/>
              <w:rPr>
                <w:rFonts w:ascii="宋体" w:hAnsi="宋体" w:cs="宋体"/>
                <w:color w:val="auto"/>
                <w:highlight w:val="none"/>
              </w:rPr>
            </w:pPr>
          </w:p>
        </w:tc>
        <w:tc>
          <w:tcPr>
            <w:tcW w:w="841" w:type="dxa"/>
            <w:vAlign w:val="center"/>
          </w:tcPr>
          <w:p w14:paraId="718CB5F7">
            <w:pPr>
              <w:pStyle w:val="58"/>
              <w:spacing w:line="360" w:lineRule="auto"/>
              <w:ind w:firstLine="0" w:firstLineChars="0"/>
              <w:jc w:val="center"/>
              <w:rPr>
                <w:rFonts w:ascii="宋体" w:hAnsi="宋体" w:cs="宋体"/>
                <w:color w:val="auto"/>
                <w:highlight w:val="none"/>
              </w:rPr>
            </w:pPr>
          </w:p>
        </w:tc>
        <w:tc>
          <w:tcPr>
            <w:tcW w:w="1241" w:type="dxa"/>
            <w:vAlign w:val="center"/>
          </w:tcPr>
          <w:p w14:paraId="58A7D27F">
            <w:pPr>
              <w:pStyle w:val="58"/>
              <w:spacing w:line="360" w:lineRule="auto"/>
              <w:ind w:firstLine="0" w:firstLineChars="0"/>
              <w:jc w:val="center"/>
              <w:rPr>
                <w:rFonts w:ascii="宋体" w:hAnsi="宋体" w:cs="宋体"/>
                <w:color w:val="auto"/>
                <w:highlight w:val="none"/>
              </w:rPr>
            </w:pPr>
          </w:p>
        </w:tc>
        <w:tc>
          <w:tcPr>
            <w:tcW w:w="1241" w:type="dxa"/>
            <w:vAlign w:val="center"/>
          </w:tcPr>
          <w:p w14:paraId="367AC915">
            <w:pPr>
              <w:pStyle w:val="58"/>
              <w:spacing w:line="360" w:lineRule="auto"/>
              <w:ind w:firstLine="0" w:firstLineChars="0"/>
              <w:jc w:val="center"/>
              <w:rPr>
                <w:rFonts w:ascii="宋体" w:hAnsi="宋体" w:cs="宋体"/>
                <w:color w:val="auto"/>
                <w:highlight w:val="none"/>
              </w:rPr>
            </w:pPr>
          </w:p>
        </w:tc>
      </w:tr>
      <w:tr w14:paraId="31AF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740BCA77">
            <w:pPr>
              <w:pStyle w:val="58"/>
              <w:spacing w:line="360" w:lineRule="auto"/>
              <w:ind w:firstLine="0" w:firstLineChars="0"/>
              <w:jc w:val="center"/>
              <w:rPr>
                <w:rFonts w:ascii="宋体" w:hAnsi="宋体" w:cs="宋体"/>
                <w:color w:val="auto"/>
                <w:highlight w:val="none"/>
              </w:rPr>
            </w:pPr>
          </w:p>
        </w:tc>
        <w:tc>
          <w:tcPr>
            <w:tcW w:w="1439" w:type="dxa"/>
            <w:vAlign w:val="center"/>
          </w:tcPr>
          <w:p w14:paraId="697E3977">
            <w:pPr>
              <w:pStyle w:val="58"/>
              <w:spacing w:line="360" w:lineRule="auto"/>
              <w:ind w:firstLine="0" w:firstLineChars="0"/>
              <w:jc w:val="center"/>
              <w:rPr>
                <w:rFonts w:ascii="宋体" w:hAnsi="宋体" w:cs="宋体"/>
                <w:color w:val="auto"/>
                <w:highlight w:val="none"/>
              </w:rPr>
            </w:pPr>
          </w:p>
        </w:tc>
        <w:tc>
          <w:tcPr>
            <w:tcW w:w="1641" w:type="dxa"/>
            <w:vAlign w:val="center"/>
          </w:tcPr>
          <w:p w14:paraId="02A55ADA">
            <w:pPr>
              <w:pStyle w:val="58"/>
              <w:spacing w:line="360" w:lineRule="auto"/>
              <w:ind w:firstLine="0" w:firstLineChars="0"/>
              <w:jc w:val="center"/>
              <w:rPr>
                <w:rFonts w:ascii="宋体" w:hAnsi="宋体" w:cs="宋体"/>
                <w:color w:val="auto"/>
                <w:highlight w:val="none"/>
              </w:rPr>
            </w:pPr>
          </w:p>
        </w:tc>
        <w:tc>
          <w:tcPr>
            <w:tcW w:w="1971" w:type="dxa"/>
            <w:vAlign w:val="center"/>
          </w:tcPr>
          <w:p w14:paraId="77596490">
            <w:pPr>
              <w:pStyle w:val="58"/>
              <w:spacing w:line="360" w:lineRule="auto"/>
              <w:ind w:firstLine="0" w:firstLineChars="0"/>
              <w:jc w:val="center"/>
              <w:rPr>
                <w:rFonts w:ascii="宋体" w:hAnsi="宋体" w:cs="宋体"/>
                <w:color w:val="auto"/>
                <w:highlight w:val="none"/>
              </w:rPr>
            </w:pPr>
          </w:p>
        </w:tc>
        <w:tc>
          <w:tcPr>
            <w:tcW w:w="986" w:type="dxa"/>
            <w:vAlign w:val="center"/>
          </w:tcPr>
          <w:p w14:paraId="7B008F3D">
            <w:pPr>
              <w:pStyle w:val="58"/>
              <w:spacing w:line="360" w:lineRule="auto"/>
              <w:ind w:firstLine="0" w:firstLineChars="0"/>
              <w:jc w:val="center"/>
              <w:rPr>
                <w:rFonts w:ascii="宋体" w:hAnsi="宋体" w:cs="宋体"/>
                <w:color w:val="auto"/>
                <w:highlight w:val="none"/>
              </w:rPr>
            </w:pPr>
          </w:p>
        </w:tc>
        <w:tc>
          <w:tcPr>
            <w:tcW w:w="841" w:type="dxa"/>
            <w:vAlign w:val="center"/>
          </w:tcPr>
          <w:p w14:paraId="64BFFFC8">
            <w:pPr>
              <w:pStyle w:val="58"/>
              <w:spacing w:line="360" w:lineRule="auto"/>
              <w:ind w:firstLine="0" w:firstLineChars="0"/>
              <w:jc w:val="center"/>
              <w:rPr>
                <w:rFonts w:ascii="宋体" w:hAnsi="宋体" w:cs="宋体"/>
                <w:color w:val="auto"/>
                <w:highlight w:val="none"/>
              </w:rPr>
            </w:pPr>
          </w:p>
        </w:tc>
        <w:tc>
          <w:tcPr>
            <w:tcW w:w="1241" w:type="dxa"/>
            <w:vAlign w:val="center"/>
          </w:tcPr>
          <w:p w14:paraId="3073E2F4">
            <w:pPr>
              <w:pStyle w:val="58"/>
              <w:spacing w:line="360" w:lineRule="auto"/>
              <w:ind w:firstLine="0" w:firstLineChars="0"/>
              <w:jc w:val="center"/>
              <w:rPr>
                <w:rFonts w:ascii="宋体" w:hAnsi="宋体" w:cs="宋体"/>
                <w:color w:val="auto"/>
                <w:highlight w:val="none"/>
              </w:rPr>
            </w:pPr>
          </w:p>
        </w:tc>
        <w:tc>
          <w:tcPr>
            <w:tcW w:w="1241" w:type="dxa"/>
            <w:vAlign w:val="center"/>
          </w:tcPr>
          <w:p w14:paraId="2D19904E">
            <w:pPr>
              <w:pStyle w:val="58"/>
              <w:spacing w:line="360" w:lineRule="auto"/>
              <w:ind w:firstLine="0" w:firstLineChars="0"/>
              <w:jc w:val="center"/>
              <w:rPr>
                <w:rFonts w:ascii="宋体" w:hAnsi="宋体" w:cs="宋体"/>
                <w:color w:val="auto"/>
                <w:highlight w:val="none"/>
              </w:rPr>
            </w:pPr>
          </w:p>
        </w:tc>
      </w:tr>
      <w:tr w14:paraId="6B2C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6F79DCB9">
            <w:pPr>
              <w:pStyle w:val="58"/>
              <w:spacing w:line="360" w:lineRule="auto"/>
              <w:ind w:firstLine="0" w:firstLineChars="0"/>
              <w:jc w:val="center"/>
              <w:rPr>
                <w:rFonts w:ascii="宋体" w:hAnsi="宋体" w:cs="宋体"/>
                <w:color w:val="auto"/>
                <w:highlight w:val="none"/>
              </w:rPr>
            </w:pPr>
          </w:p>
        </w:tc>
        <w:tc>
          <w:tcPr>
            <w:tcW w:w="1439" w:type="dxa"/>
            <w:vAlign w:val="center"/>
          </w:tcPr>
          <w:p w14:paraId="4C6792C8">
            <w:pPr>
              <w:pStyle w:val="58"/>
              <w:spacing w:line="360" w:lineRule="auto"/>
              <w:ind w:firstLine="0" w:firstLineChars="0"/>
              <w:jc w:val="center"/>
              <w:rPr>
                <w:rFonts w:ascii="宋体" w:hAnsi="宋体" w:cs="宋体"/>
                <w:color w:val="auto"/>
                <w:highlight w:val="none"/>
              </w:rPr>
            </w:pPr>
          </w:p>
        </w:tc>
        <w:tc>
          <w:tcPr>
            <w:tcW w:w="1641" w:type="dxa"/>
            <w:vAlign w:val="center"/>
          </w:tcPr>
          <w:p w14:paraId="13CE4AC6">
            <w:pPr>
              <w:pStyle w:val="58"/>
              <w:spacing w:line="360" w:lineRule="auto"/>
              <w:ind w:firstLine="0" w:firstLineChars="0"/>
              <w:jc w:val="center"/>
              <w:rPr>
                <w:rFonts w:ascii="宋体" w:hAnsi="宋体" w:cs="宋体"/>
                <w:color w:val="auto"/>
                <w:highlight w:val="none"/>
              </w:rPr>
            </w:pPr>
          </w:p>
        </w:tc>
        <w:tc>
          <w:tcPr>
            <w:tcW w:w="1971" w:type="dxa"/>
            <w:vAlign w:val="center"/>
          </w:tcPr>
          <w:p w14:paraId="0C3F4768">
            <w:pPr>
              <w:pStyle w:val="58"/>
              <w:spacing w:line="360" w:lineRule="auto"/>
              <w:ind w:firstLine="0" w:firstLineChars="0"/>
              <w:jc w:val="center"/>
              <w:rPr>
                <w:rFonts w:ascii="宋体" w:hAnsi="宋体" w:cs="宋体"/>
                <w:color w:val="auto"/>
                <w:highlight w:val="none"/>
              </w:rPr>
            </w:pPr>
          </w:p>
        </w:tc>
        <w:tc>
          <w:tcPr>
            <w:tcW w:w="986" w:type="dxa"/>
            <w:vAlign w:val="center"/>
          </w:tcPr>
          <w:p w14:paraId="4CB37FEF">
            <w:pPr>
              <w:pStyle w:val="58"/>
              <w:spacing w:line="360" w:lineRule="auto"/>
              <w:ind w:firstLine="0" w:firstLineChars="0"/>
              <w:jc w:val="center"/>
              <w:rPr>
                <w:rFonts w:ascii="宋体" w:hAnsi="宋体" w:cs="宋体"/>
                <w:color w:val="auto"/>
                <w:highlight w:val="none"/>
              </w:rPr>
            </w:pPr>
          </w:p>
        </w:tc>
        <w:tc>
          <w:tcPr>
            <w:tcW w:w="841" w:type="dxa"/>
            <w:vAlign w:val="center"/>
          </w:tcPr>
          <w:p w14:paraId="1FFBE1EB">
            <w:pPr>
              <w:pStyle w:val="58"/>
              <w:spacing w:line="360" w:lineRule="auto"/>
              <w:ind w:firstLine="0" w:firstLineChars="0"/>
              <w:jc w:val="center"/>
              <w:rPr>
                <w:rFonts w:ascii="宋体" w:hAnsi="宋体" w:cs="宋体"/>
                <w:color w:val="auto"/>
                <w:highlight w:val="none"/>
              </w:rPr>
            </w:pPr>
          </w:p>
        </w:tc>
        <w:tc>
          <w:tcPr>
            <w:tcW w:w="1241" w:type="dxa"/>
            <w:vAlign w:val="center"/>
          </w:tcPr>
          <w:p w14:paraId="495EDDE0">
            <w:pPr>
              <w:pStyle w:val="58"/>
              <w:spacing w:line="360" w:lineRule="auto"/>
              <w:ind w:firstLine="0" w:firstLineChars="0"/>
              <w:jc w:val="center"/>
              <w:rPr>
                <w:rFonts w:ascii="宋体" w:hAnsi="宋体" w:cs="宋体"/>
                <w:color w:val="auto"/>
                <w:highlight w:val="none"/>
              </w:rPr>
            </w:pPr>
          </w:p>
        </w:tc>
        <w:tc>
          <w:tcPr>
            <w:tcW w:w="1241" w:type="dxa"/>
            <w:vAlign w:val="center"/>
          </w:tcPr>
          <w:p w14:paraId="7FDD7EDA">
            <w:pPr>
              <w:pStyle w:val="58"/>
              <w:spacing w:line="360" w:lineRule="auto"/>
              <w:ind w:firstLine="0" w:firstLineChars="0"/>
              <w:jc w:val="center"/>
              <w:rPr>
                <w:rFonts w:ascii="宋体" w:hAnsi="宋体" w:cs="宋体"/>
                <w:color w:val="auto"/>
                <w:highlight w:val="none"/>
              </w:rPr>
            </w:pPr>
          </w:p>
        </w:tc>
      </w:tr>
      <w:tr w14:paraId="666F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6D96E1E6">
            <w:pPr>
              <w:pStyle w:val="58"/>
              <w:spacing w:line="360" w:lineRule="auto"/>
              <w:ind w:firstLine="0" w:firstLineChars="0"/>
              <w:jc w:val="center"/>
              <w:rPr>
                <w:rFonts w:ascii="宋体" w:hAnsi="宋体" w:cs="宋体"/>
                <w:color w:val="auto"/>
                <w:highlight w:val="none"/>
              </w:rPr>
            </w:pPr>
          </w:p>
        </w:tc>
        <w:tc>
          <w:tcPr>
            <w:tcW w:w="1439" w:type="dxa"/>
            <w:vAlign w:val="center"/>
          </w:tcPr>
          <w:p w14:paraId="65BF54E2">
            <w:pPr>
              <w:pStyle w:val="58"/>
              <w:spacing w:line="360" w:lineRule="auto"/>
              <w:ind w:firstLine="0" w:firstLineChars="0"/>
              <w:jc w:val="center"/>
              <w:rPr>
                <w:rFonts w:ascii="宋体" w:hAnsi="宋体" w:cs="宋体"/>
                <w:color w:val="auto"/>
                <w:highlight w:val="none"/>
              </w:rPr>
            </w:pPr>
          </w:p>
        </w:tc>
        <w:tc>
          <w:tcPr>
            <w:tcW w:w="1641" w:type="dxa"/>
            <w:vAlign w:val="center"/>
          </w:tcPr>
          <w:p w14:paraId="11B644C3">
            <w:pPr>
              <w:pStyle w:val="58"/>
              <w:spacing w:line="360" w:lineRule="auto"/>
              <w:ind w:firstLine="0" w:firstLineChars="0"/>
              <w:jc w:val="center"/>
              <w:rPr>
                <w:rFonts w:ascii="宋体" w:hAnsi="宋体" w:cs="宋体"/>
                <w:color w:val="auto"/>
                <w:highlight w:val="none"/>
              </w:rPr>
            </w:pPr>
          </w:p>
        </w:tc>
        <w:tc>
          <w:tcPr>
            <w:tcW w:w="1971" w:type="dxa"/>
            <w:vAlign w:val="center"/>
          </w:tcPr>
          <w:p w14:paraId="73338462">
            <w:pPr>
              <w:pStyle w:val="58"/>
              <w:spacing w:line="360" w:lineRule="auto"/>
              <w:ind w:firstLine="0" w:firstLineChars="0"/>
              <w:jc w:val="center"/>
              <w:rPr>
                <w:rFonts w:ascii="宋体" w:hAnsi="宋体" w:cs="宋体"/>
                <w:color w:val="auto"/>
                <w:highlight w:val="none"/>
              </w:rPr>
            </w:pPr>
          </w:p>
        </w:tc>
        <w:tc>
          <w:tcPr>
            <w:tcW w:w="986" w:type="dxa"/>
            <w:vAlign w:val="center"/>
          </w:tcPr>
          <w:p w14:paraId="5591C9EF">
            <w:pPr>
              <w:pStyle w:val="58"/>
              <w:spacing w:line="360" w:lineRule="auto"/>
              <w:ind w:firstLine="0" w:firstLineChars="0"/>
              <w:jc w:val="center"/>
              <w:rPr>
                <w:rFonts w:ascii="宋体" w:hAnsi="宋体" w:cs="宋体"/>
                <w:color w:val="auto"/>
                <w:highlight w:val="none"/>
              </w:rPr>
            </w:pPr>
          </w:p>
        </w:tc>
        <w:tc>
          <w:tcPr>
            <w:tcW w:w="841" w:type="dxa"/>
            <w:vAlign w:val="center"/>
          </w:tcPr>
          <w:p w14:paraId="0E6A2115">
            <w:pPr>
              <w:pStyle w:val="58"/>
              <w:spacing w:line="360" w:lineRule="auto"/>
              <w:ind w:firstLine="0" w:firstLineChars="0"/>
              <w:jc w:val="center"/>
              <w:rPr>
                <w:rFonts w:ascii="宋体" w:hAnsi="宋体" w:cs="宋体"/>
                <w:color w:val="auto"/>
                <w:highlight w:val="none"/>
              </w:rPr>
            </w:pPr>
          </w:p>
        </w:tc>
        <w:tc>
          <w:tcPr>
            <w:tcW w:w="1241" w:type="dxa"/>
            <w:vAlign w:val="center"/>
          </w:tcPr>
          <w:p w14:paraId="230255B2">
            <w:pPr>
              <w:pStyle w:val="58"/>
              <w:spacing w:line="360" w:lineRule="auto"/>
              <w:ind w:firstLine="0" w:firstLineChars="0"/>
              <w:jc w:val="center"/>
              <w:rPr>
                <w:rFonts w:ascii="宋体" w:hAnsi="宋体" w:cs="宋体"/>
                <w:color w:val="auto"/>
                <w:highlight w:val="none"/>
              </w:rPr>
            </w:pPr>
          </w:p>
        </w:tc>
        <w:tc>
          <w:tcPr>
            <w:tcW w:w="1241" w:type="dxa"/>
            <w:vAlign w:val="center"/>
          </w:tcPr>
          <w:p w14:paraId="7369EE9C">
            <w:pPr>
              <w:pStyle w:val="58"/>
              <w:spacing w:line="360" w:lineRule="auto"/>
              <w:ind w:firstLine="0" w:firstLineChars="0"/>
              <w:jc w:val="center"/>
              <w:rPr>
                <w:rFonts w:ascii="宋体" w:hAnsi="宋体" w:cs="宋体"/>
                <w:color w:val="auto"/>
                <w:highlight w:val="none"/>
              </w:rPr>
            </w:pPr>
          </w:p>
        </w:tc>
      </w:tr>
    </w:tbl>
    <w:p w14:paraId="1D9C9C59">
      <w:pPr>
        <w:pStyle w:val="58"/>
        <w:spacing w:line="360" w:lineRule="auto"/>
        <w:rPr>
          <w:rFonts w:ascii="宋体" w:hAnsi="宋体" w:cs="宋体"/>
          <w:color w:val="auto"/>
          <w:highlight w:val="none"/>
        </w:rPr>
      </w:pPr>
      <w:r>
        <w:rPr>
          <w:rFonts w:hint="eastAsia" w:ascii="宋体" w:hAnsi="宋体" w:cs="宋体"/>
          <w:color w:val="auto"/>
          <w:highlight w:val="none"/>
        </w:rPr>
        <w:t xml:space="preserve">招标人代表：                        记录人： </w:t>
      </w:r>
    </w:p>
    <w:p w14:paraId="7B97F07C">
      <w:pPr>
        <w:pStyle w:val="58"/>
        <w:spacing w:line="360" w:lineRule="auto"/>
        <w:ind w:firstLine="7920" w:firstLineChars="3300"/>
        <w:rPr>
          <w:rFonts w:ascii="宋体" w:hAnsi="宋体" w:cs="宋体"/>
          <w:color w:val="auto"/>
          <w:highlight w:val="none"/>
        </w:rPr>
      </w:pPr>
      <w:r>
        <w:rPr>
          <w:rFonts w:hint="eastAsia" w:ascii="宋体" w:hAnsi="宋体" w:cs="宋体"/>
          <w:color w:val="auto"/>
          <w:highlight w:val="none"/>
        </w:rPr>
        <w:t>年   月  日</w:t>
      </w:r>
    </w:p>
    <w:p w14:paraId="4FC5423E">
      <w:pPr>
        <w:pStyle w:val="58"/>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u w:val="single"/>
        </w:rPr>
        <w:t xml:space="preserve">（项目名称） </w:t>
      </w:r>
      <w:r>
        <w:rPr>
          <w:rFonts w:hint="eastAsia" w:ascii="宋体" w:hAnsi="宋体" w:cs="宋体"/>
          <w:b/>
          <w:bCs/>
          <w:color w:val="auto"/>
          <w:sz w:val="30"/>
          <w:szCs w:val="30"/>
          <w:highlight w:val="none"/>
        </w:rPr>
        <w:t>第二个信封（报价文件）</w:t>
      </w:r>
    </w:p>
    <w:p w14:paraId="4B994F9B">
      <w:pPr>
        <w:pStyle w:val="58"/>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u w:val="single"/>
        </w:rPr>
        <w:t>开标记录表</w:t>
      </w:r>
    </w:p>
    <w:p w14:paraId="2E6D494F">
      <w:pPr>
        <w:pStyle w:val="58"/>
        <w:spacing w:line="360" w:lineRule="auto"/>
        <w:ind w:firstLine="0" w:firstLineChars="0"/>
        <w:jc w:val="right"/>
        <w:rPr>
          <w:rFonts w:ascii="宋体" w:hAnsi="宋体" w:cs="宋体"/>
          <w:color w:val="auto"/>
          <w:highlight w:val="none"/>
        </w:rPr>
      </w:pPr>
      <w:r>
        <w:rPr>
          <w:rFonts w:hint="eastAsia" w:ascii="宋体" w:hAnsi="宋体" w:cs="宋体"/>
          <w:color w:val="auto"/>
          <w:highlight w:val="none"/>
        </w:rPr>
        <w:t>开标时间：年＿月＿日＿时＿分</w:t>
      </w:r>
    </w:p>
    <w:tbl>
      <w:tblPr>
        <w:tblStyle w:val="42"/>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14:paraId="4213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2C1D263C">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422" w:type="dxa"/>
            <w:vAlign w:val="center"/>
          </w:tcPr>
          <w:p w14:paraId="3F135F29">
            <w:pPr>
              <w:spacing w:line="360" w:lineRule="auto"/>
              <w:jc w:val="center"/>
              <w:rPr>
                <w:rFonts w:ascii="宋体" w:hAnsi="宋体" w:cs="宋体"/>
                <w:color w:val="auto"/>
                <w:highlight w:val="none"/>
              </w:rPr>
            </w:pPr>
            <w:r>
              <w:rPr>
                <w:rFonts w:hint="eastAsia" w:ascii="宋体" w:hAnsi="宋体" w:cs="宋体"/>
                <w:color w:val="auto"/>
                <w:highlight w:val="none"/>
              </w:rPr>
              <w:t>投标人</w:t>
            </w:r>
          </w:p>
        </w:tc>
        <w:tc>
          <w:tcPr>
            <w:tcW w:w="1800" w:type="dxa"/>
            <w:vAlign w:val="center"/>
          </w:tcPr>
          <w:p w14:paraId="6829E296">
            <w:pPr>
              <w:spacing w:line="360" w:lineRule="auto"/>
              <w:jc w:val="center"/>
              <w:rPr>
                <w:rFonts w:ascii="宋体" w:hAnsi="宋体" w:cs="宋体"/>
                <w:color w:val="auto"/>
                <w:highlight w:val="none"/>
              </w:rPr>
            </w:pPr>
            <w:r>
              <w:rPr>
                <w:rFonts w:hint="eastAsia" w:ascii="宋体" w:hAnsi="宋体" w:cs="宋体"/>
                <w:color w:val="auto"/>
                <w:highlight w:val="none"/>
              </w:rPr>
              <w:t>密封情况</w:t>
            </w:r>
          </w:p>
        </w:tc>
        <w:tc>
          <w:tcPr>
            <w:tcW w:w="2155" w:type="dxa"/>
            <w:vAlign w:val="center"/>
          </w:tcPr>
          <w:p w14:paraId="5FB48B17">
            <w:pPr>
              <w:spacing w:line="360" w:lineRule="auto"/>
              <w:jc w:val="center"/>
              <w:rPr>
                <w:rFonts w:ascii="宋体" w:hAnsi="宋体" w:cs="宋体"/>
                <w:color w:val="auto"/>
                <w:highlight w:val="none"/>
              </w:rPr>
            </w:pPr>
            <w:r>
              <w:rPr>
                <w:rFonts w:hint="eastAsia" w:ascii="宋体" w:hAnsi="宋体" w:cs="宋体"/>
                <w:color w:val="auto"/>
                <w:highlight w:val="none"/>
              </w:rPr>
              <w:t>投标报价（元）</w:t>
            </w:r>
          </w:p>
        </w:tc>
        <w:tc>
          <w:tcPr>
            <w:tcW w:w="1796" w:type="dxa"/>
            <w:vAlign w:val="center"/>
          </w:tcPr>
          <w:p w14:paraId="1A6CDC2C">
            <w:pPr>
              <w:spacing w:line="360" w:lineRule="auto"/>
              <w:jc w:val="center"/>
              <w:rPr>
                <w:rFonts w:ascii="宋体" w:hAnsi="宋体" w:cs="宋体"/>
                <w:color w:val="auto"/>
                <w:highlight w:val="none"/>
              </w:rPr>
            </w:pPr>
            <w:r>
              <w:rPr>
                <w:rFonts w:hint="eastAsia" w:ascii="宋体" w:hAnsi="宋体" w:cs="宋体"/>
                <w:color w:val="auto"/>
                <w:highlight w:val="none"/>
              </w:rPr>
              <w:t>是否超过最高投标限价</w:t>
            </w:r>
          </w:p>
        </w:tc>
        <w:tc>
          <w:tcPr>
            <w:tcW w:w="803" w:type="dxa"/>
            <w:vAlign w:val="center"/>
          </w:tcPr>
          <w:p w14:paraId="06B5FB25">
            <w:pPr>
              <w:spacing w:line="360" w:lineRule="auto"/>
              <w:jc w:val="center"/>
              <w:rPr>
                <w:rFonts w:ascii="宋体" w:hAnsi="宋体" w:cs="宋体"/>
                <w:color w:val="auto"/>
                <w:highlight w:val="none"/>
              </w:rPr>
            </w:pPr>
            <w:r>
              <w:rPr>
                <w:rFonts w:hint="eastAsia" w:ascii="宋体" w:hAnsi="宋体" w:cs="宋体"/>
                <w:color w:val="auto"/>
                <w:highlight w:val="none"/>
              </w:rPr>
              <w:t>备注</w:t>
            </w:r>
          </w:p>
        </w:tc>
        <w:tc>
          <w:tcPr>
            <w:tcW w:w="1193" w:type="dxa"/>
            <w:vAlign w:val="center"/>
          </w:tcPr>
          <w:p w14:paraId="3DC11D38">
            <w:pPr>
              <w:spacing w:line="360" w:lineRule="auto"/>
              <w:jc w:val="center"/>
              <w:rPr>
                <w:rFonts w:ascii="宋体" w:hAnsi="宋体" w:cs="宋体"/>
                <w:color w:val="auto"/>
                <w:highlight w:val="none"/>
              </w:rPr>
            </w:pPr>
            <w:r>
              <w:rPr>
                <w:rFonts w:hint="eastAsia" w:ascii="宋体" w:hAnsi="宋体" w:cs="宋体"/>
                <w:color w:val="auto"/>
                <w:highlight w:val="none"/>
              </w:rPr>
              <w:t>投标人代表签名</w:t>
            </w:r>
          </w:p>
        </w:tc>
      </w:tr>
      <w:tr w14:paraId="090D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184AFC8A">
            <w:pPr>
              <w:pStyle w:val="58"/>
              <w:spacing w:line="360" w:lineRule="auto"/>
              <w:ind w:firstLine="0" w:firstLineChars="0"/>
              <w:jc w:val="center"/>
              <w:rPr>
                <w:rFonts w:ascii="宋体" w:hAnsi="宋体" w:cs="宋体"/>
                <w:color w:val="auto"/>
                <w:highlight w:val="none"/>
              </w:rPr>
            </w:pPr>
          </w:p>
        </w:tc>
        <w:tc>
          <w:tcPr>
            <w:tcW w:w="1422" w:type="dxa"/>
            <w:vAlign w:val="center"/>
          </w:tcPr>
          <w:p w14:paraId="47DA6FA6">
            <w:pPr>
              <w:pStyle w:val="58"/>
              <w:spacing w:line="360" w:lineRule="auto"/>
              <w:ind w:firstLine="0" w:firstLineChars="0"/>
              <w:jc w:val="center"/>
              <w:rPr>
                <w:rFonts w:ascii="宋体" w:hAnsi="宋体" w:cs="宋体"/>
                <w:color w:val="auto"/>
                <w:highlight w:val="none"/>
              </w:rPr>
            </w:pPr>
          </w:p>
        </w:tc>
        <w:tc>
          <w:tcPr>
            <w:tcW w:w="1800" w:type="dxa"/>
            <w:vAlign w:val="center"/>
          </w:tcPr>
          <w:p w14:paraId="7E4609CC">
            <w:pPr>
              <w:pStyle w:val="58"/>
              <w:spacing w:line="360" w:lineRule="auto"/>
              <w:ind w:firstLine="0" w:firstLineChars="0"/>
              <w:jc w:val="center"/>
              <w:rPr>
                <w:rFonts w:ascii="宋体" w:hAnsi="宋体" w:cs="宋体"/>
                <w:color w:val="auto"/>
                <w:highlight w:val="none"/>
              </w:rPr>
            </w:pPr>
          </w:p>
        </w:tc>
        <w:tc>
          <w:tcPr>
            <w:tcW w:w="2155" w:type="dxa"/>
            <w:vAlign w:val="center"/>
          </w:tcPr>
          <w:p w14:paraId="35E65AE4">
            <w:pPr>
              <w:pStyle w:val="58"/>
              <w:spacing w:line="360" w:lineRule="auto"/>
              <w:ind w:firstLine="0" w:firstLineChars="0"/>
              <w:jc w:val="center"/>
              <w:rPr>
                <w:rFonts w:ascii="宋体" w:hAnsi="宋体" w:cs="宋体"/>
                <w:color w:val="auto"/>
                <w:highlight w:val="none"/>
              </w:rPr>
            </w:pPr>
          </w:p>
        </w:tc>
        <w:tc>
          <w:tcPr>
            <w:tcW w:w="1796" w:type="dxa"/>
            <w:vAlign w:val="center"/>
          </w:tcPr>
          <w:p w14:paraId="2D714558">
            <w:pPr>
              <w:pStyle w:val="58"/>
              <w:spacing w:line="360" w:lineRule="auto"/>
              <w:ind w:firstLine="0" w:firstLineChars="0"/>
              <w:jc w:val="center"/>
              <w:rPr>
                <w:rFonts w:ascii="宋体" w:hAnsi="宋体" w:cs="宋体"/>
                <w:color w:val="auto"/>
                <w:highlight w:val="none"/>
              </w:rPr>
            </w:pPr>
          </w:p>
        </w:tc>
        <w:tc>
          <w:tcPr>
            <w:tcW w:w="803" w:type="dxa"/>
            <w:vAlign w:val="center"/>
          </w:tcPr>
          <w:p w14:paraId="4751BF47">
            <w:pPr>
              <w:pStyle w:val="58"/>
              <w:spacing w:line="360" w:lineRule="auto"/>
              <w:ind w:firstLine="0" w:firstLineChars="0"/>
              <w:jc w:val="center"/>
              <w:rPr>
                <w:rFonts w:ascii="宋体" w:hAnsi="宋体" w:cs="宋体"/>
                <w:color w:val="auto"/>
                <w:highlight w:val="none"/>
              </w:rPr>
            </w:pPr>
          </w:p>
        </w:tc>
        <w:tc>
          <w:tcPr>
            <w:tcW w:w="1193" w:type="dxa"/>
            <w:vAlign w:val="center"/>
          </w:tcPr>
          <w:p w14:paraId="617ED40F">
            <w:pPr>
              <w:pStyle w:val="58"/>
              <w:spacing w:line="360" w:lineRule="auto"/>
              <w:ind w:firstLine="0" w:firstLineChars="0"/>
              <w:jc w:val="center"/>
              <w:rPr>
                <w:rFonts w:ascii="宋体" w:hAnsi="宋体" w:cs="宋体"/>
                <w:color w:val="auto"/>
                <w:highlight w:val="none"/>
              </w:rPr>
            </w:pPr>
          </w:p>
        </w:tc>
      </w:tr>
      <w:tr w14:paraId="57D9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37735535">
            <w:pPr>
              <w:pStyle w:val="58"/>
              <w:spacing w:line="360" w:lineRule="auto"/>
              <w:ind w:firstLine="0" w:firstLineChars="0"/>
              <w:jc w:val="center"/>
              <w:rPr>
                <w:rFonts w:ascii="宋体" w:hAnsi="宋体" w:cs="宋体"/>
                <w:color w:val="auto"/>
                <w:highlight w:val="none"/>
              </w:rPr>
            </w:pPr>
          </w:p>
        </w:tc>
        <w:tc>
          <w:tcPr>
            <w:tcW w:w="1422" w:type="dxa"/>
            <w:vAlign w:val="center"/>
          </w:tcPr>
          <w:p w14:paraId="0DF12BFB">
            <w:pPr>
              <w:pStyle w:val="58"/>
              <w:spacing w:line="360" w:lineRule="auto"/>
              <w:ind w:firstLine="0" w:firstLineChars="0"/>
              <w:jc w:val="center"/>
              <w:rPr>
                <w:rFonts w:ascii="宋体" w:hAnsi="宋体" w:cs="宋体"/>
                <w:color w:val="auto"/>
                <w:highlight w:val="none"/>
              </w:rPr>
            </w:pPr>
          </w:p>
        </w:tc>
        <w:tc>
          <w:tcPr>
            <w:tcW w:w="1800" w:type="dxa"/>
            <w:vAlign w:val="center"/>
          </w:tcPr>
          <w:p w14:paraId="4195F495">
            <w:pPr>
              <w:pStyle w:val="58"/>
              <w:spacing w:line="360" w:lineRule="auto"/>
              <w:ind w:firstLine="0" w:firstLineChars="0"/>
              <w:jc w:val="center"/>
              <w:rPr>
                <w:rFonts w:ascii="宋体" w:hAnsi="宋体" w:cs="宋体"/>
                <w:color w:val="auto"/>
                <w:highlight w:val="none"/>
              </w:rPr>
            </w:pPr>
          </w:p>
        </w:tc>
        <w:tc>
          <w:tcPr>
            <w:tcW w:w="2155" w:type="dxa"/>
            <w:vAlign w:val="center"/>
          </w:tcPr>
          <w:p w14:paraId="290791B8">
            <w:pPr>
              <w:pStyle w:val="58"/>
              <w:spacing w:line="360" w:lineRule="auto"/>
              <w:ind w:firstLine="0" w:firstLineChars="0"/>
              <w:jc w:val="center"/>
              <w:rPr>
                <w:rFonts w:ascii="宋体" w:hAnsi="宋体" w:cs="宋体"/>
                <w:color w:val="auto"/>
                <w:highlight w:val="none"/>
              </w:rPr>
            </w:pPr>
          </w:p>
        </w:tc>
        <w:tc>
          <w:tcPr>
            <w:tcW w:w="1796" w:type="dxa"/>
            <w:vAlign w:val="center"/>
          </w:tcPr>
          <w:p w14:paraId="059DC53C">
            <w:pPr>
              <w:pStyle w:val="58"/>
              <w:spacing w:line="360" w:lineRule="auto"/>
              <w:ind w:firstLine="0" w:firstLineChars="0"/>
              <w:jc w:val="center"/>
              <w:rPr>
                <w:rFonts w:ascii="宋体" w:hAnsi="宋体" w:cs="宋体"/>
                <w:color w:val="auto"/>
                <w:highlight w:val="none"/>
              </w:rPr>
            </w:pPr>
          </w:p>
        </w:tc>
        <w:tc>
          <w:tcPr>
            <w:tcW w:w="803" w:type="dxa"/>
            <w:vAlign w:val="center"/>
          </w:tcPr>
          <w:p w14:paraId="51882028">
            <w:pPr>
              <w:pStyle w:val="58"/>
              <w:spacing w:line="360" w:lineRule="auto"/>
              <w:ind w:firstLine="0" w:firstLineChars="0"/>
              <w:jc w:val="center"/>
              <w:rPr>
                <w:rFonts w:ascii="宋体" w:hAnsi="宋体" w:cs="宋体"/>
                <w:color w:val="auto"/>
                <w:highlight w:val="none"/>
              </w:rPr>
            </w:pPr>
          </w:p>
        </w:tc>
        <w:tc>
          <w:tcPr>
            <w:tcW w:w="1193" w:type="dxa"/>
            <w:vAlign w:val="center"/>
          </w:tcPr>
          <w:p w14:paraId="1BFE2653">
            <w:pPr>
              <w:pStyle w:val="58"/>
              <w:spacing w:line="360" w:lineRule="auto"/>
              <w:ind w:firstLine="0" w:firstLineChars="0"/>
              <w:jc w:val="center"/>
              <w:rPr>
                <w:rFonts w:ascii="宋体" w:hAnsi="宋体" w:cs="宋体"/>
                <w:color w:val="auto"/>
                <w:highlight w:val="none"/>
              </w:rPr>
            </w:pPr>
          </w:p>
        </w:tc>
      </w:tr>
      <w:tr w14:paraId="0914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2CB71279">
            <w:pPr>
              <w:pStyle w:val="58"/>
              <w:spacing w:line="360" w:lineRule="auto"/>
              <w:ind w:firstLine="0" w:firstLineChars="0"/>
              <w:jc w:val="center"/>
              <w:rPr>
                <w:rFonts w:ascii="宋体" w:hAnsi="宋体" w:cs="宋体"/>
                <w:color w:val="auto"/>
                <w:highlight w:val="none"/>
              </w:rPr>
            </w:pPr>
          </w:p>
        </w:tc>
        <w:tc>
          <w:tcPr>
            <w:tcW w:w="1422" w:type="dxa"/>
            <w:vAlign w:val="center"/>
          </w:tcPr>
          <w:p w14:paraId="57683BAA">
            <w:pPr>
              <w:pStyle w:val="58"/>
              <w:spacing w:line="360" w:lineRule="auto"/>
              <w:ind w:firstLine="0" w:firstLineChars="0"/>
              <w:jc w:val="center"/>
              <w:rPr>
                <w:rFonts w:ascii="宋体" w:hAnsi="宋体" w:cs="宋体"/>
                <w:color w:val="auto"/>
                <w:highlight w:val="none"/>
              </w:rPr>
            </w:pPr>
          </w:p>
        </w:tc>
        <w:tc>
          <w:tcPr>
            <w:tcW w:w="1800" w:type="dxa"/>
            <w:vAlign w:val="center"/>
          </w:tcPr>
          <w:p w14:paraId="26A71261">
            <w:pPr>
              <w:pStyle w:val="58"/>
              <w:spacing w:line="360" w:lineRule="auto"/>
              <w:ind w:firstLine="0" w:firstLineChars="0"/>
              <w:jc w:val="center"/>
              <w:rPr>
                <w:rFonts w:ascii="宋体" w:hAnsi="宋体" w:cs="宋体"/>
                <w:color w:val="auto"/>
                <w:highlight w:val="none"/>
              </w:rPr>
            </w:pPr>
          </w:p>
        </w:tc>
        <w:tc>
          <w:tcPr>
            <w:tcW w:w="2155" w:type="dxa"/>
            <w:vAlign w:val="center"/>
          </w:tcPr>
          <w:p w14:paraId="65147805">
            <w:pPr>
              <w:pStyle w:val="58"/>
              <w:spacing w:line="360" w:lineRule="auto"/>
              <w:ind w:firstLine="0" w:firstLineChars="0"/>
              <w:jc w:val="center"/>
              <w:rPr>
                <w:rFonts w:ascii="宋体" w:hAnsi="宋体" w:cs="宋体"/>
                <w:color w:val="auto"/>
                <w:highlight w:val="none"/>
              </w:rPr>
            </w:pPr>
          </w:p>
        </w:tc>
        <w:tc>
          <w:tcPr>
            <w:tcW w:w="1796" w:type="dxa"/>
            <w:vAlign w:val="center"/>
          </w:tcPr>
          <w:p w14:paraId="706C0C5B">
            <w:pPr>
              <w:pStyle w:val="58"/>
              <w:spacing w:line="360" w:lineRule="auto"/>
              <w:ind w:firstLine="0" w:firstLineChars="0"/>
              <w:jc w:val="center"/>
              <w:rPr>
                <w:rFonts w:ascii="宋体" w:hAnsi="宋体" w:cs="宋体"/>
                <w:color w:val="auto"/>
                <w:highlight w:val="none"/>
              </w:rPr>
            </w:pPr>
          </w:p>
        </w:tc>
        <w:tc>
          <w:tcPr>
            <w:tcW w:w="803" w:type="dxa"/>
            <w:vAlign w:val="center"/>
          </w:tcPr>
          <w:p w14:paraId="105CF6C3">
            <w:pPr>
              <w:pStyle w:val="58"/>
              <w:spacing w:line="360" w:lineRule="auto"/>
              <w:ind w:firstLine="0" w:firstLineChars="0"/>
              <w:jc w:val="center"/>
              <w:rPr>
                <w:rFonts w:ascii="宋体" w:hAnsi="宋体" w:cs="宋体"/>
                <w:color w:val="auto"/>
                <w:highlight w:val="none"/>
              </w:rPr>
            </w:pPr>
          </w:p>
        </w:tc>
        <w:tc>
          <w:tcPr>
            <w:tcW w:w="1193" w:type="dxa"/>
            <w:vAlign w:val="center"/>
          </w:tcPr>
          <w:p w14:paraId="7E8913B6">
            <w:pPr>
              <w:pStyle w:val="58"/>
              <w:spacing w:line="360" w:lineRule="auto"/>
              <w:ind w:firstLine="0" w:firstLineChars="0"/>
              <w:jc w:val="center"/>
              <w:rPr>
                <w:rFonts w:ascii="宋体" w:hAnsi="宋体" w:cs="宋体"/>
                <w:color w:val="auto"/>
                <w:highlight w:val="none"/>
              </w:rPr>
            </w:pPr>
          </w:p>
        </w:tc>
      </w:tr>
      <w:tr w14:paraId="2DCD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0C986CA6">
            <w:pPr>
              <w:pStyle w:val="58"/>
              <w:spacing w:line="360" w:lineRule="auto"/>
              <w:ind w:firstLine="0" w:firstLineChars="0"/>
              <w:jc w:val="center"/>
              <w:rPr>
                <w:rFonts w:ascii="宋体" w:hAnsi="宋体" w:cs="宋体"/>
                <w:color w:val="auto"/>
                <w:highlight w:val="none"/>
              </w:rPr>
            </w:pPr>
          </w:p>
        </w:tc>
        <w:tc>
          <w:tcPr>
            <w:tcW w:w="1422" w:type="dxa"/>
            <w:vAlign w:val="center"/>
          </w:tcPr>
          <w:p w14:paraId="5784EB09">
            <w:pPr>
              <w:pStyle w:val="58"/>
              <w:spacing w:line="360" w:lineRule="auto"/>
              <w:ind w:firstLine="0" w:firstLineChars="0"/>
              <w:jc w:val="center"/>
              <w:rPr>
                <w:rFonts w:ascii="宋体" w:hAnsi="宋体" w:cs="宋体"/>
                <w:color w:val="auto"/>
                <w:highlight w:val="none"/>
              </w:rPr>
            </w:pPr>
          </w:p>
        </w:tc>
        <w:tc>
          <w:tcPr>
            <w:tcW w:w="1800" w:type="dxa"/>
            <w:vAlign w:val="center"/>
          </w:tcPr>
          <w:p w14:paraId="6F29886D">
            <w:pPr>
              <w:pStyle w:val="58"/>
              <w:spacing w:line="360" w:lineRule="auto"/>
              <w:ind w:firstLine="0" w:firstLineChars="0"/>
              <w:jc w:val="center"/>
              <w:rPr>
                <w:rFonts w:ascii="宋体" w:hAnsi="宋体" w:cs="宋体"/>
                <w:color w:val="auto"/>
                <w:highlight w:val="none"/>
              </w:rPr>
            </w:pPr>
          </w:p>
        </w:tc>
        <w:tc>
          <w:tcPr>
            <w:tcW w:w="2155" w:type="dxa"/>
            <w:vAlign w:val="center"/>
          </w:tcPr>
          <w:p w14:paraId="60B8FBF2">
            <w:pPr>
              <w:pStyle w:val="58"/>
              <w:spacing w:line="360" w:lineRule="auto"/>
              <w:ind w:firstLine="0" w:firstLineChars="0"/>
              <w:jc w:val="center"/>
              <w:rPr>
                <w:rFonts w:ascii="宋体" w:hAnsi="宋体" w:cs="宋体"/>
                <w:color w:val="auto"/>
                <w:highlight w:val="none"/>
              </w:rPr>
            </w:pPr>
          </w:p>
        </w:tc>
        <w:tc>
          <w:tcPr>
            <w:tcW w:w="1796" w:type="dxa"/>
            <w:vAlign w:val="center"/>
          </w:tcPr>
          <w:p w14:paraId="5968A2EF">
            <w:pPr>
              <w:pStyle w:val="58"/>
              <w:spacing w:line="360" w:lineRule="auto"/>
              <w:ind w:firstLine="0" w:firstLineChars="0"/>
              <w:jc w:val="center"/>
              <w:rPr>
                <w:rFonts w:ascii="宋体" w:hAnsi="宋体" w:cs="宋体"/>
                <w:color w:val="auto"/>
                <w:highlight w:val="none"/>
              </w:rPr>
            </w:pPr>
          </w:p>
        </w:tc>
        <w:tc>
          <w:tcPr>
            <w:tcW w:w="803" w:type="dxa"/>
            <w:vAlign w:val="center"/>
          </w:tcPr>
          <w:p w14:paraId="7B08EEA2">
            <w:pPr>
              <w:pStyle w:val="58"/>
              <w:spacing w:line="360" w:lineRule="auto"/>
              <w:ind w:firstLine="0" w:firstLineChars="0"/>
              <w:jc w:val="center"/>
              <w:rPr>
                <w:rFonts w:ascii="宋体" w:hAnsi="宋体" w:cs="宋体"/>
                <w:color w:val="auto"/>
                <w:highlight w:val="none"/>
              </w:rPr>
            </w:pPr>
          </w:p>
        </w:tc>
        <w:tc>
          <w:tcPr>
            <w:tcW w:w="1193" w:type="dxa"/>
            <w:vAlign w:val="center"/>
          </w:tcPr>
          <w:p w14:paraId="384186EC">
            <w:pPr>
              <w:pStyle w:val="58"/>
              <w:spacing w:line="360" w:lineRule="auto"/>
              <w:ind w:firstLine="0" w:firstLineChars="0"/>
              <w:jc w:val="center"/>
              <w:rPr>
                <w:rFonts w:ascii="宋体" w:hAnsi="宋体" w:cs="宋体"/>
                <w:color w:val="auto"/>
                <w:highlight w:val="none"/>
              </w:rPr>
            </w:pPr>
          </w:p>
        </w:tc>
      </w:tr>
      <w:tr w14:paraId="11F3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14:paraId="7230C29B">
            <w:pPr>
              <w:pStyle w:val="58"/>
              <w:spacing w:line="360" w:lineRule="auto"/>
              <w:ind w:firstLine="0" w:firstLineChars="0"/>
              <w:rPr>
                <w:rFonts w:ascii="宋体" w:hAnsi="宋体" w:cs="宋体"/>
                <w:color w:val="auto"/>
                <w:highlight w:val="none"/>
              </w:rPr>
            </w:pPr>
            <w:r>
              <w:rPr>
                <w:rFonts w:hint="eastAsia" w:ascii="宋体" w:hAnsi="宋体" w:cs="宋体"/>
                <w:color w:val="auto"/>
                <w:highlight w:val="none"/>
              </w:rPr>
              <w:t>招标人编制的最高投标限价（如有）</w:t>
            </w:r>
          </w:p>
        </w:tc>
        <w:tc>
          <w:tcPr>
            <w:tcW w:w="5947" w:type="dxa"/>
            <w:gridSpan w:val="4"/>
            <w:vAlign w:val="center"/>
          </w:tcPr>
          <w:p w14:paraId="7EC36AD4">
            <w:pPr>
              <w:pStyle w:val="58"/>
              <w:spacing w:line="360" w:lineRule="auto"/>
              <w:ind w:firstLine="0" w:firstLineChars="0"/>
              <w:rPr>
                <w:rFonts w:ascii="宋体" w:hAnsi="宋体" w:cs="宋体"/>
                <w:color w:val="auto"/>
                <w:highlight w:val="none"/>
              </w:rPr>
            </w:pPr>
          </w:p>
        </w:tc>
      </w:tr>
    </w:tbl>
    <w:p w14:paraId="6EEEC85E">
      <w:pPr>
        <w:pStyle w:val="58"/>
        <w:spacing w:line="360" w:lineRule="auto"/>
        <w:rPr>
          <w:rFonts w:ascii="宋体" w:hAnsi="宋体" w:cs="宋体"/>
          <w:color w:val="auto"/>
          <w:highlight w:val="none"/>
        </w:rPr>
      </w:pPr>
      <w:r>
        <w:rPr>
          <w:rFonts w:hint="eastAsia" w:ascii="宋体" w:hAnsi="宋体" w:cs="宋体"/>
          <w:color w:val="auto"/>
          <w:highlight w:val="none"/>
        </w:rPr>
        <w:t xml:space="preserve">招标人代表：                      记录人：             </w:t>
      </w:r>
    </w:p>
    <w:p w14:paraId="099617ED">
      <w:pPr>
        <w:pStyle w:val="58"/>
        <w:spacing w:line="360" w:lineRule="auto"/>
        <w:ind w:firstLine="7920" w:firstLineChars="3300"/>
        <w:rPr>
          <w:rFonts w:ascii="宋体" w:hAnsi="宋体" w:cs="宋体"/>
          <w:color w:val="auto"/>
          <w:highlight w:val="none"/>
        </w:rPr>
      </w:pPr>
      <w:r>
        <w:rPr>
          <w:rFonts w:hint="eastAsia" w:ascii="宋体" w:hAnsi="宋体" w:cs="宋体"/>
          <w:color w:val="auto"/>
          <w:highlight w:val="none"/>
        </w:rPr>
        <w:t>年   月  日</w:t>
      </w:r>
    </w:p>
    <w:p w14:paraId="6671907B">
      <w:pPr>
        <w:pStyle w:val="69"/>
        <w:numPr>
          <w:ilvl w:val="1"/>
          <w:numId w:val="0"/>
        </w:numPr>
        <w:spacing w:before="156" w:line="360" w:lineRule="auto"/>
        <w:outlineLvl w:val="2"/>
        <w:rPr>
          <w:rFonts w:ascii="宋体" w:hAnsi="宋体" w:cs="宋体"/>
          <w:color w:val="auto"/>
          <w:highlight w:val="none"/>
        </w:rPr>
      </w:pPr>
      <w:bookmarkStart w:id="230" w:name="_Toc43475727"/>
      <w:bookmarkStart w:id="231" w:name="_Toc19245"/>
      <w:bookmarkStart w:id="232" w:name="_Toc1011"/>
      <w:r>
        <w:rPr>
          <w:rFonts w:hint="eastAsia" w:ascii="宋体" w:hAnsi="宋体" w:cs="宋体"/>
          <w:color w:val="auto"/>
          <w:highlight w:val="none"/>
        </w:rPr>
        <w:t>附件二：问题澄清通知</w:t>
      </w:r>
      <w:bookmarkEnd w:id="230"/>
      <w:bookmarkEnd w:id="231"/>
      <w:bookmarkEnd w:id="232"/>
    </w:p>
    <w:p w14:paraId="4C223FDC">
      <w:pPr>
        <w:pStyle w:val="58"/>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问题澄清通知</w:t>
      </w:r>
    </w:p>
    <w:p w14:paraId="7BC4D359">
      <w:pPr>
        <w:pStyle w:val="58"/>
        <w:spacing w:line="360" w:lineRule="auto"/>
        <w:jc w:val="center"/>
        <w:rPr>
          <w:rFonts w:ascii="宋体" w:hAnsi="宋体" w:cs="宋体"/>
          <w:color w:val="auto"/>
          <w:highlight w:val="none"/>
        </w:rPr>
      </w:pPr>
      <w:r>
        <w:rPr>
          <w:rFonts w:hint="eastAsia" w:ascii="宋体" w:hAnsi="宋体" w:cs="宋体"/>
          <w:color w:val="auto"/>
          <w:highlight w:val="none"/>
        </w:rPr>
        <w:t>（编号：）</w:t>
      </w:r>
    </w:p>
    <w:p w14:paraId="7E23C551">
      <w:pPr>
        <w:pStyle w:val="59"/>
        <w:spacing w:line="360" w:lineRule="auto"/>
        <w:rPr>
          <w:rFonts w:ascii="宋体" w:hAnsi="宋体" w:cs="宋体"/>
          <w:color w:val="auto"/>
          <w:highlight w:val="none"/>
        </w:rPr>
      </w:pPr>
      <w:r>
        <w:rPr>
          <w:rFonts w:hint="eastAsia" w:ascii="宋体" w:hAnsi="宋体" w:cs="宋体"/>
          <w:color w:val="auto"/>
          <w:highlight w:val="none"/>
        </w:rPr>
        <w:t>（投标人名称）：</w:t>
      </w:r>
    </w:p>
    <w:p w14:paraId="1C7605EB">
      <w:pPr>
        <w:pStyle w:val="58"/>
        <w:spacing w:line="360" w:lineRule="auto"/>
        <w:rPr>
          <w:rFonts w:ascii="宋体" w:hAnsi="宋体" w:cs="宋体"/>
          <w:color w:val="auto"/>
          <w:highlight w:val="none"/>
        </w:rPr>
      </w:pPr>
      <w:r>
        <w:rPr>
          <w:rFonts w:hint="eastAsia" w:ascii="宋体" w:hAnsi="宋体" w:cs="宋体"/>
          <w:color w:val="auto"/>
          <w:highlight w:val="none"/>
          <w:u w:val="single"/>
        </w:rPr>
        <w:t xml:space="preserve">（项目名称） </w:t>
      </w:r>
      <w:r>
        <w:rPr>
          <w:rFonts w:hint="eastAsia" w:ascii="宋体" w:hAnsi="宋体" w:cs="宋体"/>
          <w:color w:val="auto"/>
          <w:highlight w:val="none"/>
        </w:rPr>
        <w:t>招标的评标委员会，对你方的投标文件进行了仔细的审查，现需你方对下列问题以书面形式予以澄清</w:t>
      </w:r>
      <w:r>
        <w:rPr>
          <w:color w:val="auto"/>
          <w:highlight w:val="none"/>
        </w:rPr>
        <w:t>或说明</w:t>
      </w:r>
      <w:r>
        <w:rPr>
          <w:rFonts w:hint="eastAsia" w:ascii="宋体" w:hAnsi="宋体" w:cs="宋体"/>
          <w:color w:val="auto"/>
          <w:highlight w:val="none"/>
        </w:rPr>
        <w:t>：</w:t>
      </w:r>
    </w:p>
    <w:p w14:paraId="3A408BA4">
      <w:pPr>
        <w:pStyle w:val="58"/>
        <w:spacing w:line="360" w:lineRule="auto"/>
        <w:rPr>
          <w:rFonts w:ascii="宋体" w:hAnsi="宋体" w:cs="宋体"/>
          <w:color w:val="auto"/>
          <w:highlight w:val="none"/>
        </w:rPr>
      </w:pPr>
      <w:r>
        <w:rPr>
          <w:rFonts w:hint="eastAsia" w:ascii="宋体" w:hAnsi="宋体" w:cs="宋体"/>
          <w:color w:val="auto"/>
          <w:highlight w:val="none"/>
        </w:rPr>
        <w:t>1.</w:t>
      </w:r>
    </w:p>
    <w:p w14:paraId="1D5F9790">
      <w:pPr>
        <w:pStyle w:val="58"/>
        <w:spacing w:line="360" w:lineRule="auto"/>
        <w:rPr>
          <w:rFonts w:ascii="宋体" w:hAnsi="宋体" w:cs="宋体"/>
          <w:color w:val="auto"/>
          <w:highlight w:val="none"/>
        </w:rPr>
      </w:pPr>
      <w:r>
        <w:rPr>
          <w:rFonts w:hint="eastAsia" w:ascii="宋体" w:hAnsi="宋体" w:cs="宋体"/>
          <w:color w:val="auto"/>
          <w:highlight w:val="none"/>
        </w:rPr>
        <w:t>2.</w:t>
      </w:r>
    </w:p>
    <w:p w14:paraId="4B8FEB51">
      <w:pPr>
        <w:pStyle w:val="58"/>
        <w:spacing w:line="360" w:lineRule="auto"/>
        <w:rPr>
          <w:rFonts w:ascii="宋体" w:hAnsi="宋体" w:cs="宋体"/>
          <w:color w:val="auto"/>
          <w:highlight w:val="none"/>
        </w:rPr>
      </w:pPr>
      <w:r>
        <w:rPr>
          <w:rFonts w:hint="eastAsia" w:ascii="宋体" w:hAnsi="宋体" w:cs="宋体"/>
          <w:color w:val="auto"/>
          <w:highlight w:val="none"/>
        </w:rPr>
        <w:t>......</w:t>
      </w:r>
    </w:p>
    <w:p w14:paraId="1C8DE16A">
      <w:pPr>
        <w:pStyle w:val="58"/>
        <w:spacing w:line="360" w:lineRule="auto"/>
        <w:rPr>
          <w:rFonts w:ascii="宋体" w:hAnsi="宋体" w:cs="宋体"/>
          <w:color w:val="auto"/>
          <w:highlight w:val="none"/>
          <w:u w:val="single"/>
        </w:rPr>
      </w:pPr>
      <w:r>
        <w:rPr>
          <w:rFonts w:hint="eastAsia" w:ascii="宋体" w:hAnsi="宋体" w:cs="宋体"/>
          <w:color w:val="auto"/>
          <w:highlight w:val="none"/>
        </w:rPr>
        <w:t>请将上述问题的澄清</w:t>
      </w:r>
      <w:r>
        <w:rPr>
          <w:color w:val="auto"/>
          <w:highlight w:val="none"/>
        </w:rPr>
        <w:t>或说明</w:t>
      </w:r>
      <w:r>
        <w:rPr>
          <w:rFonts w:hint="eastAsia" w:ascii="宋体" w:hAnsi="宋体" w:cs="宋体"/>
          <w:color w:val="auto"/>
          <w:highlight w:val="none"/>
        </w:rPr>
        <w:t>于年   月   日时前递交至（详细地址）或传真至（传真号码）</w:t>
      </w:r>
      <w:r>
        <w:rPr>
          <w:color w:val="auto"/>
          <w:highlight w:val="none"/>
        </w:rPr>
        <w:t>或通过下载招标文件的电子招标交易平台上传</w:t>
      </w:r>
      <w:r>
        <w:rPr>
          <w:color w:val="auto"/>
          <w:spacing w:val="-108"/>
          <w:highlight w:val="none"/>
        </w:rPr>
        <w:t>。</w:t>
      </w:r>
      <w:r>
        <w:rPr>
          <w:rFonts w:hint="eastAsia" w:ascii="宋体" w:hAnsi="宋体" w:cs="宋体"/>
          <w:color w:val="auto"/>
          <w:highlight w:val="none"/>
        </w:rPr>
        <w:t>。采用传真方式的，应在年   月   日时分前将原件递交至</w:t>
      </w:r>
      <w:r>
        <w:rPr>
          <w:rFonts w:hint="eastAsia" w:ascii="宋体" w:hAnsi="宋体" w:cs="宋体"/>
          <w:color w:val="auto"/>
          <w:highlight w:val="none"/>
          <w:u w:val="single"/>
        </w:rPr>
        <w:t xml:space="preserve"> （详细地址）。</w:t>
      </w:r>
    </w:p>
    <w:p w14:paraId="6243BFF3">
      <w:pPr>
        <w:pStyle w:val="58"/>
        <w:spacing w:line="360" w:lineRule="auto"/>
        <w:rPr>
          <w:rFonts w:ascii="宋体" w:hAnsi="宋体" w:cs="宋体"/>
          <w:color w:val="auto"/>
          <w:highlight w:val="none"/>
        </w:rPr>
      </w:pPr>
    </w:p>
    <w:p w14:paraId="7596995B">
      <w:pPr>
        <w:pStyle w:val="59"/>
        <w:spacing w:line="360" w:lineRule="auto"/>
        <w:jc w:val="right"/>
        <w:rPr>
          <w:rFonts w:ascii="宋体" w:hAnsi="宋体" w:cs="宋体"/>
          <w:color w:val="auto"/>
          <w:highlight w:val="none"/>
        </w:rPr>
      </w:pPr>
      <w:r>
        <w:rPr>
          <w:rFonts w:hint="eastAsia" w:ascii="宋体" w:hAnsi="宋体" w:cs="宋体"/>
          <w:color w:val="auto"/>
          <w:highlight w:val="none"/>
        </w:rPr>
        <w:t xml:space="preserve">评标委员会授权的招标人或招标代理机构： </w:t>
      </w:r>
      <w:r>
        <w:rPr>
          <w:rFonts w:hint="eastAsia" w:ascii="宋体" w:hAnsi="宋体" w:cs="宋体"/>
          <w:color w:val="auto"/>
          <w:highlight w:val="none"/>
        </w:rPr>
        <w:tab/>
      </w:r>
      <w:r>
        <w:rPr>
          <w:rFonts w:hint="eastAsia" w:ascii="宋体" w:hAnsi="宋体" w:cs="宋体"/>
          <w:color w:val="auto"/>
          <w:highlight w:val="none"/>
        </w:rPr>
        <w:t>（签字或盖单位章）</w:t>
      </w:r>
    </w:p>
    <w:p w14:paraId="4B1FBEB8">
      <w:pPr>
        <w:pStyle w:val="59"/>
        <w:spacing w:line="360" w:lineRule="auto"/>
        <w:ind w:left="4536" w:leftChars="2160" w:firstLine="1200" w:firstLineChars="500"/>
        <w:rPr>
          <w:rFonts w:ascii="宋体" w:hAnsi="宋体" w:cs="宋体"/>
          <w:color w:val="auto"/>
          <w:highlight w:val="none"/>
        </w:rPr>
      </w:pPr>
      <w:r>
        <w:rPr>
          <w:rFonts w:hint="eastAsia" w:ascii="宋体" w:hAnsi="宋体" w:cs="宋体"/>
          <w:color w:val="auto"/>
          <w:highlight w:val="none"/>
        </w:rPr>
        <w:t>年   月  日</w:t>
      </w:r>
    </w:p>
    <w:p w14:paraId="02FC3A2D">
      <w:pPr>
        <w:pStyle w:val="59"/>
        <w:ind w:left="4536" w:leftChars="2160" w:firstLine="1200" w:firstLineChars="500"/>
        <w:rPr>
          <w:rFonts w:ascii="宋体" w:hAnsi="宋体" w:cs="宋体"/>
          <w:color w:val="auto"/>
          <w:highlight w:val="none"/>
        </w:rPr>
      </w:pPr>
    </w:p>
    <w:p w14:paraId="06D34A38">
      <w:pPr>
        <w:pStyle w:val="69"/>
        <w:numPr>
          <w:ilvl w:val="1"/>
          <w:numId w:val="0"/>
        </w:numPr>
        <w:spacing w:before="156" w:line="360" w:lineRule="auto"/>
        <w:outlineLvl w:val="2"/>
        <w:rPr>
          <w:rFonts w:ascii="宋体" w:hAnsi="宋体" w:cs="宋体"/>
          <w:color w:val="auto"/>
          <w:highlight w:val="none"/>
        </w:rPr>
      </w:pPr>
      <w:bookmarkStart w:id="233" w:name="_Toc43475728"/>
      <w:bookmarkStart w:id="234" w:name="_Toc20337"/>
      <w:bookmarkStart w:id="235" w:name="_Toc11846"/>
      <w:r>
        <w:rPr>
          <w:rFonts w:hint="eastAsia" w:ascii="宋体" w:hAnsi="宋体" w:cs="宋体"/>
          <w:color w:val="auto"/>
          <w:highlight w:val="none"/>
        </w:rPr>
        <w:t>附件三：问题的澄清</w:t>
      </w:r>
      <w:bookmarkEnd w:id="233"/>
      <w:bookmarkEnd w:id="234"/>
      <w:bookmarkEnd w:id="235"/>
    </w:p>
    <w:p w14:paraId="084FA839">
      <w:pPr>
        <w:pStyle w:val="58"/>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问题的澄清</w:t>
      </w:r>
    </w:p>
    <w:p w14:paraId="59D1CFEC">
      <w:pPr>
        <w:pStyle w:val="58"/>
        <w:spacing w:line="360" w:lineRule="auto"/>
        <w:jc w:val="center"/>
        <w:rPr>
          <w:rFonts w:ascii="宋体" w:hAnsi="宋体" w:cs="宋体"/>
          <w:color w:val="auto"/>
          <w:highlight w:val="none"/>
        </w:rPr>
      </w:pPr>
      <w:r>
        <w:rPr>
          <w:rFonts w:hint="eastAsia" w:ascii="宋体" w:hAnsi="宋体" w:cs="宋体"/>
          <w:color w:val="auto"/>
          <w:highlight w:val="none"/>
        </w:rPr>
        <w:t>（编号：）</w:t>
      </w:r>
    </w:p>
    <w:p w14:paraId="44CA2997">
      <w:pPr>
        <w:pStyle w:val="58"/>
        <w:spacing w:line="360" w:lineRule="auto"/>
        <w:rPr>
          <w:rFonts w:ascii="宋体" w:hAnsi="宋体" w:cs="宋体"/>
          <w:color w:val="auto"/>
          <w:highlight w:val="none"/>
        </w:rPr>
      </w:pPr>
      <w:r>
        <w:rPr>
          <w:rFonts w:hint="eastAsia" w:ascii="宋体" w:hAnsi="宋体" w:cs="宋体"/>
          <w:color w:val="auto"/>
          <w:highlight w:val="none"/>
        </w:rPr>
        <w:t>（项目名称） 招标评标委员会：</w:t>
      </w:r>
    </w:p>
    <w:p w14:paraId="60514E1E">
      <w:pPr>
        <w:pStyle w:val="58"/>
        <w:spacing w:line="360" w:lineRule="auto"/>
        <w:rPr>
          <w:rFonts w:ascii="宋体" w:hAnsi="宋体" w:cs="宋体"/>
          <w:color w:val="auto"/>
          <w:highlight w:val="none"/>
        </w:rPr>
      </w:pPr>
      <w:r>
        <w:rPr>
          <w:rFonts w:hint="eastAsia" w:ascii="宋体" w:hAnsi="宋体" w:cs="宋体"/>
          <w:color w:val="auto"/>
          <w:highlight w:val="none"/>
        </w:rPr>
        <w:t>问题澄清通知（编号：）已收悉，现澄清、说明如下：</w:t>
      </w:r>
    </w:p>
    <w:p w14:paraId="35A9305C">
      <w:pPr>
        <w:pStyle w:val="58"/>
        <w:spacing w:line="360" w:lineRule="auto"/>
        <w:rPr>
          <w:rFonts w:ascii="宋体" w:hAnsi="宋体" w:cs="宋体"/>
          <w:color w:val="auto"/>
          <w:highlight w:val="none"/>
        </w:rPr>
      </w:pPr>
      <w:r>
        <w:rPr>
          <w:rFonts w:hint="eastAsia" w:ascii="宋体" w:hAnsi="宋体" w:cs="宋体"/>
          <w:color w:val="auto"/>
          <w:highlight w:val="none"/>
        </w:rPr>
        <w:t>1.</w:t>
      </w:r>
    </w:p>
    <w:p w14:paraId="155CA423">
      <w:pPr>
        <w:pStyle w:val="58"/>
        <w:spacing w:line="360" w:lineRule="auto"/>
        <w:rPr>
          <w:rFonts w:ascii="宋体" w:hAnsi="宋体" w:cs="宋体"/>
          <w:color w:val="auto"/>
          <w:highlight w:val="none"/>
        </w:rPr>
      </w:pPr>
      <w:r>
        <w:rPr>
          <w:rFonts w:hint="eastAsia" w:ascii="宋体" w:hAnsi="宋体" w:cs="宋体"/>
          <w:color w:val="auto"/>
          <w:highlight w:val="none"/>
        </w:rPr>
        <w:t>2.</w:t>
      </w:r>
    </w:p>
    <w:p w14:paraId="74838195">
      <w:pPr>
        <w:pStyle w:val="58"/>
        <w:spacing w:line="360" w:lineRule="auto"/>
        <w:rPr>
          <w:rFonts w:ascii="宋体" w:hAnsi="宋体" w:cs="宋体"/>
          <w:color w:val="auto"/>
          <w:highlight w:val="none"/>
        </w:rPr>
      </w:pPr>
      <w:r>
        <w:rPr>
          <w:rFonts w:hint="eastAsia" w:ascii="宋体" w:hAnsi="宋体" w:cs="宋体"/>
          <w:color w:val="auto"/>
          <w:highlight w:val="none"/>
        </w:rPr>
        <w:t>.....</w:t>
      </w:r>
    </w:p>
    <w:p w14:paraId="6CAD63B7">
      <w:pPr>
        <w:pStyle w:val="58"/>
        <w:spacing w:line="360" w:lineRule="auto"/>
        <w:rPr>
          <w:rFonts w:ascii="宋体" w:hAnsi="宋体" w:cs="宋体"/>
          <w:color w:val="auto"/>
          <w:highlight w:val="none"/>
        </w:rPr>
      </w:pPr>
      <w:r>
        <w:rPr>
          <w:rFonts w:hint="eastAsia" w:ascii="宋体" w:hAnsi="宋体" w:cs="宋体"/>
          <w:color w:val="auto"/>
          <w:highlight w:val="none"/>
        </w:rPr>
        <w:t>上述问题澄清或说明，不改变我方投标文件的实质性内容，构成我方投标文件的组成部分。</w:t>
      </w:r>
    </w:p>
    <w:p w14:paraId="11E07794">
      <w:pPr>
        <w:pStyle w:val="58"/>
        <w:spacing w:line="360" w:lineRule="auto"/>
        <w:ind w:left="4536" w:leftChars="2160" w:firstLine="0" w:firstLineChars="0"/>
        <w:rPr>
          <w:rFonts w:ascii="宋体" w:hAnsi="宋体" w:cs="宋体"/>
          <w:color w:val="auto"/>
          <w:highlight w:val="none"/>
        </w:rPr>
      </w:pPr>
      <w:r>
        <w:rPr>
          <w:rFonts w:hint="eastAsia" w:ascii="宋体" w:hAnsi="宋体" w:cs="宋体"/>
          <w:color w:val="auto"/>
          <w:highlight w:val="none"/>
        </w:rPr>
        <w:t>投标人：（盖单位章）</w:t>
      </w:r>
    </w:p>
    <w:p w14:paraId="4B5D7B6B">
      <w:pPr>
        <w:pStyle w:val="58"/>
        <w:spacing w:line="360" w:lineRule="auto"/>
        <w:ind w:left="4536" w:leftChars="2160" w:firstLine="0" w:firstLineChars="0"/>
        <w:rPr>
          <w:rFonts w:ascii="宋体" w:hAnsi="宋体" w:cs="宋体"/>
          <w:color w:val="auto"/>
          <w:highlight w:val="none"/>
        </w:rPr>
      </w:pPr>
      <w:r>
        <w:rPr>
          <w:rFonts w:hint="eastAsia" w:ascii="宋体" w:hAnsi="宋体" w:cs="宋体"/>
          <w:color w:val="auto"/>
          <w:highlight w:val="none"/>
        </w:rPr>
        <w:t>法定代表人或其委托代理人：（签字）</w:t>
      </w:r>
    </w:p>
    <w:p w14:paraId="5DC74B20">
      <w:pPr>
        <w:pStyle w:val="58"/>
        <w:spacing w:line="360" w:lineRule="auto"/>
        <w:ind w:left="4536" w:leftChars="2160" w:firstLine="1440" w:firstLineChars="600"/>
        <w:rPr>
          <w:rFonts w:ascii="宋体" w:hAnsi="宋体" w:cs="宋体"/>
          <w:color w:val="auto"/>
          <w:highlight w:val="none"/>
        </w:rPr>
      </w:pPr>
      <w:r>
        <w:rPr>
          <w:rFonts w:hint="eastAsia" w:ascii="宋体" w:hAnsi="宋体" w:cs="宋体"/>
          <w:color w:val="auto"/>
          <w:highlight w:val="none"/>
        </w:rPr>
        <w:t>年  月  日</w:t>
      </w:r>
    </w:p>
    <w:p w14:paraId="75B1409F">
      <w:pPr>
        <w:pStyle w:val="69"/>
        <w:numPr>
          <w:ilvl w:val="1"/>
          <w:numId w:val="0"/>
        </w:numPr>
        <w:spacing w:before="156" w:line="360" w:lineRule="auto"/>
        <w:outlineLvl w:val="2"/>
        <w:rPr>
          <w:rFonts w:ascii="宋体" w:hAnsi="宋体" w:cs="宋体"/>
          <w:color w:val="auto"/>
          <w:highlight w:val="none"/>
        </w:rPr>
      </w:pPr>
      <w:bookmarkStart w:id="236" w:name="_Toc10043"/>
      <w:bookmarkStart w:id="237" w:name="_Toc43475729"/>
      <w:bookmarkStart w:id="238" w:name="_Toc19958"/>
      <w:r>
        <w:rPr>
          <w:rFonts w:hint="eastAsia" w:ascii="宋体" w:hAnsi="宋体" w:cs="宋体"/>
          <w:color w:val="auto"/>
          <w:highlight w:val="none"/>
        </w:rPr>
        <w:t>附件四：中标通知书</w:t>
      </w:r>
      <w:bookmarkEnd w:id="236"/>
      <w:bookmarkEnd w:id="237"/>
      <w:bookmarkEnd w:id="238"/>
    </w:p>
    <w:p w14:paraId="7EF4490E">
      <w:pPr>
        <w:pStyle w:val="58"/>
        <w:spacing w:line="360" w:lineRule="auto"/>
        <w:ind w:firstLine="600"/>
        <w:jc w:val="center"/>
        <w:rPr>
          <w:rFonts w:ascii="宋体" w:hAnsi="宋体" w:cs="宋体"/>
          <w:color w:val="auto"/>
          <w:highlight w:val="none"/>
        </w:rPr>
      </w:pPr>
      <w:r>
        <w:rPr>
          <w:rFonts w:hint="eastAsia" w:ascii="宋体" w:hAnsi="宋体" w:cs="宋体"/>
          <w:color w:val="auto"/>
          <w:sz w:val="30"/>
          <w:szCs w:val="30"/>
          <w:highlight w:val="none"/>
        </w:rPr>
        <w:t>中标通知书</w:t>
      </w:r>
    </w:p>
    <w:p w14:paraId="3F4E36EB">
      <w:pPr>
        <w:pStyle w:val="58"/>
        <w:spacing w:line="360" w:lineRule="auto"/>
        <w:jc w:val="center"/>
        <w:rPr>
          <w:rFonts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highlight w:val="none"/>
          <w:u w:val="single"/>
        </w:rPr>
        <w:t xml:space="preserve"> 韶关市公共资源交易中心 </w:t>
      </w:r>
      <w:r>
        <w:rPr>
          <w:rFonts w:hint="eastAsia" w:ascii="宋体" w:hAnsi="宋体" w:cs="宋体"/>
          <w:color w:val="auto"/>
          <w:highlight w:val="none"/>
        </w:rPr>
        <w:t>提供的中标通知书格式）</w:t>
      </w:r>
    </w:p>
    <w:p w14:paraId="08E9A7CB">
      <w:pPr>
        <w:pStyle w:val="59"/>
        <w:spacing w:line="360" w:lineRule="auto"/>
        <w:ind w:left="4536" w:leftChars="2160" w:firstLine="1200" w:firstLineChars="500"/>
        <w:rPr>
          <w:rFonts w:ascii="宋体" w:hAnsi="宋体" w:cs="宋体"/>
          <w:color w:val="auto"/>
          <w:highlight w:val="none"/>
        </w:rPr>
      </w:pPr>
    </w:p>
    <w:p w14:paraId="055203D0">
      <w:pPr>
        <w:pStyle w:val="69"/>
        <w:numPr>
          <w:ilvl w:val="1"/>
          <w:numId w:val="0"/>
        </w:numPr>
        <w:spacing w:before="156" w:line="360" w:lineRule="auto"/>
        <w:outlineLvl w:val="2"/>
        <w:rPr>
          <w:rFonts w:ascii="宋体" w:hAnsi="宋体" w:cs="宋体"/>
          <w:color w:val="auto"/>
          <w:highlight w:val="none"/>
        </w:rPr>
      </w:pPr>
      <w:bookmarkStart w:id="239" w:name="_Toc30346"/>
      <w:bookmarkStart w:id="240" w:name="_Toc23714"/>
      <w:bookmarkStart w:id="241" w:name="_Toc43475730"/>
      <w:r>
        <w:rPr>
          <w:rFonts w:hint="eastAsia" w:ascii="宋体" w:hAnsi="宋体" w:cs="宋体"/>
          <w:color w:val="auto"/>
          <w:highlight w:val="none"/>
        </w:rPr>
        <w:t>附件五：中标结果通知书</w:t>
      </w:r>
      <w:bookmarkEnd w:id="239"/>
      <w:bookmarkEnd w:id="240"/>
      <w:bookmarkEnd w:id="241"/>
    </w:p>
    <w:p w14:paraId="38DEBE5B">
      <w:pPr>
        <w:pStyle w:val="58"/>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中标结果通知书</w:t>
      </w:r>
    </w:p>
    <w:p w14:paraId="0C3FBF72">
      <w:pPr>
        <w:pStyle w:val="58"/>
        <w:spacing w:line="360" w:lineRule="auto"/>
        <w:ind w:firstLine="600"/>
        <w:jc w:val="center"/>
        <w:rPr>
          <w:rFonts w:ascii="宋体" w:hAnsi="宋体" w:cs="宋体"/>
          <w:color w:val="auto"/>
          <w:sz w:val="30"/>
          <w:szCs w:val="30"/>
          <w:highlight w:val="none"/>
        </w:rPr>
      </w:pPr>
    </w:p>
    <w:p w14:paraId="21A0E450">
      <w:pPr>
        <w:pStyle w:val="58"/>
        <w:spacing w:line="360" w:lineRule="auto"/>
        <w:jc w:val="center"/>
        <w:rPr>
          <w:rFonts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highlight w:val="none"/>
          <w:u w:val="single"/>
        </w:rPr>
        <w:t xml:space="preserve"> 韶关市公共资源交易中心 </w:t>
      </w:r>
      <w:r>
        <w:rPr>
          <w:rFonts w:hint="eastAsia" w:ascii="宋体" w:hAnsi="宋体" w:cs="宋体"/>
          <w:color w:val="auto"/>
          <w:highlight w:val="none"/>
        </w:rPr>
        <w:t>提供的中标结果通知书格式）</w:t>
      </w:r>
    </w:p>
    <w:p w14:paraId="3DB08BBB">
      <w:pPr>
        <w:pStyle w:val="58"/>
        <w:spacing w:line="360" w:lineRule="auto"/>
        <w:ind w:left="4536" w:leftChars="2160" w:firstLine="960" w:firstLineChars="400"/>
        <w:rPr>
          <w:rFonts w:ascii="宋体" w:hAnsi="宋体" w:cs="宋体"/>
          <w:color w:val="auto"/>
          <w:highlight w:val="none"/>
        </w:rPr>
      </w:pPr>
    </w:p>
    <w:p w14:paraId="1E14DBAB">
      <w:pPr>
        <w:pStyle w:val="58"/>
        <w:spacing w:line="360" w:lineRule="auto"/>
        <w:ind w:left="4536" w:leftChars="2160" w:firstLine="960" w:firstLineChars="400"/>
        <w:rPr>
          <w:rFonts w:ascii="宋体" w:hAnsi="宋体" w:cs="宋体"/>
          <w:color w:val="auto"/>
          <w:highlight w:val="none"/>
        </w:rPr>
      </w:pPr>
    </w:p>
    <w:p w14:paraId="00C9E64C">
      <w:pPr>
        <w:pStyle w:val="58"/>
        <w:spacing w:line="360" w:lineRule="auto"/>
        <w:ind w:left="4536" w:leftChars="2160" w:firstLine="960" w:firstLineChars="400"/>
        <w:rPr>
          <w:rFonts w:ascii="宋体" w:hAnsi="宋体" w:cs="宋体"/>
          <w:color w:val="auto"/>
          <w:highlight w:val="none"/>
        </w:rPr>
      </w:pPr>
    </w:p>
    <w:p w14:paraId="0102BBA7">
      <w:pPr>
        <w:pStyle w:val="69"/>
        <w:numPr>
          <w:ilvl w:val="1"/>
          <w:numId w:val="0"/>
        </w:numPr>
        <w:spacing w:before="156" w:line="360" w:lineRule="auto"/>
        <w:outlineLvl w:val="2"/>
        <w:rPr>
          <w:rFonts w:ascii="宋体" w:hAnsi="宋体" w:cs="宋体"/>
          <w:color w:val="auto"/>
          <w:highlight w:val="none"/>
        </w:rPr>
      </w:pPr>
      <w:bookmarkStart w:id="242" w:name="_Toc19033"/>
      <w:bookmarkStart w:id="243" w:name="_Toc14151"/>
      <w:bookmarkStart w:id="244" w:name="_Toc43475731"/>
      <w:r>
        <w:rPr>
          <w:rFonts w:hint="eastAsia" w:ascii="宋体" w:hAnsi="宋体" w:cs="宋体"/>
          <w:color w:val="auto"/>
          <w:highlight w:val="none"/>
        </w:rPr>
        <w:t>附表六：确认通知</w:t>
      </w:r>
      <w:bookmarkEnd w:id="242"/>
      <w:bookmarkEnd w:id="243"/>
      <w:bookmarkEnd w:id="244"/>
    </w:p>
    <w:p w14:paraId="2F7C27FF">
      <w:pPr>
        <w:pStyle w:val="58"/>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确认通知</w:t>
      </w:r>
    </w:p>
    <w:p w14:paraId="20DB9CE2">
      <w:pPr>
        <w:pStyle w:val="59"/>
        <w:spacing w:line="360" w:lineRule="auto"/>
        <w:rPr>
          <w:rFonts w:ascii="宋体" w:hAnsi="宋体" w:cs="宋体"/>
          <w:color w:val="auto"/>
          <w:highlight w:val="none"/>
        </w:rPr>
      </w:pPr>
      <w:r>
        <w:rPr>
          <w:rFonts w:hint="eastAsia" w:ascii="宋体" w:hAnsi="宋体" w:cs="宋体"/>
          <w:color w:val="auto"/>
          <w:highlight w:val="none"/>
          <w:u w:val="single"/>
        </w:rPr>
        <w:t xml:space="preserve">        （招标人名称）</w:t>
      </w:r>
      <w:r>
        <w:rPr>
          <w:rFonts w:hint="eastAsia" w:ascii="宋体" w:hAnsi="宋体" w:cs="宋体"/>
          <w:color w:val="auto"/>
          <w:highlight w:val="none"/>
        </w:rPr>
        <w:t>：</w:t>
      </w:r>
    </w:p>
    <w:p w14:paraId="2FEEAC93">
      <w:pPr>
        <w:pStyle w:val="58"/>
        <w:spacing w:line="360" w:lineRule="auto"/>
        <w:rPr>
          <w:rFonts w:ascii="宋体" w:hAnsi="宋体" w:cs="宋体"/>
          <w:color w:val="auto"/>
          <w:highlight w:val="none"/>
        </w:rPr>
      </w:pPr>
      <w:r>
        <w:rPr>
          <w:rFonts w:hint="eastAsia" w:ascii="宋体" w:hAnsi="宋体" w:cs="宋体"/>
          <w:color w:val="auto"/>
          <w:highlight w:val="none"/>
        </w:rPr>
        <w:t>我方与年   月   日发出的</w:t>
      </w:r>
      <w:r>
        <w:rPr>
          <w:rFonts w:hint="eastAsia" w:ascii="宋体" w:hAnsi="宋体" w:cs="宋体"/>
          <w:color w:val="auto"/>
          <w:highlight w:val="none"/>
          <w:u w:val="single"/>
        </w:rPr>
        <w:t xml:space="preserve">    （项目名称）</w:t>
      </w:r>
      <w:r>
        <w:rPr>
          <w:rFonts w:hint="eastAsia" w:ascii="宋体" w:hAnsi="宋体" w:cs="宋体"/>
          <w:color w:val="auto"/>
          <w:highlight w:val="none"/>
        </w:rPr>
        <w:t>招标关于招标文件澄清/修改的通知（第号补遗书，正文共页），我方已于年   月   日收到。</w:t>
      </w:r>
    </w:p>
    <w:p w14:paraId="53514909">
      <w:pPr>
        <w:pStyle w:val="58"/>
        <w:spacing w:line="360" w:lineRule="auto"/>
        <w:rPr>
          <w:rFonts w:ascii="宋体" w:hAnsi="宋体" w:cs="宋体"/>
          <w:color w:val="auto"/>
          <w:highlight w:val="none"/>
        </w:rPr>
      </w:pPr>
      <w:r>
        <w:rPr>
          <w:rFonts w:hint="eastAsia" w:ascii="宋体" w:hAnsi="宋体" w:cs="宋体"/>
          <w:color w:val="auto"/>
          <w:highlight w:val="none"/>
        </w:rPr>
        <w:t>特此确认。</w:t>
      </w:r>
    </w:p>
    <w:p w14:paraId="1A7F3AF2">
      <w:pPr>
        <w:pStyle w:val="58"/>
        <w:spacing w:line="360" w:lineRule="auto"/>
        <w:ind w:left="4536" w:leftChars="2160" w:firstLine="0" w:firstLineChars="0"/>
        <w:rPr>
          <w:rFonts w:ascii="宋体" w:hAnsi="宋体" w:cs="宋体"/>
          <w:color w:val="auto"/>
          <w:highlight w:val="none"/>
        </w:rPr>
      </w:pPr>
      <w:r>
        <w:rPr>
          <w:rFonts w:hint="eastAsia" w:ascii="宋体" w:hAnsi="宋体" w:cs="宋体"/>
          <w:color w:val="auto"/>
          <w:highlight w:val="none"/>
        </w:rPr>
        <w:t>投标人：（盖单位章）</w:t>
      </w:r>
    </w:p>
    <w:p w14:paraId="33EEADAA">
      <w:pPr>
        <w:pStyle w:val="58"/>
        <w:spacing w:line="360" w:lineRule="auto"/>
        <w:ind w:left="4536" w:leftChars="2160" w:firstLine="960" w:firstLineChars="400"/>
        <w:rPr>
          <w:rFonts w:ascii="宋体" w:hAnsi="宋体" w:cs="宋体"/>
          <w:color w:val="auto"/>
          <w:highlight w:val="none"/>
        </w:rPr>
      </w:pPr>
      <w:r>
        <w:rPr>
          <w:rFonts w:hint="eastAsia" w:ascii="宋体" w:hAnsi="宋体" w:cs="宋体"/>
          <w:color w:val="auto"/>
          <w:highlight w:val="none"/>
        </w:rPr>
        <w:t>年  月  日</w:t>
      </w:r>
    </w:p>
    <w:p w14:paraId="57953456">
      <w:pPr>
        <w:pStyle w:val="58"/>
        <w:spacing w:line="360" w:lineRule="auto"/>
        <w:ind w:firstLine="0" w:firstLineChars="0"/>
        <w:rPr>
          <w:rFonts w:ascii="宋体" w:hAnsi="宋体" w:cs="宋体"/>
          <w:color w:val="auto"/>
          <w:highlight w:val="none"/>
        </w:rPr>
        <w:sectPr>
          <w:pgSz w:w="11906" w:h="16838"/>
          <w:pgMar w:top="1134" w:right="1134" w:bottom="1134" w:left="1134" w:header="851" w:footer="992" w:gutter="0"/>
          <w:cols w:space="720" w:num="1"/>
          <w:docGrid w:type="lines" w:linePitch="312" w:charSpace="0"/>
        </w:sectPr>
      </w:pPr>
    </w:p>
    <w:p w14:paraId="54FC40A2">
      <w:pPr>
        <w:tabs>
          <w:tab w:val="left" w:pos="5219"/>
        </w:tabs>
        <w:spacing w:before="192"/>
        <w:rPr>
          <w:color w:val="auto"/>
          <w:spacing w:val="-20"/>
          <w:sz w:val="54"/>
          <w:highlight w:val="none"/>
        </w:rPr>
      </w:pPr>
    </w:p>
    <w:p w14:paraId="058C100A">
      <w:pPr>
        <w:tabs>
          <w:tab w:val="left" w:pos="5219"/>
        </w:tabs>
        <w:spacing w:before="192"/>
        <w:rPr>
          <w:color w:val="auto"/>
          <w:spacing w:val="-20"/>
          <w:sz w:val="54"/>
          <w:highlight w:val="none"/>
        </w:rPr>
      </w:pPr>
    </w:p>
    <w:p w14:paraId="14B55833">
      <w:pPr>
        <w:tabs>
          <w:tab w:val="left" w:pos="5219"/>
        </w:tabs>
        <w:spacing w:before="192"/>
        <w:rPr>
          <w:color w:val="auto"/>
          <w:spacing w:val="-20"/>
          <w:sz w:val="54"/>
          <w:highlight w:val="none"/>
        </w:rPr>
      </w:pPr>
    </w:p>
    <w:p w14:paraId="76145D36">
      <w:pPr>
        <w:tabs>
          <w:tab w:val="left" w:pos="5219"/>
        </w:tabs>
        <w:spacing w:before="192"/>
        <w:rPr>
          <w:color w:val="auto"/>
          <w:spacing w:val="-20"/>
          <w:sz w:val="54"/>
          <w:highlight w:val="none"/>
        </w:rPr>
      </w:pPr>
    </w:p>
    <w:p w14:paraId="5B02D59E">
      <w:pPr>
        <w:tabs>
          <w:tab w:val="left" w:pos="5219"/>
        </w:tabs>
        <w:spacing w:before="192"/>
        <w:rPr>
          <w:color w:val="auto"/>
          <w:spacing w:val="-20"/>
          <w:sz w:val="54"/>
          <w:highlight w:val="none"/>
        </w:rPr>
      </w:pPr>
    </w:p>
    <w:p w14:paraId="496F5BF8">
      <w:pPr>
        <w:jc w:val="center"/>
        <w:rPr>
          <w:color w:val="auto"/>
          <w:sz w:val="54"/>
          <w:highlight w:val="none"/>
        </w:rPr>
      </w:pPr>
      <w:r>
        <w:rPr>
          <w:b/>
          <w:bCs/>
          <w:color w:val="auto"/>
          <w:spacing w:val="-20"/>
          <w:sz w:val="54"/>
          <w:highlight w:val="none"/>
        </w:rPr>
        <w:t>第三</w:t>
      </w:r>
      <w:r>
        <w:rPr>
          <w:b/>
          <w:bCs/>
          <w:color w:val="auto"/>
          <w:sz w:val="54"/>
          <w:highlight w:val="none"/>
        </w:rPr>
        <w:t>章</w:t>
      </w:r>
      <w:r>
        <w:rPr>
          <w:b/>
          <w:bCs/>
          <w:color w:val="auto"/>
          <w:spacing w:val="-20"/>
          <w:sz w:val="54"/>
          <w:highlight w:val="none"/>
        </w:rPr>
        <w:t>评标办法</w:t>
      </w:r>
    </w:p>
    <w:p w14:paraId="3840AC78">
      <w:pPr>
        <w:jc w:val="left"/>
        <w:rPr>
          <w:color w:val="auto"/>
          <w:sz w:val="54"/>
          <w:highlight w:val="none"/>
        </w:rPr>
        <w:sectPr>
          <w:footerReference r:id="rId13" w:type="default"/>
          <w:pgSz w:w="11910" w:h="16840"/>
          <w:pgMar w:top="940" w:right="720" w:bottom="1180" w:left="980" w:header="707" w:footer="998" w:gutter="0"/>
          <w:cols w:space="720" w:num="1"/>
        </w:sectPr>
      </w:pPr>
    </w:p>
    <w:p w14:paraId="52C7B11C">
      <w:pPr>
        <w:pStyle w:val="2"/>
        <w:jc w:val="center"/>
        <w:rPr>
          <w:rFonts w:ascii="黑体" w:eastAsia="黑体"/>
          <w:color w:val="auto"/>
          <w:highlight w:val="none"/>
        </w:rPr>
      </w:pPr>
      <w:bookmarkStart w:id="245" w:name="_Toc43475732"/>
      <w:bookmarkStart w:id="246" w:name="_Toc234382651"/>
      <w:r>
        <w:rPr>
          <w:rFonts w:hint="eastAsia"/>
          <w:color w:val="auto"/>
          <w:highlight w:val="none"/>
        </w:rPr>
        <w:t>第三章评标办法（双信封的合理低价法）</w:t>
      </w:r>
      <w:bookmarkEnd w:id="245"/>
    </w:p>
    <w:p w14:paraId="51213A32">
      <w:pPr>
        <w:pStyle w:val="3"/>
        <w:rPr>
          <w:color w:val="auto"/>
          <w:highlight w:val="none"/>
        </w:rPr>
      </w:pPr>
      <w:bookmarkStart w:id="247" w:name="_Toc43475733"/>
      <w:r>
        <w:rPr>
          <w:color w:val="auto"/>
          <w:highlight w:val="none"/>
        </w:rPr>
        <w:t>评标办法前附表</w:t>
      </w:r>
      <w:bookmarkEnd w:id="247"/>
    </w:p>
    <w:tbl>
      <w:tblPr>
        <w:tblStyle w:val="42"/>
        <w:tblW w:w="922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58"/>
        <w:gridCol w:w="1302"/>
        <w:gridCol w:w="10"/>
        <w:gridCol w:w="1560"/>
        <w:gridCol w:w="5300"/>
      </w:tblGrid>
      <w:tr w14:paraId="1D256C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9" w:hRule="exact"/>
          <w:jc w:val="center"/>
        </w:trPr>
        <w:tc>
          <w:tcPr>
            <w:tcW w:w="2361" w:type="dxa"/>
            <w:gridSpan w:val="4"/>
            <w:vAlign w:val="center"/>
          </w:tcPr>
          <w:p w14:paraId="6EFF76D7">
            <w:pPr>
              <w:jc w:val="center"/>
              <w:rPr>
                <w:rFonts w:ascii="Calibri" w:hAnsi="Calibri"/>
                <w:b/>
                <w:color w:val="auto"/>
                <w:sz w:val="24"/>
                <w:highlight w:val="none"/>
              </w:rPr>
            </w:pPr>
            <w:bookmarkStart w:id="248" w:name="_Toc43475734"/>
            <w:bookmarkStart w:id="249" w:name="_Toc234382653"/>
            <w:bookmarkStart w:id="250" w:name="_Toc522725722"/>
            <w:r>
              <w:rPr>
                <w:rFonts w:ascii="宋体" w:hAnsi="宋体"/>
                <w:b/>
                <w:color w:val="auto"/>
                <w:sz w:val="24"/>
                <w:highlight w:val="none"/>
              </w:rPr>
              <w:t>条款号</w:t>
            </w:r>
          </w:p>
        </w:tc>
        <w:tc>
          <w:tcPr>
            <w:tcW w:w="6860" w:type="dxa"/>
            <w:gridSpan w:val="2"/>
            <w:vAlign w:val="center"/>
          </w:tcPr>
          <w:p w14:paraId="6C10954C">
            <w:pPr>
              <w:jc w:val="center"/>
              <w:rPr>
                <w:rFonts w:ascii="Calibri" w:hAnsi="Calibri"/>
                <w:b/>
                <w:color w:val="auto"/>
                <w:sz w:val="24"/>
                <w:highlight w:val="none"/>
              </w:rPr>
            </w:pPr>
            <w:r>
              <w:rPr>
                <w:rFonts w:ascii="宋体" w:hAnsi="宋体"/>
                <w:b/>
                <w:color w:val="auto"/>
                <w:sz w:val="24"/>
                <w:highlight w:val="none"/>
              </w:rPr>
              <w:t>评审因素</w:t>
            </w:r>
            <w:r>
              <w:rPr>
                <w:rFonts w:hint="eastAsia" w:ascii="宋体" w:hAnsi="宋体"/>
                <w:b/>
                <w:color w:val="auto"/>
                <w:sz w:val="24"/>
                <w:highlight w:val="none"/>
              </w:rPr>
              <w:t>与</w:t>
            </w:r>
            <w:r>
              <w:rPr>
                <w:rFonts w:ascii="宋体" w:hAnsi="宋体"/>
                <w:b/>
                <w:color w:val="auto"/>
                <w:sz w:val="24"/>
                <w:highlight w:val="none"/>
              </w:rPr>
              <w:t>评审标准</w:t>
            </w:r>
          </w:p>
        </w:tc>
      </w:tr>
      <w:tr w14:paraId="0F2D8A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891" w:type="dxa"/>
            <w:vAlign w:val="center"/>
          </w:tcPr>
          <w:p w14:paraId="786C04F5">
            <w:pPr>
              <w:jc w:val="center"/>
              <w:rPr>
                <w:rFonts w:ascii="Calibri" w:hAnsi="Calibri"/>
                <w:color w:val="auto"/>
                <w:sz w:val="24"/>
                <w:highlight w:val="none"/>
              </w:rPr>
            </w:pPr>
            <w:r>
              <w:rPr>
                <w:rFonts w:hint="eastAsia" w:ascii="宋体" w:hAnsi="宋体"/>
                <w:color w:val="auto"/>
                <w:sz w:val="24"/>
                <w:highlight w:val="none"/>
              </w:rPr>
              <w:t>1</w:t>
            </w:r>
          </w:p>
        </w:tc>
        <w:tc>
          <w:tcPr>
            <w:tcW w:w="1460" w:type="dxa"/>
            <w:gridSpan w:val="2"/>
            <w:vAlign w:val="center"/>
          </w:tcPr>
          <w:p w14:paraId="3BF2710B">
            <w:pPr>
              <w:snapToGrid w:val="0"/>
              <w:ind w:left="1" w:right="113" w:firstLine="36" w:firstLineChars="15"/>
              <w:contextualSpacing/>
              <w:jc w:val="center"/>
              <w:rPr>
                <w:rFonts w:ascii="Calibri" w:hAnsi="Calibri"/>
                <w:color w:val="auto"/>
                <w:sz w:val="24"/>
                <w:highlight w:val="none"/>
              </w:rPr>
            </w:pPr>
            <w:r>
              <w:rPr>
                <w:rFonts w:hint="eastAsia" w:ascii="宋体" w:hAnsi="宋体"/>
                <w:color w:val="auto"/>
                <w:sz w:val="24"/>
                <w:highlight w:val="none"/>
              </w:rPr>
              <w:t>评标方法</w:t>
            </w:r>
          </w:p>
        </w:tc>
        <w:tc>
          <w:tcPr>
            <w:tcW w:w="6870" w:type="dxa"/>
            <w:gridSpan w:val="3"/>
            <w:vAlign w:val="center"/>
          </w:tcPr>
          <w:p w14:paraId="5788AFAB">
            <w:pPr>
              <w:spacing w:line="276" w:lineRule="auto"/>
              <w:ind w:left="113" w:right="113" w:firstLine="480" w:firstLineChars="200"/>
              <w:rPr>
                <w:rFonts w:ascii="Calibri" w:hAnsi="Calibri"/>
                <w:color w:val="auto"/>
                <w:sz w:val="24"/>
                <w:highlight w:val="none"/>
              </w:rPr>
            </w:pPr>
            <w:r>
              <w:rPr>
                <w:rFonts w:ascii="宋体" w:hAnsi="宋体"/>
                <w:color w:val="auto"/>
                <w:sz w:val="24"/>
                <w:highlight w:val="none"/>
              </w:rPr>
              <w:t>综合评分相等时，评标委员会依次按照以下优先顺序推荐中标候选人或确定中标人：</w:t>
            </w:r>
          </w:p>
          <w:p w14:paraId="228E429D">
            <w:pPr>
              <w:spacing w:line="276" w:lineRule="auto"/>
              <w:ind w:left="113" w:right="113" w:firstLine="480" w:firstLineChars="200"/>
              <w:rPr>
                <w:rFonts w:ascii="Calibri" w:hAnsi="Calibri"/>
                <w:color w:val="auto"/>
                <w:sz w:val="24"/>
                <w:highlight w:val="none"/>
              </w:rPr>
            </w:pPr>
            <w:r>
              <w:rPr>
                <w:rFonts w:ascii="宋体" w:hAnsi="宋体"/>
                <w:color w:val="auto"/>
                <w:sz w:val="24"/>
                <w:highlight w:val="none"/>
              </w:rPr>
              <w:t>（1）评标价低的优先；</w:t>
            </w:r>
          </w:p>
          <w:p w14:paraId="1DB6C1DF">
            <w:pPr>
              <w:spacing w:line="276" w:lineRule="auto"/>
              <w:ind w:left="113" w:right="113" w:firstLine="480" w:firstLineChars="200"/>
              <w:rPr>
                <w:rFonts w:ascii="Calibri" w:hAnsi="Calibri"/>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按招标文件规定被认定为最新年度广东省公路工程从业单位信用评价等级较高的投标人优先</w:t>
            </w:r>
            <w:r>
              <w:rPr>
                <w:rFonts w:ascii="宋体" w:hAnsi="宋体"/>
                <w:color w:val="auto"/>
                <w:sz w:val="24"/>
                <w:highlight w:val="none"/>
              </w:rPr>
              <w:t>；</w:t>
            </w:r>
          </w:p>
          <w:p w14:paraId="4AA18D0D">
            <w:pPr>
              <w:spacing w:line="276" w:lineRule="auto"/>
              <w:ind w:left="113" w:right="113" w:firstLine="480" w:firstLineChars="200"/>
              <w:rPr>
                <w:rFonts w:ascii="宋体" w:hAnsi="宋体"/>
                <w:color w:val="auto"/>
                <w:sz w:val="24"/>
                <w:highlight w:val="none"/>
              </w:rPr>
            </w:pPr>
            <w:r>
              <w:rPr>
                <w:rFonts w:ascii="宋体" w:hAnsi="宋体"/>
                <w:color w:val="auto"/>
                <w:sz w:val="24"/>
                <w:highlight w:val="none"/>
              </w:rPr>
              <w:t>【采用如下的优先顺序：承诺使用的AA级投标人、不承诺使用的AA级投标人、承诺使用的A级投标人、不承诺使用的A级投标人、B级投标人、未参评且被确定为B级投标人】</w:t>
            </w:r>
          </w:p>
          <w:p w14:paraId="0574D35A">
            <w:pPr>
              <w:numPr>
                <w:ilvl w:val="0"/>
                <w:numId w:val="0"/>
              </w:numPr>
              <w:spacing w:line="276" w:lineRule="auto"/>
              <w:ind w:right="113" w:rightChars="0"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ascii="宋体" w:hAnsi="宋体"/>
                <w:color w:val="auto"/>
                <w:sz w:val="24"/>
                <w:highlight w:val="none"/>
              </w:rPr>
              <w:t>以投标人企业最新年度净资产较高的优先；</w:t>
            </w:r>
          </w:p>
          <w:p w14:paraId="669E3F7F">
            <w:pPr>
              <w:numPr>
                <w:ilvl w:val="0"/>
                <w:numId w:val="0"/>
              </w:numPr>
              <w:spacing w:line="276" w:lineRule="auto"/>
              <w:ind w:right="113" w:rightChars="0" w:firstLine="480" w:firstLineChars="200"/>
              <w:rPr>
                <w:rFonts w:ascii="Calibri" w:hAnsi="Calibri"/>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ascii="宋体" w:hAnsi="宋体"/>
                <w:color w:val="auto"/>
                <w:sz w:val="24"/>
                <w:highlight w:val="none"/>
              </w:rPr>
              <w:t>评标委员会视投标人情况综合比较，投票确定其名次。</w:t>
            </w:r>
          </w:p>
        </w:tc>
      </w:tr>
      <w:tr w14:paraId="5ADAAC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891" w:type="dxa"/>
            <w:vAlign w:val="center"/>
          </w:tcPr>
          <w:p w14:paraId="6B10C7F5">
            <w:pPr>
              <w:jc w:val="center"/>
              <w:rPr>
                <w:rFonts w:ascii="Calibri" w:hAnsi="Calibri"/>
                <w:color w:val="auto"/>
                <w:sz w:val="24"/>
                <w:highlight w:val="none"/>
              </w:rPr>
            </w:pPr>
            <w:r>
              <w:rPr>
                <w:rFonts w:ascii="宋体" w:hAnsi="宋体"/>
                <w:color w:val="auto"/>
                <w:sz w:val="24"/>
                <w:highlight w:val="none"/>
              </w:rPr>
              <w:t>2.1.1</w:t>
            </w:r>
          </w:p>
          <w:p w14:paraId="6539461A">
            <w:pPr>
              <w:jc w:val="center"/>
              <w:rPr>
                <w:rFonts w:ascii="Calibri" w:hAnsi="Calibri"/>
                <w:color w:val="auto"/>
                <w:sz w:val="24"/>
                <w:highlight w:val="none"/>
              </w:rPr>
            </w:pPr>
            <w:r>
              <w:rPr>
                <w:rFonts w:hint="eastAsia" w:ascii="宋体" w:hAnsi="宋体"/>
                <w:color w:val="auto"/>
                <w:sz w:val="24"/>
                <w:highlight w:val="none"/>
              </w:rPr>
              <w:t>2.1.3</w:t>
            </w:r>
          </w:p>
        </w:tc>
        <w:tc>
          <w:tcPr>
            <w:tcW w:w="1460" w:type="dxa"/>
            <w:gridSpan w:val="2"/>
            <w:vAlign w:val="center"/>
          </w:tcPr>
          <w:p w14:paraId="64FD6AB6">
            <w:pPr>
              <w:snapToGrid w:val="0"/>
              <w:ind w:left="113" w:right="113" w:firstLine="2" w:firstLineChars="1"/>
              <w:contextualSpacing/>
              <w:jc w:val="center"/>
              <w:rPr>
                <w:rFonts w:ascii="Calibri" w:hAnsi="Calibri"/>
                <w:color w:val="auto"/>
                <w:sz w:val="24"/>
                <w:highlight w:val="none"/>
              </w:rPr>
            </w:pPr>
            <w:r>
              <w:rPr>
                <w:rFonts w:hint="eastAsia" w:ascii="宋体" w:hAnsi="宋体"/>
                <w:color w:val="auto"/>
                <w:sz w:val="24"/>
                <w:highlight w:val="none"/>
              </w:rPr>
              <w:t>形式评审与响应性评审标准</w:t>
            </w:r>
          </w:p>
        </w:tc>
        <w:tc>
          <w:tcPr>
            <w:tcW w:w="6870" w:type="dxa"/>
            <w:gridSpan w:val="3"/>
            <w:vAlign w:val="center"/>
          </w:tcPr>
          <w:p w14:paraId="0033A18D">
            <w:pPr>
              <w:widowControl w:val="0"/>
              <w:tabs>
                <w:tab w:val="left" w:pos="804"/>
              </w:tabs>
              <w:overflowPunct w:val="0"/>
              <w:jc w:val="both"/>
              <w:rPr>
                <w:rFonts w:hint="eastAsia" w:ascii="宋体" w:hAnsi="宋体" w:eastAsia="宋体" w:cs="宋体"/>
                <w:b/>
                <w:color w:val="auto"/>
                <w:spacing w:val="-1"/>
                <w:kern w:val="2"/>
                <w:sz w:val="24"/>
                <w:szCs w:val="24"/>
                <w:highlight w:val="none"/>
                <w:lang w:val="en-US" w:eastAsia="zh-CN" w:bidi="ar-SA"/>
              </w:rPr>
            </w:pPr>
            <w:r>
              <w:rPr>
                <w:rFonts w:hint="eastAsia" w:ascii="宋体" w:hAnsi="宋体" w:eastAsia="宋体" w:cs="宋体"/>
                <w:b/>
                <w:color w:val="auto"/>
                <w:spacing w:val="-1"/>
                <w:kern w:val="2"/>
                <w:sz w:val="24"/>
                <w:szCs w:val="24"/>
                <w:highlight w:val="none"/>
                <w:lang w:val="en-US" w:eastAsia="zh-CN" w:bidi="ar-SA"/>
              </w:rPr>
              <w:t>第一个信封（商务及技术文件）评审标准：</w:t>
            </w:r>
          </w:p>
          <w:p w14:paraId="14A91EE2">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（1）投标文件按照招标文件规定的格式、内容填写，字迹清晰可辩；</w:t>
            </w:r>
          </w:p>
          <w:p w14:paraId="5764AC3E">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a.投标函按招标文件规定填报了项目名称、标段号（如有</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、补遗书编号（如有</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、工期、工程质量要求及安全目标；</w:t>
            </w:r>
          </w:p>
          <w:p w14:paraId="44CCD6DC">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b.投标函附录的所有数据均符合招标文件规定；</w:t>
            </w:r>
          </w:p>
          <w:p w14:paraId="3234FC6F">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c.投标文件组成齐全完整，内容均按规定填写。</w:t>
            </w:r>
          </w:p>
          <w:p w14:paraId="55C88BFF">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（2）投标文件上法定代表人或其委托代理人的签字、投标人的单位章盖章齐全，符合招标文件规定；</w:t>
            </w:r>
          </w:p>
          <w:p w14:paraId="6E50DA68">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（3）投标人按照招标文件的规定提供了投标保证金：</w:t>
            </w:r>
          </w:p>
          <w:p w14:paraId="06C0EF82">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a.投标保证金金额符合招标文件规定的金额，且投标保证金有效期不少于投标有效期；</w:t>
            </w:r>
          </w:p>
          <w:p w14:paraId="5016CC44">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b.若投标保证金采用现金或支票形式提交，投标人应在投标人须知3.4.1 款规定的时间，将投标保证金由投标人的基本账户转入招标人指定账户；</w:t>
            </w:r>
          </w:p>
          <w:p w14:paraId="2A111E57">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c.若投标保证金采用银行保函或投标人须知前附表 3.4.1 项规定的其他形式提交，应满足招标文件要求；</w:t>
            </w:r>
          </w:p>
          <w:p w14:paraId="63573590">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（4）投标人法定代表人授权委托代理人签署投标文件的，须提交授权委托书，且授权人和被授权人均在授权委托书上签名，未使用印章、签名章或其他电子制版签名代替。</w:t>
            </w:r>
          </w:p>
          <w:p w14:paraId="2DE7E8E5">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（5）投标人法定代表人亲自签署投标文件的，提供了法定代表人身份证明，且法定代表人在法定代表人身份证明上签名，未使用印章、签名章或其他电子制版签名代替。</w:t>
            </w:r>
          </w:p>
          <w:p w14:paraId="569EABF4">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（6）投标人未以联合体形式投标。</w:t>
            </w:r>
          </w:p>
          <w:p w14:paraId="293764DC">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（7）如投标人不具备拟分包工程所需的某专项工程相应资质或</w:t>
            </w:r>
            <w:r>
              <w:rPr>
                <w:rFonts w:hint="eastAsia" w:ascii="宋体" w:hAnsi="宋体" w:eastAsia="宋体" w:cs="宋体"/>
                <w:color w:val="auto"/>
                <w:kern w:val="2"/>
                <w:sz w:val="24"/>
                <w:szCs w:val="24"/>
                <w:highlight w:val="none"/>
                <w:lang w:val="en-US" w:eastAsia="zh-CN" w:bidi="ar-SA"/>
              </w:rPr>
              <w:t>投标人如有分包计划，符合招标文件第二章“投标人须知”第1.11款规定，且按招标文件第九章“投标文件格式”的要求填写了“拟分包项目情况表”。</w:t>
            </w:r>
          </w:p>
          <w:p w14:paraId="7E53DB93">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）同一投标人未提交两个以上不同的投标文件，但招标文件要求提交备选投标的除外。</w:t>
            </w:r>
          </w:p>
          <w:p w14:paraId="0B9D6EBA">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）投标文件中未出现有关投标报价的内容。</w:t>
            </w:r>
          </w:p>
          <w:p w14:paraId="445161CB">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）投标文件载明的招标项目完成期限未超过招标文件规定的时限。</w:t>
            </w:r>
          </w:p>
          <w:p w14:paraId="03CC431D">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）投标文件对招标文件的实质性要求和条件作出响应。</w:t>
            </w:r>
          </w:p>
          <w:p w14:paraId="62901B70">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）权利义务符合招标文件规定：</w:t>
            </w:r>
          </w:p>
          <w:p w14:paraId="0101958C">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a.投标人应接受招标文件规定的风险划分原则，未提出新的风险划分办法；</w:t>
            </w:r>
          </w:p>
          <w:p w14:paraId="4AACC45A">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b.投标人未增加发包人的责任范围，或减少投标人义务；</w:t>
            </w:r>
          </w:p>
          <w:p w14:paraId="4A60C08F">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c.投标人未提出不同的工程验收、计量、支付办法；</w:t>
            </w:r>
          </w:p>
          <w:p w14:paraId="667710FE">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d.投标人对合同纠纷、事故处理办法未提出异议；</w:t>
            </w:r>
          </w:p>
          <w:p w14:paraId="5B5E04A0">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e.投标人在投标活动中无欺诈行为；</w:t>
            </w:r>
          </w:p>
          <w:p w14:paraId="5A981F7D">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f.投标人未对合同条款有重要保留。</w:t>
            </w:r>
          </w:p>
          <w:p w14:paraId="6D7529FA">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）投标文件未附有招标人不能接受的条件。</w:t>
            </w:r>
          </w:p>
          <w:p w14:paraId="0F87A844">
            <w:pPr>
              <w:keepNext w:val="0"/>
              <w:keepLines w:val="0"/>
              <w:pageBreakBefore w:val="0"/>
              <w:widowControl w:val="0"/>
              <w:tabs>
                <w:tab w:val="left" w:pos="804"/>
              </w:tabs>
              <w:kinsoku/>
              <w:wordWrap/>
              <w:overflowPunct w:val="0"/>
              <w:topLinePunct w:val="0"/>
              <w:autoSpaceDE/>
              <w:autoSpaceDN/>
              <w:bidi w:val="0"/>
              <w:adjustRightInd/>
              <w:snapToGrid/>
              <w:spacing w:line="36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第二个信封（报价文件）评审标准：</w:t>
            </w:r>
          </w:p>
          <w:p w14:paraId="29000559">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（1）投标文件按照招标文件规定的格式、内容填写，字迹清晰可辨：</w:t>
            </w:r>
          </w:p>
          <w:p w14:paraId="1C2D0F45">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a.投标函按招标文件规定填报了项目名称、标段号、补遗书编号（如有)、投标报价（包括大写金额和小写金额)；</w:t>
            </w:r>
          </w:p>
          <w:p w14:paraId="0FBADABE">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b.已标价工程量清单说明文字与招标文件规定一致，未进行实质性修改和删减；</w:t>
            </w:r>
          </w:p>
          <w:p w14:paraId="3428E4DA">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c.投标文件组成齐全完整，内容均按规定填写。</w:t>
            </w:r>
          </w:p>
          <w:p w14:paraId="2B65B0DF">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（2）投标文件上法定代表人或其委托代理人的签字、投标人的单位章盖章齐全，符合招标文件规定。</w:t>
            </w:r>
          </w:p>
          <w:p w14:paraId="4D604D92">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（3）投标总报价或调价函中的报价未超过招标文件设定的最高投标限价（如有）及最高评标限价（如有）。</w:t>
            </w:r>
          </w:p>
          <w:p w14:paraId="64AD3B1B">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（4）投标总报价或调价函中报价的大写金额能够确定具体数值。</w:t>
            </w:r>
          </w:p>
          <w:p w14:paraId="60A6DA82">
            <w:pPr>
              <w:keepNext w:val="0"/>
              <w:keepLines w:val="0"/>
              <w:pageBreakBefore w:val="0"/>
              <w:widowControl w:val="0"/>
              <w:tabs>
                <w:tab w:val="left" w:pos="804"/>
              </w:tabs>
              <w:kinsoku/>
              <w:wordWrap/>
              <w:overflowPunct w:val="0"/>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（5）同一投标人未提交两个以上不同的投标文件，但招标文件要求提交备选投标的除外。 </w:t>
            </w:r>
          </w:p>
          <w:p w14:paraId="394ACBAA">
            <w:pPr>
              <w:keepNext w:val="0"/>
              <w:keepLines w:val="0"/>
              <w:pageBreakBefore w:val="0"/>
              <w:widowControl w:val="0"/>
              <w:kinsoku/>
              <w:wordWrap/>
              <w:topLinePunct w:val="0"/>
              <w:autoSpaceDE/>
              <w:autoSpaceDN/>
              <w:bidi w:val="0"/>
              <w:adjustRightInd/>
              <w:snapToGrid/>
              <w:spacing w:line="360" w:lineRule="exact"/>
              <w:ind w:right="113"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（6）投标人若提交调价函，调价函符合招标文件第二章“投标人须知”第 3.2.6 项要求。</w:t>
            </w:r>
          </w:p>
          <w:p w14:paraId="47F95B3A">
            <w:pPr>
              <w:keepNext w:val="0"/>
              <w:keepLines w:val="0"/>
              <w:pageBreakBefore w:val="0"/>
              <w:widowControl w:val="0"/>
              <w:kinsoku/>
              <w:wordWrap/>
              <w:topLinePunct w:val="0"/>
              <w:autoSpaceDE/>
              <w:autoSpaceDN/>
              <w:bidi w:val="0"/>
              <w:adjustRightInd/>
              <w:snapToGrid/>
              <w:spacing w:line="360" w:lineRule="exact"/>
              <w:ind w:right="113" w:firstLine="480" w:firstLineChars="200"/>
              <w:textAlignment w:val="auto"/>
              <w:rPr>
                <w:color w:val="auto"/>
                <w:highlight w:val="none"/>
              </w:rPr>
            </w:pPr>
            <w:r>
              <w:rPr>
                <w:rFonts w:hint="eastAsia" w:ascii="宋体" w:hAnsi="宋体" w:eastAsia="宋体" w:cs="宋体"/>
                <w:color w:val="auto"/>
                <w:kern w:val="2"/>
                <w:sz w:val="24"/>
                <w:szCs w:val="24"/>
                <w:highlight w:val="none"/>
                <w:lang w:val="en-US" w:eastAsia="zh-CN" w:bidi="ar-SA"/>
              </w:rPr>
              <w:t>（7）投标人若填写工程量固化清单，填写完毕的工程量固化清单未对工程量固化清单电子文件中的数据、格式和运算定义进行修改；工程量固化清单中的投标总报价和投标函大写金额报价一致。</w:t>
            </w:r>
          </w:p>
        </w:tc>
      </w:tr>
      <w:tr w14:paraId="001624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12" w:hRule="atLeast"/>
          <w:jc w:val="center"/>
        </w:trPr>
        <w:tc>
          <w:tcPr>
            <w:tcW w:w="891" w:type="dxa"/>
            <w:vAlign w:val="center"/>
          </w:tcPr>
          <w:p w14:paraId="510BA0EA">
            <w:pPr>
              <w:jc w:val="center"/>
              <w:rPr>
                <w:rFonts w:ascii="Calibri" w:hAnsi="Calibri"/>
                <w:color w:val="auto"/>
                <w:sz w:val="24"/>
                <w:highlight w:val="none"/>
              </w:rPr>
            </w:pPr>
            <w:r>
              <w:rPr>
                <w:rFonts w:hint="eastAsia" w:ascii="宋体" w:hAnsi="宋体"/>
                <w:color w:val="auto"/>
                <w:sz w:val="24"/>
                <w:highlight w:val="none"/>
              </w:rPr>
              <w:t>2.1.2</w:t>
            </w:r>
          </w:p>
        </w:tc>
        <w:tc>
          <w:tcPr>
            <w:tcW w:w="1470" w:type="dxa"/>
            <w:gridSpan w:val="3"/>
            <w:vAlign w:val="center"/>
          </w:tcPr>
          <w:p w14:paraId="7FA6F8E0">
            <w:pPr>
              <w:ind w:left="113" w:right="113" w:firstLine="4" w:firstLineChars="2"/>
              <w:jc w:val="center"/>
              <w:rPr>
                <w:rFonts w:ascii="Calibri" w:hAnsi="Calibri"/>
                <w:color w:val="auto"/>
                <w:sz w:val="24"/>
                <w:highlight w:val="none"/>
              </w:rPr>
            </w:pPr>
            <w:r>
              <w:rPr>
                <w:rFonts w:hint="eastAsia" w:ascii="宋体" w:hAnsi="宋体"/>
                <w:color w:val="auto"/>
                <w:sz w:val="24"/>
                <w:highlight w:val="none"/>
              </w:rPr>
              <w:t>资格评审标准</w:t>
            </w:r>
          </w:p>
        </w:tc>
        <w:tc>
          <w:tcPr>
            <w:tcW w:w="6860" w:type="dxa"/>
            <w:gridSpan w:val="2"/>
            <w:vAlign w:val="center"/>
          </w:tcPr>
          <w:p w14:paraId="6F60219A">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7E2C472A">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（2）投标人的资质等级符合招标文件规定；</w:t>
            </w:r>
          </w:p>
          <w:p w14:paraId="01DDCB52">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（3）投标人的财务状况符合招标文件规定；</w:t>
            </w:r>
          </w:p>
          <w:p w14:paraId="01A8BA08">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（4）投标人的类似项目业绩符合招标文件规定；</w:t>
            </w:r>
          </w:p>
          <w:p w14:paraId="51DBDFA0">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（5）投标人的信誉符合招标文件规定；</w:t>
            </w:r>
          </w:p>
          <w:p w14:paraId="3D6A6FB6">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（6）投标人的项目经理和项目总工资格、在岗情况符合招标文件规定，并按规定在投标文件中签字确认；</w:t>
            </w:r>
          </w:p>
          <w:p w14:paraId="3AE5DE89">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（7）投标人的其他要求符合招标文件规定；</w:t>
            </w:r>
          </w:p>
          <w:p w14:paraId="7E8AEC9D">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（8）投标人不存在第二章“投标人须知”第1.4.3项或第1.4.4项规定的任何一种情形；</w:t>
            </w:r>
          </w:p>
          <w:p w14:paraId="6B215090">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Calibri" w:hAnsi="Calibri" w:eastAsia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（9）投标人符合第二章“投标人须知”第 1.4.5 项规定</w:t>
            </w:r>
            <w:r>
              <w:rPr>
                <w:rFonts w:hint="eastAsia" w:asciiTheme="minorEastAsia" w:hAnsiTheme="minorEastAsia" w:eastAsiaTheme="minorEastAsia" w:cstheme="minorEastAsia"/>
                <w:color w:val="auto"/>
                <w:sz w:val="24"/>
                <w:highlight w:val="none"/>
                <w:lang w:eastAsia="zh-CN"/>
              </w:rPr>
              <w:t>。</w:t>
            </w:r>
          </w:p>
        </w:tc>
      </w:tr>
      <w:tr w14:paraId="6C2800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2361" w:type="dxa"/>
            <w:gridSpan w:val="4"/>
            <w:vAlign w:val="center"/>
          </w:tcPr>
          <w:p w14:paraId="15D3B897">
            <w:pPr>
              <w:ind w:right="113"/>
              <w:jc w:val="center"/>
              <w:rPr>
                <w:rFonts w:ascii="Calibri" w:hAnsi="Calibri"/>
                <w:b/>
                <w:color w:val="auto"/>
                <w:sz w:val="24"/>
                <w:highlight w:val="none"/>
              </w:rPr>
            </w:pPr>
            <w:r>
              <w:rPr>
                <w:rFonts w:hint="eastAsia" w:ascii="宋体" w:hAnsi="宋体"/>
                <w:b/>
                <w:color w:val="auto"/>
                <w:sz w:val="24"/>
                <w:highlight w:val="none"/>
              </w:rPr>
              <w:t>条款号</w:t>
            </w:r>
          </w:p>
        </w:tc>
        <w:tc>
          <w:tcPr>
            <w:tcW w:w="1560" w:type="dxa"/>
            <w:vAlign w:val="center"/>
          </w:tcPr>
          <w:p w14:paraId="17FEAA78">
            <w:pPr>
              <w:ind w:right="113"/>
              <w:jc w:val="center"/>
              <w:rPr>
                <w:rFonts w:ascii="Calibri" w:hAnsi="Calibri"/>
                <w:b/>
                <w:color w:val="auto"/>
                <w:sz w:val="24"/>
                <w:highlight w:val="none"/>
              </w:rPr>
            </w:pPr>
            <w:r>
              <w:rPr>
                <w:rFonts w:hint="eastAsia" w:ascii="宋体" w:hAnsi="宋体"/>
                <w:b/>
                <w:color w:val="auto"/>
                <w:sz w:val="24"/>
                <w:highlight w:val="none"/>
              </w:rPr>
              <w:t>条款内容</w:t>
            </w:r>
          </w:p>
        </w:tc>
        <w:tc>
          <w:tcPr>
            <w:tcW w:w="5300" w:type="dxa"/>
            <w:vAlign w:val="center"/>
          </w:tcPr>
          <w:p w14:paraId="39E338B2">
            <w:pPr>
              <w:ind w:right="113"/>
              <w:jc w:val="center"/>
              <w:rPr>
                <w:rFonts w:ascii="Calibri" w:hAnsi="Calibri"/>
                <w:b/>
                <w:color w:val="auto"/>
                <w:sz w:val="24"/>
                <w:highlight w:val="none"/>
              </w:rPr>
            </w:pPr>
            <w:r>
              <w:rPr>
                <w:rFonts w:hint="eastAsia" w:ascii="宋体" w:hAnsi="宋体"/>
                <w:b/>
                <w:color w:val="auto"/>
                <w:sz w:val="24"/>
                <w:highlight w:val="none"/>
              </w:rPr>
              <w:t>编列内容</w:t>
            </w:r>
          </w:p>
        </w:tc>
      </w:tr>
      <w:tr w14:paraId="0B7C96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9" w:hRule="atLeast"/>
          <w:jc w:val="center"/>
        </w:trPr>
        <w:tc>
          <w:tcPr>
            <w:tcW w:w="1049" w:type="dxa"/>
            <w:gridSpan w:val="2"/>
            <w:tcBorders>
              <w:right w:val="single" w:color="auto" w:sz="4" w:space="0"/>
            </w:tcBorders>
            <w:vAlign w:val="center"/>
          </w:tcPr>
          <w:p w14:paraId="6ACA660D">
            <w:pPr>
              <w:ind w:right="113"/>
              <w:jc w:val="center"/>
              <w:rPr>
                <w:rFonts w:ascii="Calibri" w:hAnsi="Calibri"/>
                <w:color w:val="auto"/>
                <w:sz w:val="24"/>
                <w:highlight w:val="none"/>
              </w:rPr>
            </w:pPr>
            <w:r>
              <w:rPr>
                <w:rFonts w:hint="eastAsia" w:ascii="宋体" w:hAnsi="宋体"/>
                <w:color w:val="auto"/>
                <w:sz w:val="24"/>
                <w:highlight w:val="none"/>
              </w:rPr>
              <w:t>2.2.1</w:t>
            </w:r>
          </w:p>
        </w:tc>
        <w:tc>
          <w:tcPr>
            <w:tcW w:w="1312" w:type="dxa"/>
            <w:gridSpan w:val="2"/>
            <w:tcBorders>
              <w:left w:val="single" w:color="auto" w:sz="4" w:space="0"/>
            </w:tcBorders>
            <w:vAlign w:val="center"/>
          </w:tcPr>
          <w:p w14:paraId="6EC4B096">
            <w:pPr>
              <w:ind w:right="113"/>
              <w:jc w:val="center"/>
              <w:rPr>
                <w:rFonts w:ascii="Calibri" w:hAnsi="Calibri"/>
                <w:color w:val="auto"/>
                <w:sz w:val="24"/>
                <w:highlight w:val="none"/>
              </w:rPr>
            </w:pPr>
            <w:r>
              <w:rPr>
                <w:rFonts w:hint="eastAsia" w:ascii="宋体" w:hAnsi="宋体"/>
                <w:color w:val="auto"/>
                <w:sz w:val="24"/>
                <w:highlight w:val="none"/>
              </w:rPr>
              <w:t>分值构成</w:t>
            </w:r>
          </w:p>
          <w:p w14:paraId="5AA98E76">
            <w:pPr>
              <w:ind w:right="113"/>
              <w:jc w:val="center"/>
              <w:rPr>
                <w:rFonts w:hint="eastAsia" w:ascii="宋体" w:hAnsi="宋体"/>
                <w:color w:val="auto"/>
                <w:sz w:val="24"/>
                <w:highlight w:val="none"/>
              </w:rPr>
            </w:pPr>
            <w:r>
              <w:rPr>
                <w:rFonts w:hint="eastAsia" w:ascii="宋体" w:hAnsi="宋体"/>
                <w:color w:val="auto"/>
                <w:sz w:val="24"/>
                <w:highlight w:val="none"/>
              </w:rPr>
              <w:t>（总分100分）</w:t>
            </w:r>
          </w:p>
        </w:tc>
        <w:tc>
          <w:tcPr>
            <w:tcW w:w="6860" w:type="dxa"/>
            <w:gridSpan w:val="2"/>
            <w:vAlign w:val="center"/>
          </w:tcPr>
          <w:p w14:paraId="115E2D21">
            <w:pPr>
              <w:ind w:right="113"/>
              <w:rPr>
                <w:rFonts w:ascii="宋体" w:hAnsi="宋体"/>
                <w:color w:val="auto"/>
                <w:sz w:val="24"/>
                <w:highlight w:val="none"/>
              </w:rPr>
            </w:pPr>
            <w:r>
              <w:rPr>
                <w:rFonts w:ascii="宋体" w:hAnsi="宋体"/>
                <w:color w:val="auto"/>
                <w:sz w:val="24"/>
                <w:highlight w:val="none"/>
              </w:rPr>
              <w:t>评标价：95 分</w:t>
            </w:r>
          </w:p>
          <w:p w14:paraId="5DB16C74">
            <w:pPr>
              <w:ind w:right="113"/>
              <w:rPr>
                <w:rFonts w:ascii="Calibri" w:hAnsi="Calibri"/>
                <w:color w:val="auto"/>
                <w:sz w:val="24"/>
                <w:highlight w:val="none"/>
              </w:rPr>
            </w:pPr>
            <w:r>
              <w:rPr>
                <w:rFonts w:ascii="宋体" w:hAnsi="宋体"/>
                <w:color w:val="auto"/>
                <w:sz w:val="24"/>
                <w:highlight w:val="none"/>
              </w:rPr>
              <w:t>其它因素：5 分</w:t>
            </w:r>
          </w:p>
        </w:tc>
      </w:tr>
      <w:tr w14:paraId="13A3C3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49" w:type="dxa"/>
            <w:gridSpan w:val="2"/>
            <w:tcBorders>
              <w:right w:val="single" w:color="auto" w:sz="4" w:space="0"/>
            </w:tcBorders>
            <w:vAlign w:val="center"/>
          </w:tcPr>
          <w:p w14:paraId="3B9F15D0">
            <w:pPr>
              <w:ind w:right="113"/>
              <w:jc w:val="center"/>
              <w:rPr>
                <w:rFonts w:ascii="Calibri" w:hAnsi="Calibri"/>
                <w:color w:val="auto"/>
                <w:sz w:val="24"/>
                <w:highlight w:val="none"/>
              </w:rPr>
            </w:pPr>
            <w:r>
              <w:rPr>
                <w:rFonts w:hint="eastAsia" w:ascii="宋体" w:hAnsi="宋体"/>
                <w:color w:val="auto"/>
                <w:sz w:val="24"/>
                <w:highlight w:val="none"/>
              </w:rPr>
              <w:t>2.2.2</w:t>
            </w:r>
          </w:p>
        </w:tc>
        <w:tc>
          <w:tcPr>
            <w:tcW w:w="1312" w:type="dxa"/>
            <w:gridSpan w:val="2"/>
            <w:tcBorders>
              <w:left w:val="single" w:color="auto" w:sz="4" w:space="0"/>
            </w:tcBorders>
            <w:vAlign w:val="center"/>
          </w:tcPr>
          <w:p w14:paraId="01BD33B8">
            <w:pPr>
              <w:ind w:right="113"/>
              <w:jc w:val="center"/>
              <w:rPr>
                <w:rFonts w:hint="eastAsia" w:ascii="宋体" w:hAnsi="宋体"/>
                <w:color w:val="auto"/>
                <w:sz w:val="24"/>
                <w:highlight w:val="none"/>
              </w:rPr>
            </w:pPr>
            <w:r>
              <w:rPr>
                <w:rFonts w:hint="eastAsia" w:ascii="宋体" w:hAnsi="宋体"/>
                <w:color w:val="auto"/>
                <w:sz w:val="24"/>
                <w:highlight w:val="none"/>
              </w:rPr>
              <w:t>评标基准价计算方法</w:t>
            </w:r>
          </w:p>
        </w:tc>
        <w:tc>
          <w:tcPr>
            <w:tcW w:w="6860" w:type="dxa"/>
            <w:gridSpan w:val="2"/>
            <w:vAlign w:val="center"/>
          </w:tcPr>
          <w:p w14:paraId="038651E7">
            <w:pPr>
              <w:keepNext w:val="0"/>
              <w:keepLines w:val="0"/>
              <w:pageBreakBefore w:val="0"/>
              <w:widowControl w:val="0"/>
              <w:kinsoku/>
              <w:wordWrap/>
              <w:overflowPunct/>
              <w:topLinePunct w:val="0"/>
              <w:autoSpaceDE/>
              <w:autoSpaceDN/>
              <w:bidi w:val="0"/>
              <w:adjustRightInd/>
              <w:snapToGrid/>
              <w:spacing w:line="360" w:lineRule="exact"/>
              <w:ind w:right="113"/>
              <w:jc w:val="left"/>
              <w:textAlignment w:val="auto"/>
              <w:rPr>
                <w:rFonts w:ascii="Calibri" w:hAnsi="Calibri"/>
                <w:color w:val="auto"/>
                <w:sz w:val="24"/>
                <w:highlight w:val="none"/>
              </w:rPr>
            </w:pPr>
            <w:r>
              <w:rPr>
                <w:rFonts w:hint="eastAsia" w:ascii="宋体" w:hAnsi="宋体"/>
                <w:color w:val="auto"/>
                <w:sz w:val="24"/>
                <w:highlight w:val="none"/>
              </w:rPr>
              <w:t>评标基准价的计算：</w:t>
            </w:r>
          </w:p>
          <w:p w14:paraId="78F15163">
            <w:pPr>
              <w:keepNext w:val="0"/>
              <w:keepLines w:val="0"/>
              <w:pageBreakBefore w:val="0"/>
              <w:widowControl w:val="0"/>
              <w:kinsoku/>
              <w:wordWrap/>
              <w:overflowPunct/>
              <w:topLinePunct w:val="0"/>
              <w:autoSpaceDE/>
              <w:autoSpaceDN/>
              <w:bidi w:val="0"/>
              <w:adjustRightInd/>
              <w:snapToGrid/>
              <w:spacing w:line="360" w:lineRule="exact"/>
              <w:ind w:right="113" w:firstLine="480" w:firstLineChars="200"/>
              <w:textAlignment w:val="auto"/>
              <w:rPr>
                <w:rFonts w:ascii="Calibri" w:hAnsi="Calibri"/>
                <w:color w:val="auto"/>
                <w:sz w:val="24"/>
                <w:highlight w:val="none"/>
              </w:rPr>
            </w:pPr>
            <w:r>
              <w:rPr>
                <w:rFonts w:ascii="宋体" w:hAnsi="宋体"/>
                <w:color w:val="auto"/>
                <w:sz w:val="24"/>
                <w:highlight w:val="none"/>
              </w:rPr>
              <w:t>在开标现场，招标人将当场计算并宣布评标基准价。</w:t>
            </w:r>
          </w:p>
          <w:p w14:paraId="44542D6F">
            <w:pPr>
              <w:keepNext w:val="0"/>
              <w:keepLines w:val="0"/>
              <w:pageBreakBefore w:val="0"/>
              <w:widowControl w:val="0"/>
              <w:kinsoku/>
              <w:wordWrap/>
              <w:overflowPunct/>
              <w:topLinePunct w:val="0"/>
              <w:autoSpaceDE/>
              <w:autoSpaceDN/>
              <w:bidi w:val="0"/>
              <w:adjustRightInd/>
              <w:snapToGrid/>
              <w:spacing w:line="360" w:lineRule="exact"/>
              <w:ind w:right="113"/>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评标价的确定：</w:t>
            </w:r>
          </w:p>
          <w:p w14:paraId="505E1AEC">
            <w:pPr>
              <w:keepNext w:val="0"/>
              <w:keepLines w:val="0"/>
              <w:pageBreakBefore w:val="0"/>
              <w:widowControl w:val="0"/>
              <w:kinsoku/>
              <w:wordWrap/>
              <w:overflowPunct/>
              <w:topLinePunct w:val="0"/>
              <w:autoSpaceDE/>
              <w:autoSpaceDN/>
              <w:bidi w:val="0"/>
              <w:adjustRightInd/>
              <w:snapToGrid/>
              <w:spacing w:line="360" w:lineRule="exact"/>
              <w:ind w:right="113" w:firstLine="482" w:firstLineChars="200"/>
              <w:jc w:val="left"/>
              <w:textAlignment w:val="auto"/>
              <w:rPr>
                <w:rFonts w:hint="eastAsia" w:ascii="宋体" w:hAnsi="宋体"/>
                <w:b/>
                <w:bCs/>
                <w:color w:val="auto"/>
                <w:sz w:val="24"/>
                <w:highlight w:val="none"/>
              </w:rPr>
            </w:pPr>
            <w:r>
              <w:rPr>
                <w:rFonts w:hint="eastAsia" w:ascii="宋体" w:hAnsi="宋体"/>
                <w:b/>
                <w:bCs/>
                <w:color w:val="auto"/>
                <w:sz w:val="24"/>
                <w:highlight w:val="none"/>
              </w:rPr>
              <w:t>评标价</w:t>
            </w:r>
            <w:r>
              <w:rPr>
                <w:rFonts w:hint="eastAsia" w:ascii="宋体" w:hAnsi="宋体"/>
                <w:b/>
                <w:bCs/>
                <w:color w:val="auto"/>
                <w:sz w:val="24"/>
                <w:highlight w:val="none"/>
                <w:lang w:val="en-US" w:eastAsia="zh-CN"/>
              </w:rPr>
              <w:t>=</w:t>
            </w:r>
            <w:r>
              <w:rPr>
                <w:rFonts w:hint="eastAsia" w:ascii="宋体" w:hAnsi="宋体"/>
                <w:b/>
                <w:bCs/>
                <w:color w:val="auto"/>
                <w:sz w:val="24"/>
                <w:highlight w:val="none"/>
              </w:rPr>
              <w:t>投标函文字报价</w:t>
            </w:r>
          </w:p>
          <w:p w14:paraId="03C313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13" w:rightChars="0"/>
              <w:textAlignment w:val="auto"/>
              <w:rPr>
                <w:rFonts w:hint="eastAsia"/>
                <w:color w:val="auto"/>
                <w:highlight w:val="none"/>
              </w:rPr>
            </w:pPr>
            <w:r>
              <w:rPr>
                <w:rFonts w:hint="eastAsia" w:ascii="宋体" w:hAnsi="宋体" w:eastAsia="宋体" w:cs="宋体"/>
                <w:b w:val="0"/>
                <w:bCs w:val="0"/>
                <w:color w:val="auto"/>
                <w:kern w:val="2"/>
                <w:sz w:val="24"/>
                <w:szCs w:val="24"/>
                <w:highlight w:val="none"/>
                <w:lang w:val="en-US" w:eastAsia="zh-CN" w:bidi="ar-SA"/>
              </w:rPr>
              <w:t>（2）最</w:t>
            </w:r>
            <w:r>
              <w:rPr>
                <w:rFonts w:hint="eastAsia" w:ascii="宋体" w:hAnsi="宋体" w:cs="宋体"/>
                <w:color w:val="auto"/>
                <w:sz w:val="24"/>
                <w:highlight w:val="none"/>
              </w:rPr>
              <w:t>高评标限价的确定</w:t>
            </w:r>
          </w:p>
          <w:p w14:paraId="7C82B5E1">
            <w:pPr>
              <w:pStyle w:val="5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最高投标限价下浮率（以下简称“下浮率”）在第二个信封开标前在开标现场采取逐标段摇珠方式确定。</w:t>
            </w:r>
          </w:p>
          <w:p w14:paraId="1F168320">
            <w:pPr>
              <w:pStyle w:val="5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方法的选择：1 号球代表方法一，2 号球代表方法二，采用随机摇珠的方式摇取 1 个球，摇出球对应的方法即为下一步采取的下浮率摇珠操作方法。</w:t>
            </w:r>
          </w:p>
          <w:p w14:paraId="3CA72E1F">
            <w:pPr>
              <w:pStyle w:val="5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下浮率摇珠操作方法如下：</w:t>
            </w:r>
          </w:p>
          <w:p w14:paraId="2FBD1B1B">
            <w:pPr>
              <w:pStyle w:val="5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方法一：在下浮率摇珠范围内，以0.1%为一档次增序确定摇珠号码，不少于31个球，每个标段各一次性摇取1个球，摇出球对应的下浮率即为本标段招标的下浮率。（注：下浮率摇珠区间为0%～3%，不少于 31 个球，即0～30号球。）</w:t>
            </w:r>
          </w:p>
          <w:p w14:paraId="558D8691">
            <w:pPr>
              <w:pStyle w:val="5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方法二：在下浮率摇珠范围内，以0.1%为一档次增序确定摇珠号码，不少于31个球（即0～30号球），每个标段各一次性摇取3个球（摇出的球不放回），摇出 3 个球对应的下浮率的平均值即为本标段招标的下浮率。（注：下浮率摇珠区间为0%～3%，摇出三个下浮率的平均值四舍五入取整到 0.001％）。 </w:t>
            </w:r>
          </w:p>
          <w:p w14:paraId="427ECD91">
            <w:pPr>
              <w:pStyle w:val="5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最高评标限价＝最高投标限价×（1-下浮率）</w:t>
            </w:r>
          </w:p>
          <w:p w14:paraId="6CE906AB">
            <w:pPr>
              <w:keepNext w:val="0"/>
              <w:keepLines w:val="0"/>
              <w:pageBreakBefore w:val="0"/>
              <w:widowControl w:val="0"/>
              <w:kinsoku/>
              <w:wordWrap/>
              <w:overflowPunct/>
              <w:topLinePunct w:val="0"/>
              <w:autoSpaceDE/>
              <w:autoSpaceDN/>
              <w:bidi w:val="0"/>
              <w:adjustRightInd/>
              <w:snapToGrid/>
              <w:spacing w:line="360" w:lineRule="exact"/>
              <w:ind w:right="113"/>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)有效评标价范围：</w:t>
            </w:r>
          </w:p>
          <w:p w14:paraId="2AB4E0D6">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有效评标价范围为：不大于最高评标限价的评标价为有效评标价。大于最高评标限价的评标价，将否决其投标。</w:t>
            </w:r>
          </w:p>
          <w:p w14:paraId="08DB842D">
            <w:pPr>
              <w:keepNext w:val="0"/>
              <w:keepLines w:val="0"/>
              <w:pageBreakBefore w:val="0"/>
              <w:widowControl w:val="0"/>
              <w:kinsoku/>
              <w:wordWrap/>
              <w:overflowPunct/>
              <w:topLinePunct w:val="0"/>
              <w:autoSpaceDE/>
              <w:autoSpaceDN/>
              <w:bidi w:val="0"/>
              <w:adjustRightInd/>
              <w:snapToGrid/>
              <w:spacing w:line="360" w:lineRule="exact"/>
              <w:ind w:right="113"/>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）确定参与评标基准价计算的评标价平均值计算：</w:t>
            </w:r>
          </w:p>
          <w:p w14:paraId="5C1EA137">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①参与评标基准价计算的评标价的范围：最高评标限价的85%≤参与评标基准价计算的评标价≤最高评标限价的100% ，小于最高评标限价的85%的评标价不参与评标基准价的计算，但仍参与评标价的得分计算。 </w:t>
            </w:r>
          </w:p>
          <w:p w14:paraId="29E98000">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②参与评标基准价的评标价平均值计算：除按第二章“投标人须知”第 5.2.4项规定开标现场被宣布为不进入评标基准价计算的投标报价之外，在上述确定的参与评标基准价计算的评标价中去掉一个最高值和一个最低值后的算术平均值即为参与评标基准价计算的有效评标价平均值(如果参与评标价平均值计算的有效投标人少于 5 家时，则计算上述平均值时不去掉最高值和最低值)；</w:t>
            </w:r>
          </w:p>
          <w:p w14:paraId="3D8C348F">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若投标人的评标价均小于最高评标限价的85%时，则以最高评标限价的 85%为评标基准价 ，同时应对投标报价小于85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14:paraId="4F09DD86">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即使某投标文件第二信封未通过形式评审与响应性评审，如其报价处于参与评标基准价计算的评标价的有效范围内，其评标价仍应参与有效评标价平均值的计算。</w:t>
            </w:r>
          </w:p>
          <w:p w14:paraId="32766B8F">
            <w:pPr>
              <w:keepNext w:val="0"/>
              <w:keepLines w:val="0"/>
              <w:pageBreakBefore w:val="0"/>
              <w:widowControl w:val="0"/>
              <w:kinsoku/>
              <w:wordWrap/>
              <w:overflowPunct/>
              <w:topLinePunct w:val="0"/>
              <w:autoSpaceDE/>
              <w:autoSpaceDN/>
              <w:bidi w:val="0"/>
              <w:adjustRightInd/>
              <w:snapToGrid/>
              <w:spacing w:line="360" w:lineRule="exact"/>
              <w:ind w:right="113"/>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)评标基准价的确定：</w:t>
            </w:r>
          </w:p>
          <w:p w14:paraId="2B1CD566">
            <w:pPr>
              <w:keepNext w:val="0"/>
              <w:keepLines w:val="0"/>
              <w:pageBreakBefore w:val="0"/>
              <w:widowControl w:val="0"/>
              <w:kinsoku/>
              <w:wordWrap/>
              <w:overflowPunct/>
              <w:topLinePunct w:val="0"/>
              <w:autoSpaceDE/>
              <w:autoSpaceDN/>
              <w:bidi w:val="0"/>
              <w:adjustRightInd/>
              <w:snapToGrid/>
              <w:spacing w:line="360" w:lineRule="exact"/>
              <w:ind w:left="113" w:right="113" w:firstLine="240" w:firstLineChars="1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 </w:t>
            </w:r>
            <w:r>
              <w:rPr>
                <w:rFonts w:hint="eastAsia" w:ascii="宋体" w:hAnsi="宋体" w:cs="宋体"/>
                <w:b w:val="0"/>
                <w:bCs/>
                <w:color w:val="auto"/>
                <w:sz w:val="24"/>
                <w:highlight w:val="none"/>
                <w:lang w:val="en-US" w:eastAsia="zh-CN"/>
              </w:rPr>
              <w:t>0.7</w:t>
            </w:r>
            <w:r>
              <w:rPr>
                <w:rFonts w:hint="eastAsia" w:ascii="宋体" w:hAnsi="宋体" w:cs="宋体"/>
                <w:b w:val="0"/>
                <w:bCs/>
                <w:color w:val="auto"/>
                <w:sz w:val="24"/>
                <w:highlight w:val="none"/>
              </w:rPr>
              <w:t xml:space="preserve">×最高评标限价 + </w:t>
            </w:r>
            <w:r>
              <w:rPr>
                <w:rFonts w:hint="eastAsia" w:ascii="宋体" w:hAnsi="宋体" w:cs="宋体"/>
                <w:b w:val="0"/>
                <w:bCs/>
                <w:color w:val="auto"/>
                <w:sz w:val="24"/>
                <w:highlight w:val="none"/>
                <w:lang w:val="en-US" w:eastAsia="zh-CN"/>
              </w:rPr>
              <w:t>0.3</w:t>
            </w:r>
            <w:r>
              <w:rPr>
                <w:rFonts w:hint="eastAsia" w:ascii="宋体" w:hAnsi="宋体" w:cs="宋体"/>
                <w:b w:val="0"/>
                <w:bCs/>
                <w:color w:val="auto"/>
                <w:sz w:val="24"/>
                <w:highlight w:val="none"/>
              </w:rPr>
              <w:t xml:space="preserve"> ×参与评标基准价计算的有效评标价的平均值）</w:t>
            </w:r>
          </w:p>
          <w:p w14:paraId="229B551B">
            <w:pPr>
              <w:keepNext w:val="0"/>
              <w:keepLines w:val="0"/>
              <w:pageBreakBefore w:val="0"/>
              <w:widowControl w:val="0"/>
              <w:kinsoku/>
              <w:wordWrap/>
              <w:overflowPunct/>
              <w:topLinePunct w:val="0"/>
              <w:autoSpaceDE/>
              <w:autoSpaceDN/>
              <w:bidi w:val="0"/>
              <w:adjustRightInd/>
              <w:snapToGrid/>
              <w:spacing w:line="360" w:lineRule="exact"/>
              <w:ind w:left="113" w:right="113" w:firstLine="360" w:firstLineChars="15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在评标过程中，评标委员会应对招标人计算的评标基准价进行复核，存在计算错误的应予以修正并在评标报告中作出说明。除此之外，评标基准价在整个评标期间保持不变，不随任何因素发生变化。</w:t>
            </w:r>
          </w:p>
          <w:p w14:paraId="59FAFD13">
            <w:pPr>
              <w:keepNext w:val="0"/>
              <w:keepLines w:val="0"/>
              <w:pageBreakBefore w:val="0"/>
              <w:widowControl w:val="0"/>
              <w:kinsoku/>
              <w:wordWrap/>
              <w:overflowPunct/>
              <w:topLinePunct w:val="0"/>
              <w:autoSpaceDE/>
              <w:autoSpaceDN/>
              <w:bidi w:val="0"/>
              <w:adjustRightInd/>
              <w:snapToGrid/>
              <w:spacing w:line="360" w:lineRule="exact"/>
              <w:ind w:left="113" w:right="113" w:firstLine="360" w:firstLineChars="150"/>
              <w:textAlignment w:val="auto"/>
              <w:rPr>
                <w:rFonts w:ascii="Calibri" w:hAnsi="Calibri"/>
                <w:color w:val="auto"/>
                <w:sz w:val="24"/>
                <w:highlight w:val="none"/>
              </w:rPr>
            </w:pPr>
            <w:r>
              <w:rPr>
                <w:rFonts w:hint="eastAsia" w:ascii="宋体" w:hAnsi="宋体" w:cs="宋体"/>
                <w:b w:val="0"/>
                <w:bCs/>
                <w:color w:val="auto"/>
                <w:sz w:val="24"/>
                <w:highlight w:val="none"/>
              </w:rPr>
              <w:t>备注：最高评标限价、评标基准价四舍五入至个位整数元。</w:t>
            </w:r>
          </w:p>
        </w:tc>
      </w:tr>
      <w:tr w14:paraId="2EAE58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49" w:type="dxa"/>
            <w:gridSpan w:val="2"/>
            <w:tcBorders>
              <w:right w:val="single" w:color="auto" w:sz="4" w:space="0"/>
            </w:tcBorders>
            <w:vAlign w:val="center"/>
          </w:tcPr>
          <w:p w14:paraId="6D78E11A">
            <w:pPr>
              <w:ind w:right="113"/>
              <w:jc w:val="center"/>
              <w:rPr>
                <w:rFonts w:ascii="Calibri" w:hAnsi="Calibri"/>
                <w:color w:val="auto"/>
                <w:sz w:val="24"/>
                <w:highlight w:val="none"/>
              </w:rPr>
            </w:pPr>
            <w:r>
              <w:rPr>
                <w:rFonts w:hint="eastAsia" w:ascii="宋体" w:hAnsi="宋体"/>
                <w:color w:val="auto"/>
                <w:sz w:val="24"/>
                <w:highlight w:val="none"/>
              </w:rPr>
              <w:t>2.2.3</w:t>
            </w:r>
          </w:p>
        </w:tc>
        <w:tc>
          <w:tcPr>
            <w:tcW w:w="1312" w:type="dxa"/>
            <w:gridSpan w:val="2"/>
            <w:tcBorders>
              <w:left w:val="single" w:color="auto" w:sz="4" w:space="0"/>
            </w:tcBorders>
            <w:vAlign w:val="center"/>
          </w:tcPr>
          <w:p w14:paraId="349F6B4E">
            <w:pPr>
              <w:ind w:right="113"/>
              <w:jc w:val="center"/>
              <w:rPr>
                <w:rFonts w:hint="eastAsia" w:ascii="宋体" w:hAnsi="宋体"/>
                <w:color w:val="auto"/>
                <w:sz w:val="24"/>
                <w:highlight w:val="none"/>
              </w:rPr>
            </w:pPr>
            <w:r>
              <w:rPr>
                <w:rFonts w:hint="eastAsia" w:ascii="宋体" w:hAnsi="宋体"/>
                <w:color w:val="auto"/>
                <w:sz w:val="24"/>
                <w:highlight w:val="none"/>
              </w:rPr>
              <w:t>评标价的偏差率计算公式</w:t>
            </w:r>
          </w:p>
        </w:tc>
        <w:tc>
          <w:tcPr>
            <w:tcW w:w="6860" w:type="dxa"/>
            <w:gridSpan w:val="2"/>
            <w:vAlign w:val="center"/>
          </w:tcPr>
          <w:p w14:paraId="7CBEB2AD">
            <w:pPr>
              <w:ind w:left="113" w:right="113"/>
              <w:rPr>
                <w:rFonts w:ascii="Calibri" w:hAnsi="Calibri"/>
                <w:color w:val="auto"/>
                <w:sz w:val="24"/>
                <w:highlight w:val="none"/>
              </w:rPr>
            </w:pPr>
            <w:r>
              <w:rPr>
                <w:rFonts w:ascii="宋体" w:hAnsi="宋体"/>
                <w:color w:val="auto"/>
                <w:sz w:val="24"/>
                <w:highlight w:val="none"/>
              </w:rPr>
              <w:t>偏差率=100% ×(投标人评标价</w:t>
            </w:r>
            <w:r>
              <w:rPr>
                <w:rFonts w:hint="eastAsia" w:ascii="宋体" w:hAnsi="宋体"/>
                <w:color w:val="auto"/>
                <w:sz w:val="24"/>
                <w:highlight w:val="none"/>
                <w:lang w:val="en-US" w:eastAsia="zh-CN"/>
              </w:rPr>
              <w:t xml:space="preserve"> — </w:t>
            </w:r>
            <w:r>
              <w:rPr>
                <w:rFonts w:ascii="宋体" w:hAnsi="宋体"/>
                <w:color w:val="auto"/>
                <w:sz w:val="24"/>
                <w:highlight w:val="none"/>
              </w:rPr>
              <w:t>评标基准价）/评标基准价</w:t>
            </w:r>
          </w:p>
        </w:tc>
      </w:tr>
      <w:tr w14:paraId="122B43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7" w:hRule="atLeast"/>
          <w:jc w:val="center"/>
        </w:trPr>
        <w:tc>
          <w:tcPr>
            <w:tcW w:w="1049" w:type="dxa"/>
            <w:gridSpan w:val="2"/>
            <w:tcBorders>
              <w:right w:val="single" w:color="auto" w:sz="4" w:space="0"/>
            </w:tcBorders>
            <w:vAlign w:val="center"/>
          </w:tcPr>
          <w:p w14:paraId="5B06A4C7">
            <w:pPr>
              <w:ind w:right="113"/>
              <w:jc w:val="center"/>
              <w:rPr>
                <w:rFonts w:ascii="Calibri" w:hAnsi="Calibri"/>
                <w:color w:val="auto"/>
                <w:sz w:val="24"/>
                <w:highlight w:val="none"/>
              </w:rPr>
            </w:pPr>
            <w:r>
              <w:rPr>
                <w:rFonts w:hint="eastAsia" w:ascii="宋体" w:hAnsi="宋体"/>
                <w:color w:val="auto"/>
                <w:sz w:val="24"/>
                <w:highlight w:val="none"/>
              </w:rPr>
              <w:t>2.2.4（1）</w:t>
            </w:r>
          </w:p>
        </w:tc>
        <w:tc>
          <w:tcPr>
            <w:tcW w:w="1312" w:type="dxa"/>
            <w:gridSpan w:val="2"/>
            <w:tcBorders>
              <w:left w:val="single" w:color="auto" w:sz="4" w:space="0"/>
            </w:tcBorders>
            <w:vAlign w:val="center"/>
          </w:tcPr>
          <w:p w14:paraId="6927A1A5">
            <w:pPr>
              <w:ind w:right="113"/>
              <w:jc w:val="center"/>
              <w:rPr>
                <w:rFonts w:hint="eastAsia" w:ascii="宋体" w:hAnsi="宋体"/>
                <w:color w:val="auto"/>
                <w:sz w:val="24"/>
                <w:highlight w:val="none"/>
              </w:rPr>
            </w:pPr>
            <w:r>
              <w:rPr>
                <w:rFonts w:hint="eastAsia" w:ascii="宋体" w:hAnsi="宋体"/>
                <w:color w:val="auto"/>
                <w:sz w:val="24"/>
                <w:highlight w:val="none"/>
              </w:rPr>
              <w:t>评标价</w:t>
            </w:r>
          </w:p>
          <w:p w14:paraId="6E7011A9">
            <w:pPr>
              <w:ind w:right="113"/>
              <w:jc w:val="center"/>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5分）</w:t>
            </w:r>
          </w:p>
        </w:tc>
        <w:tc>
          <w:tcPr>
            <w:tcW w:w="6860" w:type="dxa"/>
            <w:gridSpan w:val="2"/>
            <w:vAlign w:val="center"/>
          </w:tcPr>
          <w:p w14:paraId="782A0E11">
            <w:pPr>
              <w:keepNext w:val="0"/>
              <w:keepLines w:val="0"/>
              <w:pageBreakBefore w:val="0"/>
              <w:widowControl/>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方法一：适用于下浮率摇取 1 个球的情况：</w:t>
            </w:r>
            <w:r>
              <w:rPr>
                <w:rFonts w:hint="eastAsia" w:ascii="宋体" w:hAnsi="宋体" w:eastAsia="宋体" w:cs="宋体"/>
                <w:color w:val="auto"/>
                <w:sz w:val="24"/>
                <w:szCs w:val="24"/>
                <w:highlight w:val="none"/>
              </w:rPr>
              <w:t xml:space="preserve"> </w:t>
            </w:r>
          </w:p>
          <w:p w14:paraId="5C4D47BC">
            <w:pPr>
              <w:keepNext w:val="0"/>
              <w:keepLines w:val="0"/>
              <w:pageBreakBefore w:val="0"/>
              <w:widowControl/>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评标价得分计算公式示例：</w:t>
            </w:r>
          </w:p>
          <w:p w14:paraId="53E02496">
            <w:pPr>
              <w:keepNext w:val="0"/>
              <w:keepLines w:val="0"/>
              <w:pageBreakBefore w:val="0"/>
              <w:widowControl/>
              <w:numPr>
                <w:ilvl w:val="0"/>
                <w:numId w:val="0"/>
              </w:numPr>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如果投标人的评标价&gt;评标基准价，则评标价得分＝95－偏差率×100×D1；D1取</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w:t>
            </w:r>
          </w:p>
          <w:p w14:paraId="78DEDA08">
            <w:pPr>
              <w:keepNext w:val="0"/>
              <w:keepLines w:val="0"/>
              <w:pageBreakBefore w:val="0"/>
              <w:widowControl/>
              <w:numPr>
                <w:ilvl w:val="0"/>
                <w:numId w:val="0"/>
              </w:numPr>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如果投标人的评标价≤评标基准价，则评标价得分＝95＋偏差率×100×D2；D2 取</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 xml:space="preserve">。 </w:t>
            </w:r>
          </w:p>
          <w:p w14:paraId="1DD407F8">
            <w:pPr>
              <w:keepNext w:val="0"/>
              <w:keepLines w:val="0"/>
              <w:pageBreakBefore w:val="0"/>
              <w:widowControl/>
              <w:numPr>
                <w:ilvl w:val="0"/>
                <w:numId w:val="0"/>
              </w:numPr>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4A62612E">
            <w:pPr>
              <w:keepNext w:val="0"/>
              <w:keepLines w:val="0"/>
              <w:pageBreakBefore w:val="0"/>
              <w:widowControl/>
              <w:numPr>
                <w:ilvl w:val="0"/>
                <w:numId w:val="0"/>
              </w:numPr>
              <w:wordWrap/>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方法二：适用于下浮率摇取 3 个球的情况： </w:t>
            </w:r>
          </w:p>
          <w:p w14:paraId="45909D91">
            <w:pPr>
              <w:keepNext w:val="0"/>
              <w:keepLines w:val="0"/>
              <w:pageBreakBefore w:val="0"/>
              <w:widowControl/>
              <w:numPr>
                <w:ilvl w:val="0"/>
                <w:numId w:val="0"/>
              </w:numPr>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评标价得分计算公式示例：</w:t>
            </w:r>
          </w:p>
          <w:p w14:paraId="13096CE7">
            <w:pPr>
              <w:keepNext w:val="0"/>
              <w:keepLines w:val="0"/>
              <w:pageBreakBefore w:val="0"/>
              <w:widowControl/>
              <w:numPr>
                <w:ilvl w:val="0"/>
                <w:numId w:val="0"/>
              </w:numPr>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如果投标人的评标价&gt;评标基准价，则评标价得分＝95－偏差率×100×D1；D1 取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w:t>
            </w:r>
          </w:p>
          <w:p w14:paraId="0B89970E">
            <w:pPr>
              <w:keepNext w:val="0"/>
              <w:keepLines w:val="0"/>
              <w:pageBreakBefore w:val="0"/>
              <w:widowControl/>
              <w:numPr>
                <w:ilvl w:val="0"/>
                <w:numId w:val="0"/>
              </w:numPr>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如果投标人的评标价≤评标基准价，则评标价得分＝95＋偏差率×100×D2；D2 取</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w:t>
            </w:r>
          </w:p>
          <w:p w14:paraId="71BB59B0">
            <w:pPr>
              <w:keepNext w:val="0"/>
              <w:keepLines w:val="0"/>
              <w:pageBreakBefore w:val="0"/>
              <w:widowControl/>
              <w:numPr>
                <w:ilvl w:val="0"/>
                <w:numId w:val="0"/>
              </w:numPr>
              <w:wordWrap/>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sz w:val="24"/>
                <w:szCs w:val="24"/>
                <w:highlight w:val="none"/>
              </w:rPr>
              <w:t>注：评标价得分计算保留小数点后四位，小数点后第五位“四舍五入”。</w:t>
            </w:r>
          </w:p>
        </w:tc>
      </w:tr>
      <w:tr w14:paraId="775323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9" w:hRule="atLeast"/>
          <w:jc w:val="center"/>
        </w:trPr>
        <w:tc>
          <w:tcPr>
            <w:tcW w:w="1049" w:type="dxa"/>
            <w:gridSpan w:val="2"/>
            <w:tcBorders>
              <w:right w:val="single" w:color="auto" w:sz="4" w:space="0"/>
            </w:tcBorders>
            <w:vAlign w:val="center"/>
          </w:tcPr>
          <w:p w14:paraId="0FB67141">
            <w:pPr>
              <w:ind w:right="113"/>
              <w:jc w:val="center"/>
              <w:rPr>
                <w:rFonts w:ascii="宋体" w:hAnsi="宋体"/>
                <w:color w:val="auto"/>
                <w:sz w:val="24"/>
                <w:highlight w:val="none"/>
              </w:rPr>
            </w:pPr>
            <w:r>
              <w:rPr>
                <w:rFonts w:ascii="宋体" w:hAnsi="宋体"/>
                <w:color w:val="auto"/>
                <w:sz w:val="24"/>
                <w:highlight w:val="none"/>
              </w:rPr>
              <w:t>2.2.4</w:t>
            </w:r>
          </w:p>
          <w:p w14:paraId="1D0DBFE4">
            <w:pPr>
              <w:ind w:right="113"/>
              <w:jc w:val="center"/>
              <w:rPr>
                <w:rFonts w:ascii="宋体" w:hAnsi="宋体"/>
                <w:color w:val="auto"/>
                <w:sz w:val="24"/>
                <w:highlight w:val="none"/>
              </w:rPr>
            </w:pPr>
            <w:r>
              <w:rPr>
                <w:rFonts w:ascii="宋体" w:hAnsi="宋体"/>
                <w:color w:val="auto"/>
                <w:sz w:val="24"/>
                <w:highlight w:val="none"/>
              </w:rPr>
              <w:t>(2)</w:t>
            </w:r>
          </w:p>
        </w:tc>
        <w:tc>
          <w:tcPr>
            <w:tcW w:w="1312" w:type="dxa"/>
            <w:gridSpan w:val="2"/>
            <w:tcBorders>
              <w:left w:val="single" w:color="auto" w:sz="4" w:space="0"/>
            </w:tcBorders>
            <w:vAlign w:val="center"/>
          </w:tcPr>
          <w:p w14:paraId="4823A203">
            <w:pPr>
              <w:ind w:left="113" w:right="113" w:hanging="1"/>
              <w:rPr>
                <w:rFonts w:hint="eastAsia" w:ascii="宋体" w:hAnsi="宋体" w:cs="宋体"/>
                <w:color w:val="auto"/>
                <w:sz w:val="24"/>
                <w:szCs w:val="32"/>
                <w:highlight w:val="none"/>
              </w:rPr>
            </w:pPr>
            <w:r>
              <w:rPr>
                <w:rFonts w:hint="eastAsia" w:ascii="宋体" w:hAnsi="宋体" w:cs="宋体"/>
                <w:color w:val="auto"/>
                <w:sz w:val="24"/>
                <w:szCs w:val="32"/>
                <w:highlight w:val="none"/>
              </w:rPr>
              <w:t>其他因素</w:t>
            </w:r>
          </w:p>
          <w:p w14:paraId="7263A7D5">
            <w:pPr>
              <w:ind w:right="113" w:firstLine="240" w:firstLineChars="100"/>
              <w:rPr>
                <w:rFonts w:ascii="宋体" w:hAnsi="宋体" w:cs="宋体"/>
                <w:color w:val="auto"/>
                <w:sz w:val="24"/>
                <w:szCs w:val="32"/>
                <w:highlight w:val="none"/>
              </w:rPr>
            </w:pPr>
            <w:r>
              <w:rPr>
                <w:rFonts w:hint="eastAsia" w:ascii="宋体" w:hAnsi="宋体" w:cs="宋体"/>
                <w:color w:val="auto"/>
                <w:sz w:val="24"/>
                <w:highlight w:val="none"/>
              </w:rPr>
              <w:t>（5分）</w:t>
            </w:r>
          </w:p>
          <w:p w14:paraId="5F9034DC">
            <w:pPr>
              <w:ind w:right="113"/>
              <w:jc w:val="center"/>
              <w:rPr>
                <w:rFonts w:ascii="宋体" w:hAnsi="宋体"/>
                <w:color w:val="auto"/>
                <w:sz w:val="24"/>
                <w:highlight w:val="none"/>
              </w:rPr>
            </w:pPr>
          </w:p>
        </w:tc>
        <w:tc>
          <w:tcPr>
            <w:tcW w:w="6860" w:type="dxa"/>
            <w:gridSpan w:val="2"/>
            <w:vAlign w:val="center"/>
          </w:tcPr>
          <w:p w14:paraId="05502B49">
            <w:pPr>
              <w:keepNext w:val="0"/>
              <w:keepLines w:val="0"/>
              <w:pageBreakBefore w:val="0"/>
              <w:widowControl w:val="0"/>
              <w:kinsoku/>
              <w:wordWrap/>
              <w:overflowPunct/>
              <w:topLinePunct w:val="0"/>
              <w:autoSpaceDE/>
              <w:autoSpaceDN/>
              <w:bidi w:val="0"/>
              <w:adjustRightInd/>
              <w:snapToGrid/>
              <w:spacing w:line="360" w:lineRule="exact"/>
              <w:ind w:right="113"/>
              <w:textAlignment w:val="auto"/>
              <w:rPr>
                <w:rFonts w:ascii="宋体" w:hAnsi="宋体" w:cs="宋体"/>
                <w:color w:val="auto"/>
                <w:sz w:val="24"/>
                <w:szCs w:val="32"/>
                <w:highlight w:val="none"/>
              </w:rPr>
            </w:pPr>
            <w:r>
              <w:rPr>
                <w:rFonts w:hint="eastAsia" w:ascii="宋体" w:hAnsi="宋体" w:cs="宋体"/>
                <w:color w:val="auto"/>
                <w:sz w:val="24"/>
                <w:szCs w:val="32"/>
                <w:highlight w:val="none"/>
              </w:rPr>
              <w:t>履约信誉情况：</w:t>
            </w:r>
          </w:p>
          <w:p w14:paraId="0549D836">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ascii="宋体" w:hAnsi="宋体" w:cs="宋体"/>
                <w:color w:val="auto"/>
                <w:sz w:val="24"/>
                <w:szCs w:val="32"/>
                <w:highlight w:val="none"/>
              </w:rPr>
            </w:pPr>
            <w:r>
              <w:rPr>
                <w:rFonts w:hint="eastAsia" w:ascii="宋体" w:hAnsi="宋体" w:cs="宋体"/>
                <w:color w:val="auto"/>
                <w:sz w:val="24"/>
                <w:szCs w:val="32"/>
                <w:highlight w:val="none"/>
              </w:rPr>
              <w:t>1.信用等级（2.5 分）</w:t>
            </w:r>
          </w:p>
          <w:p w14:paraId="72FDCDF8">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ascii="宋体" w:hAnsi="宋体" w:cs="宋体"/>
                <w:color w:val="auto"/>
                <w:sz w:val="24"/>
                <w:szCs w:val="32"/>
                <w:highlight w:val="none"/>
              </w:rPr>
            </w:pPr>
            <w:r>
              <w:rPr>
                <w:rFonts w:hint="eastAsia" w:ascii="宋体" w:hAnsi="宋体" w:cs="宋体"/>
                <w:color w:val="auto"/>
                <w:sz w:val="24"/>
                <w:szCs w:val="32"/>
                <w:highlight w:val="none"/>
              </w:rPr>
              <w:t>AA、A、B、C 级单位的信用等级分得分分别为 2.5、2.4、2.25、1.75分。</w:t>
            </w:r>
          </w:p>
          <w:p w14:paraId="59035771">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ascii="宋体" w:hAnsi="宋体" w:cs="宋体"/>
                <w:color w:val="auto"/>
                <w:sz w:val="24"/>
                <w:szCs w:val="32"/>
                <w:highlight w:val="none"/>
              </w:rPr>
            </w:pPr>
            <w:r>
              <w:rPr>
                <w:rFonts w:hint="eastAsia" w:ascii="宋体" w:hAnsi="宋体" w:cs="宋体"/>
                <w:color w:val="auto"/>
                <w:sz w:val="24"/>
                <w:szCs w:val="32"/>
                <w:highlight w:val="none"/>
              </w:rPr>
              <w:t>注：信用等级的确定原则遵循投标人须知前附表 10.2 款的规定。</w:t>
            </w:r>
          </w:p>
          <w:p w14:paraId="0E86FB5A">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ascii="宋体" w:hAnsi="宋体" w:cs="宋体"/>
                <w:color w:val="auto"/>
                <w:sz w:val="24"/>
                <w:szCs w:val="32"/>
                <w:highlight w:val="none"/>
              </w:rPr>
            </w:pPr>
          </w:p>
          <w:p w14:paraId="14239F02">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ascii="宋体" w:hAnsi="宋体" w:cs="宋体"/>
                <w:color w:val="auto"/>
                <w:sz w:val="24"/>
                <w:szCs w:val="32"/>
                <w:highlight w:val="none"/>
              </w:rPr>
            </w:pPr>
            <w:r>
              <w:rPr>
                <w:rFonts w:hint="eastAsia" w:ascii="宋体" w:hAnsi="宋体" w:cs="宋体"/>
                <w:color w:val="auto"/>
                <w:sz w:val="24"/>
                <w:szCs w:val="32"/>
                <w:highlight w:val="none"/>
              </w:rPr>
              <w:t>2.履约情况（2.5分）</w:t>
            </w:r>
          </w:p>
          <w:p w14:paraId="02304398">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ascii="宋体" w:hAnsi="宋体" w:cs="宋体"/>
                <w:color w:val="auto"/>
                <w:sz w:val="24"/>
                <w:szCs w:val="32"/>
                <w:highlight w:val="none"/>
              </w:rPr>
            </w:pPr>
            <w:r>
              <w:rPr>
                <w:rFonts w:hint="eastAsia" w:ascii="宋体" w:hAnsi="宋体" w:cs="宋体"/>
                <w:color w:val="auto"/>
                <w:sz w:val="24"/>
                <w:szCs w:val="32"/>
                <w:highlight w:val="none"/>
              </w:rPr>
              <w:t>若没出现下述情形得满分，得满分2.5分。</w:t>
            </w:r>
          </w:p>
          <w:p w14:paraId="41302167">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ascii="宋体" w:hAnsi="宋体" w:cs="宋体"/>
                <w:color w:val="auto"/>
                <w:sz w:val="24"/>
                <w:szCs w:val="32"/>
                <w:highlight w:val="none"/>
              </w:rPr>
            </w:pPr>
            <w:r>
              <w:rPr>
                <w:rFonts w:hint="eastAsia" w:ascii="宋体" w:hAnsi="宋体" w:cs="宋体"/>
                <w:color w:val="auto"/>
                <w:sz w:val="24"/>
                <w:szCs w:val="32"/>
                <w:highlight w:val="none"/>
              </w:rPr>
              <w:t xml:space="preserve">  投标文件递交截止日前</w:t>
            </w:r>
            <w:r>
              <w:rPr>
                <w:rFonts w:hint="eastAsia" w:ascii="宋体" w:hAnsi="宋体" w:cs="宋体"/>
                <w:color w:val="auto"/>
                <w:sz w:val="24"/>
                <w:szCs w:val="32"/>
                <w:highlight w:val="none"/>
                <w:u w:val="single"/>
              </w:rPr>
              <w:t xml:space="preserve"> 1 </w:t>
            </w:r>
            <w:r>
              <w:rPr>
                <w:rFonts w:hint="eastAsia" w:ascii="宋体" w:hAnsi="宋体" w:cs="宋体"/>
                <w:color w:val="auto"/>
                <w:sz w:val="24"/>
                <w:szCs w:val="32"/>
                <w:highlight w:val="none"/>
              </w:rPr>
              <w:t>年内，投标人因公路工程（含附属设施）质量、安全、履约或招标投标问题等原因被：</w:t>
            </w:r>
          </w:p>
          <w:p w14:paraId="08420646">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ascii="宋体" w:hAnsi="宋体" w:cs="宋体"/>
                <w:color w:val="auto"/>
                <w:sz w:val="24"/>
                <w:szCs w:val="32"/>
                <w:highlight w:val="none"/>
              </w:rPr>
            </w:pPr>
            <w:r>
              <w:rPr>
                <w:rFonts w:hint="eastAsia" w:ascii="宋体" w:hAnsi="宋体" w:cs="宋体"/>
                <w:color w:val="auto"/>
                <w:sz w:val="24"/>
                <w:szCs w:val="32"/>
                <w:highlight w:val="none"/>
              </w:rPr>
              <w:t>（1）交通运输部通报批评的，扣2.</w:t>
            </w:r>
            <w:r>
              <w:rPr>
                <w:rFonts w:ascii="宋体" w:hAnsi="宋体" w:cs="宋体"/>
                <w:color w:val="auto"/>
                <w:sz w:val="24"/>
                <w:szCs w:val="32"/>
                <w:highlight w:val="none"/>
              </w:rPr>
              <w:t>5</w:t>
            </w:r>
            <w:r>
              <w:rPr>
                <w:rFonts w:hint="eastAsia" w:ascii="宋体" w:hAnsi="宋体" w:cs="宋体"/>
                <w:color w:val="auto"/>
                <w:sz w:val="24"/>
                <w:szCs w:val="32"/>
                <w:highlight w:val="none"/>
              </w:rPr>
              <w:t>分/次；</w:t>
            </w:r>
          </w:p>
          <w:p w14:paraId="29134441">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ascii="宋体" w:hAnsi="宋体" w:cs="宋体"/>
                <w:color w:val="auto"/>
                <w:sz w:val="24"/>
                <w:szCs w:val="32"/>
                <w:highlight w:val="none"/>
              </w:rPr>
            </w:pPr>
            <w:r>
              <w:rPr>
                <w:rFonts w:hint="eastAsia" w:ascii="宋体" w:hAnsi="宋体" w:cs="宋体"/>
                <w:color w:val="auto"/>
                <w:sz w:val="24"/>
                <w:szCs w:val="32"/>
                <w:highlight w:val="none"/>
              </w:rPr>
              <w:t>（2）广东省交通运输厅通报批评的，扣1.5分/次；</w:t>
            </w:r>
          </w:p>
          <w:p w14:paraId="0F47018D">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（3）招标项目所在地地级以上市交通运输局行政处罚的，扣 0.75 分/次；</w:t>
            </w:r>
          </w:p>
          <w:p w14:paraId="6EF030AB">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（4）广东省交通运输厅正式约谈的，扣 0.05 分/次。</w:t>
            </w:r>
          </w:p>
          <w:p w14:paraId="7EA99CC0">
            <w:pPr>
              <w:keepNext w:val="0"/>
              <w:keepLines w:val="0"/>
              <w:pageBreakBefore w:val="0"/>
              <w:widowControl w:val="0"/>
              <w:kinsoku/>
              <w:wordWrap/>
              <w:overflowPunct/>
              <w:topLinePunct w:val="0"/>
              <w:autoSpaceDE/>
              <w:autoSpaceDN/>
              <w:bidi w:val="0"/>
              <w:adjustRightInd/>
              <w:snapToGrid/>
              <w:spacing w:line="360" w:lineRule="exact"/>
              <w:ind w:left="113" w:right="113" w:hanging="1"/>
              <w:textAlignment w:val="auto"/>
              <w:rPr>
                <w:rFonts w:ascii="宋体" w:hAnsi="宋体" w:cs="宋体"/>
                <w:color w:val="auto"/>
                <w:sz w:val="24"/>
                <w:szCs w:val="32"/>
                <w:highlight w:val="none"/>
              </w:rPr>
            </w:pPr>
            <w:r>
              <w:rPr>
                <w:rFonts w:hint="eastAsia" w:ascii="宋体" w:hAnsi="宋体" w:cs="宋体"/>
                <w:color w:val="auto"/>
                <w:sz w:val="24"/>
                <w:szCs w:val="32"/>
                <w:highlight w:val="none"/>
              </w:rPr>
              <w:t>同一事项同时被多个部门行政处罚或正式约谈只按最高的扣分计算 1 次。如果扣完本项分值，可以从总分中扣。</w:t>
            </w:r>
          </w:p>
        </w:tc>
      </w:tr>
      <w:tr w14:paraId="615C00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7" w:hRule="atLeast"/>
          <w:jc w:val="center"/>
        </w:trPr>
        <w:tc>
          <w:tcPr>
            <w:tcW w:w="9221" w:type="dxa"/>
            <w:gridSpan w:val="6"/>
            <w:vAlign w:val="center"/>
          </w:tcPr>
          <w:p w14:paraId="39C3A6E0">
            <w:pPr>
              <w:ind w:left="113" w:right="113" w:firstLine="240" w:firstLineChars="100"/>
              <w:rPr>
                <w:rFonts w:ascii="Calibri" w:hAnsi="Calibri"/>
                <w:color w:val="auto"/>
                <w:sz w:val="24"/>
                <w:highlight w:val="none"/>
              </w:rPr>
            </w:pPr>
            <w:r>
              <w:rPr>
                <w:rFonts w:hint="eastAsia" w:ascii="宋体" w:hAnsi="宋体"/>
                <w:color w:val="auto"/>
                <w:sz w:val="24"/>
                <w:highlight w:val="none"/>
              </w:rPr>
              <w:t>需要补充的其他内容：</w:t>
            </w:r>
          </w:p>
        </w:tc>
      </w:tr>
      <w:tr w14:paraId="3F5BF0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tcBorders>
              <w:right w:val="single" w:color="auto" w:sz="4" w:space="0"/>
            </w:tcBorders>
            <w:vAlign w:val="center"/>
          </w:tcPr>
          <w:p w14:paraId="62FAF997">
            <w:pPr>
              <w:ind w:left="113" w:right="113" w:firstLine="240" w:firstLineChars="100"/>
              <w:rPr>
                <w:rFonts w:ascii="宋体" w:hAnsi="宋体"/>
                <w:color w:val="auto"/>
                <w:sz w:val="24"/>
                <w:highlight w:val="none"/>
              </w:rPr>
            </w:pPr>
            <w:r>
              <w:rPr>
                <w:rFonts w:hint="eastAsia" w:ascii="宋体" w:hAnsi="宋体"/>
                <w:color w:val="auto"/>
                <w:sz w:val="24"/>
                <w:highlight w:val="none"/>
              </w:rPr>
              <w:t>1</w:t>
            </w:r>
          </w:p>
        </w:tc>
        <w:tc>
          <w:tcPr>
            <w:tcW w:w="8330" w:type="dxa"/>
            <w:gridSpan w:val="5"/>
            <w:tcBorders>
              <w:left w:val="single" w:color="auto" w:sz="4" w:space="0"/>
            </w:tcBorders>
            <w:vAlign w:val="center"/>
          </w:tcPr>
          <w:p w14:paraId="15558E4A">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b/>
                <w:bCs/>
                <w:color w:val="auto"/>
                <w:sz w:val="24"/>
                <w:szCs w:val="24"/>
                <w:highlight w:val="none"/>
              </w:rPr>
            </w:pPr>
            <w:r>
              <w:rPr>
                <w:rFonts w:hint="eastAsia"/>
                <w:b/>
                <w:bCs/>
                <w:color w:val="auto"/>
                <w:sz w:val="24"/>
                <w:szCs w:val="24"/>
                <w:highlight w:val="none"/>
              </w:rPr>
              <w:t xml:space="preserve">将评标办法原文第 1 条“评标方法”改为“评标方法、组织及工作程序”，原文内容修改如下： </w:t>
            </w:r>
          </w:p>
          <w:p w14:paraId="4F7B8C50">
            <w:pPr>
              <w:keepNext w:val="0"/>
              <w:keepLines w:val="0"/>
              <w:pageBreakBefore w:val="0"/>
              <w:widowControl/>
              <w:numPr>
                <w:ilvl w:val="0"/>
                <w:numId w:val="5"/>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color w:val="auto"/>
                <w:sz w:val="24"/>
                <w:szCs w:val="24"/>
                <w:highlight w:val="none"/>
              </w:rPr>
            </w:pPr>
            <w:r>
              <w:rPr>
                <w:rFonts w:hint="eastAsia"/>
                <w:b/>
                <w:bCs/>
                <w:color w:val="auto"/>
                <w:sz w:val="24"/>
                <w:szCs w:val="24"/>
                <w:highlight w:val="none"/>
              </w:rPr>
              <w:t>评标方法、组织及工作程序</w:t>
            </w:r>
            <w:r>
              <w:rPr>
                <w:rFonts w:hint="eastAsia"/>
                <w:color w:val="auto"/>
                <w:sz w:val="24"/>
                <w:szCs w:val="24"/>
                <w:highlight w:val="none"/>
              </w:rPr>
              <w:t xml:space="preserve"> </w:t>
            </w:r>
          </w:p>
          <w:p w14:paraId="4137ECA6">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color w:val="auto"/>
                <w:sz w:val="24"/>
                <w:szCs w:val="24"/>
                <w:highlight w:val="none"/>
              </w:rPr>
            </w:pPr>
            <w:r>
              <w:rPr>
                <w:rFonts w:hint="eastAsia"/>
                <w:color w:val="auto"/>
                <w:sz w:val="24"/>
                <w:szCs w:val="24"/>
                <w:highlight w:val="none"/>
              </w:rPr>
              <w:t xml:space="preserve">1.1 评标方法 </w:t>
            </w:r>
          </w:p>
          <w:p w14:paraId="12418F2A">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 xml:space="preserve">本次评标采用双信封的合理低价法。评标委员会对满足招标文件实质性要求的投标文件，按照本章第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 </w:t>
            </w:r>
          </w:p>
          <w:p w14:paraId="4442D8CF">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color w:val="auto"/>
                <w:sz w:val="24"/>
                <w:szCs w:val="24"/>
                <w:highlight w:val="none"/>
              </w:rPr>
            </w:pPr>
            <w:r>
              <w:rPr>
                <w:rFonts w:hint="eastAsia"/>
                <w:color w:val="auto"/>
                <w:sz w:val="24"/>
                <w:szCs w:val="24"/>
                <w:highlight w:val="none"/>
              </w:rPr>
              <w:t xml:space="preserve">1.2 评标组织 </w:t>
            </w:r>
          </w:p>
          <w:p w14:paraId="32838806">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color w:val="auto"/>
                <w:sz w:val="24"/>
                <w:szCs w:val="24"/>
                <w:highlight w:val="none"/>
              </w:rPr>
            </w:pPr>
            <w:r>
              <w:rPr>
                <w:rFonts w:hint="eastAsia"/>
                <w:color w:val="auto"/>
                <w:sz w:val="24"/>
                <w:szCs w:val="24"/>
                <w:highlight w:val="none"/>
              </w:rPr>
              <w:t xml:space="preserve">1.2.1 协助工作组 </w:t>
            </w:r>
          </w:p>
          <w:p w14:paraId="7DF60AFA">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招标人可在评标工作开始前成立协助工作组，选派熟悉招标工作、政治素质高的人员组成，协助评标委员会工作。协助工作组人员的具体数量由招标人视评标工作量确定。</w:t>
            </w:r>
          </w:p>
          <w:p w14:paraId="03B4B2CE">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招标人可以协助评标委员会开展下列工作并提供相关信息：</w:t>
            </w:r>
          </w:p>
          <w:p w14:paraId="364ACDB7">
            <w:pPr>
              <w:keepNext w:val="0"/>
              <w:keepLines w:val="0"/>
              <w:pageBreakBefore w:val="0"/>
              <w:widowControl/>
              <w:numPr>
                <w:ilvl w:val="0"/>
                <w:numId w:val="6"/>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 xml:space="preserve">根据招标文件，编制评标使用的相应表格； </w:t>
            </w:r>
          </w:p>
          <w:p w14:paraId="7E0F656F">
            <w:pPr>
              <w:keepNext w:val="0"/>
              <w:keepLines w:val="0"/>
              <w:pageBreakBefore w:val="0"/>
              <w:widowControl/>
              <w:numPr>
                <w:ilvl w:val="0"/>
                <w:numId w:val="6"/>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对投标报价进行算术性校核（如采用固化工程量清单，本步骤省略）；</w:t>
            </w:r>
          </w:p>
          <w:p w14:paraId="1712A3CB">
            <w:pPr>
              <w:keepNext w:val="0"/>
              <w:keepLines w:val="0"/>
              <w:pageBreakBefore w:val="0"/>
              <w:widowControl/>
              <w:numPr>
                <w:ilvl w:val="0"/>
                <w:numId w:val="6"/>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以评标标准和方法为依据，列出投标文件相对于招标文件的所有偏差，并进行归类汇总；</w:t>
            </w:r>
          </w:p>
          <w:p w14:paraId="5DDFA25A">
            <w:pPr>
              <w:keepNext w:val="0"/>
              <w:keepLines w:val="0"/>
              <w:pageBreakBefore w:val="0"/>
              <w:widowControl/>
              <w:numPr>
                <w:ilvl w:val="0"/>
                <w:numId w:val="6"/>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查询公路建设市场信用信息管理系统，对投标人的资质、业绩、主要人员资历和目前在岗情况、信用等级进行核实。</w:t>
            </w:r>
          </w:p>
          <w:p w14:paraId="3309EE00">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 xml:space="preserve">招标人不得对投标文件作出任何评价，不得故意遗漏或者片面摘录，不得在评标委员会对所有偏差定性之前透露存有偏差的投标人名称。 </w:t>
            </w:r>
          </w:p>
          <w:p w14:paraId="2F4055F1">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color w:val="auto"/>
                <w:sz w:val="24"/>
                <w:szCs w:val="24"/>
                <w:highlight w:val="none"/>
              </w:rPr>
            </w:pPr>
            <w:r>
              <w:rPr>
                <w:rFonts w:hint="eastAsia"/>
                <w:color w:val="auto"/>
                <w:sz w:val="24"/>
                <w:szCs w:val="24"/>
                <w:highlight w:val="none"/>
              </w:rPr>
              <w:t xml:space="preserve">1.2.2 评标委员会 </w:t>
            </w:r>
          </w:p>
          <w:p w14:paraId="496B9D4A">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 xml:space="preserve">评标委员会由招标人按国家、广东省等的有关规定依法组建。评标委员会的主要工作内容包括： </w:t>
            </w:r>
          </w:p>
          <w:p w14:paraId="3448E67A">
            <w:pPr>
              <w:keepNext w:val="0"/>
              <w:keepLines w:val="0"/>
              <w:pageBreakBefore w:val="0"/>
              <w:widowControl/>
              <w:numPr>
                <w:ilvl w:val="0"/>
                <w:numId w:val="7"/>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评标委员会开始评标工作之前，首先听取招标人、协助工作组关于工程情况和辅助工作的说明，并认真研读招标文件，获取评标所需的重要信息和数据；</w:t>
            </w:r>
          </w:p>
          <w:p w14:paraId="3421DD88">
            <w:pPr>
              <w:keepNext w:val="0"/>
              <w:keepLines w:val="0"/>
              <w:pageBreakBefore w:val="0"/>
              <w:widowControl/>
              <w:numPr>
                <w:ilvl w:val="0"/>
                <w:numId w:val="7"/>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对协助工作组提供的评标工作用表和评标内容进行核查；</w:t>
            </w:r>
          </w:p>
          <w:p w14:paraId="00CCCBAA">
            <w:pPr>
              <w:keepNext w:val="0"/>
              <w:keepLines w:val="0"/>
              <w:pageBreakBefore w:val="0"/>
              <w:widowControl/>
              <w:numPr>
                <w:ilvl w:val="0"/>
                <w:numId w:val="7"/>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 xml:space="preserve">按照以下1.3 款程序进行各项评审工作。 </w:t>
            </w:r>
          </w:p>
          <w:p w14:paraId="757DB0C0">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color w:val="auto"/>
                <w:sz w:val="24"/>
                <w:szCs w:val="24"/>
                <w:highlight w:val="none"/>
              </w:rPr>
            </w:pPr>
            <w:r>
              <w:rPr>
                <w:rFonts w:hint="eastAsia"/>
                <w:color w:val="auto"/>
                <w:sz w:val="24"/>
                <w:szCs w:val="24"/>
                <w:highlight w:val="none"/>
              </w:rPr>
              <w:t xml:space="preserve">1.3 评审工作程序 </w:t>
            </w:r>
          </w:p>
          <w:p w14:paraId="21D577D3">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color w:val="auto"/>
                <w:sz w:val="24"/>
                <w:szCs w:val="24"/>
                <w:highlight w:val="none"/>
              </w:rPr>
            </w:pPr>
            <w:r>
              <w:rPr>
                <w:rFonts w:hint="eastAsia"/>
                <w:color w:val="auto"/>
                <w:sz w:val="24"/>
                <w:szCs w:val="24"/>
                <w:highlight w:val="none"/>
              </w:rPr>
              <w:t>评标委员会将按以下程序开展评标工作：</w:t>
            </w:r>
          </w:p>
          <w:p w14:paraId="012DB1A3">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color w:val="auto"/>
                <w:sz w:val="24"/>
                <w:szCs w:val="24"/>
                <w:highlight w:val="none"/>
              </w:rPr>
            </w:pPr>
            <w:r>
              <w:rPr>
                <w:rFonts w:hint="eastAsia"/>
                <w:color w:val="auto"/>
                <w:sz w:val="24"/>
                <w:szCs w:val="24"/>
                <w:highlight w:val="none"/>
              </w:rPr>
              <w:t xml:space="preserve">1.3.1 第一个信封（商务及技术文件）的评审： </w:t>
            </w:r>
          </w:p>
          <w:p w14:paraId="689966B8">
            <w:pPr>
              <w:keepNext w:val="0"/>
              <w:keepLines w:val="0"/>
              <w:pageBreakBefore w:val="0"/>
              <w:widowControl/>
              <w:numPr>
                <w:ilvl w:val="0"/>
                <w:numId w:val="8"/>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初步评审：包括对投标文件进行形式评审与响应性评审、资格评审（适用于未进行资格预审）；</w:t>
            </w:r>
          </w:p>
          <w:p w14:paraId="13407506">
            <w:pPr>
              <w:keepNext w:val="0"/>
              <w:keepLines w:val="0"/>
              <w:pageBreakBefore w:val="0"/>
              <w:widowControl/>
              <w:numPr>
                <w:ilvl w:val="0"/>
                <w:numId w:val="8"/>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详细评审：评标委员会首先对通过初步评审的投标文件第一个信封（商务及技术文件）进行详细评审，对投标人的其他因素（信用等级、履约情况）得分评审与确认。</w:t>
            </w:r>
          </w:p>
          <w:p w14:paraId="740C81DC">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color w:val="auto"/>
                <w:sz w:val="24"/>
                <w:szCs w:val="24"/>
                <w:highlight w:val="none"/>
              </w:rPr>
            </w:pPr>
            <w:r>
              <w:rPr>
                <w:rFonts w:hint="eastAsia"/>
                <w:color w:val="auto"/>
                <w:sz w:val="24"/>
                <w:szCs w:val="24"/>
                <w:highlight w:val="none"/>
              </w:rPr>
              <w:t xml:space="preserve">1.3.2 第二个信封（报价文件）的评审： </w:t>
            </w:r>
          </w:p>
          <w:p w14:paraId="5EEAA97E">
            <w:pPr>
              <w:keepNext w:val="0"/>
              <w:keepLines w:val="0"/>
              <w:pageBreakBefore w:val="0"/>
              <w:widowControl/>
              <w:numPr>
                <w:ilvl w:val="0"/>
                <w:numId w:val="9"/>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 xml:space="preserve">初步评审： </w:t>
            </w:r>
          </w:p>
          <w:p w14:paraId="7F866DD3">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①只有投标文件第一个信封通过详细评审的投标人才能继续参加第二个信封报价文件的形式评审与响应性评审； </w:t>
            </w:r>
          </w:p>
          <w:p w14:paraId="107000A5">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②报价算术性修正（如采用固化工程量清单，本步骤省略）。</w:t>
            </w:r>
          </w:p>
          <w:p w14:paraId="0B98ED24">
            <w:pPr>
              <w:keepNext w:val="0"/>
              <w:keepLines w:val="0"/>
              <w:pageBreakBefore w:val="0"/>
              <w:widowControl/>
              <w:numPr>
                <w:ilvl w:val="0"/>
                <w:numId w:val="9"/>
              </w:numPr>
              <w:kinsoku/>
              <w:wordWrap/>
              <w:overflowPunct/>
              <w:topLinePunct w:val="0"/>
              <w:autoSpaceDE/>
              <w:autoSpaceDN/>
              <w:bidi w:val="0"/>
              <w:adjustRightInd/>
              <w:snapToGrid/>
              <w:spacing w:line="400" w:lineRule="exact"/>
              <w:ind w:right="0" w:rightChars="0" w:firstLine="420"/>
              <w:jc w:val="left"/>
              <w:textAlignment w:val="auto"/>
              <w:outlineLvl w:val="9"/>
              <w:rPr>
                <w:rFonts w:hint="eastAsia"/>
                <w:color w:val="auto"/>
                <w:sz w:val="24"/>
                <w:szCs w:val="24"/>
                <w:highlight w:val="none"/>
              </w:rPr>
            </w:pPr>
            <w:r>
              <w:rPr>
                <w:rFonts w:hint="eastAsia"/>
                <w:color w:val="auto"/>
                <w:sz w:val="24"/>
                <w:szCs w:val="24"/>
                <w:highlight w:val="none"/>
              </w:rPr>
              <w:t>详细评审：计算评标基准价、评标价得分及综合得分。</w:t>
            </w:r>
          </w:p>
          <w:p w14:paraId="7DBC81F1">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color w:val="auto"/>
                <w:sz w:val="24"/>
                <w:szCs w:val="24"/>
                <w:highlight w:val="none"/>
              </w:rPr>
            </w:pPr>
            <w:r>
              <w:rPr>
                <w:rFonts w:hint="eastAsia"/>
                <w:color w:val="auto"/>
                <w:sz w:val="24"/>
                <w:szCs w:val="24"/>
                <w:highlight w:val="none"/>
              </w:rPr>
              <w:t xml:space="preserve">1.3.3 投标文件相关信息的核查。 </w:t>
            </w:r>
          </w:p>
          <w:p w14:paraId="2401A7E5">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color w:val="auto"/>
                <w:sz w:val="24"/>
                <w:szCs w:val="24"/>
                <w:highlight w:val="none"/>
              </w:rPr>
            </w:pPr>
            <w:r>
              <w:rPr>
                <w:rFonts w:hint="eastAsia"/>
                <w:color w:val="auto"/>
                <w:sz w:val="24"/>
                <w:szCs w:val="24"/>
                <w:highlight w:val="none"/>
              </w:rPr>
              <w:t xml:space="preserve">1.3.4 投标文件的澄清和说明(如有)。 </w:t>
            </w:r>
          </w:p>
          <w:p w14:paraId="4574A5D6">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ascii="宋体" w:hAnsi="宋体"/>
                <w:color w:val="auto"/>
                <w:sz w:val="24"/>
                <w:highlight w:val="none"/>
              </w:rPr>
            </w:pPr>
            <w:r>
              <w:rPr>
                <w:rFonts w:hint="eastAsia"/>
                <w:color w:val="auto"/>
                <w:sz w:val="24"/>
                <w:szCs w:val="24"/>
                <w:highlight w:val="none"/>
              </w:rPr>
              <w:t>1.3.5 按评标办法规定推荐中标候选人，编写评标报告。</w:t>
            </w:r>
          </w:p>
        </w:tc>
      </w:tr>
      <w:tr w14:paraId="69E470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75" w:hRule="atLeast"/>
          <w:jc w:val="center"/>
        </w:trPr>
        <w:tc>
          <w:tcPr>
            <w:tcW w:w="891" w:type="dxa"/>
            <w:vAlign w:val="center"/>
          </w:tcPr>
          <w:p w14:paraId="22792828">
            <w:pPr>
              <w:ind w:left="113" w:right="113"/>
              <w:jc w:val="center"/>
              <w:rPr>
                <w:rFonts w:ascii="宋体" w:hAnsi="宋体"/>
                <w:color w:val="auto"/>
                <w:sz w:val="24"/>
                <w:highlight w:val="none"/>
              </w:rPr>
            </w:pPr>
            <w:r>
              <w:rPr>
                <w:rFonts w:ascii="宋体" w:hAnsi="宋体"/>
                <w:color w:val="auto"/>
                <w:sz w:val="24"/>
                <w:highlight w:val="none"/>
              </w:rPr>
              <w:t>2.2.1</w:t>
            </w:r>
          </w:p>
        </w:tc>
        <w:tc>
          <w:tcPr>
            <w:tcW w:w="8330" w:type="dxa"/>
            <w:gridSpan w:val="5"/>
            <w:vAlign w:val="center"/>
          </w:tcPr>
          <w:p w14:paraId="5C35F11A">
            <w:pPr>
              <w:pStyle w:val="80"/>
              <w:adjustRightInd w:val="0"/>
              <w:snapToGrid w:val="0"/>
              <w:rPr>
                <w:rFonts w:ascii="Calibri" w:hAnsi="Calibri"/>
                <w:color w:val="auto"/>
                <w:sz w:val="24"/>
                <w:highlight w:val="none"/>
              </w:rPr>
            </w:pPr>
            <w:r>
              <w:rPr>
                <w:rFonts w:ascii="Calibri" w:hAnsi="Calibri"/>
                <w:color w:val="auto"/>
                <w:sz w:val="24"/>
                <w:highlight w:val="none"/>
              </w:rPr>
              <w:t>2.2.1 分值构成</w:t>
            </w:r>
          </w:p>
          <w:p w14:paraId="15E9AE89">
            <w:pPr>
              <w:ind w:right="113" w:firstLine="480" w:firstLineChars="200"/>
              <w:rPr>
                <w:rFonts w:ascii="宋体" w:hAnsi="宋体"/>
                <w:color w:val="auto"/>
                <w:sz w:val="24"/>
                <w:highlight w:val="none"/>
              </w:rPr>
            </w:pPr>
            <w:r>
              <w:rPr>
                <w:rFonts w:ascii="宋体" w:hAnsi="宋体"/>
                <w:color w:val="auto"/>
                <w:sz w:val="24"/>
                <w:highlight w:val="none"/>
              </w:rPr>
              <w:t xml:space="preserve">评标价：见评标办法前附表。 </w:t>
            </w:r>
          </w:p>
          <w:p w14:paraId="189DE096">
            <w:pPr>
              <w:ind w:right="113" w:firstLine="480" w:firstLineChars="200"/>
              <w:rPr>
                <w:rFonts w:ascii="Calibri" w:hAnsi="Calibri"/>
                <w:color w:val="auto"/>
                <w:sz w:val="24"/>
                <w:highlight w:val="none"/>
              </w:rPr>
            </w:pPr>
            <w:r>
              <w:rPr>
                <w:rFonts w:ascii="宋体" w:hAnsi="宋体"/>
                <w:color w:val="auto"/>
                <w:sz w:val="24"/>
                <w:highlight w:val="none"/>
              </w:rPr>
              <w:t>其他因素：见评标办法前附表。</w:t>
            </w:r>
          </w:p>
        </w:tc>
      </w:tr>
      <w:tr w14:paraId="402541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14:paraId="6BA4A21F">
            <w:pPr>
              <w:jc w:val="center"/>
              <w:rPr>
                <w:rFonts w:ascii="Calibri" w:hAnsi="Calibri"/>
                <w:color w:val="auto"/>
                <w:sz w:val="24"/>
                <w:highlight w:val="none"/>
              </w:rPr>
            </w:pPr>
            <w:r>
              <w:rPr>
                <w:rFonts w:ascii="宋体" w:hAnsi="宋体"/>
                <w:color w:val="auto"/>
                <w:sz w:val="24"/>
                <w:highlight w:val="none"/>
              </w:rPr>
              <w:t>2.2.4</w:t>
            </w:r>
          </w:p>
        </w:tc>
        <w:tc>
          <w:tcPr>
            <w:tcW w:w="8330" w:type="dxa"/>
            <w:gridSpan w:val="5"/>
            <w:vAlign w:val="top"/>
          </w:tcPr>
          <w:p w14:paraId="4FD549AE">
            <w:pPr>
              <w:keepNext w:val="0"/>
              <w:keepLines w:val="0"/>
              <w:pageBreakBefore w:val="0"/>
              <w:widowControl w:val="0"/>
              <w:kinsoku/>
              <w:wordWrap/>
              <w:overflowPunct/>
              <w:topLinePunct w:val="0"/>
              <w:autoSpaceDE/>
              <w:autoSpaceDN/>
              <w:bidi w:val="0"/>
              <w:adjustRightInd/>
              <w:snapToGrid/>
              <w:spacing w:line="360" w:lineRule="exact"/>
              <w:ind w:right="113"/>
              <w:textAlignment w:val="auto"/>
              <w:rPr>
                <w:rFonts w:ascii="Calibri" w:hAnsi="Calibri"/>
                <w:color w:val="auto"/>
                <w:sz w:val="24"/>
                <w:highlight w:val="none"/>
              </w:rPr>
            </w:pPr>
            <w:r>
              <w:rPr>
                <w:rFonts w:ascii="宋体" w:hAnsi="宋体"/>
                <w:color w:val="auto"/>
                <w:sz w:val="24"/>
                <w:highlight w:val="none"/>
              </w:rPr>
              <w:t>2.2.4 评分标准</w:t>
            </w:r>
          </w:p>
          <w:p w14:paraId="0938146F">
            <w:pPr>
              <w:keepNext w:val="0"/>
              <w:keepLines w:val="0"/>
              <w:pageBreakBefore w:val="0"/>
              <w:widowControl w:val="0"/>
              <w:kinsoku/>
              <w:wordWrap/>
              <w:overflowPunct/>
              <w:topLinePunct w:val="0"/>
              <w:autoSpaceDE/>
              <w:autoSpaceDN/>
              <w:bidi w:val="0"/>
              <w:adjustRightInd/>
              <w:snapToGrid/>
              <w:spacing w:line="360" w:lineRule="exact"/>
              <w:ind w:left="113" w:leftChars="54" w:right="113" w:firstLine="480" w:firstLineChars="200"/>
              <w:textAlignment w:val="auto"/>
              <w:rPr>
                <w:rFonts w:ascii="宋体" w:hAnsi="宋体"/>
                <w:color w:val="auto"/>
                <w:sz w:val="24"/>
                <w:highlight w:val="none"/>
              </w:rPr>
            </w:pPr>
            <w:r>
              <w:rPr>
                <w:rFonts w:ascii="宋体" w:hAnsi="宋体"/>
                <w:color w:val="auto"/>
                <w:sz w:val="24"/>
                <w:highlight w:val="none"/>
              </w:rPr>
              <w:t xml:space="preserve">评标价评分标准：见评标办法前附表。 </w:t>
            </w:r>
          </w:p>
          <w:p w14:paraId="5E9B2907">
            <w:pPr>
              <w:keepNext w:val="0"/>
              <w:keepLines w:val="0"/>
              <w:pageBreakBefore w:val="0"/>
              <w:widowControl w:val="0"/>
              <w:kinsoku/>
              <w:wordWrap/>
              <w:overflowPunct/>
              <w:topLinePunct w:val="0"/>
              <w:autoSpaceDE/>
              <w:autoSpaceDN/>
              <w:bidi w:val="0"/>
              <w:adjustRightInd/>
              <w:snapToGrid/>
              <w:spacing w:line="360" w:lineRule="exact"/>
              <w:ind w:left="113" w:leftChars="54" w:right="113" w:firstLine="480" w:firstLineChars="200"/>
              <w:textAlignment w:val="auto"/>
              <w:rPr>
                <w:rFonts w:ascii="Calibri" w:hAnsi="Calibri"/>
                <w:color w:val="auto"/>
                <w:sz w:val="24"/>
                <w:highlight w:val="none"/>
              </w:rPr>
            </w:pPr>
            <w:r>
              <w:rPr>
                <w:rFonts w:ascii="宋体" w:hAnsi="宋体"/>
                <w:color w:val="auto"/>
                <w:sz w:val="24"/>
                <w:highlight w:val="none"/>
              </w:rPr>
              <w:t>其他因素评分标准：见评标办法前附表。</w:t>
            </w:r>
          </w:p>
        </w:tc>
      </w:tr>
      <w:tr w14:paraId="55AD1A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14:paraId="113AB26E">
            <w:pPr>
              <w:jc w:val="center"/>
              <w:rPr>
                <w:rFonts w:hint="eastAsia" w:ascii="宋体" w:hAnsi="宋体"/>
                <w:color w:val="auto"/>
                <w:sz w:val="24"/>
                <w:highlight w:val="none"/>
                <w:lang w:val="en-US" w:eastAsia="zh-CN"/>
              </w:rPr>
            </w:pPr>
            <w:r>
              <w:rPr>
                <w:rFonts w:hint="eastAsia" w:ascii="宋体" w:hAnsi="宋体"/>
                <w:color w:val="auto"/>
                <w:sz w:val="24"/>
                <w:highlight w:val="none"/>
              </w:rPr>
              <w:t>3.3.2</w:t>
            </w:r>
          </w:p>
        </w:tc>
        <w:tc>
          <w:tcPr>
            <w:tcW w:w="8330" w:type="dxa"/>
            <w:gridSpan w:val="5"/>
            <w:vAlign w:val="top"/>
          </w:tcPr>
          <w:p w14:paraId="16F05211">
            <w:pPr>
              <w:ind w:right="113"/>
              <w:rPr>
                <w:rFonts w:ascii="宋体" w:hAnsi="宋体"/>
                <w:color w:val="auto"/>
                <w:sz w:val="24"/>
                <w:highlight w:val="none"/>
              </w:rPr>
            </w:pPr>
            <w:r>
              <w:rPr>
                <w:rFonts w:hint="eastAsia" w:ascii="宋体" w:hAnsi="宋体"/>
                <w:color w:val="auto"/>
                <w:sz w:val="24"/>
                <w:highlight w:val="none"/>
              </w:rPr>
              <w:t>将评标办法范本原文第 3.3.2 款第(2)、(3)、(4)目修改为：</w:t>
            </w:r>
          </w:p>
          <w:p w14:paraId="1783337E">
            <w:pPr>
              <w:ind w:left="113" w:leftChars="54" w:right="113" w:firstLine="480" w:firstLineChars="200"/>
              <w:rPr>
                <w:rFonts w:ascii="宋体" w:hAnsi="宋体"/>
                <w:color w:val="auto"/>
                <w:sz w:val="24"/>
                <w:highlight w:val="none"/>
              </w:rPr>
            </w:pPr>
            <w:r>
              <w:rPr>
                <w:rFonts w:hint="eastAsia" w:ascii="宋体" w:hAnsi="宋体"/>
                <w:color w:val="auto"/>
                <w:sz w:val="24"/>
                <w:highlight w:val="none"/>
              </w:rPr>
              <w:t>(2)总价金额与依据单价计算出的结果不一致的，在保证投标总价不变的前提下予以合理调整单价。</w:t>
            </w:r>
          </w:p>
          <w:p w14:paraId="24E20EFF">
            <w:pPr>
              <w:ind w:left="113" w:leftChars="54" w:right="113" w:firstLine="480" w:firstLineChars="200"/>
              <w:rPr>
                <w:rFonts w:ascii="宋体" w:hAnsi="宋体"/>
                <w:color w:val="auto"/>
                <w:sz w:val="24"/>
                <w:highlight w:val="none"/>
              </w:rPr>
            </w:pPr>
            <w:r>
              <w:rPr>
                <w:rFonts w:hint="eastAsia" w:ascii="宋体" w:hAnsi="宋体"/>
                <w:color w:val="auto"/>
                <w:sz w:val="24"/>
                <w:highlight w:val="none"/>
              </w:rPr>
              <w:t>(3)当单价与数量相乘不等于合价时，应以标出的合价为准，同时对单价予以修正；</w:t>
            </w:r>
          </w:p>
          <w:p w14:paraId="0FEE5BB8">
            <w:pPr>
              <w:ind w:left="113" w:leftChars="54" w:right="113" w:firstLine="480" w:firstLineChars="200"/>
              <w:rPr>
                <w:rFonts w:ascii="宋体" w:hAnsi="宋体"/>
                <w:color w:val="auto"/>
                <w:sz w:val="24"/>
                <w:highlight w:val="none"/>
              </w:rPr>
            </w:pPr>
            <w:r>
              <w:rPr>
                <w:rFonts w:hint="eastAsia" w:ascii="宋体" w:hAnsi="宋体"/>
                <w:color w:val="auto"/>
                <w:sz w:val="24"/>
                <w:highlight w:val="none"/>
              </w:rPr>
              <w:t>(4)当各子目的合价累计不等于总价时，应以总价不变的前提下，修正各子目合价。</w:t>
            </w:r>
          </w:p>
          <w:p w14:paraId="13C9E19C">
            <w:pPr>
              <w:ind w:left="113" w:leftChars="54" w:right="101" w:rightChars="0" w:firstLine="480" w:firstLineChars="200"/>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（如采用</w:t>
            </w:r>
            <w:r>
              <w:rPr>
                <w:rFonts w:hint="eastAsia" w:ascii="宋体" w:hAnsi="宋体"/>
                <w:color w:val="auto"/>
                <w:sz w:val="24"/>
                <w:highlight w:val="none"/>
                <w:lang w:val="en-US" w:eastAsia="zh-CN"/>
              </w:rPr>
              <w:t>固化</w:t>
            </w:r>
            <w:r>
              <w:rPr>
                <w:rFonts w:hint="eastAsia" w:ascii="宋体" w:hAnsi="宋体"/>
                <w:color w:val="auto"/>
                <w:sz w:val="24"/>
                <w:highlight w:val="none"/>
              </w:rPr>
              <w:t>工程量清单报价，3.3.2～3.3.5条款不适用。 ）</w:t>
            </w:r>
          </w:p>
        </w:tc>
      </w:tr>
      <w:tr w14:paraId="18B69A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top"/>
          </w:tcPr>
          <w:p w14:paraId="55629C2F">
            <w:pPr>
              <w:pStyle w:val="80"/>
              <w:ind w:right="29" w:rightChars="0"/>
              <w:jc w:val="center"/>
              <w:rPr>
                <w:rFonts w:hint="eastAsia" w:ascii="宋体" w:hAnsi="宋体"/>
                <w:color w:val="auto"/>
                <w:sz w:val="24"/>
                <w:highlight w:val="none"/>
                <w:lang w:val="en-US" w:eastAsia="zh-CN"/>
              </w:rPr>
            </w:pPr>
          </w:p>
          <w:p w14:paraId="0E936D81">
            <w:pPr>
              <w:pStyle w:val="80"/>
              <w:ind w:right="29" w:rightChars="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3.4.1</w:t>
            </w:r>
          </w:p>
        </w:tc>
        <w:tc>
          <w:tcPr>
            <w:tcW w:w="8330" w:type="dxa"/>
            <w:gridSpan w:val="5"/>
            <w:vAlign w:val="top"/>
          </w:tcPr>
          <w:p w14:paraId="5D4109F0">
            <w:pPr>
              <w:pStyle w:val="80"/>
              <w:keepNext w:val="0"/>
              <w:keepLines w:val="0"/>
              <w:pageBreakBefore w:val="0"/>
              <w:widowControl w:val="0"/>
              <w:kinsoku/>
              <w:wordWrap/>
              <w:overflowPunct/>
              <w:topLinePunct w:val="0"/>
              <w:autoSpaceDE/>
              <w:autoSpaceDN/>
              <w:bidi w:val="0"/>
              <w:adjustRightInd/>
              <w:snapToGrid/>
              <w:spacing w:line="360" w:lineRule="exact"/>
              <w:ind w:left="119" w:leftChars="0" w:right="62" w:rightChars="0"/>
              <w:textAlignment w:val="auto"/>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将评标办法原文第 3.4.1 项修改为：</w:t>
            </w:r>
          </w:p>
          <w:p w14:paraId="573D3178">
            <w:pPr>
              <w:pStyle w:val="80"/>
              <w:keepNext w:val="0"/>
              <w:keepLines w:val="0"/>
              <w:pageBreakBefore w:val="0"/>
              <w:widowControl w:val="0"/>
              <w:kinsoku/>
              <w:wordWrap/>
              <w:overflowPunct/>
              <w:topLinePunct w:val="0"/>
              <w:autoSpaceDE/>
              <w:autoSpaceDN/>
              <w:bidi w:val="0"/>
              <w:adjustRightInd/>
              <w:snapToGrid/>
              <w:spacing w:line="360" w:lineRule="exact"/>
              <w:ind w:left="119" w:leftChars="0" w:right="62" w:rightChars="0" w:firstLine="480" w:firstLineChars="200"/>
              <w:textAlignment w:val="auto"/>
              <w:rPr>
                <w:rFonts w:ascii="宋体" w:hAnsi="宋体"/>
                <w:color w:val="auto"/>
                <w:sz w:val="24"/>
                <w:highlight w:val="none"/>
              </w:rPr>
            </w:pPr>
            <w:r>
              <w:rPr>
                <w:rFonts w:ascii="宋体" w:hAnsi="宋体" w:eastAsia="宋体" w:cs="Times New Roman"/>
                <w:color w:val="auto"/>
                <w:kern w:val="2"/>
                <w:sz w:val="24"/>
                <w:szCs w:val="24"/>
                <w:highlight w:val="none"/>
                <w:lang w:val="en-US" w:eastAsia="zh-CN" w:bidi="ar-SA"/>
              </w:rPr>
              <w:t>评标委员会按本章第 2.2 款规定的量化因素和分值进行打分，并计算出综合评估得分。</w:t>
            </w:r>
          </w:p>
        </w:tc>
      </w:tr>
      <w:tr w14:paraId="5A971D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7" w:hRule="atLeast"/>
          <w:jc w:val="center"/>
        </w:trPr>
        <w:tc>
          <w:tcPr>
            <w:tcW w:w="891" w:type="dxa"/>
            <w:vAlign w:val="center"/>
          </w:tcPr>
          <w:p w14:paraId="37C23E82">
            <w:pPr>
              <w:pStyle w:val="80"/>
              <w:ind w:right="29" w:rightChars="0"/>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3.4.2</w:t>
            </w:r>
          </w:p>
        </w:tc>
        <w:tc>
          <w:tcPr>
            <w:tcW w:w="8330" w:type="dxa"/>
            <w:gridSpan w:val="5"/>
            <w:vAlign w:val="top"/>
          </w:tcPr>
          <w:p w14:paraId="78E94DAF">
            <w:pPr>
              <w:pStyle w:val="80"/>
              <w:keepNext w:val="0"/>
              <w:keepLines w:val="0"/>
              <w:pageBreakBefore w:val="0"/>
              <w:widowControl w:val="0"/>
              <w:kinsoku/>
              <w:wordWrap/>
              <w:overflowPunct/>
              <w:topLinePunct w:val="0"/>
              <w:autoSpaceDE/>
              <w:autoSpaceDN/>
              <w:bidi w:val="0"/>
              <w:adjustRightInd/>
              <w:snapToGrid/>
              <w:spacing w:line="360" w:lineRule="exact"/>
              <w:ind w:left="119" w:leftChars="0" w:right="62" w:rightChars="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将评标办法原文第 3.4.2 项修改如下：</w:t>
            </w:r>
          </w:p>
          <w:p w14:paraId="3563D5F8">
            <w:pPr>
              <w:pStyle w:val="80"/>
              <w:keepNext w:val="0"/>
              <w:keepLines w:val="0"/>
              <w:pageBreakBefore w:val="0"/>
              <w:widowControl w:val="0"/>
              <w:kinsoku/>
              <w:wordWrap/>
              <w:overflowPunct/>
              <w:topLinePunct w:val="0"/>
              <w:autoSpaceDE/>
              <w:autoSpaceDN/>
              <w:bidi w:val="0"/>
              <w:adjustRightInd/>
              <w:snapToGrid/>
              <w:spacing w:line="360" w:lineRule="exact"/>
              <w:ind w:left="119" w:leftChars="0" w:right="62" w:rightChars="0" w:firstLine="480" w:firstLineChars="200"/>
              <w:textAlignment w:val="auto"/>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投标人得分分值计算保留小数点后四位，小数点后第五位“四舍五入”。</w:t>
            </w:r>
          </w:p>
        </w:tc>
      </w:tr>
      <w:tr w14:paraId="4D04EF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14:paraId="590B3DDF">
            <w:pPr>
              <w:jc w:val="center"/>
              <w:rPr>
                <w:rFonts w:ascii="宋体" w:hAnsi="宋体"/>
                <w:color w:val="auto"/>
                <w:sz w:val="24"/>
                <w:highlight w:val="none"/>
              </w:rPr>
            </w:pPr>
            <w:r>
              <w:rPr>
                <w:rFonts w:ascii="宋体" w:hAnsi="宋体"/>
                <w:color w:val="auto"/>
                <w:sz w:val="24"/>
                <w:highlight w:val="none"/>
              </w:rPr>
              <w:t>3.5</w:t>
            </w:r>
          </w:p>
        </w:tc>
        <w:tc>
          <w:tcPr>
            <w:tcW w:w="8330" w:type="dxa"/>
            <w:gridSpan w:val="5"/>
            <w:vAlign w:val="center"/>
          </w:tcPr>
          <w:p w14:paraId="15D04CE3">
            <w:pPr>
              <w:ind w:right="113"/>
              <w:rPr>
                <w:rFonts w:hint="eastAsia" w:ascii="宋体" w:hAnsi="宋体"/>
                <w:color w:val="auto"/>
                <w:sz w:val="24"/>
                <w:highlight w:val="none"/>
              </w:rPr>
            </w:pPr>
            <w:r>
              <w:rPr>
                <w:rFonts w:hint="eastAsia" w:ascii="宋体" w:hAnsi="宋体"/>
                <w:color w:val="auto"/>
                <w:sz w:val="24"/>
                <w:highlight w:val="none"/>
              </w:rPr>
              <w:t>3.5.2项（2）目末增加以下条款：</w:t>
            </w:r>
          </w:p>
          <w:p w14:paraId="1DE1241B">
            <w:pPr>
              <w:ind w:left="113" w:leftChars="54" w:right="113" w:firstLine="480" w:firstLineChars="200"/>
              <w:rPr>
                <w:rFonts w:hint="eastAsia" w:ascii="宋体" w:hAnsi="宋体"/>
                <w:color w:val="auto"/>
                <w:sz w:val="24"/>
                <w:highlight w:val="none"/>
              </w:rPr>
            </w:pPr>
            <w:r>
              <w:rPr>
                <w:rFonts w:hint="eastAsia" w:ascii="宋体" w:hAnsi="宋体"/>
                <w:color w:val="auto"/>
                <w:sz w:val="24"/>
                <w:highlight w:val="none"/>
              </w:rPr>
              <w:t>g.当一家以上投标人评标价相同时，若各投标人工程量清单细目单价也相同，视为串标（一个标段仅一工作细目报价的除外）。</w:t>
            </w:r>
          </w:p>
          <w:p w14:paraId="719E6FA3">
            <w:pPr>
              <w:ind w:left="113" w:leftChars="54" w:right="113" w:firstLine="480" w:firstLineChars="200"/>
              <w:rPr>
                <w:rFonts w:ascii="宋体" w:hAnsi="宋体"/>
                <w:color w:val="auto"/>
                <w:sz w:val="24"/>
                <w:highlight w:val="none"/>
              </w:rPr>
            </w:pPr>
            <w:r>
              <w:rPr>
                <w:rFonts w:hint="eastAsia" w:ascii="宋体" w:hAnsi="宋体"/>
                <w:color w:val="auto"/>
                <w:sz w:val="24"/>
                <w:highlight w:val="none"/>
              </w:rPr>
              <w:t>h.广东省实施《中华人民共和国招标投标法》办法第十六条规定的情形。</w:t>
            </w:r>
          </w:p>
          <w:p w14:paraId="102365AF">
            <w:pPr>
              <w:ind w:right="113"/>
              <w:rPr>
                <w:rFonts w:ascii="Calibri" w:hAnsi="Calibri"/>
                <w:color w:val="auto"/>
                <w:sz w:val="24"/>
                <w:highlight w:val="none"/>
              </w:rPr>
            </w:pPr>
            <w:r>
              <w:rPr>
                <w:rFonts w:ascii="宋体" w:hAnsi="宋体"/>
                <w:color w:val="auto"/>
                <w:sz w:val="24"/>
                <w:highlight w:val="none"/>
              </w:rPr>
              <w:t>增加 3.5.3 项：</w:t>
            </w:r>
          </w:p>
          <w:p w14:paraId="341231E2">
            <w:pPr>
              <w:ind w:right="113" w:rightChars="0"/>
              <w:rPr>
                <w:rFonts w:ascii="宋体" w:hAnsi="宋体"/>
                <w:color w:val="auto"/>
                <w:sz w:val="24"/>
                <w:highlight w:val="none"/>
              </w:rPr>
            </w:pPr>
            <w:r>
              <w:rPr>
                <w:rFonts w:ascii="宋体" w:hAnsi="宋体"/>
                <w:color w:val="auto"/>
                <w:sz w:val="24"/>
                <w:highlight w:val="none"/>
              </w:rPr>
              <w:t>3.5.3 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33C3C3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14:paraId="073D8496">
            <w:pPr>
              <w:jc w:val="center"/>
              <w:rPr>
                <w:rFonts w:ascii="Calibri" w:hAnsi="Calibri"/>
                <w:color w:val="auto"/>
                <w:sz w:val="24"/>
                <w:highlight w:val="none"/>
              </w:rPr>
            </w:pPr>
            <w:r>
              <w:rPr>
                <w:rFonts w:hint="eastAsia" w:ascii="宋体" w:hAnsi="宋体"/>
                <w:color w:val="auto"/>
                <w:sz w:val="24"/>
                <w:highlight w:val="none"/>
              </w:rPr>
              <w:t>3.6.1</w:t>
            </w:r>
          </w:p>
        </w:tc>
        <w:tc>
          <w:tcPr>
            <w:tcW w:w="8330" w:type="dxa"/>
            <w:gridSpan w:val="5"/>
            <w:vAlign w:val="center"/>
          </w:tcPr>
          <w:p w14:paraId="20A547D1">
            <w:pPr>
              <w:ind w:right="113"/>
              <w:rPr>
                <w:rFonts w:hint="eastAsia" w:ascii="宋体" w:hAnsi="宋体" w:cs="宋体"/>
                <w:color w:val="auto"/>
                <w:sz w:val="24"/>
                <w:highlight w:val="none"/>
              </w:rPr>
            </w:pPr>
            <w:r>
              <w:rPr>
                <w:rFonts w:hint="eastAsia" w:ascii="宋体" w:hAnsi="宋体" w:cs="宋体"/>
                <w:color w:val="auto"/>
                <w:sz w:val="24"/>
                <w:highlight w:val="none"/>
              </w:rPr>
              <w:t>将评标办法范本原文第3.6.1款修改为：</w:t>
            </w:r>
          </w:p>
          <w:p w14:paraId="25D39503">
            <w:pPr>
              <w:ind w:right="113"/>
              <w:rPr>
                <w:rFonts w:hint="eastAsia" w:ascii="宋体" w:hAnsi="宋体" w:cs="宋体"/>
                <w:color w:val="auto"/>
                <w:sz w:val="24"/>
                <w:highlight w:val="none"/>
              </w:rPr>
            </w:pPr>
            <w:r>
              <w:rPr>
                <w:rFonts w:hint="eastAsia" w:ascii="宋体" w:hAnsi="宋体" w:cs="宋体"/>
                <w:color w:val="auto"/>
                <w:sz w:val="24"/>
                <w:highlight w:val="none"/>
              </w:rPr>
              <w:t>3.6.1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79FEC1A6">
            <w:pPr>
              <w:ind w:right="113"/>
              <w:rPr>
                <w:rFonts w:hint="eastAsia" w:ascii="宋体" w:hAnsi="宋体" w:cs="宋体"/>
                <w:color w:val="auto"/>
                <w:sz w:val="24"/>
                <w:highlight w:val="none"/>
              </w:rPr>
            </w:pPr>
            <w:r>
              <w:rPr>
                <w:rFonts w:hint="eastAsia" w:ascii="宋体" w:hAnsi="宋体" w:cs="宋体"/>
                <w:color w:val="auto"/>
                <w:sz w:val="24"/>
                <w:highlight w:val="none"/>
              </w:rPr>
              <w:t>　(1)投标文件中的下列偏差为细微偏差(采用固化工程量清单，则a—d步骤省略)：</w:t>
            </w:r>
          </w:p>
          <w:p w14:paraId="136F3F38">
            <w:pPr>
              <w:ind w:right="113"/>
              <w:rPr>
                <w:rFonts w:hint="eastAsia" w:ascii="宋体" w:hAnsi="宋体" w:cs="宋体"/>
                <w:color w:val="auto"/>
                <w:sz w:val="24"/>
                <w:highlight w:val="none"/>
              </w:rPr>
            </w:pPr>
            <w:r>
              <w:rPr>
                <w:rFonts w:hint="eastAsia" w:ascii="宋体" w:hAnsi="宋体" w:cs="宋体"/>
                <w:color w:val="auto"/>
                <w:sz w:val="24"/>
                <w:highlight w:val="none"/>
              </w:rPr>
              <w:t xml:space="preserve">  a、在算术性复核中发现的算术性差错；</w:t>
            </w:r>
          </w:p>
          <w:p w14:paraId="0553D27D">
            <w:pPr>
              <w:ind w:right="113"/>
              <w:rPr>
                <w:rFonts w:hint="eastAsia" w:ascii="宋体" w:hAnsi="宋体" w:cs="宋体"/>
                <w:color w:val="auto"/>
                <w:sz w:val="24"/>
                <w:highlight w:val="none"/>
              </w:rPr>
            </w:pPr>
            <w:r>
              <w:rPr>
                <w:rFonts w:hint="eastAsia" w:ascii="宋体" w:hAnsi="宋体" w:cs="宋体"/>
                <w:color w:val="auto"/>
                <w:sz w:val="24"/>
                <w:highlight w:val="none"/>
              </w:rPr>
              <w:t xml:space="preserve">  b、在招标人给定的工程量清单中漏报了某个工程细目的单价和合价；</w:t>
            </w:r>
          </w:p>
          <w:p w14:paraId="19E56553">
            <w:pPr>
              <w:ind w:right="113"/>
              <w:rPr>
                <w:rFonts w:hint="eastAsia" w:ascii="宋体" w:hAnsi="宋体" w:cs="宋体"/>
                <w:color w:val="auto"/>
                <w:sz w:val="24"/>
                <w:highlight w:val="none"/>
              </w:rPr>
            </w:pPr>
            <w:r>
              <w:rPr>
                <w:rFonts w:hint="eastAsia" w:ascii="宋体" w:hAnsi="宋体" w:cs="宋体"/>
                <w:color w:val="auto"/>
                <w:sz w:val="24"/>
                <w:highlight w:val="none"/>
              </w:rPr>
              <w:t xml:space="preserve">  c、在招标人给定的工程量清单中多报了某个工程细目的单价和合价或所报单价增加或减少了报价范围；</w:t>
            </w:r>
          </w:p>
          <w:p w14:paraId="7F08FBB9">
            <w:pPr>
              <w:ind w:right="113"/>
              <w:rPr>
                <w:rFonts w:hint="eastAsia" w:ascii="宋体" w:hAnsi="宋体" w:cs="宋体"/>
                <w:color w:val="auto"/>
                <w:sz w:val="24"/>
                <w:highlight w:val="none"/>
              </w:rPr>
            </w:pPr>
            <w:r>
              <w:rPr>
                <w:rFonts w:hint="eastAsia" w:ascii="宋体" w:hAnsi="宋体" w:cs="宋体"/>
                <w:color w:val="auto"/>
                <w:sz w:val="24"/>
                <w:highlight w:val="none"/>
              </w:rPr>
              <w:t xml:space="preserve">  d、在招标人给定的工程量清单中修改了某些支付号的工程数量。</w:t>
            </w:r>
          </w:p>
          <w:p w14:paraId="5844E896">
            <w:pPr>
              <w:ind w:right="113"/>
              <w:rPr>
                <w:rFonts w:hint="eastAsia" w:ascii="宋体" w:hAnsi="宋体" w:cs="宋体"/>
                <w:color w:val="auto"/>
                <w:sz w:val="24"/>
                <w:highlight w:val="none"/>
              </w:rPr>
            </w:pPr>
            <w:r>
              <w:rPr>
                <w:rFonts w:hint="eastAsia" w:ascii="宋体" w:hAnsi="宋体" w:cs="宋体"/>
                <w:color w:val="auto"/>
                <w:sz w:val="24"/>
                <w:highlight w:val="none"/>
              </w:rPr>
              <w:t xml:space="preserve"> (2)评标委员会对投标文件中的细微偏差按如下规定处理(采用固化工程量清单，则a—d步骤省略)：</w:t>
            </w:r>
          </w:p>
          <w:p w14:paraId="1CEA83B8">
            <w:pPr>
              <w:ind w:right="113"/>
              <w:rPr>
                <w:rFonts w:hint="eastAsia" w:ascii="宋体" w:hAnsi="宋体" w:cs="宋体"/>
                <w:color w:val="auto"/>
                <w:sz w:val="24"/>
                <w:highlight w:val="none"/>
              </w:rPr>
            </w:pPr>
            <w:r>
              <w:rPr>
                <w:rFonts w:hint="eastAsia" w:ascii="宋体" w:hAnsi="宋体" w:cs="宋体"/>
                <w:color w:val="auto"/>
                <w:sz w:val="24"/>
                <w:highlight w:val="none"/>
              </w:rPr>
              <w:t xml:space="preserve">  a、按本评标办法的规定对算术性错误予以修正；</w:t>
            </w:r>
          </w:p>
          <w:p w14:paraId="0EE1E892">
            <w:pPr>
              <w:ind w:right="113"/>
              <w:rPr>
                <w:rFonts w:hint="eastAsia" w:ascii="宋体" w:hAnsi="宋体" w:cs="宋体"/>
                <w:color w:val="auto"/>
                <w:sz w:val="24"/>
                <w:highlight w:val="none"/>
              </w:rPr>
            </w:pPr>
            <w:r>
              <w:rPr>
                <w:rFonts w:hint="eastAsia" w:ascii="宋体" w:hAnsi="宋体" w:cs="宋体"/>
                <w:color w:val="auto"/>
                <w:sz w:val="24"/>
                <w:highlight w:val="none"/>
              </w:rPr>
              <w:t xml:space="preserve">  b、对于漏报的工程细目单价和合价或单价和合价减少的报价内容视为已含入其它工程细目的单价和合价之中；</w:t>
            </w:r>
          </w:p>
          <w:p w14:paraId="7EFF2A8C">
            <w:pPr>
              <w:ind w:right="113"/>
              <w:rPr>
                <w:rFonts w:hint="eastAsia" w:ascii="宋体" w:hAnsi="宋体" w:cs="宋体"/>
                <w:color w:val="auto"/>
                <w:sz w:val="24"/>
                <w:highlight w:val="none"/>
              </w:rPr>
            </w:pPr>
            <w:r>
              <w:rPr>
                <w:rFonts w:hint="eastAsia" w:ascii="宋体" w:hAnsi="宋体" w:cs="宋体"/>
                <w:color w:val="auto"/>
                <w:sz w:val="24"/>
                <w:highlight w:val="none"/>
              </w:rPr>
              <w:t xml:space="preserve">  c、在保证投标总价不变的前提下，对于多报的工程细目报价或工程细目报价中增加的部分报价从投标报价中予以扣除，并对其它细目作相应的平衡性调整；</w:t>
            </w:r>
          </w:p>
          <w:p w14:paraId="7353DBA7">
            <w:pPr>
              <w:ind w:right="113"/>
              <w:rPr>
                <w:rFonts w:ascii="Calibri" w:hAnsi="Calibri"/>
                <w:color w:val="auto"/>
                <w:sz w:val="24"/>
                <w:highlight w:val="none"/>
              </w:rPr>
            </w:pPr>
            <w:r>
              <w:rPr>
                <w:rFonts w:hint="eastAsia" w:ascii="宋体" w:hAnsi="宋体" w:cs="宋体"/>
                <w:color w:val="auto"/>
                <w:sz w:val="24"/>
                <w:highlight w:val="none"/>
              </w:rPr>
              <w:t xml:space="preserve">   d、在保证投标总价不变的前提下，对与给定工程量清单数量不符的工程数量进行更正，并对其它细目作相应的平衡性调整。</w:t>
            </w:r>
          </w:p>
        </w:tc>
      </w:tr>
      <w:tr w14:paraId="0FDE05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14:paraId="63680C12">
            <w:pPr>
              <w:jc w:val="center"/>
              <w:rPr>
                <w:rFonts w:ascii="Calibri" w:hAnsi="Calibri"/>
                <w:color w:val="auto"/>
                <w:sz w:val="24"/>
                <w:highlight w:val="none"/>
              </w:rPr>
            </w:pPr>
            <w:r>
              <w:rPr>
                <w:rFonts w:ascii="宋体" w:hAnsi="宋体"/>
                <w:color w:val="auto"/>
                <w:sz w:val="24"/>
                <w:highlight w:val="none"/>
              </w:rPr>
              <w:t>3.8</w:t>
            </w:r>
          </w:p>
        </w:tc>
        <w:tc>
          <w:tcPr>
            <w:tcW w:w="8330" w:type="dxa"/>
            <w:gridSpan w:val="5"/>
            <w:vAlign w:val="center"/>
          </w:tcPr>
          <w:p w14:paraId="3FC0D2BA">
            <w:pPr>
              <w:ind w:firstLine="480" w:firstLineChars="200"/>
              <w:rPr>
                <w:rFonts w:hint="eastAsia" w:ascii="宋体" w:hAnsi="宋体"/>
                <w:color w:val="auto"/>
                <w:sz w:val="24"/>
                <w:highlight w:val="none"/>
              </w:rPr>
            </w:pPr>
            <w:r>
              <w:rPr>
                <w:rFonts w:hint="eastAsia" w:ascii="宋体" w:hAnsi="宋体"/>
                <w:color w:val="auto"/>
                <w:sz w:val="24"/>
                <w:highlight w:val="none"/>
              </w:rPr>
              <w:t xml:space="preserve">增加 3.8.3～3.8.6 项： </w:t>
            </w:r>
          </w:p>
          <w:p w14:paraId="0B1F8564">
            <w:pPr>
              <w:ind w:firstLine="480" w:firstLineChars="200"/>
              <w:rPr>
                <w:rFonts w:hint="eastAsia" w:ascii="宋体" w:hAnsi="宋体"/>
                <w:color w:val="auto"/>
                <w:sz w:val="24"/>
                <w:highlight w:val="none"/>
              </w:rPr>
            </w:pPr>
            <w:r>
              <w:rPr>
                <w:rFonts w:hint="eastAsia" w:ascii="宋体" w:hAnsi="宋体"/>
                <w:color w:val="auto"/>
                <w:sz w:val="24"/>
                <w:highlight w:val="none"/>
              </w:rPr>
              <w:t>3.8.3 通过第一个信封商务及技术文件评审的投标人少于3个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14:paraId="0A94761C">
            <w:pPr>
              <w:ind w:firstLine="480" w:firstLineChars="200"/>
              <w:rPr>
                <w:rFonts w:hint="eastAsia" w:ascii="宋体" w:hAnsi="宋体"/>
                <w:color w:val="auto"/>
                <w:sz w:val="24"/>
                <w:highlight w:val="none"/>
              </w:rPr>
            </w:pPr>
            <w:r>
              <w:rPr>
                <w:rFonts w:hint="eastAsia" w:ascii="宋体" w:hAnsi="宋体"/>
                <w:color w:val="auto"/>
                <w:sz w:val="24"/>
                <w:highlight w:val="none"/>
              </w:rPr>
              <w:t xml:space="preserve">3.8.4 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 </w:t>
            </w:r>
          </w:p>
          <w:p w14:paraId="2D6880CB">
            <w:pPr>
              <w:ind w:firstLine="480" w:firstLineChars="200"/>
              <w:rPr>
                <w:rFonts w:hint="eastAsia" w:ascii="宋体" w:hAnsi="宋体"/>
                <w:color w:val="auto"/>
                <w:sz w:val="24"/>
                <w:highlight w:val="none"/>
              </w:rPr>
            </w:pPr>
            <w:r>
              <w:rPr>
                <w:rFonts w:hint="eastAsia" w:ascii="宋体" w:hAnsi="宋体"/>
                <w:color w:val="auto"/>
                <w:sz w:val="24"/>
                <w:highlight w:val="none"/>
              </w:rPr>
              <w:t xml:space="preserve">3.8.5 如果发生无法确定推荐中标候选人的其他意外情况，评标委员会可建议招标人重新招标。 </w:t>
            </w:r>
          </w:p>
          <w:p w14:paraId="064ECC90">
            <w:pPr>
              <w:ind w:firstLine="482" w:firstLineChars="200"/>
              <w:rPr>
                <w:rFonts w:hint="eastAsia" w:ascii="宋体" w:hAnsi="宋体"/>
                <w:b/>
                <w:bCs/>
                <w:color w:val="auto"/>
                <w:sz w:val="24"/>
                <w:highlight w:val="none"/>
              </w:rPr>
            </w:pPr>
            <w:r>
              <w:rPr>
                <w:rFonts w:hint="eastAsia" w:ascii="宋体" w:hAnsi="宋体"/>
                <w:b/>
                <w:bCs/>
                <w:color w:val="auto"/>
                <w:sz w:val="24"/>
                <w:highlight w:val="none"/>
              </w:rPr>
              <w:t>3.8.6 本招标文件规定的否决投标条款包含在以下条款：</w:t>
            </w:r>
          </w:p>
          <w:p w14:paraId="544CE1D5">
            <w:pPr>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（1）招标公告第 3 点 投标人资格要求； </w:t>
            </w:r>
          </w:p>
          <w:p w14:paraId="2B19A9CB">
            <w:pPr>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（2）投标人须知 1.4.3 项、1.4.4 项、1.4.5 项、1.11.1 项、1.12.2 项、3.4.2项、3.5.11 项、3.6.1 项； </w:t>
            </w:r>
          </w:p>
          <w:p w14:paraId="1D0289B6">
            <w:pPr>
              <w:ind w:firstLine="482" w:firstLineChars="200"/>
              <w:rPr>
                <w:rFonts w:ascii="Calibri" w:hAnsi="Calibri"/>
                <w:color w:val="auto"/>
                <w:highlight w:val="none"/>
              </w:rPr>
            </w:pPr>
            <w:r>
              <w:rPr>
                <w:rFonts w:hint="eastAsia" w:ascii="宋体" w:hAnsi="宋体"/>
                <w:b/>
                <w:bCs/>
                <w:color w:val="auto"/>
                <w:sz w:val="24"/>
                <w:highlight w:val="none"/>
              </w:rPr>
              <w:t>本评标办法的否决条款。</w:t>
            </w:r>
          </w:p>
        </w:tc>
      </w:tr>
    </w:tbl>
    <w:p w14:paraId="285966C2">
      <w:pPr>
        <w:pStyle w:val="4"/>
        <w:spacing w:beforeLines="50" w:line="400" w:lineRule="exact"/>
        <w:rPr>
          <w:rFonts w:ascii="宋体" w:hAnsi="宋体"/>
          <w:color w:val="auto"/>
          <w:sz w:val="24"/>
          <w:szCs w:val="24"/>
          <w:highlight w:val="none"/>
        </w:rPr>
      </w:pPr>
    </w:p>
    <w:bookmarkEnd w:id="248"/>
    <w:bookmarkEnd w:id="249"/>
    <w:bookmarkEnd w:id="250"/>
    <w:p w14:paraId="1F2A6016">
      <w:pPr>
        <w:pStyle w:val="3"/>
        <w:rPr>
          <w:color w:val="auto"/>
          <w:highlight w:val="none"/>
        </w:rPr>
      </w:pPr>
      <w:bookmarkStart w:id="251" w:name="_Toc31795"/>
      <w:r>
        <w:rPr>
          <w:rFonts w:hint="eastAsia"/>
          <w:color w:val="auto"/>
          <w:highlight w:val="none"/>
        </w:rPr>
        <w:br w:type="page"/>
      </w:r>
    </w:p>
    <w:p w14:paraId="0AA17CC1">
      <w:pPr>
        <w:pStyle w:val="3"/>
        <w:rPr>
          <w:color w:val="auto"/>
          <w:highlight w:val="none"/>
        </w:rPr>
      </w:pPr>
      <w:r>
        <w:rPr>
          <w:rFonts w:hint="eastAsia"/>
          <w:color w:val="auto"/>
          <w:highlight w:val="none"/>
        </w:rPr>
        <w:t>1. 评标方法</w:t>
      </w:r>
      <w:bookmarkEnd w:id="251"/>
    </w:p>
    <w:p w14:paraId="3B026DF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合理低价法。评标委员会对满足招标文件实质性要求的投标文件，根据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1BBE5112">
      <w:pPr>
        <w:pStyle w:val="3"/>
        <w:rPr>
          <w:color w:val="auto"/>
          <w:highlight w:val="none"/>
        </w:rPr>
      </w:pPr>
      <w:bookmarkStart w:id="252" w:name="_Toc234382654"/>
      <w:bookmarkStart w:id="253" w:name="_Toc522725723"/>
      <w:bookmarkStart w:id="254" w:name="_Toc6288"/>
      <w:r>
        <w:rPr>
          <w:rFonts w:hint="eastAsia"/>
          <w:color w:val="auto"/>
          <w:highlight w:val="none"/>
        </w:rPr>
        <w:t>2. 评审标准</w:t>
      </w:r>
      <w:bookmarkEnd w:id="252"/>
      <w:bookmarkEnd w:id="253"/>
      <w:bookmarkEnd w:id="254"/>
    </w:p>
    <w:p w14:paraId="7C355F85">
      <w:pPr>
        <w:pStyle w:val="71"/>
        <w:numPr>
          <w:ilvl w:val="0"/>
          <w:numId w:val="0"/>
        </w:numPr>
        <w:spacing w:line="360" w:lineRule="auto"/>
        <w:rPr>
          <w:rFonts w:ascii="宋体" w:hAnsi="宋体" w:cs="宋体"/>
          <w:color w:val="auto"/>
          <w:highlight w:val="none"/>
        </w:rPr>
      </w:pPr>
      <w:bookmarkStart w:id="255" w:name="_Toc8478"/>
      <w:bookmarkStart w:id="256" w:name="_Toc234382655"/>
      <w:bookmarkStart w:id="257" w:name="_Toc522725724"/>
      <w:r>
        <w:rPr>
          <w:rFonts w:hint="eastAsia" w:ascii="宋体" w:hAnsi="宋体" w:cs="宋体"/>
          <w:color w:val="auto"/>
          <w:highlight w:val="none"/>
        </w:rPr>
        <w:t>2.1 初步评审标准</w:t>
      </w:r>
      <w:bookmarkEnd w:id="255"/>
      <w:bookmarkEnd w:id="256"/>
      <w:bookmarkEnd w:id="257"/>
    </w:p>
    <w:p w14:paraId="6BF7136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2.1.1形式评审标准：见评标办法前附表。</w:t>
      </w:r>
    </w:p>
    <w:p w14:paraId="252556C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2.1.2资格评审标准：见评标办法前附表。</w:t>
      </w:r>
    </w:p>
    <w:p w14:paraId="24B9FF3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2.1.3响应性评审标准：见评标办法前附表。</w:t>
      </w:r>
    </w:p>
    <w:p w14:paraId="6F7E5E6E">
      <w:pPr>
        <w:pStyle w:val="71"/>
        <w:numPr>
          <w:ilvl w:val="0"/>
          <w:numId w:val="0"/>
        </w:numPr>
        <w:spacing w:line="360" w:lineRule="auto"/>
        <w:rPr>
          <w:rFonts w:ascii="宋体" w:hAnsi="宋体" w:cs="宋体"/>
          <w:color w:val="auto"/>
          <w:highlight w:val="none"/>
        </w:rPr>
      </w:pPr>
      <w:bookmarkStart w:id="258" w:name="_Toc2995"/>
      <w:bookmarkStart w:id="259" w:name="_Toc234382656"/>
      <w:bookmarkStart w:id="260" w:name="_Toc522725725"/>
      <w:r>
        <w:rPr>
          <w:rFonts w:hint="eastAsia" w:ascii="宋体" w:hAnsi="宋体" w:cs="宋体"/>
          <w:color w:val="auto"/>
          <w:highlight w:val="none"/>
        </w:rPr>
        <w:t>2.2 分值构成与评分标准</w:t>
      </w:r>
      <w:bookmarkEnd w:id="258"/>
      <w:bookmarkEnd w:id="259"/>
      <w:bookmarkEnd w:id="260"/>
    </w:p>
    <w:p w14:paraId="2E9910E9">
      <w:pPr>
        <w:spacing w:line="400" w:lineRule="exact"/>
        <w:ind w:firstLine="480" w:firstLineChars="200"/>
        <w:rPr>
          <w:rFonts w:hint="eastAsia" w:ascii="宋体" w:hAnsi="宋体" w:cs="宋体"/>
          <w:color w:val="auto"/>
          <w:kern w:val="0"/>
          <w:sz w:val="24"/>
          <w:highlight w:val="none"/>
        </w:rPr>
      </w:pPr>
      <w:bookmarkStart w:id="261" w:name="_Toc522725726"/>
      <w:r>
        <w:rPr>
          <w:rFonts w:hint="eastAsia" w:ascii="宋体" w:hAnsi="宋体" w:cs="宋体"/>
          <w:color w:val="auto"/>
          <w:kern w:val="0"/>
          <w:sz w:val="24"/>
          <w:highlight w:val="none"/>
        </w:rPr>
        <w:t>2.2.1 分值构成</w:t>
      </w:r>
    </w:p>
    <w:p w14:paraId="40043EF4">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评标价：见评标办法前附表。</w:t>
      </w:r>
    </w:p>
    <w:p w14:paraId="6D43BFD4">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2.2.2评标基准价计算</w:t>
      </w:r>
    </w:p>
    <w:p w14:paraId="4CFC68EB">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评标基准价计算方法：见评标办法前附表。</w:t>
      </w:r>
    </w:p>
    <w:p w14:paraId="11455912">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2.2.3评标价的偏差率计算</w:t>
      </w:r>
    </w:p>
    <w:p w14:paraId="1D166B86">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评标价的偏差率计算公式：见评标办法前附表。</w:t>
      </w:r>
    </w:p>
    <w:p w14:paraId="1252BE6B">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2.2.4评分标准</w:t>
      </w:r>
    </w:p>
    <w:p w14:paraId="645D2730">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评标价评分标准：见评标办法前附表。 </w:t>
      </w:r>
    </w:p>
    <w:p w14:paraId="214E77C7">
      <w:pPr>
        <w:pStyle w:val="3"/>
        <w:rPr>
          <w:color w:val="auto"/>
          <w:highlight w:val="none"/>
        </w:rPr>
      </w:pPr>
      <w:bookmarkStart w:id="262" w:name="_Toc10149"/>
      <w:r>
        <w:rPr>
          <w:rFonts w:hint="eastAsia"/>
          <w:color w:val="auto"/>
          <w:highlight w:val="none"/>
        </w:rPr>
        <w:t>3. 评标程序</w:t>
      </w:r>
      <w:bookmarkEnd w:id="261"/>
      <w:bookmarkEnd w:id="262"/>
    </w:p>
    <w:p w14:paraId="60E768B8">
      <w:pPr>
        <w:pStyle w:val="71"/>
        <w:numPr>
          <w:ilvl w:val="0"/>
          <w:numId w:val="0"/>
        </w:numPr>
        <w:spacing w:line="360" w:lineRule="auto"/>
        <w:rPr>
          <w:rFonts w:ascii="宋体" w:hAnsi="宋体" w:cs="宋体"/>
          <w:color w:val="auto"/>
          <w:highlight w:val="none"/>
        </w:rPr>
      </w:pPr>
      <w:bookmarkStart w:id="263" w:name="_Toc522725727"/>
      <w:bookmarkStart w:id="264" w:name="_Toc18283"/>
      <w:r>
        <w:rPr>
          <w:rFonts w:hint="eastAsia" w:ascii="宋体" w:hAnsi="宋体" w:cs="宋体"/>
          <w:color w:val="auto"/>
          <w:highlight w:val="none"/>
        </w:rPr>
        <w:t>3.1第一个信封初步评审</w:t>
      </w:r>
      <w:bookmarkEnd w:id="263"/>
      <w:bookmarkEnd w:id="264"/>
    </w:p>
    <w:p w14:paraId="524CAAD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3.1.1 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w:t>
      </w:r>
    </w:p>
    <w:p w14:paraId="5189D128">
      <w:pPr>
        <w:pStyle w:val="71"/>
        <w:numPr>
          <w:ilvl w:val="0"/>
          <w:numId w:val="0"/>
        </w:numPr>
        <w:spacing w:line="360" w:lineRule="auto"/>
        <w:rPr>
          <w:rFonts w:ascii="宋体" w:hAnsi="宋体" w:cs="宋体"/>
          <w:color w:val="auto"/>
          <w:highlight w:val="none"/>
        </w:rPr>
      </w:pPr>
      <w:bookmarkStart w:id="265" w:name="_Toc14649"/>
      <w:bookmarkStart w:id="266" w:name="_Toc522725728"/>
      <w:r>
        <w:rPr>
          <w:rFonts w:hint="eastAsia" w:ascii="宋体" w:hAnsi="宋体" w:cs="宋体"/>
          <w:color w:val="auto"/>
          <w:highlight w:val="none"/>
        </w:rPr>
        <w:t>3.2</w:t>
      </w:r>
      <w:bookmarkEnd w:id="265"/>
      <w:bookmarkStart w:id="267" w:name="_Toc11419"/>
      <w:r>
        <w:rPr>
          <w:rFonts w:hint="eastAsia" w:ascii="宋体" w:hAnsi="宋体" w:cs="宋体"/>
          <w:color w:val="auto"/>
          <w:highlight w:val="none"/>
        </w:rPr>
        <w:t xml:space="preserve"> 第二个信封开标</w:t>
      </w:r>
      <w:bookmarkEnd w:id="266"/>
      <w:bookmarkEnd w:id="267"/>
    </w:p>
    <w:p w14:paraId="4DB2FE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第一个信封（商务及技术文件）评审结束后，招标人将按照第二章“投标人须知”第 5.1 款规定的时间和地点对通过投标文件第一个信封（商务及技术文件）评审的投标文件第二个信封（报价文件）进行开标。</w:t>
      </w:r>
    </w:p>
    <w:p w14:paraId="68490A95">
      <w:pPr>
        <w:pStyle w:val="71"/>
        <w:numPr>
          <w:ilvl w:val="0"/>
          <w:numId w:val="0"/>
        </w:numPr>
        <w:spacing w:line="360" w:lineRule="auto"/>
        <w:rPr>
          <w:rFonts w:ascii="宋体" w:hAnsi="宋体" w:cs="宋体"/>
          <w:color w:val="auto"/>
          <w:highlight w:val="none"/>
        </w:rPr>
      </w:pPr>
      <w:bookmarkStart w:id="268" w:name="_Toc522725729"/>
      <w:bookmarkStart w:id="269" w:name="_Toc898"/>
      <w:r>
        <w:rPr>
          <w:rFonts w:hint="eastAsia" w:ascii="宋体" w:hAnsi="宋体" w:cs="宋体"/>
          <w:color w:val="auto"/>
          <w:highlight w:val="none"/>
        </w:rPr>
        <w:t>3.</w:t>
      </w:r>
      <w:r>
        <w:rPr>
          <w:rFonts w:hint="eastAsia" w:ascii="宋体" w:hAnsi="宋体" w:cs="宋体"/>
          <w:color w:val="auto"/>
          <w:highlight w:val="none"/>
          <w:lang w:val="en-US" w:eastAsia="zh-CN"/>
        </w:rPr>
        <w:t>3</w:t>
      </w:r>
      <w:r>
        <w:rPr>
          <w:rFonts w:hint="eastAsia" w:ascii="宋体" w:hAnsi="宋体" w:cs="宋体"/>
          <w:color w:val="auto"/>
          <w:highlight w:val="none"/>
        </w:rPr>
        <w:t xml:space="preserve"> 第二个信封初步评审</w:t>
      </w:r>
      <w:bookmarkEnd w:id="268"/>
      <w:bookmarkEnd w:id="269"/>
    </w:p>
    <w:p w14:paraId="666E3798">
      <w:pPr>
        <w:spacing w:line="400" w:lineRule="exact"/>
        <w:ind w:firstLine="480" w:firstLineChars="200"/>
        <w:rPr>
          <w:rFonts w:hint="eastAsia" w:ascii="宋体" w:hAnsi="宋体" w:cs="宋体"/>
          <w:color w:val="auto"/>
          <w:kern w:val="0"/>
          <w:sz w:val="24"/>
          <w:highlight w:val="none"/>
        </w:rPr>
      </w:pPr>
      <w:bookmarkStart w:id="270" w:name="_Toc522725730"/>
      <w:r>
        <w:rPr>
          <w:rFonts w:hint="eastAsia" w:ascii="宋体" w:hAnsi="宋体" w:cs="宋体"/>
          <w:color w:val="auto"/>
          <w:kern w:val="0"/>
          <w:sz w:val="24"/>
          <w:highlight w:val="none"/>
        </w:rPr>
        <w:t>3.3.1评标委员会依据本章第2.1.1项、第2.1.3项规定的评审标准对投标文件第二个信封（报价文件）进行初步评审。有一项不符合评审标准的，评标委员会应否决其投标。</w:t>
      </w:r>
    </w:p>
    <w:p w14:paraId="0ECD5AAB">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3.3.2投标报价有算术错误的，评标委员会按以下原则对投标报价进行修正，修正的价格经投标人书面确认后具有约束力。投标人不接受修正价格的，评标委员会应否决其投标。</w:t>
      </w:r>
    </w:p>
    <w:p w14:paraId="7172F049">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（1）投标文件中的大写金额与小写金额不一致的，以大写金额为准；</w:t>
      </w:r>
    </w:p>
    <w:p w14:paraId="1A25376D">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（2）总价金额与依据单价计算出的结果不一致的，以单价金额为准修正总价，但单价金额小数点有明显错误的除外；</w:t>
      </w:r>
    </w:p>
    <w:p w14:paraId="342493BB">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（3）当单价与数量相乘不等于合价时，以单价计算为准，如果单价有明显的小数点位置差错，应以标出的合价为准，同时对单价予以修正；</w:t>
      </w:r>
    </w:p>
    <w:p w14:paraId="3B6616E9">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（4）当各子目的合价累计不等于总价时，应以各子目合价累计数为准，修正总价。</w:t>
      </w:r>
    </w:p>
    <w:p w14:paraId="7BD67A44">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3.3.3 工程量清单中的投标报价有其他错误的，评标委员会按以下原则对投标报价进行修正，修正的价格经投标人书面确认后具有约束力。投标人不接受修正价格的，评标委员会应否决其投标。</w:t>
      </w:r>
    </w:p>
    <w:p w14:paraId="7F87818D">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己含入其他工程子目的单价、合价和总额价之中。</w:t>
      </w:r>
    </w:p>
    <w:p w14:paraId="059D5AFC">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在招标人给定的工程量清单中多报了某个工程子目的单价、合价或总额价，或所报单价、合价或总额价增加了报价范围，则从投标报价中扣除多报的工程子目报价或工程子目报价中増加了报价范围的部分报价。</w:t>
      </w:r>
    </w:p>
    <w:p w14:paraId="32006780">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（3）当单价与数量的乘积与合价（金额）虽然一致，但投标人修改了该子目的工程数量，则其合价按招标人给定的工程数量乘以投标人所报单价予以修正。</w:t>
      </w:r>
    </w:p>
    <w:p w14:paraId="2787059D">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3.3.4修正后的最终投标报价若超过最高投标限价(如有)，评标委员会应否决其投标。</w:t>
      </w:r>
    </w:p>
    <w:p w14:paraId="6EA9E5E6">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3.3.5修正后的最终投标报价仅作为签订合同的一个依据，不参与评标价得分的计算。 </w:t>
      </w:r>
    </w:p>
    <w:p w14:paraId="56DB91D2">
      <w:pPr>
        <w:pStyle w:val="71"/>
        <w:numPr>
          <w:ilvl w:val="0"/>
          <w:numId w:val="0"/>
        </w:numPr>
        <w:spacing w:line="360" w:lineRule="auto"/>
        <w:rPr>
          <w:rFonts w:ascii="宋体" w:hAnsi="宋体" w:cs="宋体"/>
          <w:color w:val="auto"/>
          <w:highlight w:val="none"/>
        </w:rPr>
      </w:pPr>
      <w:bookmarkStart w:id="271" w:name="_Toc2394"/>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 xml:space="preserve"> 第二个信封详细评审</w:t>
      </w:r>
      <w:bookmarkEnd w:id="270"/>
      <w:bookmarkEnd w:id="271"/>
    </w:p>
    <w:p w14:paraId="2B0BCD27">
      <w:pPr>
        <w:spacing w:line="400" w:lineRule="exact"/>
        <w:ind w:firstLine="480" w:firstLineChars="200"/>
        <w:rPr>
          <w:rFonts w:hint="eastAsia" w:ascii="宋体" w:hAnsi="宋体" w:cs="宋体"/>
          <w:color w:val="auto"/>
          <w:kern w:val="0"/>
          <w:sz w:val="24"/>
          <w:highlight w:val="none"/>
        </w:rPr>
      </w:pPr>
      <w:bookmarkStart w:id="272" w:name="_Toc522725731"/>
      <w:r>
        <w:rPr>
          <w:rFonts w:hint="eastAsia" w:ascii="宋体" w:hAnsi="宋体" w:cs="宋体"/>
          <w:color w:val="auto"/>
          <w:kern w:val="0"/>
          <w:sz w:val="24"/>
          <w:highlight w:val="none"/>
        </w:rPr>
        <w:t>3.4.1评标委员会按本章第2.2款规定的量化因素和分值进行打分，并计算出综合评估得分（即评标价得分）。</w:t>
      </w:r>
    </w:p>
    <w:p w14:paraId="5583C92F">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3.4.2投标人得分分值计算保留小数点后两位，小数点后第三位“四舍五入”。</w:t>
      </w:r>
    </w:p>
    <w:p w14:paraId="6BFE73F4">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3.4.3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 </w:t>
      </w:r>
    </w:p>
    <w:p w14:paraId="7A619CD2">
      <w:pPr>
        <w:pStyle w:val="71"/>
        <w:numPr>
          <w:ilvl w:val="0"/>
          <w:numId w:val="0"/>
        </w:numPr>
        <w:spacing w:line="360" w:lineRule="auto"/>
        <w:rPr>
          <w:rFonts w:ascii="宋体" w:hAnsi="宋体" w:cs="宋体"/>
          <w:color w:val="auto"/>
          <w:highlight w:val="none"/>
        </w:rPr>
      </w:pPr>
      <w:bookmarkStart w:id="273" w:name="_Toc16154"/>
      <w:r>
        <w:rPr>
          <w:rFonts w:hint="eastAsia" w:ascii="宋体" w:hAnsi="宋体" w:cs="宋体"/>
          <w:color w:val="auto"/>
          <w:highlight w:val="none"/>
        </w:rPr>
        <w:t>3.</w:t>
      </w:r>
      <w:r>
        <w:rPr>
          <w:rFonts w:hint="eastAsia" w:ascii="宋体" w:hAnsi="宋体" w:cs="宋体"/>
          <w:color w:val="auto"/>
          <w:highlight w:val="none"/>
          <w:lang w:val="en-US" w:eastAsia="zh-CN"/>
        </w:rPr>
        <w:t>5</w:t>
      </w:r>
      <w:r>
        <w:rPr>
          <w:rFonts w:hint="eastAsia" w:ascii="宋体" w:hAnsi="宋体" w:cs="宋体"/>
          <w:color w:val="auto"/>
          <w:highlight w:val="none"/>
        </w:rPr>
        <w:t xml:space="preserve"> 投标文件相关信息的核查</w:t>
      </w:r>
      <w:bookmarkEnd w:id="272"/>
      <w:bookmarkEnd w:id="273"/>
    </w:p>
    <w:p w14:paraId="46425412">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3.5.1 在评标过程中，评标委员会应査询交通运输主管部门“公路建设市场信用信息管理系统”，对投标人的资质、业绩、主要人员资历和目前在岗情况、信用等级等信息进行核实。若投标文件载明的信息与交通运输主管部门“公路建设市场信用信息管理系统”公布的信息不符，使得投标人的资格条件不符合招标文件规定的，评标委员会应否决其投标。</w:t>
      </w:r>
    </w:p>
    <w:p w14:paraId="0A2597A0">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3.5.2评标委员会应对在评标过程中发现的投标人与投标人之间、投标人与招标人之间存在的串通投标的情形进行评审和认定。投标人存在串通投标、弄虚作假、行贿等违法行为的，评标委员会应否决其投标。</w:t>
      </w:r>
    </w:p>
    <w:p w14:paraId="7694AD17">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（1）有下列情形之一的，属于投标人相互串通投标：</w:t>
      </w:r>
    </w:p>
    <w:p w14:paraId="3304571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a.投标人之间协商投标报价等投标文件的实质性内容；</w:t>
      </w:r>
    </w:p>
    <w:p w14:paraId="2D838DA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b.投标人之间约定中标人；</w:t>
      </w:r>
    </w:p>
    <w:p w14:paraId="57C11A3F">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c.投标人之间约定部分投标人放弃投标或中标；</w:t>
      </w:r>
    </w:p>
    <w:p w14:paraId="1811F88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d.属于同一集团、协会、商会等组织成员的投标人按照该组织要求协同投标；</w:t>
      </w:r>
    </w:p>
    <w:p w14:paraId="58FFC910">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e.投标人之间为谋取中标或排斥特定投标人而采取的其他联合行动。</w:t>
      </w:r>
    </w:p>
    <w:p w14:paraId="2683FA29">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（2）有下列情形之一的，视为投标人相互串通投标：</w:t>
      </w:r>
    </w:p>
    <w:p w14:paraId="445172D5">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a.不同投标人的投标文件由同一单位或个人编制；</w:t>
      </w:r>
    </w:p>
    <w:p w14:paraId="0BA278F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b.不同投标人委托同一单位或个人办理投标事宜；</w:t>
      </w:r>
    </w:p>
    <w:p w14:paraId="35F113D9">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c.不同投标人的投标文件载明的项目管理成员为同一人；</w:t>
      </w:r>
    </w:p>
    <w:p w14:paraId="4356C081">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d.不同投标人的投标文件异常一致或投标报价呈规律性差异；</w:t>
      </w:r>
    </w:p>
    <w:p w14:paraId="6AAABFA3">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e.不同投标人的投标文件相互混装；</w:t>
      </w:r>
    </w:p>
    <w:p w14:paraId="4581D7C9">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f.不同投标人的投标保证金从同一单位或个人的账户转出。</w:t>
      </w:r>
    </w:p>
    <w:p w14:paraId="52974561">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（3）有下列情形之一的，属于招标人与投标人串通投标：</w:t>
      </w:r>
    </w:p>
    <w:p w14:paraId="71ECD7E1">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a.招标人在开标前开启投标文件并将有关信息泄露给其他投标人；</w:t>
      </w:r>
    </w:p>
    <w:p w14:paraId="751281F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b.招标人直接或间接向投标人泄露标底、评标委员会成员等信息；</w:t>
      </w:r>
    </w:p>
    <w:p w14:paraId="46415CFB">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c.招标人明示或暗示投标人压低或抬高投标报价；</w:t>
      </w:r>
    </w:p>
    <w:p w14:paraId="05CD648B">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d.招标人授意投标人撤換、修改投标文件；</w:t>
      </w:r>
    </w:p>
    <w:p w14:paraId="2EB71A37">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e.招标人明示或暗示投标人为特定投标人中标提供方便；</w:t>
      </w:r>
    </w:p>
    <w:p w14:paraId="4A17EA51">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f.招标人与投标人为谋求特定投标人中标而采取的其他串通行为。</w:t>
      </w:r>
    </w:p>
    <w:p w14:paraId="1421EAB7">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（4）投标人有下列情形之一的，属于弄虚作假的行为： </w:t>
      </w:r>
    </w:p>
    <w:p w14:paraId="7FD9B7BE">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a.使用通过受让或租借等方式获取的资格、资质证书投标；</w:t>
      </w:r>
    </w:p>
    <w:p w14:paraId="424EA766">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b.使用伪造、变造的许可证件；</w:t>
      </w:r>
    </w:p>
    <w:p w14:paraId="4904851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c.提供虚假的财务状况或业绩；</w:t>
      </w:r>
    </w:p>
    <w:p w14:paraId="5EC40AB5">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d.提供虚假的项目负责人或主要技术人员简历、劳动关系证明；</w:t>
      </w:r>
    </w:p>
    <w:p w14:paraId="0DB81C4E">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e.提供虚假的信用状况；</w:t>
      </w:r>
    </w:p>
    <w:p w14:paraId="27DDD51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f.具他弄虚作假的行为。</w:t>
      </w:r>
    </w:p>
    <w:p w14:paraId="7F6DADD3">
      <w:pPr>
        <w:pStyle w:val="71"/>
        <w:numPr>
          <w:ilvl w:val="0"/>
          <w:numId w:val="0"/>
        </w:numPr>
        <w:spacing w:line="360" w:lineRule="auto"/>
        <w:rPr>
          <w:rFonts w:ascii="宋体" w:hAnsi="宋体" w:cs="宋体"/>
          <w:color w:val="auto"/>
          <w:highlight w:val="none"/>
        </w:rPr>
      </w:pPr>
      <w:bookmarkStart w:id="274" w:name="_Toc21295"/>
      <w:bookmarkStart w:id="275" w:name="_Toc522725732"/>
      <w:r>
        <w:rPr>
          <w:rFonts w:hint="eastAsia" w:ascii="宋体" w:hAnsi="宋体" w:cs="宋体"/>
          <w:color w:val="auto"/>
          <w:highlight w:val="none"/>
        </w:rPr>
        <w:t>3.</w:t>
      </w:r>
      <w:r>
        <w:rPr>
          <w:rFonts w:hint="eastAsia" w:ascii="宋体" w:hAnsi="宋体" w:cs="宋体"/>
          <w:color w:val="auto"/>
          <w:highlight w:val="none"/>
          <w:lang w:val="en-US" w:eastAsia="zh-CN"/>
        </w:rPr>
        <w:t>6</w:t>
      </w:r>
      <w:r>
        <w:rPr>
          <w:rFonts w:hint="eastAsia" w:ascii="宋体" w:hAnsi="宋体" w:cs="宋体"/>
          <w:color w:val="auto"/>
          <w:highlight w:val="none"/>
        </w:rPr>
        <w:t xml:space="preserve"> 投标文件的澄清和说明</w:t>
      </w:r>
      <w:bookmarkEnd w:id="274"/>
      <w:bookmarkEnd w:id="275"/>
    </w:p>
    <w:p w14:paraId="4FFC844E">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1A9DFA42">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3.6.2 澄清和说明不得超出投标文件的范围或改变投标文件的实质性内容（算术性错误修正的除外）。投标人的书面澄清、说明属于投标文件的组成部分。</w:t>
      </w:r>
    </w:p>
    <w:p w14:paraId="69A35306">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3.6.3 评标委员会不得暗示或诱导投标人作出澄清、说明，对投标人提交的澄清、说明有疑问的，可以要求投标人进一步澄清或说明，直至满足评标委员会的要求。</w:t>
      </w:r>
    </w:p>
    <w:p w14:paraId="135E031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3.6.4 凡超出招标文件规定的或给发包人带来未曾要求的利益的变化、偏差或其他因素在评标时不予考虑。</w:t>
      </w:r>
    </w:p>
    <w:p w14:paraId="18B8B8F9">
      <w:pPr>
        <w:pStyle w:val="71"/>
        <w:numPr>
          <w:ilvl w:val="0"/>
          <w:numId w:val="0"/>
        </w:numPr>
        <w:spacing w:line="360" w:lineRule="auto"/>
        <w:rPr>
          <w:rFonts w:ascii="宋体" w:hAnsi="宋体" w:cs="宋体"/>
          <w:color w:val="auto"/>
          <w:highlight w:val="none"/>
        </w:rPr>
      </w:pPr>
      <w:bookmarkStart w:id="276" w:name="_Toc5475"/>
      <w:bookmarkStart w:id="277" w:name="_Toc522725733"/>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 xml:space="preserve"> 不得否决投标的情形</w:t>
      </w:r>
      <w:bookmarkEnd w:id="276"/>
      <w:bookmarkEnd w:id="277"/>
    </w:p>
    <w:p w14:paraId="53E1A10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投标文件存在第二章“投标人须知”第1.12.3项所列情形的，均视为细微偏差，评标委员会不得否决投标人的投标， 应按照第二章“投标人须知”第1.12.4项规定的原则处理。</w:t>
      </w:r>
    </w:p>
    <w:p w14:paraId="5B133BD3">
      <w:pPr>
        <w:pStyle w:val="71"/>
        <w:numPr>
          <w:ilvl w:val="0"/>
          <w:numId w:val="0"/>
        </w:numPr>
        <w:spacing w:line="360" w:lineRule="auto"/>
        <w:rPr>
          <w:rFonts w:ascii="宋体" w:hAnsi="宋体" w:cs="宋体"/>
          <w:color w:val="auto"/>
          <w:highlight w:val="none"/>
        </w:rPr>
      </w:pPr>
      <w:bookmarkStart w:id="278" w:name="_Toc14369"/>
      <w:bookmarkStart w:id="279" w:name="_Toc522725734"/>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xml:space="preserve"> 评标结果</w:t>
      </w:r>
      <w:bookmarkEnd w:id="278"/>
      <w:bookmarkEnd w:id="279"/>
    </w:p>
    <w:p w14:paraId="1871EC66">
      <w:pPr>
        <w:pStyle w:val="52"/>
        <w:keepNext w:val="0"/>
        <w:keepLines w:val="0"/>
        <w:pageBreakBefore w:val="0"/>
        <w:widowControl w:val="0"/>
        <w:kinsoku/>
        <w:wordWrap/>
        <w:overflowPunct/>
        <w:topLinePunct w:val="0"/>
        <w:autoSpaceDE/>
        <w:autoSpaceDN/>
        <w:bidi w:val="0"/>
        <w:adjustRightInd/>
        <w:snapToGrid/>
        <w:spacing w:line="360" w:lineRule="exact"/>
        <w:ind w:firstLine="561"/>
        <w:textAlignment w:val="auto"/>
        <w:rPr>
          <w:rFonts w:hint="eastAsia" w:ascii="宋体" w:hAnsi="宋体" w:cs="宋体"/>
          <w:color w:val="auto"/>
          <w:sz w:val="24"/>
          <w:highlight w:val="none"/>
        </w:rPr>
      </w:pPr>
      <w:r>
        <w:rPr>
          <w:rFonts w:hint="eastAsia" w:ascii="宋体" w:hAnsi="宋体" w:cs="宋体"/>
          <w:color w:val="auto"/>
          <w:sz w:val="24"/>
          <w:highlight w:val="none"/>
        </w:rPr>
        <w:t>3.8.1除第二章“投标人须知”前附表授权直接确定中标人外，评标委员会按照得分由高到低的顺序推荐中标候选人，并标明排序。</w:t>
      </w:r>
    </w:p>
    <w:p w14:paraId="0E89F02B">
      <w:pPr>
        <w:pStyle w:val="52"/>
        <w:keepNext w:val="0"/>
        <w:keepLines w:val="0"/>
        <w:pageBreakBefore w:val="0"/>
        <w:widowControl w:val="0"/>
        <w:kinsoku/>
        <w:wordWrap/>
        <w:overflowPunct/>
        <w:topLinePunct w:val="0"/>
        <w:autoSpaceDE/>
        <w:autoSpaceDN/>
        <w:bidi w:val="0"/>
        <w:adjustRightInd/>
        <w:snapToGrid/>
        <w:spacing w:line="360" w:lineRule="exact"/>
        <w:ind w:firstLine="561"/>
        <w:textAlignment w:val="auto"/>
        <w:rPr>
          <w:color w:val="auto"/>
          <w:highlight w:val="none"/>
        </w:rPr>
      </w:pPr>
      <w:r>
        <w:rPr>
          <w:rFonts w:hint="eastAsia" w:ascii="宋体" w:hAnsi="宋体" w:cs="宋体"/>
          <w:color w:val="auto"/>
          <w:sz w:val="24"/>
          <w:highlight w:val="none"/>
        </w:rPr>
        <w:t>3.8.2 评标委员会完成评标后，应向招标人提交书面评标报告。</w:t>
      </w:r>
    </w:p>
    <w:p w14:paraId="706F3B6E">
      <w:pPr>
        <w:ind w:firstLine="480" w:firstLineChars="200"/>
        <w:rPr>
          <w:rFonts w:ascii="宋体" w:hAnsi="宋体" w:cs="宋体"/>
          <w:color w:val="auto"/>
          <w:sz w:val="24"/>
          <w:highlight w:val="none"/>
        </w:rPr>
      </w:pPr>
    </w:p>
    <w:p w14:paraId="3BF24D84">
      <w:pPr>
        <w:jc w:val="center"/>
        <w:rPr>
          <w:rFonts w:ascii="宋体" w:hAnsi="宋体"/>
          <w:color w:val="auto"/>
          <w:sz w:val="72"/>
          <w:szCs w:val="72"/>
          <w:highlight w:val="none"/>
        </w:rPr>
      </w:pPr>
      <w:r>
        <w:rPr>
          <w:rFonts w:hint="eastAsia" w:ascii="宋体" w:hAnsi="宋体" w:cs="宋体"/>
          <w:color w:val="auto"/>
          <w:highlight w:val="none"/>
        </w:rPr>
        <w:br w:type="page"/>
      </w:r>
    </w:p>
    <w:bookmarkEnd w:id="246"/>
    <w:p w14:paraId="7144654D">
      <w:pPr>
        <w:adjustRightInd w:val="0"/>
        <w:snapToGrid w:val="0"/>
        <w:spacing w:line="360" w:lineRule="auto"/>
        <w:rPr>
          <w:rFonts w:ascii="宋体" w:hAnsi="宋体"/>
          <w:color w:val="auto"/>
          <w:highlight w:val="none"/>
        </w:rPr>
      </w:pPr>
    </w:p>
    <w:p w14:paraId="07E64E47">
      <w:pPr>
        <w:adjustRightInd w:val="0"/>
        <w:snapToGrid w:val="0"/>
        <w:spacing w:line="360" w:lineRule="auto"/>
        <w:ind w:firstLine="420" w:firstLineChars="200"/>
        <w:rPr>
          <w:rFonts w:ascii="宋体" w:hAnsi="宋体"/>
          <w:color w:val="auto"/>
          <w:highlight w:val="none"/>
        </w:rPr>
      </w:pPr>
    </w:p>
    <w:p w14:paraId="35CCF974">
      <w:pPr>
        <w:adjustRightInd w:val="0"/>
        <w:snapToGrid w:val="0"/>
        <w:spacing w:line="360" w:lineRule="auto"/>
        <w:ind w:firstLine="420" w:firstLineChars="200"/>
        <w:rPr>
          <w:rFonts w:ascii="宋体" w:hAnsi="宋体"/>
          <w:color w:val="auto"/>
          <w:highlight w:val="none"/>
        </w:rPr>
      </w:pPr>
    </w:p>
    <w:p w14:paraId="46D5F569">
      <w:pPr>
        <w:pStyle w:val="2"/>
        <w:jc w:val="center"/>
        <w:rPr>
          <w:color w:val="auto"/>
          <w:highlight w:val="none"/>
        </w:rPr>
      </w:pPr>
      <w:bookmarkStart w:id="280" w:name="_Toc43475747"/>
    </w:p>
    <w:p w14:paraId="66AFA95E">
      <w:pPr>
        <w:pStyle w:val="2"/>
        <w:jc w:val="center"/>
        <w:rPr>
          <w:color w:val="auto"/>
          <w:highlight w:val="none"/>
        </w:rPr>
      </w:pPr>
    </w:p>
    <w:p w14:paraId="02C405AB">
      <w:pPr>
        <w:pStyle w:val="2"/>
        <w:jc w:val="center"/>
        <w:rPr>
          <w:color w:val="auto"/>
          <w:highlight w:val="none"/>
        </w:rPr>
      </w:pPr>
    </w:p>
    <w:p w14:paraId="15339FB2">
      <w:pPr>
        <w:pStyle w:val="2"/>
        <w:jc w:val="center"/>
        <w:rPr>
          <w:color w:val="auto"/>
          <w:highlight w:val="none"/>
        </w:rPr>
      </w:pPr>
    </w:p>
    <w:p w14:paraId="6B113956">
      <w:pPr>
        <w:pStyle w:val="2"/>
        <w:jc w:val="center"/>
        <w:rPr>
          <w:color w:val="auto"/>
          <w:highlight w:val="none"/>
        </w:rPr>
      </w:pPr>
      <w:r>
        <w:rPr>
          <w:rFonts w:hint="eastAsia"/>
          <w:color w:val="auto"/>
          <w:highlight w:val="none"/>
        </w:rPr>
        <w:t>第四章合同条款及格式</w:t>
      </w:r>
      <w:bookmarkEnd w:id="280"/>
    </w:p>
    <w:p w14:paraId="76FA9F30">
      <w:pPr>
        <w:jc w:val="center"/>
        <w:rPr>
          <w:rFonts w:ascii="宋体" w:hAnsi="宋体"/>
          <w:color w:val="auto"/>
          <w:sz w:val="72"/>
          <w:szCs w:val="72"/>
          <w:highlight w:val="none"/>
        </w:rPr>
      </w:pPr>
      <w:r>
        <w:rPr>
          <w:rFonts w:hint="eastAsia" w:ascii="宋体" w:hAnsi="宋体"/>
          <w:color w:val="auto"/>
          <w:sz w:val="72"/>
          <w:szCs w:val="72"/>
          <w:highlight w:val="none"/>
        </w:rPr>
        <w:br w:type="page"/>
      </w:r>
    </w:p>
    <w:p w14:paraId="4EBD0240">
      <w:pPr>
        <w:pStyle w:val="3"/>
        <w:spacing w:after="120" w:line="240" w:lineRule="auto"/>
        <w:jc w:val="center"/>
        <w:rPr>
          <w:rFonts w:ascii="宋体" w:hAnsi="宋体"/>
          <w:color w:val="auto"/>
          <w:highlight w:val="none"/>
        </w:rPr>
      </w:pPr>
      <w:bookmarkStart w:id="281" w:name="_Toc505844394"/>
      <w:bookmarkStart w:id="282" w:name="_Toc43475748"/>
      <w:bookmarkStart w:id="283" w:name="_Toc26318"/>
      <w:r>
        <w:rPr>
          <w:rFonts w:hint="eastAsia" w:ascii="宋体" w:hAnsi="宋体"/>
          <w:color w:val="auto"/>
          <w:sz w:val="44"/>
          <w:szCs w:val="44"/>
          <w:highlight w:val="none"/>
        </w:rPr>
        <w:t>第一节通用合同条款</w:t>
      </w:r>
      <w:bookmarkEnd w:id="281"/>
      <w:bookmarkEnd w:id="282"/>
      <w:bookmarkEnd w:id="283"/>
    </w:p>
    <w:p w14:paraId="119C7E0F">
      <w:pPr>
        <w:spacing w:line="400" w:lineRule="exact"/>
        <w:jc w:val="center"/>
        <w:rPr>
          <w:rFonts w:ascii="宋体" w:hAnsi="宋体" w:cs="宋体"/>
          <w:color w:val="auto"/>
          <w:highlight w:val="none"/>
        </w:rPr>
      </w:pPr>
      <w:bookmarkStart w:id="284" w:name="_Toc11065"/>
      <w:bookmarkStart w:id="285" w:name="_Toc505844395"/>
      <w:r>
        <w:rPr>
          <w:rFonts w:hint="eastAsia" w:ascii="宋体" w:hAnsi="宋体" w:cs="宋体"/>
          <w:color w:val="auto"/>
          <w:highlight w:val="none"/>
        </w:rPr>
        <w:t>（通用合同条款的内容与《中华人民共和国交通运输部公路工程标准施工招标文件》（2018年版）不一致时，以《中华人民共和国交通运输部公路工程标准施工招标文件》（2018年版）为准）</w:t>
      </w:r>
    </w:p>
    <w:p w14:paraId="3BCD78C4">
      <w:pPr>
        <w:spacing w:line="400" w:lineRule="exact"/>
        <w:jc w:val="center"/>
        <w:rPr>
          <w:rFonts w:ascii="宋体" w:hAnsi="宋体" w:cs="宋体"/>
          <w:color w:val="auto"/>
          <w:sz w:val="30"/>
          <w:szCs w:val="30"/>
          <w:highlight w:val="none"/>
        </w:rPr>
      </w:pPr>
    </w:p>
    <w:p w14:paraId="4AA7177F">
      <w:pPr>
        <w:spacing w:before="240" w:line="40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t>通用合同条款</w:t>
      </w:r>
    </w:p>
    <w:p w14:paraId="44831816">
      <w:pPr>
        <w:pStyle w:val="78"/>
        <w:rPr>
          <w:rFonts w:ascii="宋体" w:hAnsi="宋体"/>
          <w:color w:val="auto"/>
          <w:sz w:val="24"/>
          <w:szCs w:val="24"/>
          <w:highlight w:val="none"/>
        </w:rPr>
      </w:pPr>
      <w:bookmarkStart w:id="286" w:name="_Toc152045611"/>
      <w:bookmarkStart w:id="287" w:name="_Toc179632629"/>
      <w:bookmarkStart w:id="288" w:name="_Toc393546275"/>
      <w:bookmarkStart w:id="289" w:name="_Toc152042389"/>
      <w:bookmarkStart w:id="290" w:name="_Toc330406216"/>
      <w:bookmarkStart w:id="291" w:name="_Toc386467021"/>
      <w:bookmarkStart w:id="292" w:name="_Toc43475749"/>
      <w:bookmarkStart w:id="293" w:name="_Toc144974579"/>
      <w:r>
        <w:rPr>
          <w:rFonts w:hint="eastAsia" w:ascii="宋体" w:hAnsi="宋体"/>
          <w:color w:val="auto"/>
          <w:sz w:val="24"/>
          <w:szCs w:val="24"/>
          <w:highlight w:val="none"/>
        </w:rPr>
        <w:t>1. 一般约定</w:t>
      </w:r>
      <w:bookmarkEnd w:id="286"/>
      <w:bookmarkEnd w:id="287"/>
      <w:bookmarkEnd w:id="288"/>
      <w:bookmarkEnd w:id="289"/>
      <w:bookmarkEnd w:id="290"/>
      <w:bookmarkEnd w:id="291"/>
      <w:bookmarkEnd w:id="292"/>
      <w:bookmarkEnd w:id="293"/>
    </w:p>
    <w:p w14:paraId="3209FD0D">
      <w:pPr>
        <w:pStyle w:val="67"/>
        <w:ind w:firstLine="118"/>
        <w:rPr>
          <w:rFonts w:ascii="宋体" w:eastAsia="宋体"/>
          <w:color w:val="auto"/>
          <w:szCs w:val="24"/>
          <w:highlight w:val="none"/>
        </w:rPr>
      </w:pPr>
      <w:bookmarkStart w:id="294" w:name="_Toc393546276"/>
      <w:bookmarkStart w:id="295" w:name="_Toc386467022"/>
      <w:bookmarkStart w:id="296" w:name="_Toc43475750"/>
      <w:r>
        <w:rPr>
          <w:rFonts w:hint="eastAsia" w:ascii="宋体" w:eastAsia="宋体"/>
          <w:color w:val="auto"/>
          <w:szCs w:val="24"/>
          <w:highlight w:val="none"/>
        </w:rPr>
        <w:t>1.1 词语定义</w:t>
      </w:r>
      <w:bookmarkEnd w:id="294"/>
      <w:bookmarkEnd w:id="295"/>
      <w:bookmarkEnd w:id="296"/>
    </w:p>
    <w:p w14:paraId="76F5912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通用合同条款、专用合同条款中的下列词语应具有本款所赋予的含义。</w:t>
      </w:r>
    </w:p>
    <w:p w14:paraId="489092D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合同</w:t>
      </w:r>
    </w:p>
    <w:p w14:paraId="5FDE294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1.1.1.1 合同文件（或称合同）：指合同协议书、中标通知书、投标函及投标函附录、专用合同条款、通用合同条款、技术标准和要求、图纸、已标价工程量清单，以及其他合同文件。</w:t>
      </w:r>
    </w:p>
    <w:p w14:paraId="3007AC9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1.1.1.2 合同协议书：指第1.5款所指的合同协议书。</w:t>
      </w:r>
    </w:p>
    <w:p w14:paraId="747E194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1.1.1.3 中标通知书：指发包人通知承包人中标的函件。</w:t>
      </w:r>
    </w:p>
    <w:p w14:paraId="16082178">
      <w:pPr>
        <w:spacing w:line="400" w:lineRule="exact"/>
        <w:ind w:firstLine="820" w:firstLineChars="342"/>
        <w:rPr>
          <w:rFonts w:ascii="宋体" w:hAnsi="宋体" w:cs="宋体"/>
          <w:dstrike/>
          <w:color w:val="auto"/>
          <w:sz w:val="24"/>
          <w:highlight w:val="none"/>
        </w:rPr>
      </w:pPr>
      <w:r>
        <w:rPr>
          <w:rFonts w:hint="eastAsia" w:ascii="宋体" w:hAnsi="宋体" w:cs="宋体"/>
          <w:color w:val="auto"/>
          <w:sz w:val="24"/>
          <w:highlight w:val="none"/>
        </w:rPr>
        <w:t>1.1.1.4 投标函：指构成合同文件组成部分的由承包人填写并签署的投标函。</w:t>
      </w:r>
    </w:p>
    <w:p w14:paraId="036DCC70">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1.1.1.5 投标函附录：指附在投标函后构成合同文件的投标函附录。</w:t>
      </w:r>
    </w:p>
    <w:p w14:paraId="7450088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1.1.1.6 技术标准和要求：指构成合同文件组成部分的名为技术标准和要求的文件，包括合同双方当事人约定对其所作的修改或补充。</w:t>
      </w:r>
    </w:p>
    <w:p w14:paraId="22C615D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1.1.1.7图纸：指包含在合同中的工程图纸，以及由发包人按合同约定提供的任何补充和修改的图纸，包括配套的说明。</w:t>
      </w:r>
    </w:p>
    <w:p w14:paraId="749EBF9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1.1.1.8 已标价工程量清单：指构成合同文件组成部分的由承包人按照规定的格式和要求填写并标明价格的工程量清单。</w:t>
      </w:r>
    </w:p>
    <w:p w14:paraId="076AB1F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1.1.1.9 其他合同文件：指经合同双方当事人确认构成合同文件的其他文件。</w:t>
      </w:r>
    </w:p>
    <w:p w14:paraId="5715C34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合同当事人和人员</w:t>
      </w:r>
    </w:p>
    <w:p w14:paraId="6964480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1.1.2.1 合同当事人：指发包人和（或）承包人。</w:t>
      </w:r>
    </w:p>
    <w:p w14:paraId="0515E2A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1.1.2.2 发包人：指专用合同条款中指明并与承包人在合同协议书中签字的当事人。</w:t>
      </w:r>
    </w:p>
    <w:p w14:paraId="2143A09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1.1.2.3 承包人：指与发包人签订合同协议书的当事人。</w:t>
      </w:r>
    </w:p>
    <w:p w14:paraId="39E7E52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1.1.2.4 承包人项目经理：指承包人派驻施工场地的全权负责人。</w:t>
      </w:r>
    </w:p>
    <w:p w14:paraId="115262B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1.1.2.5 分包人：指从承包人处分包合同中某一部分工程，并与其签订分包合同的分包人。</w:t>
      </w:r>
    </w:p>
    <w:p w14:paraId="684DBE2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1.1.2.6 监理人：指在专用合同条款中指明的，受发包人委托对合同履行实施管理的法人或其他组织。</w:t>
      </w:r>
    </w:p>
    <w:p w14:paraId="29C9C5A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1.1.2.7 总监理工程师（总监）：指由监理人委派常驻施工场地对合同履行实施管理的全权负责人。</w:t>
      </w:r>
    </w:p>
    <w:p w14:paraId="52AAEE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工程和设备</w:t>
      </w:r>
    </w:p>
    <w:p w14:paraId="5F680F2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1.1.3.1 工程：指永久工程和（或）临时工程。</w:t>
      </w:r>
    </w:p>
    <w:p w14:paraId="294A4D30">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1.1.3.2 永久工程：指按合同约定建造并移交给发包人的工程，包括工程设备。</w:t>
      </w:r>
    </w:p>
    <w:p w14:paraId="4137106A">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1.1.3.3 临时工程：指为完成合同约定的永久工程所修建的各类临时性工程，不包括施工设备。</w:t>
      </w:r>
    </w:p>
    <w:p w14:paraId="73CDE33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1.1.3.4 单位工程：指专用合同条款中指明特定范围的永久工程。</w:t>
      </w:r>
    </w:p>
    <w:p w14:paraId="27AD7573">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1.1.3.5 工程设备：指构成或计划构成永久工程一部分的机电设备、金属结构设备、仪器装置及其他类似的设备和装置。</w:t>
      </w:r>
    </w:p>
    <w:p w14:paraId="77C48FE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1.1.3.6 施工设备：指为完成合同约定的各项工作所需的设备、器具和其他物品，不包括临时工程和材料。</w:t>
      </w:r>
    </w:p>
    <w:p w14:paraId="4AE2ED3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1.1.3.7 临时设施：指为完成合同约定的各项工作所服务的临时性生产和生活设施。</w:t>
      </w:r>
    </w:p>
    <w:p w14:paraId="1FAF2CD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1.1.3.8 承包人设备：指承包人自带的施工设备。</w:t>
      </w:r>
    </w:p>
    <w:p w14:paraId="1429915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1.1.3.9 施工场地（或称工地、现场）：指用于合同工程施工的场所，以及在合同中指定作为施工场地组成部分的其他场所，包括永久占地和临时占地。</w:t>
      </w:r>
    </w:p>
    <w:p w14:paraId="24E41573">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1.1.3.10 永久占地：指专用合同条款中指明为实施合同工程需永久占用的土地。</w:t>
      </w:r>
    </w:p>
    <w:p w14:paraId="12717703">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1.1.3.11 临时占地：指专用合同条款中指明为实施合同工程需临时占用的土地。</w:t>
      </w:r>
    </w:p>
    <w:p w14:paraId="19B18C5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日期</w:t>
      </w:r>
    </w:p>
    <w:p w14:paraId="4CE5E4C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1.1.4.1 开工通知：指监理人按第11.1款通知承包人开工的函件。</w:t>
      </w:r>
    </w:p>
    <w:p w14:paraId="2DA6449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1.1.4.2 开工日期：指监理人按第11.1款发出的开工通知中写明的开工日期。</w:t>
      </w:r>
    </w:p>
    <w:p w14:paraId="4C38C96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1.1.4.3工期：指承包人在投标函中承诺的完成合同工程所需的期限，包括按第11.3款、第11.4款和第11.6款约定所作的变更。</w:t>
      </w:r>
    </w:p>
    <w:p w14:paraId="23D3152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1.1.4.4 竣工日期：指第1.1.4.3目约定工期届满时的日期。实际竣工日期以工程接收证书中写明的日期为准。</w:t>
      </w:r>
    </w:p>
    <w:p w14:paraId="3B3E252B">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1.1.4.5 缺陷责任期：指履行第19.2款约定的缺陷责任的期限，具体期限由专用合同条款约定，包括根据第19.3款约定所作的延长。</w:t>
      </w:r>
    </w:p>
    <w:p w14:paraId="267A8DA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1.1.4.6 基准日期：指投标截止时间前28天的日期。</w:t>
      </w:r>
    </w:p>
    <w:p w14:paraId="72D34A1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1.1.4.7 天：除特别指明外，指日历天。合同中按天计算时间的，开始当天不计入，从次日开始计算。期限最后一天的截止时间为当天24:00。</w:t>
      </w:r>
    </w:p>
    <w:p w14:paraId="00F6ECD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合同价格和费用</w:t>
      </w:r>
    </w:p>
    <w:p w14:paraId="6FD55CF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1.1.5.1 签约合同价：指签定合同时合同协议书中写明的，包括了暂列金额、暂估价的合同总金额。</w:t>
      </w:r>
    </w:p>
    <w:p w14:paraId="34DF76C3">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1.1.5.2 合同价格：指承包人按合同约定完成了包括缺陷责任期内的全部承包工作后，发包人应付给承包人的金额，包括在履行合同过程中按合同约定进行的变更和调整。</w:t>
      </w:r>
    </w:p>
    <w:p w14:paraId="791971F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1.1.5.3 费用：指为履行合同所发生的或将要发生的所有合理开支，包括管理费和应分摊的其他费用，但不包括利润。</w:t>
      </w:r>
    </w:p>
    <w:p w14:paraId="7182F7DF">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1.1.5.4 暂列金额：指已标价工程量清单中所列的暂列金额，用于在签订协议书时尚未确定或不可预见变更的施工及其所需材料、工程设备、服务等的金额，包括以计日工方式支付的金额。</w:t>
      </w:r>
    </w:p>
    <w:p w14:paraId="0FED36C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1.1.5.5暂估价：指发包人在工程量清单中给定的用于支付必然发生但暂时不能确定价格的材料、设备以及专业工程的金额。</w:t>
      </w:r>
    </w:p>
    <w:p w14:paraId="23F4AD1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1.1.5.6 计日工：指对零星工作采取的一种计价方式，按合同中的计日工子目及其单价计价付款。</w:t>
      </w:r>
    </w:p>
    <w:p w14:paraId="504D4D6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1.1.5.7 质量保证金（或称保留金）：指按第17.4.1项约定用于保证在缺陷责任期内履行缺陷修复义务的金额。</w:t>
      </w:r>
    </w:p>
    <w:p w14:paraId="05AC385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 其他</w:t>
      </w:r>
    </w:p>
    <w:p w14:paraId="49B459DF">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1.1.6.1 书面形式：指合同文件、信函、电报、传真等可以有形地表现所载内容的形式。</w:t>
      </w:r>
    </w:p>
    <w:p w14:paraId="5558D453">
      <w:pPr>
        <w:pStyle w:val="67"/>
        <w:ind w:firstLine="118"/>
        <w:rPr>
          <w:rFonts w:ascii="宋体" w:eastAsia="宋体"/>
          <w:color w:val="auto"/>
          <w:szCs w:val="24"/>
          <w:highlight w:val="none"/>
        </w:rPr>
      </w:pPr>
      <w:bookmarkStart w:id="297" w:name="_Toc386467023"/>
      <w:bookmarkStart w:id="298" w:name="_Toc152042391"/>
      <w:bookmarkStart w:id="299" w:name="_Toc152045613"/>
      <w:bookmarkStart w:id="300" w:name="_Toc43475751"/>
      <w:bookmarkStart w:id="301" w:name="_Toc144974581"/>
      <w:bookmarkStart w:id="302" w:name="_Toc330406218"/>
      <w:bookmarkStart w:id="303" w:name="_Toc393546277"/>
      <w:bookmarkStart w:id="304" w:name="_Toc179632631"/>
      <w:r>
        <w:rPr>
          <w:rFonts w:hint="eastAsia" w:ascii="宋体" w:eastAsia="宋体"/>
          <w:color w:val="auto"/>
          <w:szCs w:val="24"/>
          <w:highlight w:val="none"/>
        </w:rPr>
        <w:t>1.2 语言文字</w:t>
      </w:r>
      <w:bookmarkEnd w:id="297"/>
      <w:bookmarkEnd w:id="298"/>
      <w:bookmarkEnd w:id="299"/>
      <w:bookmarkEnd w:id="300"/>
      <w:bookmarkEnd w:id="301"/>
      <w:bookmarkEnd w:id="302"/>
      <w:bookmarkEnd w:id="303"/>
      <w:bookmarkEnd w:id="304"/>
    </w:p>
    <w:p w14:paraId="28D61EE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除专用术语外，合同使用的语言文字为中文。必要时专用术语应附有中文注释。</w:t>
      </w:r>
    </w:p>
    <w:p w14:paraId="07DCC739">
      <w:pPr>
        <w:pStyle w:val="67"/>
        <w:ind w:firstLine="118"/>
        <w:rPr>
          <w:rFonts w:ascii="宋体" w:eastAsia="宋体"/>
          <w:color w:val="auto"/>
          <w:szCs w:val="24"/>
          <w:highlight w:val="none"/>
        </w:rPr>
      </w:pPr>
      <w:bookmarkStart w:id="305" w:name="_Toc144974582"/>
      <w:bookmarkStart w:id="306" w:name="_Toc330406219"/>
      <w:bookmarkStart w:id="307" w:name="_Toc386467024"/>
      <w:bookmarkStart w:id="308" w:name="_Toc152042392"/>
      <w:bookmarkStart w:id="309" w:name="_Toc179632632"/>
      <w:bookmarkStart w:id="310" w:name="_Toc152045614"/>
      <w:bookmarkStart w:id="311" w:name="_Toc393546278"/>
      <w:bookmarkStart w:id="312" w:name="_Toc43475752"/>
      <w:r>
        <w:rPr>
          <w:rFonts w:hint="eastAsia" w:ascii="宋体" w:eastAsia="宋体"/>
          <w:color w:val="auto"/>
          <w:szCs w:val="24"/>
          <w:highlight w:val="none"/>
        </w:rPr>
        <w:t>1.3 法律</w:t>
      </w:r>
      <w:bookmarkEnd w:id="305"/>
      <w:bookmarkEnd w:id="306"/>
      <w:bookmarkEnd w:id="307"/>
      <w:bookmarkEnd w:id="308"/>
      <w:bookmarkEnd w:id="309"/>
      <w:bookmarkEnd w:id="310"/>
      <w:bookmarkEnd w:id="311"/>
      <w:bookmarkEnd w:id="312"/>
    </w:p>
    <w:p w14:paraId="0766425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适用于合同的法律包括中华人民共和国法律、行政法规、部门规章，以及工程所在地的地方法规、自治条例、单行条例和地方政府规章。</w:t>
      </w:r>
    </w:p>
    <w:p w14:paraId="379F520B">
      <w:pPr>
        <w:pStyle w:val="67"/>
        <w:ind w:firstLine="118"/>
        <w:rPr>
          <w:rFonts w:ascii="宋体" w:eastAsia="宋体"/>
          <w:color w:val="auto"/>
          <w:szCs w:val="24"/>
          <w:highlight w:val="none"/>
        </w:rPr>
      </w:pPr>
      <w:bookmarkStart w:id="313" w:name="_Toc393546279"/>
      <w:bookmarkStart w:id="314" w:name="_Toc43475753"/>
      <w:bookmarkStart w:id="315" w:name="_Toc386467025"/>
      <w:r>
        <w:rPr>
          <w:rFonts w:hint="eastAsia" w:ascii="宋体" w:eastAsia="宋体"/>
          <w:color w:val="auto"/>
          <w:szCs w:val="24"/>
          <w:highlight w:val="none"/>
        </w:rPr>
        <w:t>1.4 合同文件的优先顺序</w:t>
      </w:r>
      <w:bookmarkEnd w:id="313"/>
      <w:bookmarkEnd w:id="314"/>
      <w:bookmarkEnd w:id="315"/>
    </w:p>
    <w:p w14:paraId="1724EC6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组成合同的各项文件应互相解释，互为说明。除专用合同条款另有约定外，解释合同文件的优先顺序如下：</w:t>
      </w:r>
    </w:p>
    <w:p w14:paraId="716D8E25">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（1）合同协议书；</w:t>
      </w:r>
    </w:p>
    <w:p w14:paraId="2937221E">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（2）中标通知书；</w:t>
      </w:r>
    </w:p>
    <w:p w14:paraId="0ECC6CF4">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（3）投标函及投标函附录；</w:t>
      </w:r>
    </w:p>
    <w:p w14:paraId="3E917982">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（4）专用合同条款；</w:t>
      </w:r>
    </w:p>
    <w:p w14:paraId="696AF8A9">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（5）通用合同条款；</w:t>
      </w:r>
    </w:p>
    <w:p w14:paraId="5BD64C9A">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（6）技术标准和要求；</w:t>
      </w:r>
    </w:p>
    <w:p w14:paraId="6F8FFFE9">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（7）图纸；</w:t>
      </w:r>
    </w:p>
    <w:p w14:paraId="2ECBAB26">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（8）已标价工程量清单；</w:t>
      </w:r>
    </w:p>
    <w:p w14:paraId="75B54610">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（9）其他合同文件。</w:t>
      </w:r>
    </w:p>
    <w:p w14:paraId="269147BA">
      <w:pPr>
        <w:pStyle w:val="67"/>
        <w:ind w:firstLine="118"/>
        <w:rPr>
          <w:rFonts w:ascii="宋体" w:eastAsia="宋体"/>
          <w:color w:val="auto"/>
          <w:szCs w:val="24"/>
          <w:highlight w:val="none"/>
        </w:rPr>
      </w:pPr>
      <w:bookmarkStart w:id="316" w:name="_Toc43475754"/>
      <w:bookmarkStart w:id="317" w:name="_Toc393546280"/>
      <w:bookmarkStart w:id="318" w:name="_Toc386467026"/>
      <w:r>
        <w:rPr>
          <w:rFonts w:hint="eastAsia" w:ascii="宋体" w:eastAsia="宋体"/>
          <w:color w:val="auto"/>
          <w:szCs w:val="24"/>
          <w:highlight w:val="none"/>
        </w:rPr>
        <w:t>1.5 合同协议书</w:t>
      </w:r>
      <w:bookmarkEnd w:id="316"/>
      <w:bookmarkEnd w:id="317"/>
      <w:bookmarkEnd w:id="318"/>
    </w:p>
    <w:p w14:paraId="198516E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74A160DE">
      <w:pPr>
        <w:pStyle w:val="67"/>
        <w:ind w:firstLine="118"/>
        <w:rPr>
          <w:rFonts w:ascii="宋体" w:eastAsia="宋体"/>
          <w:color w:val="auto"/>
          <w:szCs w:val="24"/>
          <w:highlight w:val="none"/>
        </w:rPr>
      </w:pPr>
      <w:bookmarkStart w:id="319" w:name="_Toc386467027"/>
      <w:bookmarkStart w:id="320" w:name="_Toc393546281"/>
      <w:bookmarkStart w:id="321" w:name="_Toc43475755"/>
      <w:r>
        <w:rPr>
          <w:rFonts w:hint="eastAsia" w:ascii="宋体" w:eastAsia="宋体"/>
          <w:color w:val="auto"/>
          <w:szCs w:val="24"/>
          <w:highlight w:val="none"/>
        </w:rPr>
        <w:t>1.6 图纸和承包人文件</w:t>
      </w:r>
      <w:bookmarkEnd w:id="319"/>
      <w:bookmarkEnd w:id="320"/>
      <w:bookmarkEnd w:id="321"/>
    </w:p>
    <w:p w14:paraId="38DB51B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1.6.1图纸的提供</w:t>
      </w:r>
    </w:p>
    <w:p w14:paraId="4FB6A2C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除专用合同条款另有约定外，图纸应在合理的期限内按照合同约定的数量提供给承包人。由于发包人未按时提供图纸造成工期延误的，按第11.3款的约定办理。</w:t>
      </w:r>
    </w:p>
    <w:p w14:paraId="0BB68FA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承包人提供的文件</w:t>
      </w:r>
    </w:p>
    <w:p w14:paraId="2AC07DA6">
      <w:pPr>
        <w:spacing w:line="400" w:lineRule="exact"/>
        <w:rPr>
          <w:rFonts w:ascii="宋体" w:hAnsi="宋体" w:cs="宋体"/>
          <w:color w:val="auto"/>
          <w:sz w:val="24"/>
          <w:highlight w:val="none"/>
        </w:rPr>
      </w:pPr>
      <w:r>
        <w:rPr>
          <w:rFonts w:hint="eastAsia" w:ascii="宋体" w:hAnsi="宋体" w:cs="宋体"/>
          <w:color w:val="auto"/>
          <w:sz w:val="24"/>
          <w:highlight w:val="none"/>
        </w:rPr>
        <w:t>　　按专用合同条款约定由承包人提供的文件，包括部分工程的大样图、加工图等，承包人应按约定的数量和期限报送监理人。监理人应在专用合同条款约定的期限内批复。</w:t>
      </w:r>
    </w:p>
    <w:p w14:paraId="0E9D1B4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图纸的修改</w:t>
      </w:r>
    </w:p>
    <w:p w14:paraId="2184ABA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31E1A2B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图纸的错误</w:t>
      </w:r>
    </w:p>
    <w:p w14:paraId="3AFDDC0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承包人发现发包人提供的图纸存在明显错误或疏忽，应及时通知监理人。</w:t>
      </w:r>
    </w:p>
    <w:p w14:paraId="3EA53A4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图纸和承包人文件的保管</w:t>
      </w:r>
    </w:p>
    <w:p w14:paraId="41D9C62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监理人和承包人均应在施工场地各保存一套完整的包含第1.6.1项、第1.6.2项、第1.6.3项约定内容的图纸和承包人文件。</w:t>
      </w:r>
    </w:p>
    <w:p w14:paraId="45BB22C4">
      <w:pPr>
        <w:pStyle w:val="67"/>
        <w:ind w:firstLine="118"/>
        <w:rPr>
          <w:rFonts w:ascii="宋体" w:eastAsia="宋体"/>
          <w:color w:val="auto"/>
          <w:szCs w:val="24"/>
          <w:highlight w:val="none"/>
        </w:rPr>
      </w:pPr>
      <w:bookmarkStart w:id="322" w:name="_Toc393546282"/>
      <w:bookmarkStart w:id="323" w:name="_Toc144974586"/>
      <w:bookmarkStart w:id="324" w:name="_Toc330406223"/>
      <w:bookmarkStart w:id="325" w:name="_Toc152042396"/>
      <w:bookmarkStart w:id="326" w:name="_Toc386467028"/>
      <w:bookmarkStart w:id="327" w:name="_Toc179632636"/>
      <w:bookmarkStart w:id="328" w:name="_Toc43475756"/>
      <w:bookmarkStart w:id="329" w:name="_Toc152045618"/>
      <w:r>
        <w:rPr>
          <w:rFonts w:hint="eastAsia" w:ascii="宋体" w:eastAsia="宋体"/>
          <w:color w:val="auto"/>
          <w:szCs w:val="24"/>
          <w:highlight w:val="none"/>
        </w:rPr>
        <w:t>1.7 联络</w:t>
      </w:r>
      <w:bookmarkEnd w:id="322"/>
      <w:bookmarkEnd w:id="323"/>
      <w:bookmarkEnd w:id="324"/>
      <w:bookmarkEnd w:id="325"/>
      <w:bookmarkEnd w:id="326"/>
      <w:bookmarkEnd w:id="327"/>
      <w:bookmarkEnd w:id="328"/>
      <w:bookmarkEnd w:id="329"/>
    </w:p>
    <w:p w14:paraId="23FFEA9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 与合同有关的通知、批准、证明、证书、指示、要求、请求、同意、意见、确定和决定等，均应采用书面形式。</w:t>
      </w:r>
    </w:p>
    <w:p w14:paraId="3A12217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第1.7.1项中的通知、批准、证明、证书、指示、要求、请求、同意、意见、确定和决定等来往函件，均应在合同约定的期限内送达指定地点和接收人，并办理签收手续。</w:t>
      </w:r>
    </w:p>
    <w:p w14:paraId="29D41DC9">
      <w:pPr>
        <w:pStyle w:val="67"/>
        <w:ind w:firstLine="118"/>
        <w:rPr>
          <w:rFonts w:ascii="宋体" w:eastAsia="宋体"/>
          <w:color w:val="auto"/>
          <w:szCs w:val="24"/>
          <w:highlight w:val="none"/>
        </w:rPr>
      </w:pPr>
      <w:bookmarkStart w:id="330" w:name="_Toc144974587"/>
      <w:bookmarkStart w:id="331" w:name="_Toc386467029"/>
      <w:bookmarkStart w:id="332" w:name="_Toc152042397"/>
      <w:bookmarkStart w:id="333" w:name="_Toc43475757"/>
      <w:bookmarkStart w:id="334" w:name="_Toc393546283"/>
      <w:bookmarkStart w:id="335" w:name="_Toc330406224"/>
      <w:bookmarkStart w:id="336" w:name="_Toc152045619"/>
      <w:bookmarkStart w:id="337" w:name="_Toc179632637"/>
      <w:r>
        <w:rPr>
          <w:rFonts w:hint="eastAsia" w:ascii="宋体" w:eastAsia="宋体"/>
          <w:color w:val="auto"/>
          <w:szCs w:val="24"/>
          <w:highlight w:val="none"/>
        </w:rPr>
        <w:t>1.8 转让</w:t>
      </w:r>
      <w:bookmarkEnd w:id="330"/>
      <w:bookmarkEnd w:id="331"/>
      <w:bookmarkEnd w:id="332"/>
      <w:bookmarkEnd w:id="333"/>
      <w:bookmarkEnd w:id="334"/>
      <w:bookmarkEnd w:id="335"/>
      <w:bookmarkEnd w:id="336"/>
      <w:bookmarkEnd w:id="337"/>
    </w:p>
    <w:p w14:paraId="3205E2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除合同另有约定外，未经对方当事人同意，一方当事人不得将合同权利全部或部分转让给第三人，也不得全部或部分转移合同义务。</w:t>
      </w:r>
    </w:p>
    <w:p w14:paraId="6F8C2A6C">
      <w:pPr>
        <w:pStyle w:val="67"/>
        <w:ind w:firstLine="118"/>
        <w:rPr>
          <w:rFonts w:ascii="宋体" w:eastAsia="宋体"/>
          <w:color w:val="auto"/>
          <w:szCs w:val="24"/>
          <w:highlight w:val="none"/>
        </w:rPr>
      </w:pPr>
      <w:bookmarkStart w:id="338" w:name="_Toc393546284"/>
      <w:bookmarkStart w:id="339" w:name="_Toc386467030"/>
      <w:bookmarkStart w:id="340" w:name="_Toc43475758"/>
      <w:r>
        <w:rPr>
          <w:rFonts w:hint="eastAsia" w:ascii="宋体" w:eastAsia="宋体"/>
          <w:color w:val="auto"/>
          <w:szCs w:val="24"/>
          <w:highlight w:val="none"/>
        </w:rPr>
        <w:t>1.9 严禁贿赂</w:t>
      </w:r>
      <w:bookmarkEnd w:id="338"/>
      <w:bookmarkEnd w:id="339"/>
      <w:bookmarkEnd w:id="340"/>
    </w:p>
    <w:p w14:paraId="6D60432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合同双方当事人不得以贿赂或变相贿赂的方式，谋取不当利益或损害对方权益。因贿赂造成对方损失的，行为人应赔偿损失，并承担相应的法律责任。</w:t>
      </w:r>
    </w:p>
    <w:p w14:paraId="1223B023">
      <w:pPr>
        <w:pStyle w:val="67"/>
        <w:ind w:firstLine="118"/>
        <w:rPr>
          <w:rFonts w:ascii="宋体" w:eastAsia="宋体"/>
          <w:color w:val="auto"/>
          <w:szCs w:val="24"/>
          <w:highlight w:val="none"/>
        </w:rPr>
      </w:pPr>
      <w:bookmarkStart w:id="341" w:name="_Toc152045621"/>
      <w:bookmarkStart w:id="342" w:name="_Toc330406226"/>
      <w:bookmarkStart w:id="343" w:name="_Toc393546285"/>
      <w:bookmarkStart w:id="344" w:name="_Toc144974589"/>
      <w:bookmarkStart w:id="345" w:name="_Toc152042399"/>
      <w:bookmarkStart w:id="346" w:name="_Toc179632639"/>
      <w:bookmarkStart w:id="347" w:name="_Toc43475759"/>
      <w:bookmarkStart w:id="348" w:name="_Toc386467031"/>
      <w:r>
        <w:rPr>
          <w:rFonts w:hint="eastAsia" w:ascii="宋体" w:eastAsia="宋体"/>
          <w:color w:val="auto"/>
          <w:szCs w:val="24"/>
          <w:highlight w:val="none"/>
        </w:rPr>
        <w:t>1.10 化石、文物</w:t>
      </w:r>
      <w:bookmarkEnd w:id="341"/>
      <w:bookmarkEnd w:id="342"/>
      <w:bookmarkEnd w:id="343"/>
      <w:bookmarkEnd w:id="344"/>
      <w:bookmarkEnd w:id="345"/>
      <w:bookmarkEnd w:id="346"/>
      <w:bookmarkEnd w:id="347"/>
      <w:bookmarkEnd w:id="348"/>
    </w:p>
    <w:p w14:paraId="07D153F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95F318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1.10.2 承包人发现文物后不及时报告或隐瞒不报，致使文物丢失或损坏的，应赔偿损失，并承担相应的法律责任。</w:t>
      </w:r>
    </w:p>
    <w:p w14:paraId="57FCB80E">
      <w:pPr>
        <w:pStyle w:val="67"/>
        <w:ind w:firstLine="118"/>
        <w:rPr>
          <w:rFonts w:ascii="宋体" w:eastAsia="宋体"/>
          <w:color w:val="auto"/>
          <w:szCs w:val="24"/>
          <w:highlight w:val="none"/>
        </w:rPr>
      </w:pPr>
      <w:bookmarkStart w:id="349" w:name="_Toc393546286"/>
      <w:bookmarkStart w:id="350" w:name="_Toc152042400"/>
      <w:bookmarkStart w:id="351" w:name="_Toc152045622"/>
      <w:bookmarkStart w:id="352" w:name="_Toc43475760"/>
      <w:bookmarkStart w:id="353" w:name="_Toc330406227"/>
      <w:bookmarkStart w:id="354" w:name="_Toc144974590"/>
      <w:bookmarkStart w:id="355" w:name="_Toc179632640"/>
      <w:bookmarkStart w:id="356" w:name="_Toc386467032"/>
      <w:r>
        <w:rPr>
          <w:rFonts w:hint="eastAsia" w:ascii="宋体" w:eastAsia="宋体"/>
          <w:color w:val="auto"/>
          <w:szCs w:val="24"/>
          <w:highlight w:val="none"/>
        </w:rPr>
        <w:t>1.11 专利技术</w:t>
      </w:r>
      <w:bookmarkEnd w:id="349"/>
      <w:bookmarkEnd w:id="350"/>
      <w:bookmarkEnd w:id="351"/>
      <w:bookmarkEnd w:id="352"/>
      <w:bookmarkEnd w:id="353"/>
      <w:bookmarkEnd w:id="354"/>
      <w:bookmarkEnd w:id="355"/>
      <w:bookmarkEnd w:id="356"/>
    </w:p>
    <w:p w14:paraId="5676CBA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638C352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 承包人在投标文件中采用专利技术的，专利技术的使用费包含在投标报价内。</w:t>
      </w:r>
    </w:p>
    <w:p w14:paraId="56CA37A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1.11.3 承包人的技术秘密和声明需要保密的资料和信息，发包人和监理人不得为合同以外的目的泄露给他人。</w:t>
      </w:r>
    </w:p>
    <w:p w14:paraId="7FFB38EF">
      <w:pPr>
        <w:pStyle w:val="67"/>
        <w:ind w:firstLine="118"/>
        <w:rPr>
          <w:rFonts w:ascii="宋体" w:eastAsia="宋体"/>
          <w:color w:val="auto"/>
          <w:szCs w:val="24"/>
          <w:highlight w:val="none"/>
        </w:rPr>
      </w:pPr>
      <w:bookmarkStart w:id="357" w:name="_Toc152045623"/>
      <w:bookmarkStart w:id="358" w:name="_Toc386467033"/>
      <w:bookmarkStart w:id="359" w:name="_Toc144974591"/>
      <w:bookmarkStart w:id="360" w:name="_Toc152042401"/>
      <w:bookmarkStart w:id="361" w:name="_Toc393546287"/>
      <w:bookmarkStart w:id="362" w:name="_Toc330406228"/>
      <w:bookmarkStart w:id="363" w:name="_Toc43475761"/>
      <w:bookmarkStart w:id="364" w:name="_Toc179632641"/>
      <w:r>
        <w:rPr>
          <w:rFonts w:hint="eastAsia" w:ascii="宋体" w:eastAsia="宋体"/>
          <w:color w:val="auto"/>
          <w:szCs w:val="24"/>
          <w:highlight w:val="none"/>
        </w:rPr>
        <w:t>1.12 图纸和文件的保密</w:t>
      </w:r>
      <w:bookmarkEnd w:id="357"/>
      <w:bookmarkEnd w:id="358"/>
      <w:bookmarkEnd w:id="359"/>
      <w:bookmarkEnd w:id="360"/>
      <w:bookmarkEnd w:id="361"/>
      <w:bookmarkEnd w:id="362"/>
      <w:bookmarkEnd w:id="363"/>
      <w:bookmarkEnd w:id="364"/>
    </w:p>
    <w:p w14:paraId="5F7B84A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1.12.1 发包人提供的图纸和文件，未经发包人同意，承包人不得为合同以外的目的泄露给他人或公开发表与引用。</w:t>
      </w:r>
    </w:p>
    <w:p w14:paraId="7C7DE47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1.12.2 承包人提供的文件，未经承包人同意，发包人和监理人不得为合同以外的目的泄露给他人或公开发表与引用。</w:t>
      </w:r>
    </w:p>
    <w:p w14:paraId="40EBA965">
      <w:pPr>
        <w:pStyle w:val="78"/>
        <w:rPr>
          <w:rFonts w:ascii="宋体" w:hAnsi="宋体"/>
          <w:color w:val="auto"/>
          <w:sz w:val="24"/>
          <w:szCs w:val="24"/>
          <w:highlight w:val="none"/>
        </w:rPr>
      </w:pPr>
      <w:bookmarkStart w:id="365" w:name="_Toc393546288"/>
      <w:bookmarkStart w:id="366" w:name="_Toc386467034"/>
      <w:bookmarkStart w:id="367" w:name="_Toc43475762"/>
      <w:r>
        <w:rPr>
          <w:rFonts w:hint="eastAsia" w:ascii="宋体" w:hAnsi="宋体"/>
          <w:color w:val="auto"/>
          <w:sz w:val="24"/>
          <w:szCs w:val="24"/>
          <w:highlight w:val="none"/>
        </w:rPr>
        <w:t>2. 发包人义务</w:t>
      </w:r>
      <w:bookmarkEnd w:id="365"/>
      <w:bookmarkEnd w:id="366"/>
      <w:bookmarkEnd w:id="367"/>
    </w:p>
    <w:p w14:paraId="3D4B7351">
      <w:pPr>
        <w:pStyle w:val="67"/>
        <w:ind w:firstLine="118"/>
        <w:rPr>
          <w:rFonts w:ascii="宋体" w:eastAsia="宋体"/>
          <w:color w:val="auto"/>
          <w:szCs w:val="24"/>
          <w:highlight w:val="none"/>
        </w:rPr>
      </w:pPr>
      <w:bookmarkStart w:id="368" w:name="_Toc393546289"/>
      <w:bookmarkStart w:id="369" w:name="_Toc330406230"/>
      <w:bookmarkStart w:id="370" w:name="_Toc152042403"/>
      <w:bookmarkStart w:id="371" w:name="_Toc152045625"/>
      <w:bookmarkStart w:id="372" w:name="_Toc179632643"/>
      <w:bookmarkStart w:id="373" w:name="_Toc386467035"/>
      <w:bookmarkStart w:id="374" w:name="_Toc144974593"/>
      <w:bookmarkStart w:id="375" w:name="_Toc43475763"/>
      <w:r>
        <w:rPr>
          <w:rFonts w:hint="eastAsia" w:ascii="宋体" w:eastAsia="宋体"/>
          <w:color w:val="auto"/>
          <w:szCs w:val="24"/>
          <w:highlight w:val="none"/>
        </w:rPr>
        <w:t>2.1 遵守法律</w:t>
      </w:r>
      <w:bookmarkEnd w:id="368"/>
      <w:bookmarkEnd w:id="369"/>
      <w:bookmarkEnd w:id="370"/>
      <w:bookmarkEnd w:id="371"/>
      <w:bookmarkEnd w:id="372"/>
      <w:bookmarkEnd w:id="373"/>
      <w:bookmarkEnd w:id="374"/>
      <w:bookmarkEnd w:id="375"/>
    </w:p>
    <w:p w14:paraId="5987A8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发包人在履行合同过程中应遵守法律，并保证承包人免于承担因发包人违反法律而引起的任何责任。</w:t>
      </w:r>
    </w:p>
    <w:p w14:paraId="55248E60">
      <w:pPr>
        <w:pStyle w:val="67"/>
        <w:ind w:firstLine="118"/>
        <w:rPr>
          <w:rFonts w:ascii="宋体" w:eastAsia="宋体"/>
          <w:color w:val="auto"/>
          <w:szCs w:val="24"/>
          <w:highlight w:val="none"/>
        </w:rPr>
      </w:pPr>
      <w:bookmarkStart w:id="376" w:name="_Toc144974594"/>
      <w:bookmarkStart w:id="377" w:name="_Toc43475764"/>
      <w:bookmarkStart w:id="378" w:name="_Toc179632644"/>
      <w:bookmarkStart w:id="379" w:name="_Toc386467036"/>
      <w:bookmarkStart w:id="380" w:name="_Toc152045626"/>
      <w:bookmarkStart w:id="381" w:name="_Toc330406231"/>
      <w:bookmarkStart w:id="382" w:name="_Toc393546290"/>
      <w:bookmarkStart w:id="383" w:name="_Toc152042404"/>
      <w:r>
        <w:rPr>
          <w:rFonts w:hint="eastAsia" w:ascii="宋体" w:eastAsia="宋体"/>
          <w:color w:val="auto"/>
          <w:szCs w:val="24"/>
          <w:highlight w:val="none"/>
        </w:rPr>
        <w:t>2.2 发出开工通知</w:t>
      </w:r>
      <w:bookmarkEnd w:id="376"/>
      <w:bookmarkEnd w:id="377"/>
      <w:bookmarkEnd w:id="378"/>
      <w:bookmarkEnd w:id="379"/>
      <w:bookmarkEnd w:id="380"/>
      <w:bookmarkEnd w:id="381"/>
      <w:bookmarkEnd w:id="382"/>
      <w:bookmarkEnd w:id="383"/>
    </w:p>
    <w:p w14:paraId="42BFCA4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发包人应委托监理人按第11.1款的约定向承包人发出开工通知。</w:t>
      </w:r>
    </w:p>
    <w:p w14:paraId="392A73F6">
      <w:pPr>
        <w:pStyle w:val="67"/>
        <w:ind w:firstLine="118"/>
        <w:rPr>
          <w:rFonts w:ascii="宋体" w:eastAsia="宋体"/>
          <w:color w:val="auto"/>
          <w:szCs w:val="24"/>
          <w:highlight w:val="none"/>
        </w:rPr>
      </w:pPr>
      <w:bookmarkStart w:id="384" w:name="_Toc43475765"/>
      <w:bookmarkStart w:id="385" w:name="_Toc393546291"/>
      <w:bookmarkStart w:id="386" w:name="_Toc386467037"/>
      <w:r>
        <w:rPr>
          <w:rFonts w:hint="eastAsia" w:ascii="宋体" w:eastAsia="宋体"/>
          <w:color w:val="auto"/>
          <w:szCs w:val="24"/>
          <w:highlight w:val="none"/>
        </w:rPr>
        <w:t>2.3 提供施工场地</w:t>
      </w:r>
      <w:bookmarkEnd w:id="384"/>
      <w:bookmarkEnd w:id="385"/>
      <w:bookmarkEnd w:id="386"/>
    </w:p>
    <w:p w14:paraId="7F11163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发包人应按专用合同条款约定向承包人提供施工场地，以及施工场地内地下管线和地下设施等有关资料，并保证资料的真实、准确、完整。</w:t>
      </w:r>
    </w:p>
    <w:p w14:paraId="0E2CF0FE">
      <w:pPr>
        <w:pStyle w:val="67"/>
        <w:ind w:firstLine="118"/>
        <w:rPr>
          <w:rFonts w:ascii="宋体" w:eastAsia="宋体"/>
          <w:color w:val="auto"/>
          <w:szCs w:val="24"/>
          <w:highlight w:val="none"/>
        </w:rPr>
      </w:pPr>
      <w:bookmarkStart w:id="387" w:name="_Toc144974596"/>
      <w:bookmarkStart w:id="388" w:name="_Toc330406233"/>
      <w:bookmarkStart w:id="389" w:name="_Toc179632646"/>
      <w:bookmarkStart w:id="390" w:name="_Toc393546292"/>
      <w:bookmarkStart w:id="391" w:name="_Toc152045628"/>
      <w:bookmarkStart w:id="392" w:name="_Toc43475766"/>
      <w:bookmarkStart w:id="393" w:name="_Toc152042406"/>
      <w:bookmarkStart w:id="394" w:name="_Toc386467038"/>
      <w:r>
        <w:rPr>
          <w:rFonts w:hint="eastAsia" w:ascii="宋体" w:eastAsia="宋体"/>
          <w:color w:val="auto"/>
          <w:szCs w:val="24"/>
          <w:highlight w:val="none"/>
        </w:rPr>
        <w:t>2.4 协助承包人办理证件和批件</w:t>
      </w:r>
      <w:bookmarkEnd w:id="387"/>
      <w:bookmarkEnd w:id="388"/>
      <w:bookmarkEnd w:id="389"/>
      <w:bookmarkEnd w:id="390"/>
      <w:bookmarkEnd w:id="391"/>
      <w:bookmarkEnd w:id="392"/>
      <w:bookmarkEnd w:id="393"/>
      <w:bookmarkEnd w:id="394"/>
    </w:p>
    <w:p w14:paraId="3F32599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发包人应协助承包人办理法律规定的有关施工证件和批件。</w:t>
      </w:r>
    </w:p>
    <w:p w14:paraId="37F97B8E">
      <w:pPr>
        <w:pStyle w:val="67"/>
        <w:ind w:firstLine="118"/>
        <w:rPr>
          <w:rFonts w:ascii="宋体" w:eastAsia="宋体"/>
          <w:color w:val="auto"/>
          <w:szCs w:val="24"/>
          <w:highlight w:val="none"/>
        </w:rPr>
      </w:pPr>
      <w:bookmarkStart w:id="395" w:name="_Toc152045629"/>
      <w:bookmarkStart w:id="396" w:name="_Toc43475767"/>
      <w:bookmarkStart w:id="397" w:name="_Toc179632647"/>
      <w:bookmarkStart w:id="398" w:name="_Toc393546293"/>
      <w:bookmarkStart w:id="399" w:name="_Toc386467039"/>
      <w:bookmarkStart w:id="400" w:name="_Toc152042407"/>
      <w:bookmarkStart w:id="401" w:name="_Toc144974597"/>
      <w:bookmarkStart w:id="402" w:name="_Toc330406234"/>
      <w:r>
        <w:rPr>
          <w:rFonts w:hint="eastAsia" w:ascii="宋体" w:eastAsia="宋体"/>
          <w:color w:val="auto"/>
          <w:szCs w:val="24"/>
          <w:highlight w:val="none"/>
        </w:rPr>
        <w:t>2.5 组织设计交底</w:t>
      </w:r>
      <w:bookmarkEnd w:id="395"/>
      <w:bookmarkEnd w:id="396"/>
      <w:bookmarkEnd w:id="397"/>
      <w:bookmarkEnd w:id="398"/>
      <w:bookmarkEnd w:id="399"/>
      <w:bookmarkEnd w:id="400"/>
      <w:bookmarkEnd w:id="401"/>
      <w:bookmarkEnd w:id="402"/>
    </w:p>
    <w:p w14:paraId="3846799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发包人应根据合同进度计划，组织设计单位向承包人进行设计交底。</w:t>
      </w:r>
    </w:p>
    <w:p w14:paraId="2AF86224">
      <w:pPr>
        <w:pStyle w:val="67"/>
        <w:ind w:firstLine="118"/>
        <w:rPr>
          <w:rFonts w:ascii="宋体" w:eastAsia="宋体"/>
          <w:color w:val="auto"/>
          <w:szCs w:val="24"/>
          <w:highlight w:val="none"/>
        </w:rPr>
      </w:pPr>
      <w:bookmarkStart w:id="403" w:name="_Toc386467040"/>
      <w:bookmarkStart w:id="404" w:name="_Toc43475768"/>
      <w:bookmarkStart w:id="405" w:name="_Toc144974598"/>
      <w:bookmarkStart w:id="406" w:name="_Toc152042408"/>
      <w:bookmarkStart w:id="407" w:name="_Toc330406235"/>
      <w:bookmarkStart w:id="408" w:name="_Toc152045630"/>
      <w:bookmarkStart w:id="409" w:name="_Toc179632648"/>
      <w:bookmarkStart w:id="410" w:name="_Toc393546294"/>
      <w:r>
        <w:rPr>
          <w:rFonts w:hint="eastAsia" w:ascii="宋体" w:eastAsia="宋体"/>
          <w:color w:val="auto"/>
          <w:szCs w:val="24"/>
          <w:highlight w:val="none"/>
        </w:rPr>
        <w:t>2.6 支付合同价款</w:t>
      </w:r>
      <w:bookmarkEnd w:id="403"/>
      <w:bookmarkEnd w:id="404"/>
      <w:bookmarkEnd w:id="405"/>
      <w:bookmarkEnd w:id="406"/>
      <w:bookmarkEnd w:id="407"/>
      <w:bookmarkEnd w:id="408"/>
      <w:bookmarkEnd w:id="409"/>
      <w:bookmarkEnd w:id="410"/>
    </w:p>
    <w:p w14:paraId="61DA83E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发包人应按合同约定向承包人及时支付合同价款。</w:t>
      </w:r>
    </w:p>
    <w:p w14:paraId="3E2DFAFC">
      <w:pPr>
        <w:pStyle w:val="67"/>
        <w:ind w:firstLine="118"/>
        <w:rPr>
          <w:rFonts w:ascii="宋体" w:eastAsia="宋体"/>
          <w:color w:val="auto"/>
          <w:szCs w:val="24"/>
          <w:highlight w:val="none"/>
        </w:rPr>
      </w:pPr>
      <w:bookmarkStart w:id="411" w:name="_Toc152042409"/>
      <w:bookmarkStart w:id="412" w:name="_Toc330406236"/>
      <w:bookmarkStart w:id="413" w:name="_Toc179632649"/>
      <w:bookmarkStart w:id="414" w:name="_Toc43475769"/>
      <w:bookmarkStart w:id="415" w:name="_Toc144974599"/>
      <w:bookmarkStart w:id="416" w:name="_Toc152045631"/>
      <w:bookmarkStart w:id="417" w:name="_Toc393546295"/>
      <w:bookmarkStart w:id="418" w:name="_Toc386467041"/>
      <w:r>
        <w:rPr>
          <w:rFonts w:hint="eastAsia" w:ascii="宋体" w:eastAsia="宋体"/>
          <w:color w:val="auto"/>
          <w:szCs w:val="24"/>
          <w:highlight w:val="none"/>
        </w:rPr>
        <w:t>2.7 组织竣工验收</w:t>
      </w:r>
      <w:bookmarkEnd w:id="411"/>
      <w:bookmarkEnd w:id="412"/>
      <w:bookmarkEnd w:id="413"/>
      <w:bookmarkEnd w:id="414"/>
      <w:bookmarkEnd w:id="415"/>
      <w:bookmarkEnd w:id="416"/>
      <w:bookmarkEnd w:id="417"/>
      <w:bookmarkEnd w:id="418"/>
    </w:p>
    <w:p w14:paraId="1B44E1C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发包人应按合同约定及时组织竣工验收。</w:t>
      </w:r>
    </w:p>
    <w:p w14:paraId="2B574821">
      <w:pPr>
        <w:pStyle w:val="67"/>
        <w:ind w:firstLine="118"/>
        <w:rPr>
          <w:rFonts w:ascii="宋体" w:eastAsia="宋体"/>
          <w:color w:val="auto"/>
          <w:szCs w:val="24"/>
          <w:highlight w:val="none"/>
        </w:rPr>
      </w:pPr>
      <w:bookmarkStart w:id="419" w:name="_Toc43475770"/>
      <w:bookmarkStart w:id="420" w:name="_Toc144974600"/>
      <w:bookmarkStart w:id="421" w:name="_Toc152042410"/>
      <w:bookmarkStart w:id="422" w:name="_Toc386467042"/>
      <w:bookmarkStart w:id="423" w:name="_Toc179632650"/>
      <w:bookmarkStart w:id="424" w:name="_Toc393546296"/>
      <w:bookmarkStart w:id="425" w:name="_Toc330406237"/>
      <w:bookmarkStart w:id="426" w:name="_Toc152045632"/>
      <w:r>
        <w:rPr>
          <w:rFonts w:hint="eastAsia" w:ascii="宋体" w:eastAsia="宋体"/>
          <w:color w:val="auto"/>
          <w:szCs w:val="24"/>
          <w:highlight w:val="none"/>
        </w:rPr>
        <w:t>2.8 其他义务</w:t>
      </w:r>
      <w:bookmarkEnd w:id="419"/>
      <w:bookmarkEnd w:id="420"/>
      <w:bookmarkEnd w:id="421"/>
      <w:bookmarkEnd w:id="422"/>
      <w:bookmarkEnd w:id="423"/>
      <w:bookmarkEnd w:id="424"/>
      <w:bookmarkEnd w:id="425"/>
      <w:bookmarkEnd w:id="426"/>
    </w:p>
    <w:p w14:paraId="4CFDF4F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发包人应履行合同约定的其他义务。</w:t>
      </w:r>
    </w:p>
    <w:p w14:paraId="0D8CF0AE">
      <w:pPr>
        <w:pStyle w:val="78"/>
        <w:rPr>
          <w:rFonts w:ascii="宋体" w:hAnsi="宋体"/>
          <w:color w:val="auto"/>
          <w:sz w:val="24"/>
          <w:szCs w:val="24"/>
          <w:highlight w:val="none"/>
        </w:rPr>
      </w:pPr>
      <w:bookmarkStart w:id="427" w:name="_Toc386467043"/>
      <w:bookmarkStart w:id="428" w:name="_Toc43475771"/>
      <w:bookmarkStart w:id="429" w:name="_Toc393546297"/>
      <w:r>
        <w:rPr>
          <w:rFonts w:hint="eastAsia" w:ascii="宋体" w:hAnsi="宋体"/>
          <w:color w:val="auto"/>
          <w:sz w:val="24"/>
          <w:szCs w:val="24"/>
          <w:highlight w:val="none"/>
        </w:rPr>
        <w:t>3. 监理人</w:t>
      </w:r>
      <w:bookmarkEnd w:id="427"/>
      <w:bookmarkEnd w:id="428"/>
      <w:bookmarkEnd w:id="429"/>
    </w:p>
    <w:p w14:paraId="3D9AEB97">
      <w:pPr>
        <w:pStyle w:val="67"/>
        <w:ind w:firstLine="118"/>
        <w:rPr>
          <w:rFonts w:ascii="宋体" w:eastAsia="宋体"/>
          <w:color w:val="auto"/>
          <w:szCs w:val="24"/>
          <w:highlight w:val="none"/>
        </w:rPr>
      </w:pPr>
      <w:bookmarkStart w:id="430" w:name="_Toc386467044"/>
      <w:bookmarkStart w:id="431" w:name="_Toc43475772"/>
      <w:bookmarkStart w:id="432" w:name="_Toc393546298"/>
      <w:r>
        <w:rPr>
          <w:rFonts w:hint="eastAsia" w:ascii="宋体" w:eastAsia="宋体"/>
          <w:color w:val="auto"/>
          <w:szCs w:val="24"/>
          <w:highlight w:val="none"/>
        </w:rPr>
        <w:t>3.1 监理人的职责和权力</w:t>
      </w:r>
      <w:bookmarkEnd w:id="430"/>
      <w:bookmarkEnd w:id="431"/>
      <w:bookmarkEnd w:id="432"/>
    </w:p>
    <w:p w14:paraId="6A13E09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3.1.1 监理人受发包人委托，享有合同约定的权力。监理人在行使某项权力前需要经发包人事先批准而通用合同条款没有指明的，应在专用合同条款中指明。</w:t>
      </w:r>
    </w:p>
    <w:p w14:paraId="6537557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3.1.2 监理人发出的任何指示应视为已得到发包人的批准，但监理人无权免除或变更合同约定的发包人和承包人的权利、义务和责任。</w:t>
      </w:r>
    </w:p>
    <w:p w14:paraId="53798A1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3.1.3 合同约定应由承包人承担的义务和责任，不因监理人对承包人提交文件的审查或批准，对工程、材料和设备的检查和检验，以及为实施监理作出的指示等职务行为而减轻或解除。</w:t>
      </w:r>
    </w:p>
    <w:p w14:paraId="4A2BECAA">
      <w:pPr>
        <w:pStyle w:val="67"/>
        <w:ind w:firstLine="118"/>
        <w:rPr>
          <w:rFonts w:ascii="宋体" w:eastAsia="宋体"/>
          <w:color w:val="auto"/>
          <w:szCs w:val="24"/>
          <w:highlight w:val="none"/>
        </w:rPr>
      </w:pPr>
      <w:bookmarkStart w:id="433" w:name="_Toc179632653"/>
      <w:bookmarkStart w:id="434" w:name="_Toc330406240"/>
      <w:bookmarkStart w:id="435" w:name="_Toc393546299"/>
      <w:bookmarkStart w:id="436" w:name="_Toc152042413"/>
      <w:bookmarkStart w:id="437" w:name="_Toc386467045"/>
      <w:bookmarkStart w:id="438" w:name="_Toc152045635"/>
      <w:bookmarkStart w:id="439" w:name="_Toc144974603"/>
      <w:bookmarkStart w:id="440" w:name="_Toc43475773"/>
      <w:r>
        <w:rPr>
          <w:rFonts w:hint="eastAsia" w:ascii="宋体" w:eastAsia="宋体"/>
          <w:color w:val="auto"/>
          <w:szCs w:val="24"/>
          <w:highlight w:val="none"/>
        </w:rPr>
        <w:t>3.2 总监理工程师</w:t>
      </w:r>
      <w:bookmarkEnd w:id="433"/>
      <w:bookmarkEnd w:id="434"/>
      <w:bookmarkEnd w:id="435"/>
      <w:bookmarkEnd w:id="436"/>
      <w:bookmarkEnd w:id="437"/>
      <w:bookmarkEnd w:id="438"/>
      <w:bookmarkEnd w:id="439"/>
      <w:bookmarkEnd w:id="440"/>
    </w:p>
    <w:p w14:paraId="647A5B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发包人应在发出开工通知前将总监理工程师的任命通知承包人。总监理工程师更换时，应在调离14天前通知承包人。总监理工程师短期离开施工场地的，应委派代表代行其职责，并通知承包人。</w:t>
      </w:r>
    </w:p>
    <w:p w14:paraId="5609A60B">
      <w:pPr>
        <w:pStyle w:val="67"/>
        <w:ind w:firstLine="118"/>
        <w:rPr>
          <w:rFonts w:ascii="宋体" w:eastAsia="宋体"/>
          <w:color w:val="auto"/>
          <w:szCs w:val="24"/>
          <w:highlight w:val="none"/>
        </w:rPr>
      </w:pPr>
      <w:bookmarkStart w:id="441" w:name="_Toc152045636"/>
      <w:bookmarkStart w:id="442" w:name="_Toc152042414"/>
      <w:bookmarkStart w:id="443" w:name="_Toc393546300"/>
      <w:bookmarkStart w:id="444" w:name="_Toc330406241"/>
      <w:bookmarkStart w:id="445" w:name="_Toc144974604"/>
      <w:bookmarkStart w:id="446" w:name="_Toc386467046"/>
      <w:bookmarkStart w:id="447" w:name="_Toc179632654"/>
      <w:bookmarkStart w:id="448" w:name="_Toc43475774"/>
      <w:r>
        <w:rPr>
          <w:rFonts w:hint="eastAsia" w:ascii="宋体" w:eastAsia="宋体"/>
          <w:color w:val="auto"/>
          <w:szCs w:val="24"/>
          <w:highlight w:val="none"/>
        </w:rPr>
        <w:t>3.3 监理人员</w:t>
      </w:r>
      <w:bookmarkEnd w:id="441"/>
      <w:bookmarkEnd w:id="442"/>
      <w:bookmarkEnd w:id="443"/>
      <w:bookmarkEnd w:id="444"/>
      <w:bookmarkEnd w:id="445"/>
      <w:bookmarkEnd w:id="446"/>
      <w:bookmarkEnd w:id="447"/>
      <w:bookmarkEnd w:id="448"/>
    </w:p>
    <w:p w14:paraId="4235DD1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3C5EE6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3B81DCD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 承包人对总监理工程师授权的监理人员发出的指示有疑问的，可向总监理工程师提出书面异议，总监理工程师应在48小时内对该指示予以确认、更改或撤销。</w:t>
      </w:r>
    </w:p>
    <w:p w14:paraId="390B3EE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3.3.4 除专用合同条款另有约定外，总监理工程师不应将第3.5款约定应由总监理工程师作出确定的权力授权或委托给其他监理人员。</w:t>
      </w:r>
    </w:p>
    <w:p w14:paraId="02B77922">
      <w:pPr>
        <w:pStyle w:val="67"/>
        <w:ind w:firstLine="118"/>
        <w:rPr>
          <w:rFonts w:ascii="宋体" w:eastAsia="宋体"/>
          <w:color w:val="auto"/>
          <w:szCs w:val="24"/>
          <w:highlight w:val="none"/>
        </w:rPr>
      </w:pPr>
      <w:bookmarkStart w:id="449" w:name="_Toc43475775"/>
      <w:bookmarkStart w:id="450" w:name="_Toc393546301"/>
      <w:bookmarkStart w:id="451" w:name="_Toc152042415"/>
      <w:bookmarkStart w:id="452" w:name="_Toc144974605"/>
      <w:bookmarkStart w:id="453" w:name="_Toc179632655"/>
      <w:bookmarkStart w:id="454" w:name="_Toc330406242"/>
      <w:bookmarkStart w:id="455" w:name="_Toc152045637"/>
      <w:bookmarkStart w:id="456" w:name="_Toc386467047"/>
      <w:r>
        <w:rPr>
          <w:rFonts w:hint="eastAsia" w:ascii="宋体" w:eastAsia="宋体"/>
          <w:color w:val="auto"/>
          <w:szCs w:val="24"/>
          <w:highlight w:val="none"/>
        </w:rPr>
        <w:t>3.4 监理人的指示</w:t>
      </w:r>
      <w:bookmarkEnd w:id="449"/>
      <w:bookmarkEnd w:id="450"/>
      <w:bookmarkEnd w:id="451"/>
      <w:bookmarkEnd w:id="452"/>
      <w:bookmarkEnd w:id="453"/>
      <w:bookmarkEnd w:id="454"/>
      <w:bookmarkEnd w:id="455"/>
      <w:bookmarkEnd w:id="456"/>
    </w:p>
    <w:p w14:paraId="468A2EA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监理人应按第3.1款的约定向承包人发出指示，监理人的指示应盖有监理人授权的施工场地机构章，并由总监理工程师或总监理工程师按第3.3.1项约定授权的监理人员签字。</w:t>
      </w:r>
    </w:p>
    <w:p w14:paraId="66E7DB8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 承包人收到监理人按第3.4.1项作出的指示后应遵照执行。指示构成变更的，应按第15条处理。</w:t>
      </w:r>
    </w:p>
    <w:p w14:paraId="46BFFB3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72C621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3.4.4 除合同另有约定外，承包人只从总监理工程师或按第3.3.1项被授权的监理人员处取得指示。</w:t>
      </w:r>
    </w:p>
    <w:p w14:paraId="317761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3.4.5 由于监理人未能按合同约定发出指示、指示延误或指示错误而导致承包人费用增加和（或）工期延误的，由发包人承担赔偿责任。 </w:t>
      </w:r>
    </w:p>
    <w:p w14:paraId="120A87D0">
      <w:pPr>
        <w:pStyle w:val="67"/>
        <w:ind w:firstLine="118"/>
        <w:rPr>
          <w:rFonts w:ascii="宋体" w:eastAsia="宋体"/>
          <w:color w:val="auto"/>
          <w:szCs w:val="24"/>
          <w:highlight w:val="none"/>
        </w:rPr>
      </w:pPr>
      <w:bookmarkStart w:id="457" w:name="_Toc43475776"/>
      <w:bookmarkStart w:id="458" w:name="_Toc393546302"/>
      <w:bookmarkStart w:id="459" w:name="_Toc386467048"/>
      <w:r>
        <w:rPr>
          <w:rFonts w:hint="eastAsia" w:ascii="宋体" w:eastAsia="宋体"/>
          <w:color w:val="auto"/>
          <w:szCs w:val="24"/>
          <w:highlight w:val="none"/>
        </w:rPr>
        <w:t>3.5 商定或确定</w:t>
      </w:r>
      <w:bookmarkEnd w:id="457"/>
      <w:bookmarkEnd w:id="458"/>
      <w:bookmarkEnd w:id="459"/>
    </w:p>
    <w:p w14:paraId="15F077F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3.5.1合同约定总监理工程师应按照本款对任何事项进行商定或确定时，总监理工程师应与合同当事人协商，尽量达成一致。不能达成一致的，总监理工程师应认真研究后审慎确定。</w:t>
      </w:r>
    </w:p>
    <w:p w14:paraId="7BFC00C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272D4060">
      <w:pPr>
        <w:pStyle w:val="78"/>
        <w:rPr>
          <w:rFonts w:ascii="宋体" w:hAnsi="宋体"/>
          <w:color w:val="auto"/>
          <w:sz w:val="24"/>
          <w:szCs w:val="24"/>
          <w:highlight w:val="none"/>
        </w:rPr>
      </w:pPr>
      <w:bookmarkStart w:id="460" w:name="_Toc386467049"/>
      <w:bookmarkStart w:id="461" w:name="_Toc43475777"/>
      <w:bookmarkStart w:id="462" w:name="_Toc393546303"/>
      <w:r>
        <w:rPr>
          <w:rFonts w:hint="eastAsia" w:ascii="宋体" w:hAnsi="宋体"/>
          <w:color w:val="auto"/>
          <w:sz w:val="24"/>
          <w:szCs w:val="24"/>
          <w:highlight w:val="none"/>
        </w:rPr>
        <w:t>4. 承包人</w:t>
      </w:r>
      <w:bookmarkEnd w:id="460"/>
      <w:bookmarkEnd w:id="461"/>
      <w:bookmarkEnd w:id="462"/>
    </w:p>
    <w:p w14:paraId="57DC8072">
      <w:pPr>
        <w:pStyle w:val="67"/>
        <w:ind w:firstLine="118"/>
        <w:rPr>
          <w:rFonts w:ascii="宋体" w:eastAsia="宋体"/>
          <w:color w:val="auto"/>
          <w:szCs w:val="24"/>
          <w:highlight w:val="none"/>
        </w:rPr>
      </w:pPr>
      <w:bookmarkStart w:id="463" w:name="_Toc43475778"/>
      <w:bookmarkStart w:id="464" w:name="_Toc386467050"/>
      <w:bookmarkStart w:id="465" w:name="_Toc393546304"/>
      <w:r>
        <w:rPr>
          <w:rFonts w:hint="eastAsia" w:ascii="宋体" w:eastAsia="宋体"/>
          <w:color w:val="auto"/>
          <w:szCs w:val="24"/>
          <w:highlight w:val="none"/>
        </w:rPr>
        <w:t>4.1 承包人的一般义务</w:t>
      </w:r>
      <w:bookmarkEnd w:id="463"/>
      <w:bookmarkEnd w:id="464"/>
      <w:bookmarkEnd w:id="465"/>
    </w:p>
    <w:p w14:paraId="67008D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 遵守法律</w:t>
      </w:r>
    </w:p>
    <w:p w14:paraId="49ECC0E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承包人在履行合同过程中应遵守法律，并保证发包人免于承担因承包人违反法律而引起的任何责任。</w:t>
      </w:r>
    </w:p>
    <w:p w14:paraId="65D0CE9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4.1.2 依法纳税</w:t>
      </w:r>
    </w:p>
    <w:p w14:paraId="002159D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承包人应按有关法律规定纳税，应缴纳的税金包括在合同价格内。</w:t>
      </w:r>
    </w:p>
    <w:p w14:paraId="08D3F2E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4.1.3 完成各项承包工作</w:t>
      </w:r>
    </w:p>
    <w:p w14:paraId="5F1FCE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599B10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4.1.4 对施工作业和施工方法的完备性负责</w:t>
      </w:r>
    </w:p>
    <w:p w14:paraId="6754CB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承包人应按合同约定的工作内容和施工进度要求，编制施工组织设计和施工措施计划，并对所有施工作业和施工方法的完备性和安全可靠性负责。</w:t>
      </w:r>
    </w:p>
    <w:p w14:paraId="24779D8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4.1.5 保证工程施工和人员的安全</w:t>
      </w:r>
    </w:p>
    <w:p w14:paraId="5F458A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承包人应按第9.2款约定采取施工安全措施，确保工程及其人员、材料、设备和设施的安全，防止因工程施工造成的人身伤害和财产损失。</w:t>
      </w:r>
    </w:p>
    <w:p w14:paraId="3A8F322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4.1.6 负责施工场地及其周边环境与生态的保护工作</w:t>
      </w:r>
    </w:p>
    <w:p w14:paraId="22350C4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承包人应按照第9.4款约定负责施工场地及其周边环境与生态的保护工作。</w:t>
      </w:r>
    </w:p>
    <w:p w14:paraId="25EA117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4.1.7 避免施工对公众与他人的利益造成损害</w:t>
      </w:r>
    </w:p>
    <w:p w14:paraId="66C4044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FD250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4.1.8 为他人提供方便</w:t>
      </w:r>
    </w:p>
    <w:p w14:paraId="267A616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782F7C6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4.1.9 工程的维护和照管</w:t>
      </w:r>
    </w:p>
    <w:p w14:paraId="2E40D7B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工程接收证书颁发前，承包人应负责照管和维护工程。工程接收证书颁发时尚有部分未竣工工程的，承包人还应负责该未竣工工程的照管和维护工作，直至竣工后移交给发包人为止。</w:t>
      </w:r>
    </w:p>
    <w:p w14:paraId="4301DF9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4.1.10 其他义务</w:t>
      </w:r>
    </w:p>
    <w:p w14:paraId="7B74004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承包人应履行合同约定的其他义务。</w:t>
      </w:r>
    </w:p>
    <w:p w14:paraId="24DD921C">
      <w:pPr>
        <w:pStyle w:val="67"/>
        <w:ind w:firstLine="118"/>
        <w:rPr>
          <w:rFonts w:ascii="宋体" w:eastAsia="宋体"/>
          <w:color w:val="auto"/>
          <w:szCs w:val="24"/>
          <w:highlight w:val="none"/>
        </w:rPr>
      </w:pPr>
      <w:bookmarkStart w:id="466" w:name="_Toc43475779"/>
      <w:bookmarkStart w:id="467" w:name="_Toc393546305"/>
      <w:bookmarkStart w:id="468" w:name="_Toc386467051"/>
      <w:r>
        <w:rPr>
          <w:rFonts w:hint="eastAsia" w:ascii="宋体" w:eastAsia="宋体"/>
          <w:color w:val="auto"/>
          <w:szCs w:val="24"/>
          <w:highlight w:val="none"/>
        </w:rPr>
        <w:t>4.2 履约担保</w:t>
      </w:r>
      <w:bookmarkEnd w:id="466"/>
      <w:bookmarkEnd w:id="467"/>
      <w:bookmarkEnd w:id="468"/>
    </w:p>
    <w:p w14:paraId="29EC8A9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承包人应保证其履约担保在发包人颁发工程接收证书前一直有效。发包人应在工程接收证书颁发后28天内把履约担保退还给承包人。</w:t>
      </w:r>
    </w:p>
    <w:p w14:paraId="73FC35BA">
      <w:pPr>
        <w:pStyle w:val="67"/>
        <w:ind w:firstLine="118"/>
        <w:rPr>
          <w:rFonts w:ascii="宋体" w:eastAsia="宋体"/>
          <w:color w:val="auto"/>
          <w:szCs w:val="24"/>
          <w:highlight w:val="none"/>
        </w:rPr>
      </w:pPr>
      <w:bookmarkStart w:id="469" w:name="_Toc393546306"/>
      <w:bookmarkStart w:id="470" w:name="_Toc43475780"/>
      <w:bookmarkStart w:id="471" w:name="_Toc386467052"/>
      <w:r>
        <w:rPr>
          <w:rFonts w:hint="eastAsia" w:ascii="宋体" w:eastAsia="宋体"/>
          <w:color w:val="auto"/>
          <w:szCs w:val="24"/>
          <w:highlight w:val="none"/>
        </w:rPr>
        <w:t>4.3 分包</w:t>
      </w:r>
      <w:bookmarkEnd w:id="469"/>
      <w:bookmarkEnd w:id="470"/>
      <w:bookmarkEnd w:id="471"/>
    </w:p>
    <w:p w14:paraId="3291B5B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4.3.1 承包人不得将其承包的全部工程转包给第三人，或将其承包的全部工程肢解后以分包的名义转包给第三人。</w:t>
      </w:r>
    </w:p>
    <w:p w14:paraId="31B1416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4.3.2 承包人不得将工程主体、关键性工作分包给第三人。除专用合同条款另有约定外，未经发包人同意，承包人不得将工程的其他部分或工作分包给第三人。</w:t>
      </w:r>
    </w:p>
    <w:p w14:paraId="0782368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4.3.3 分包人的资格能力应与其分包工程的标准和规模相适应。</w:t>
      </w:r>
    </w:p>
    <w:p w14:paraId="313F54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4.3.4 按投标函附录约定分包工程的，承包人应向发包人和监理人提交分包合同副本。</w:t>
      </w:r>
    </w:p>
    <w:p w14:paraId="069DBE0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4.3.5 承包人应与分包人就分包工程向发包人承担连带责任。</w:t>
      </w:r>
    </w:p>
    <w:p w14:paraId="7618FA20">
      <w:pPr>
        <w:pStyle w:val="67"/>
        <w:ind w:firstLine="118"/>
        <w:rPr>
          <w:rFonts w:ascii="宋体" w:eastAsia="宋体"/>
          <w:color w:val="auto"/>
          <w:szCs w:val="24"/>
          <w:highlight w:val="none"/>
        </w:rPr>
      </w:pPr>
      <w:bookmarkStart w:id="472" w:name="_Toc386467053"/>
      <w:bookmarkStart w:id="473" w:name="_Toc393546307"/>
      <w:bookmarkStart w:id="474" w:name="_Toc43475781"/>
      <w:r>
        <w:rPr>
          <w:rFonts w:hint="eastAsia" w:ascii="宋体" w:eastAsia="宋体"/>
          <w:color w:val="auto"/>
          <w:szCs w:val="24"/>
          <w:highlight w:val="none"/>
        </w:rPr>
        <w:t>4.4 联合体</w:t>
      </w:r>
      <w:bookmarkEnd w:id="472"/>
      <w:bookmarkEnd w:id="473"/>
      <w:bookmarkEnd w:id="474"/>
    </w:p>
    <w:p w14:paraId="631F54C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4.4.1 联合体各方应共同与发包人签订合同协议书。联合体各方应为履行合同承担连带责任。</w:t>
      </w:r>
    </w:p>
    <w:p w14:paraId="798E38E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4.4.2 联合体协议经发包人确认后作为合同附件。在履行合同过程中，未经发包人同意，不得修改联合体协议。</w:t>
      </w:r>
    </w:p>
    <w:p w14:paraId="050E57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4.4.3 联合体牵头人负责与发包人和监理人联系，并接受指示，负责组织联合体各成员全面履行合同。</w:t>
      </w:r>
    </w:p>
    <w:p w14:paraId="5E73B7F4">
      <w:pPr>
        <w:pStyle w:val="67"/>
        <w:ind w:firstLine="118"/>
        <w:rPr>
          <w:rFonts w:ascii="宋体" w:eastAsia="宋体"/>
          <w:color w:val="auto"/>
          <w:szCs w:val="24"/>
          <w:highlight w:val="none"/>
        </w:rPr>
      </w:pPr>
      <w:bookmarkStart w:id="475" w:name="_Toc43475782"/>
      <w:bookmarkStart w:id="476" w:name="_Toc386467054"/>
      <w:bookmarkStart w:id="477" w:name="_Toc393546308"/>
      <w:r>
        <w:rPr>
          <w:rFonts w:hint="eastAsia" w:ascii="宋体" w:eastAsia="宋体"/>
          <w:color w:val="auto"/>
          <w:szCs w:val="24"/>
          <w:highlight w:val="none"/>
        </w:rPr>
        <w:t>4.5 承包人项目经理</w:t>
      </w:r>
      <w:bookmarkEnd w:id="475"/>
      <w:bookmarkEnd w:id="476"/>
      <w:bookmarkEnd w:id="477"/>
    </w:p>
    <w:p w14:paraId="0E3380C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31E7FBD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6936037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4.5.3承包人为履行合同发出的一切函件均应盖有承包人授权的施工场地管理机构章，并由承包人项目经理或其授权代表签字。</w:t>
      </w:r>
    </w:p>
    <w:p w14:paraId="3A2064E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4.5.4 承包人项目经理可以授权其下属人员履行其某项职责，但事先应将这些人员的姓名和授权范围通知监理人。</w:t>
      </w:r>
    </w:p>
    <w:p w14:paraId="37B30C3C">
      <w:pPr>
        <w:pStyle w:val="67"/>
        <w:ind w:firstLine="118"/>
        <w:rPr>
          <w:rFonts w:ascii="宋体" w:eastAsia="宋体"/>
          <w:color w:val="auto"/>
          <w:szCs w:val="24"/>
          <w:highlight w:val="none"/>
        </w:rPr>
      </w:pPr>
      <w:bookmarkStart w:id="478" w:name="_Toc386467055"/>
      <w:bookmarkStart w:id="479" w:name="_Toc179632663"/>
      <w:bookmarkStart w:id="480" w:name="_Toc152045645"/>
      <w:bookmarkStart w:id="481" w:name="_Toc330406250"/>
      <w:bookmarkStart w:id="482" w:name="_Toc152042423"/>
      <w:bookmarkStart w:id="483" w:name="_Toc144974613"/>
      <w:bookmarkStart w:id="484" w:name="_Toc43475783"/>
      <w:bookmarkStart w:id="485" w:name="_Toc393546309"/>
      <w:r>
        <w:rPr>
          <w:rFonts w:hint="eastAsia" w:ascii="宋体" w:eastAsia="宋体"/>
          <w:color w:val="auto"/>
          <w:szCs w:val="24"/>
          <w:highlight w:val="none"/>
        </w:rPr>
        <w:t>4.6 承包人人员的管理</w:t>
      </w:r>
      <w:bookmarkEnd w:id="478"/>
      <w:bookmarkEnd w:id="479"/>
      <w:bookmarkEnd w:id="480"/>
      <w:bookmarkEnd w:id="481"/>
      <w:bookmarkEnd w:id="482"/>
      <w:bookmarkEnd w:id="483"/>
      <w:bookmarkEnd w:id="484"/>
      <w:bookmarkEnd w:id="485"/>
    </w:p>
    <w:p w14:paraId="695748B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D17CD9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4.6.2 为完成合同约定的各项工作，承包人应向施工场地派遣或雇佣足够数量的下列人员：</w:t>
      </w:r>
    </w:p>
    <w:p w14:paraId="1425AA5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（1）具有相应资格的专业技工和合格的普工；</w:t>
      </w:r>
    </w:p>
    <w:p w14:paraId="5CD2BB0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（2）具有相应施工经验的技术人员；</w:t>
      </w:r>
    </w:p>
    <w:p w14:paraId="3D5788F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（3）具有相应岗位资格的各级管理人员。</w:t>
      </w:r>
    </w:p>
    <w:p w14:paraId="05B8A13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4.6.3 承包人安排在施工场地的主要管理人员和技术骨干应相对稳定。承包人更换主要管理人员和技术骨干时，应取得监理人的同意。</w:t>
      </w:r>
    </w:p>
    <w:p w14:paraId="2BF2665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4.6.4 特殊岗位的工作人员均应持有相应的资格证明，监理人有权随时检查。监理人认为有必要时，可进行现场考核。</w:t>
      </w:r>
    </w:p>
    <w:p w14:paraId="7B7AE9B7">
      <w:pPr>
        <w:pStyle w:val="67"/>
        <w:ind w:firstLine="118"/>
        <w:rPr>
          <w:rFonts w:ascii="宋体" w:eastAsia="宋体"/>
          <w:color w:val="auto"/>
          <w:szCs w:val="24"/>
          <w:highlight w:val="none"/>
        </w:rPr>
      </w:pPr>
      <w:bookmarkStart w:id="486" w:name="_Toc43475784"/>
      <w:bookmarkStart w:id="487" w:name="_Toc393546310"/>
      <w:bookmarkStart w:id="488" w:name="_Toc152042424"/>
      <w:bookmarkStart w:id="489" w:name="_Toc386467056"/>
      <w:bookmarkStart w:id="490" w:name="_Toc144974614"/>
      <w:bookmarkStart w:id="491" w:name="_Toc152045646"/>
      <w:bookmarkStart w:id="492" w:name="_Toc330406251"/>
      <w:bookmarkStart w:id="493" w:name="_Toc179632664"/>
      <w:r>
        <w:rPr>
          <w:rFonts w:hint="eastAsia" w:ascii="宋体" w:eastAsia="宋体"/>
          <w:color w:val="auto"/>
          <w:szCs w:val="24"/>
          <w:highlight w:val="none"/>
        </w:rPr>
        <w:t>4.7 撤换承包人项目经理和其他人员</w:t>
      </w:r>
      <w:bookmarkEnd w:id="486"/>
      <w:bookmarkEnd w:id="487"/>
      <w:bookmarkEnd w:id="488"/>
      <w:bookmarkEnd w:id="489"/>
      <w:bookmarkEnd w:id="490"/>
      <w:bookmarkEnd w:id="491"/>
      <w:bookmarkEnd w:id="492"/>
      <w:bookmarkEnd w:id="493"/>
    </w:p>
    <w:p w14:paraId="14AFAC8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承包人应对其项目经理和其他人员进行有效管理。监理人要求撤换不能胜任本职工作、行为不端或玩忽职守的承包人项目经理和其他人员的，承包人应予以撤换。</w:t>
      </w:r>
    </w:p>
    <w:p w14:paraId="394CEA62">
      <w:pPr>
        <w:pStyle w:val="67"/>
        <w:ind w:firstLine="118"/>
        <w:rPr>
          <w:rFonts w:ascii="宋体" w:eastAsia="宋体"/>
          <w:color w:val="auto"/>
          <w:szCs w:val="24"/>
          <w:highlight w:val="none"/>
        </w:rPr>
      </w:pPr>
      <w:bookmarkStart w:id="494" w:name="_Toc152042425"/>
      <w:bookmarkStart w:id="495" w:name="_Toc393546311"/>
      <w:bookmarkStart w:id="496" w:name="_Toc152045647"/>
      <w:bookmarkStart w:id="497" w:name="_Toc179632665"/>
      <w:bookmarkStart w:id="498" w:name="_Toc43475785"/>
      <w:bookmarkStart w:id="499" w:name="_Toc386467057"/>
      <w:bookmarkStart w:id="500" w:name="_Toc144974615"/>
      <w:bookmarkStart w:id="501" w:name="_Toc330406252"/>
      <w:r>
        <w:rPr>
          <w:rFonts w:hint="eastAsia" w:ascii="宋体" w:eastAsia="宋体"/>
          <w:color w:val="auto"/>
          <w:szCs w:val="24"/>
          <w:highlight w:val="none"/>
        </w:rPr>
        <w:t>4.8 保障承包人人员的合法权益</w:t>
      </w:r>
      <w:bookmarkEnd w:id="494"/>
      <w:bookmarkEnd w:id="495"/>
      <w:bookmarkEnd w:id="496"/>
      <w:bookmarkEnd w:id="497"/>
      <w:bookmarkEnd w:id="498"/>
      <w:bookmarkEnd w:id="499"/>
      <w:bookmarkEnd w:id="500"/>
      <w:bookmarkEnd w:id="501"/>
    </w:p>
    <w:p w14:paraId="6D45601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4.8.1 承包人应与其雇佣的人员签订劳动合同，并按时发放工资。</w:t>
      </w:r>
    </w:p>
    <w:p w14:paraId="44E4C53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0B170BD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4.8.3 承包人应为其雇佣人员提供必要的食宿条件，以及符合环境保护和卫生要求的生活环境，在远离城镇的施工场地，还应配备必要的伤病防治和急救的医务人员与医疗设施。</w:t>
      </w:r>
    </w:p>
    <w:p w14:paraId="7601A0D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701908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4.8.5 承包人应按有关法律规定和合同约定，为其雇佣人员办理保险。</w:t>
      </w:r>
    </w:p>
    <w:p w14:paraId="76552B7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4.8.6 承包人应负责处理其雇佣人员因工伤亡事故的善后事宜。</w:t>
      </w:r>
    </w:p>
    <w:p w14:paraId="140C5DDA">
      <w:pPr>
        <w:pStyle w:val="67"/>
        <w:ind w:firstLine="118"/>
        <w:rPr>
          <w:rFonts w:ascii="宋体" w:eastAsia="宋体"/>
          <w:color w:val="auto"/>
          <w:szCs w:val="24"/>
          <w:highlight w:val="none"/>
        </w:rPr>
      </w:pPr>
      <w:bookmarkStart w:id="502" w:name="_Toc43475786"/>
      <w:bookmarkStart w:id="503" w:name="_Toc386467058"/>
      <w:bookmarkStart w:id="504" w:name="_Toc152045648"/>
      <w:bookmarkStart w:id="505" w:name="_Toc179632666"/>
      <w:bookmarkStart w:id="506" w:name="_Toc330406253"/>
      <w:bookmarkStart w:id="507" w:name="_Toc144974616"/>
      <w:bookmarkStart w:id="508" w:name="_Toc152042426"/>
      <w:bookmarkStart w:id="509" w:name="_Toc393546312"/>
      <w:r>
        <w:rPr>
          <w:rFonts w:hint="eastAsia" w:ascii="宋体" w:eastAsia="宋体"/>
          <w:color w:val="auto"/>
          <w:szCs w:val="24"/>
          <w:highlight w:val="none"/>
        </w:rPr>
        <w:t>4.9 工程价款应专款专用</w:t>
      </w:r>
      <w:bookmarkEnd w:id="502"/>
      <w:bookmarkEnd w:id="503"/>
      <w:bookmarkEnd w:id="504"/>
      <w:bookmarkEnd w:id="505"/>
      <w:bookmarkEnd w:id="506"/>
      <w:bookmarkEnd w:id="507"/>
      <w:bookmarkEnd w:id="508"/>
      <w:bookmarkEnd w:id="509"/>
    </w:p>
    <w:p w14:paraId="0BB5BD8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发包人按合同约定支付给承包人的各项价款应专用于合同工程。</w:t>
      </w:r>
    </w:p>
    <w:p w14:paraId="4A571D70">
      <w:pPr>
        <w:pStyle w:val="67"/>
        <w:ind w:firstLine="118"/>
        <w:rPr>
          <w:rFonts w:ascii="宋体" w:eastAsia="宋体"/>
          <w:color w:val="auto"/>
          <w:szCs w:val="24"/>
          <w:highlight w:val="none"/>
        </w:rPr>
      </w:pPr>
      <w:bookmarkStart w:id="510" w:name="_Toc43475787"/>
      <w:bookmarkStart w:id="511" w:name="_Toc386467059"/>
      <w:bookmarkStart w:id="512" w:name="_Toc393546313"/>
      <w:r>
        <w:rPr>
          <w:rFonts w:hint="eastAsia" w:ascii="宋体" w:eastAsia="宋体"/>
          <w:color w:val="auto"/>
          <w:szCs w:val="24"/>
          <w:highlight w:val="none"/>
        </w:rPr>
        <w:t>4.10 承包人现场查勘</w:t>
      </w:r>
      <w:bookmarkEnd w:id="510"/>
      <w:bookmarkEnd w:id="511"/>
      <w:bookmarkEnd w:id="512"/>
    </w:p>
    <w:p w14:paraId="0050C1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4.10.1 发包人应将其持有的现场地质勘探资料、水文气象资料提供给承包人，并对其准确性负责。但承包人应对其阅读上述有关资料后所作出的解释和推断负责。</w:t>
      </w:r>
    </w:p>
    <w:p w14:paraId="3F12A3E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5C60ACF5">
      <w:pPr>
        <w:pStyle w:val="67"/>
        <w:ind w:firstLine="118"/>
        <w:rPr>
          <w:rFonts w:ascii="宋体" w:eastAsia="宋体"/>
          <w:color w:val="auto"/>
          <w:szCs w:val="24"/>
          <w:highlight w:val="none"/>
        </w:rPr>
      </w:pPr>
      <w:bookmarkStart w:id="513" w:name="_Toc386467060"/>
      <w:bookmarkStart w:id="514" w:name="_Toc43475788"/>
      <w:bookmarkStart w:id="515" w:name="_Toc393546314"/>
      <w:r>
        <w:rPr>
          <w:rFonts w:hint="eastAsia" w:ascii="宋体" w:eastAsia="宋体"/>
          <w:color w:val="auto"/>
          <w:szCs w:val="24"/>
          <w:highlight w:val="none"/>
        </w:rPr>
        <w:t>4.11 不利物质条件</w:t>
      </w:r>
      <w:bookmarkEnd w:id="513"/>
      <w:bookmarkEnd w:id="514"/>
      <w:bookmarkEnd w:id="515"/>
    </w:p>
    <w:p w14:paraId="77B238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4.11.1 不利物质条件，除专用合同条款另有约定外，是指承包人在施工场地遇到的不可预见的自然物质条件、非自然的物质障碍和污染物，包括地下和水文条件，但不包括气候条件。</w:t>
      </w:r>
    </w:p>
    <w:p w14:paraId="75D1BD6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0B47C32F">
      <w:pPr>
        <w:pStyle w:val="78"/>
        <w:rPr>
          <w:rFonts w:ascii="宋体" w:hAnsi="宋体"/>
          <w:color w:val="auto"/>
          <w:sz w:val="24"/>
          <w:szCs w:val="24"/>
          <w:highlight w:val="none"/>
        </w:rPr>
      </w:pPr>
      <w:bookmarkStart w:id="516" w:name="_Toc386467061"/>
      <w:bookmarkStart w:id="517" w:name="_Toc393546315"/>
      <w:bookmarkStart w:id="518" w:name="_Toc43475789"/>
      <w:r>
        <w:rPr>
          <w:rFonts w:hint="eastAsia" w:ascii="宋体" w:hAnsi="宋体"/>
          <w:color w:val="auto"/>
          <w:sz w:val="24"/>
          <w:szCs w:val="24"/>
          <w:highlight w:val="none"/>
        </w:rPr>
        <w:t>5. 材料和工程设备</w:t>
      </w:r>
      <w:bookmarkEnd w:id="516"/>
      <w:bookmarkEnd w:id="517"/>
      <w:bookmarkEnd w:id="518"/>
    </w:p>
    <w:p w14:paraId="615691F0">
      <w:pPr>
        <w:pStyle w:val="67"/>
        <w:ind w:firstLine="118"/>
        <w:rPr>
          <w:rFonts w:ascii="宋体" w:eastAsia="宋体"/>
          <w:color w:val="auto"/>
          <w:szCs w:val="24"/>
          <w:highlight w:val="none"/>
        </w:rPr>
      </w:pPr>
      <w:bookmarkStart w:id="519" w:name="_Toc179632670"/>
      <w:bookmarkStart w:id="520" w:name="_Toc152042430"/>
      <w:bookmarkStart w:id="521" w:name="_Toc393546316"/>
      <w:bookmarkStart w:id="522" w:name="_Toc330406257"/>
      <w:bookmarkStart w:id="523" w:name="_Toc386467062"/>
      <w:bookmarkStart w:id="524" w:name="_Toc152045652"/>
      <w:bookmarkStart w:id="525" w:name="_Toc43475790"/>
      <w:bookmarkStart w:id="526" w:name="_Toc144974620"/>
      <w:r>
        <w:rPr>
          <w:rFonts w:hint="eastAsia" w:ascii="宋体" w:eastAsia="宋体"/>
          <w:color w:val="auto"/>
          <w:szCs w:val="24"/>
          <w:highlight w:val="none"/>
        </w:rPr>
        <w:t>5.1 承包人提供的材料和工程设备</w:t>
      </w:r>
      <w:bookmarkEnd w:id="519"/>
      <w:bookmarkEnd w:id="520"/>
      <w:bookmarkEnd w:id="521"/>
      <w:bookmarkEnd w:id="522"/>
      <w:bookmarkEnd w:id="523"/>
      <w:bookmarkEnd w:id="524"/>
      <w:bookmarkEnd w:id="525"/>
      <w:bookmarkEnd w:id="526"/>
    </w:p>
    <w:p w14:paraId="501E910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5.1.1 除专用合同条款另有约定外，承包人提供的材料和工程设备均由承包人负责采购、运输和保管。承包人应对其采购的材料和工程设备负责。</w:t>
      </w:r>
    </w:p>
    <w:p w14:paraId="6FDB5CB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30AB017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2EFC312">
      <w:pPr>
        <w:pStyle w:val="67"/>
        <w:ind w:firstLine="118"/>
        <w:rPr>
          <w:rFonts w:ascii="宋体" w:eastAsia="宋体"/>
          <w:color w:val="auto"/>
          <w:szCs w:val="24"/>
          <w:highlight w:val="none"/>
        </w:rPr>
      </w:pPr>
      <w:bookmarkStart w:id="527" w:name="_Toc43475791"/>
      <w:bookmarkStart w:id="528" w:name="_Toc393546317"/>
      <w:bookmarkStart w:id="529" w:name="_Toc386467063"/>
      <w:r>
        <w:rPr>
          <w:rFonts w:hint="eastAsia" w:ascii="宋体" w:eastAsia="宋体"/>
          <w:color w:val="auto"/>
          <w:szCs w:val="24"/>
          <w:highlight w:val="none"/>
        </w:rPr>
        <w:t>5.2 发包人提供的材料和工程设备（本工程不适用于分包）</w:t>
      </w:r>
      <w:bookmarkEnd w:id="527"/>
      <w:bookmarkEnd w:id="528"/>
      <w:bookmarkEnd w:id="529"/>
    </w:p>
    <w:p w14:paraId="7434A28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5.2.1 发包人提供的材料和工程设备，应在专用合同条款中写明材料和工程设备的名称、规格、数量、价格、交货方式、交货地点和计划交货日期等。</w:t>
      </w:r>
    </w:p>
    <w:p w14:paraId="0CA56CD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5.2.2 承包人应根据合同进度计划的安排，向监理人报送要求发包人交货的日期计划。发包人应按照监理人与合同双方当事人商定的交货日期，向承包人提交材料和工程设备。</w:t>
      </w:r>
    </w:p>
    <w:p w14:paraId="548A57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47F95B4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5.2.4 发包人要求向承包人提前交货的，承包人不得拒绝，但发包人应承担承包人由此增加的费用。 </w:t>
      </w:r>
    </w:p>
    <w:p w14:paraId="2763FC4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5.2.5 承包人要求更改交货日期或地点的，应事先报请监理人批准。由于承包人要求更改交货时间或地点所增加的费用和（或）工期延误由承包人承担。 </w:t>
      </w:r>
    </w:p>
    <w:p w14:paraId="5D8882E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01B3BA3D">
      <w:pPr>
        <w:pStyle w:val="67"/>
        <w:ind w:firstLine="118"/>
        <w:rPr>
          <w:rFonts w:ascii="宋体" w:eastAsia="宋体"/>
          <w:color w:val="auto"/>
          <w:szCs w:val="24"/>
          <w:highlight w:val="none"/>
        </w:rPr>
      </w:pPr>
      <w:bookmarkStart w:id="530" w:name="_Toc393546318"/>
      <w:bookmarkStart w:id="531" w:name="_Toc386467064"/>
      <w:bookmarkStart w:id="532" w:name="_Toc43475792"/>
      <w:bookmarkStart w:id="533" w:name="_Toc152045654"/>
      <w:bookmarkStart w:id="534" w:name="_Toc144974622"/>
      <w:bookmarkStart w:id="535" w:name="_Toc330406259"/>
      <w:bookmarkStart w:id="536" w:name="_Toc152042432"/>
      <w:bookmarkStart w:id="537" w:name="_Toc179632672"/>
      <w:r>
        <w:rPr>
          <w:rFonts w:hint="eastAsia" w:ascii="宋体" w:eastAsia="宋体"/>
          <w:color w:val="auto"/>
          <w:szCs w:val="24"/>
          <w:highlight w:val="none"/>
        </w:rPr>
        <w:t>5.3 材料和工程设备专用于合同工程</w:t>
      </w:r>
      <w:bookmarkEnd w:id="530"/>
      <w:bookmarkEnd w:id="531"/>
      <w:bookmarkEnd w:id="532"/>
      <w:bookmarkEnd w:id="533"/>
      <w:bookmarkEnd w:id="534"/>
      <w:bookmarkEnd w:id="535"/>
      <w:bookmarkEnd w:id="536"/>
      <w:bookmarkEnd w:id="537"/>
    </w:p>
    <w:p w14:paraId="41F059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5.3.1运入施工场地的材料、工程设备，包括备品备件、安装专用工器具与随机资料，必须专用于合同工程，未经监理人同意，承包人不得运出施工场地或挪作他用。</w:t>
      </w:r>
    </w:p>
    <w:p w14:paraId="366586E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D1CC41D">
      <w:pPr>
        <w:pStyle w:val="67"/>
        <w:ind w:firstLine="118"/>
        <w:rPr>
          <w:rFonts w:ascii="宋体" w:eastAsia="宋体"/>
          <w:color w:val="auto"/>
          <w:szCs w:val="24"/>
          <w:highlight w:val="none"/>
        </w:rPr>
      </w:pPr>
      <w:bookmarkStart w:id="538" w:name="_Toc179632673"/>
      <w:bookmarkStart w:id="539" w:name="_Toc330406260"/>
      <w:bookmarkStart w:id="540" w:name="_Toc43475793"/>
      <w:bookmarkStart w:id="541" w:name="_Toc152045655"/>
      <w:bookmarkStart w:id="542" w:name="_Toc386467065"/>
      <w:bookmarkStart w:id="543" w:name="_Toc152042433"/>
      <w:bookmarkStart w:id="544" w:name="_Toc144974623"/>
      <w:bookmarkStart w:id="545" w:name="_Toc393546319"/>
      <w:r>
        <w:rPr>
          <w:rFonts w:hint="eastAsia" w:ascii="宋体" w:eastAsia="宋体"/>
          <w:color w:val="auto"/>
          <w:szCs w:val="24"/>
          <w:highlight w:val="none"/>
        </w:rPr>
        <w:t>5.4 禁止使用不合格的材料和工程设备</w:t>
      </w:r>
      <w:bookmarkEnd w:id="538"/>
      <w:bookmarkEnd w:id="539"/>
      <w:bookmarkEnd w:id="540"/>
      <w:bookmarkEnd w:id="541"/>
      <w:bookmarkEnd w:id="542"/>
      <w:bookmarkEnd w:id="543"/>
      <w:bookmarkEnd w:id="544"/>
      <w:bookmarkEnd w:id="545"/>
    </w:p>
    <w:p w14:paraId="1A98FC8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5.4.1 监理人有权拒绝承包人提供的不合格材料或工程设备，并要求承包人立即进行更换。监理人应在更换后再次进行检查和检验，由此增加的费用和（或）工期延误由承包人承担。</w:t>
      </w:r>
    </w:p>
    <w:p w14:paraId="3662201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5.4.2 监理人发现承包人使用了不合格的材料和工程设备，应即时发出指示要求承包人立即改正，并禁止在工程中继续使用不合格的材料和工程设备。</w:t>
      </w:r>
    </w:p>
    <w:p w14:paraId="0D1CCBE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5.4.3 发包人提供的材料或工程设备不符合合同要求的，承包人有权拒绝，并可要求发包人更换，由此增加的费用和（或）工期延误由发包人承担。</w:t>
      </w:r>
    </w:p>
    <w:p w14:paraId="3D69FE97">
      <w:pPr>
        <w:pStyle w:val="78"/>
        <w:rPr>
          <w:rFonts w:ascii="宋体" w:hAnsi="宋体"/>
          <w:color w:val="auto"/>
          <w:sz w:val="24"/>
          <w:szCs w:val="24"/>
          <w:highlight w:val="none"/>
        </w:rPr>
      </w:pPr>
      <w:bookmarkStart w:id="546" w:name="_Toc393546320"/>
      <w:bookmarkStart w:id="547" w:name="_Toc386467066"/>
      <w:bookmarkStart w:id="548" w:name="_Toc43475794"/>
      <w:r>
        <w:rPr>
          <w:rFonts w:hint="eastAsia" w:ascii="宋体" w:hAnsi="宋体"/>
          <w:color w:val="auto"/>
          <w:sz w:val="24"/>
          <w:szCs w:val="24"/>
          <w:highlight w:val="none"/>
        </w:rPr>
        <w:t>6. 施工设备和临时设施</w:t>
      </w:r>
      <w:bookmarkEnd w:id="546"/>
      <w:bookmarkEnd w:id="547"/>
      <w:bookmarkEnd w:id="548"/>
    </w:p>
    <w:p w14:paraId="1DF4F2D8">
      <w:pPr>
        <w:pStyle w:val="67"/>
        <w:ind w:firstLine="118"/>
        <w:rPr>
          <w:rFonts w:ascii="宋体" w:eastAsia="宋体"/>
          <w:color w:val="auto"/>
          <w:szCs w:val="24"/>
          <w:highlight w:val="none"/>
        </w:rPr>
      </w:pPr>
      <w:bookmarkStart w:id="549" w:name="_Toc393546321"/>
      <w:bookmarkStart w:id="550" w:name="_Toc386467067"/>
      <w:bookmarkStart w:id="551" w:name="_Toc43475795"/>
      <w:r>
        <w:rPr>
          <w:rFonts w:hint="eastAsia" w:ascii="宋体" w:eastAsia="宋体"/>
          <w:color w:val="auto"/>
          <w:szCs w:val="24"/>
          <w:highlight w:val="none"/>
        </w:rPr>
        <w:t>6.1 承包人提供的施工设备和临时设施</w:t>
      </w:r>
      <w:bookmarkEnd w:id="549"/>
      <w:bookmarkEnd w:id="550"/>
      <w:bookmarkEnd w:id="551"/>
    </w:p>
    <w:p w14:paraId="34254B0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6A5F789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6.1.2除专用合同条款另有约定外，承包人应自行承担修建临时设施的费用，需要临时占地的，应由发包人办理申请手续并承担相应费用。</w:t>
      </w:r>
    </w:p>
    <w:p w14:paraId="75E0715E">
      <w:pPr>
        <w:pStyle w:val="67"/>
        <w:ind w:firstLine="118"/>
        <w:rPr>
          <w:rFonts w:ascii="宋体" w:eastAsia="宋体"/>
          <w:color w:val="auto"/>
          <w:szCs w:val="24"/>
          <w:highlight w:val="none"/>
        </w:rPr>
      </w:pPr>
      <w:bookmarkStart w:id="552" w:name="_Toc152042436"/>
      <w:bookmarkStart w:id="553" w:name="_Toc144974626"/>
      <w:bookmarkStart w:id="554" w:name="_Toc330406263"/>
      <w:bookmarkStart w:id="555" w:name="_Toc43475796"/>
      <w:bookmarkStart w:id="556" w:name="_Toc386467068"/>
      <w:bookmarkStart w:id="557" w:name="_Toc179632676"/>
      <w:bookmarkStart w:id="558" w:name="_Toc393546322"/>
      <w:bookmarkStart w:id="559" w:name="_Toc152045658"/>
      <w:r>
        <w:rPr>
          <w:rFonts w:hint="eastAsia" w:ascii="宋体" w:eastAsia="宋体"/>
          <w:color w:val="auto"/>
          <w:szCs w:val="24"/>
          <w:highlight w:val="none"/>
        </w:rPr>
        <w:t>6.2 发包人提供的施工设备和临时设施</w:t>
      </w:r>
      <w:bookmarkEnd w:id="552"/>
      <w:bookmarkEnd w:id="553"/>
      <w:bookmarkEnd w:id="554"/>
      <w:bookmarkEnd w:id="555"/>
      <w:bookmarkEnd w:id="556"/>
      <w:bookmarkEnd w:id="557"/>
      <w:bookmarkEnd w:id="558"/>
      <w:bookmarkEnd w:id="559"/>
    </w:p>
    <w:p w14:paraId="24798DD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发包人提供的施工设备或临时设施在专用合同条款中约定。</w:t>
      </w:r>
    </w:p>
    <w:p w14:paraId="56B99D59">
      <w:pPr>
        <w:pStyle w:val="67"/>
        <w:ind w:firstLine="118"/>
        <w:rPr>
          <w:rFonts w:ascii="宋体" w:eastAsia="宋体"/>
          <w:color w:val="auto"/>
          <w:szCs w:val="24"/>
          <w:highlight w:val="none"/>
        </w:rPr>
      </w:pPr>
      <w:bookmarkStart w:id="560" w:name="_Toc386467069"/>
      <w:bookmarkStart w:id="561" w:name="_Toc43475797"/>
      <w:bookmarkStart w:id="562" w:name="_Toc393546323"/>
      <w:r>
        <w:rPr>
          <w:rFonts w:hint="eastAsia" w:ascii="宋体" w:eastAsia="宋体"/>
          <w:color w:val="auto"/>
          <w:szCs w:val="24"/>
          <w:highlight w:val="none"/>
        </w:rPr>
        <w:t>6.3 要求承包人增加或更换施工设备</w:t>
      </w:r>
      <w:bookmarkEnd w:id="560"/>
      <w:bookmarkEnd w:id="561"/>
      <w:bookmarkEnd w:id="562"/>
    </w:p>
    <w:p w14:paraId="74CE0A7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承包人使用的施工设备不能满足合同进度计划和（或）质量要求时，监理人有权要求承包人增加或更换施工设备，承包人应及时增加或更换，由此增加的费用和（或）工期延误由承包人承担。</w:t>
      </w:r>
    </w:p>
    <w:p w14:paraId="27146133">
      <w:pPr>
        <w:pStyle w:val="67"/>
        <w:ind w:firstLine="118"/>
        <w:rPr>
          <w:rFonts w:ascii="宋体" w:eastAsia="宋体"/>
          <w:color w:val="auto"/>
          <w:szCs w:val="24"/>
          <w:highlight w:val="none"/>
        </w:rPr>
      </w:pPr>
      <w:bookmarkStart w:id="563" w:name="_Toc393546324"/>
      <w:bookmarkStart w:id="564" w:name="_Toc144974628"/>
      <w:bookmarkStart w:id="565" w:name="_Toc152045660"/>
      <w:bookmarkStart w:id="566" w:name="_Toc43475798"/>
      <w:bookmarkStart w:id="567" w:name="_Toc152042438"/>
      <w:bookmarkStart w:id="568" w:name="_Toc330406265"/>
      <w:bookmarkStart w:id="569" w:name="_Toc179632678"/>
      <w:bookmarkStart w:id="570" w:name="_Toc386467070"/>
      <w:r>
        <w:rPr>
          <w:rFonts w:hint="eastAsia" w:ascii="宋体" w:eastAsia="宋体"/>
          <w:color w:val="auto"/>
          <w:szCs w:val="24"/>
          <w:highlight w:val="none"/>
        </w:rPr>
        <w:t>6.4 施工设备和临时设施专用于合同工程</w:t>
      </w:r>
      <w:bookmarkEnd w:id="563"/>
      <w:bookmarkEnd w:id="564"/>
      <w:bookmarkEnd w:id="565"/>
      <w:bookmarkEnd w:id="566"/>
      <w:bookmarkEnd w:id="567"/>
      <w:bookmarkEnd w:id="568"/>
      <w:bookmarkEnd w:id="569"/>
      <w:bookmarkEnd w:id="570"/>
    </w:p>
    <w:p w14:paraId="65E5BBF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307E597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6.4.2 经监理人同意，承包人可根据合同进度计划撤走闲置的施工设备。</w:t>
      </w:r>
    </w:p>
    <w:p w14:paraId="42CDCDC1">
      <w:pPr>
        <w:pStyle w:val="78"/>
        <w:rPr>
          <w:rFonts w:ascii="宋体" w:hAnsi="宋体"/>
          <w:color w:val="auto"/>
          <w:sz w:val="24"/>
          <w:szCs w:val="24"/>
          <w:highlight w:val="none"/>
        </w:rPr>
      </w:pPr>
      <w:bookmarkStart w:id="571" w:name="_Toc386467071"/>
      <w:bookmarkStart w:id="572" w:name="_Toc393546325"/>
      <w:bookmarkStart w:id="573" w:name="_Toc43475799"/>
      <w:r>
        <w:rPr>
          <w:rFonts w:hint="eastAsia" w:ascii="宋体" w:hAnsi="宋体"/>
          <w:color w:val="auto"/>
          <w:sz w:val="24"/>
          <w:szCs w:val="24"/>
          <w:highlight w:val="none"/>
        </w:rPr>
        <w:t>7. 交通运输</w:t>
      </w:r>
      <w:bookmarkEnd w:id="571"/>
      <w:bookmarkEnd w:id="572"/>
      <w:bookmarkEnd w:id="573"/>
    </w:p>
    <w:p w14:paraId="1B090A38">
      <w:pPr>
        <w:pStyle w:val="67"/>
        <w:ind w:firstLine="118"/>
        <w:rPr>
          <w:rFonts w:ascii="宋体" w:eastAsia="宋体"/>
          <w:color w:val="auto"/>
          <w:szCs w:val="24"/>
          <w:highlight w:val="none"/>
        </w:rPr>
      </w:pPr>
      <w:bookmarkStart w:id="574" w:name="_Toc393546326"/>
      <w:bookmarkStart w:id="575" w:name="_Toc386467072"/>
      <w:bookmarkStart w:id="576" w:name="_Toc43475800"/>
      <w:r>
        <w:rPr>
          <w:rFonts w:hint="eastAsia" w:ascii="宋体" w:eastAsia="宋体"/>
          <w:color w:val="auto"/>
          <w:szCs w:val="24"/>
          <w:highlight w:val="none"/>
        </w:rPr>
        <w:t>7.1 道路通行权和场外设施</w:t>
      </w:r>
      <w:bookmarkEnd w:id="574"/>
      <w:bookmarkEnd w:id="575"/>
      <w:bookmarkEnd w:id="576"/>
    </w:p>
    <w:p w14:paraId="46EA356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7C408FAA">
      <w:pPr>
        <w:pStyle w:val="67"/>
        <w:ind w:firstLine="118"/>
        <w:rPr>
          <w:rFonts w:ascii="宋体" w:eastAsia="宋体"/>
          <w:color w:val="auto"/>
          <w:szCs w:val="24"/>
          <w:highlight w:val="none"/>
        </w:rPr>
      </w:pPr>
      <w:bookmarkStart w:id="577" w:name="_Toc152042441"/>
      <w:bookmarkStart w:id="578" w:name="_Toc393546327"/>
      <w:bookmarkStart w:id="579" w:name="_Toc330406268"/>
      <w:bookmarkStart w:id="580" w:name="_Toc144974631"/>
      <w:bookmarkStart w:id="581" w:name="_Toc152045663"/>
      <w:bookmarkStart w:id="582" w:name="_Toc43475801"/>
      <w:bookmarkStart w:id="583" w:name="_Toc179632681"/>
      <w:bookmarkStart w:id="584" w:name="_Toc386467073"/>
      <w:r>
        <w:rPr>
          <w:rFonts w:hint="eastAsia" w:ascii="宋体" w:eastAsia="宋体"/>
          <w:color w:val="auto"/>
          <w:szCs w:val="24"/>
          <w:highlight w:val="none"/>
        </w:rPr>
        <w:t>7.2 场内施工道路</w:t>
      </w:r>
      <w:bookmarkEnd w:id="577"/>
      <w:bookmarkEnd w:id="578"/>
      <w:bookmarkEnd w:id="579"/>
      <w:bookmarkEnd w:id="580"/>
      <w:bookmarkEnd w:id="581"/>
      <w:bookmarkEnd w:id="582"/>
      <w:bookmarkEnd w:id="583"/>
      <w:bookmarkEnd w:id="584"/>
    </w:p>
    <w:p w14:paraId="246EEEC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7.2.1 除专用合同条款另有约定外，承包人应负责修建、维修、养护和管理施工所需的临时道路和交通设施，包括维修、养护和管理发包人提供的道路和交通设施，并承担相应费用。</w:t>
      </w:r>
    </w:p>
    <w:p w14:paraId="767F191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7.2.2 除专用合同条款另有约定外，承包人修建的临时道路和交通设施应免费提供发包人和监理人使用。</w:t>
      </w:r>
    </w:p>
    <w:p w14:paraId="1D71B1AF">
      <w:pPr>
        <w:pStyle w:val="67"/>
        <w:ind w:firstLine="118"/>
        <w:rPr>
          <w:rFonts w:ascii="宋体" w:eastAsia="宋体"/>
          <w:color w:val="auto"/>
          <w:szCs w:val="24"/>
          <w:highlight w:val="none"/>
        </w:rPr>
      </w:pPr>
      <w:bookmarkStart w:id="585" w:name="_Toc393546328"/>
      <w:bookmarkStart w:id="586" w:name="_Toc43475802"/>
      <w:bookmarkStart w:id="587" w:name="_Toc179632682"/>
      <w:bookmarkStart w:id="588" w:name="_Toc386467074"/>
      <w:bookmarkStart w:id="589" w:name="_Toc152045664"/>
      <w:bookmarkStart w:id="590" w:name="_Toc144974632"/>
      <w:bookmarkStart w:id="591" w:name="_Toc330406269"/>
      <w:bookmarkStart w:id="592" w:name="_Toc152042442"/>
      <w:r>
        <w:rPr>
          <w:rFonts w:hint="eastAsia" w:ascii="宋体" w:eastAsia="宋体"/>
          <w:color w:val="auto"/>
          <w:szCs w:val="24"/>
          <w:highlight w:val="none"/>
        </w:rPr>
        <w:t>7.3 场外交通</w:t>
      </w:r>
      <w:bookmarkEnd w:id="585"/>
      <w:bookmarkEnd w:id="586"/>
      <w:bookmarkEnd w:id="587"/>
      <w:bookmarkEnd w:id="588"/>
      <w:bookmarkEnd w:id="589"/>
      <w:bookmarkEnd w:id="590"/>
      <w:bookmarkEnd w:id="591"/>
      <w:bookmarkEnd w:id="592"/>
    </w:p>
    <w:p w14:paraId="1F9FF64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7.3.1 承包人车辆外出行驶所需的场外公共道路的通行费、养路费和税款等由承包人承担。</w:t>
      </w:r>
    </w:p>
    <w:p w14:paraId="3D44A35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7.3.2 承包人应遵守有关交通法规，严格按照道路和桥梁的限制荷重安全行驶，并服从交通管理部门的检查和监督。</w:t>
      </w:r>
    </w:p>
    <w:p w14:paraId="7444E470">
      <w:pPr>
        <w:pStyle w:val="67"/>
        <w:ind w:firstLine="118"/>
        <w:rPr>
          <w:rFonts w:ascii="宋体" w:eastAsia="宋体"/>
          <w:color w:val="auto"/>
          <w:szCs w:val="24"/>
          <w:highlight w:val="none"/>
        </w:rPr>
      </w:pPr>
      <w:bookmarkStart w:id="593" w:name="_Toc43475803"/>
      <w:bookmarkStart w:id="594" w:name="_Toc152045665"/>
      <w:bookmarkStart w:id="595" w:name="_Toc144974633"/>
      <w:bookmarkStart w:id="596" w:name="_Toc330406270"/>
      <w:bookmarkStart w:id="597" w:name="_Toc152042443"/>
      <w:bookmarkStart w:id="598" w:name="_Toc386467075"/>
      <w:bookmarkStart w:id="599" w:name="_Toc179632683"/>
      <w:bookmarkStart w:id="600" w:name="_Toc393546329"/>
      <w:r>
        <w:rPr>
          <w:rFonts w:hint="eastAsia" w:ascii="宋体" w:eastAsia="宋体"/>
          <w:color w:val="auto"/>
          <w:szCs w:val="24"/>
          <w:highlight w:val="none"/>
        </w:rPr>
        <w:t>7.4 超大件和超重件的运输</w:t>
      </w:r>
      <w:bookmarkEnd w:id="593"/>
      <w:bookmarkEnd w:id="594"/>
      <w:bookmarkEnd w:id="595"/>
      <w:bookmarkEnd w:id="596"/>
      <w:bookmarkEnd w:id="597"/>
      <w:bookmarkEnd w:id="598"/>
      <w:bookmarkEnd w:id="599"/>
      <w:bookmarkEnd w:id="600"/>
    </w:p>
    <w:p w14:paraId="7C3683D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FA74CF7">
      <w:pPr>
        <w:pStyle w:val="67"/>
        <w:ind w:firstLine="118"/>
        <w:rPr>
          <w:rFonts w:ascii="宋体" w:eastAsia="宋体"/>
          <w:color w:val="auto"/>
          <w:szCs w:val="24"/>
          <w:highlight w:val="none"/>
        </w:rPr>
      </w:pPr>
      <w:bookmarkStart w:id="601" w:name="_Toc152045666"/>
      <w:bookmarkStart w:id="602" w:name="_Toc152042444"/>
      <w:bookmarkStart w:id="603" w:name="_Toc144974634"/>
      <w:bookmarkStart w:id="604" w:name="_Toc330406271"/>
      <w:bookmarkStart w:id="605" w:name="_Toc43475804"/>
      <w:bookmarkStart w:id="606" w:name="_Toc179632684"/>
      <w:bookmarkStart w:id="607" w:name="_Toc393546330"/>
      <w:bookmarkStart w:id="608" w:name="_Toc386467076"/>
      <w:r>
        <w:rPr>
          <w:rFonts w:hint="eastAsia" w:ascii="宋体" w:eastAsia="宋体"/>
          <w:color w:val="auto"/>
          <w:szCs w:val="24"/>
          <w:highlight w:val="none"/>
        </w:rPr>
        <w:t>7.5 道路和桥梁的损坏责任</w:t>
      </w:r>
      <w:bookmarkEnd w:id="601"/>
      <w:bookmarkEnd w:id="602"/>
      <w:bookmarkEnd w:id="603"/>
      <w:bookmarkEnd w:id="604"/>
      <w:bookmarkEnd w:id="605"/>
      <w:bookmarkEnd w:id="606"/>
      <w:bookmarkEnd w:id="607"/>
      <w:bookmarkEnd w:id="608"/>
    </w:p>
    <w:p w14:paraId="03A55F5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因承包人运输造成施工场地内外公共道路和桥梁损坏的，由承包人承担修复损坏的全部费用和可能引起的赔偿。</w:t>
      </w:r>
    </w:p>
    <w:p w14:paraId="67E35C33">
      <w:pPr>
        <w:pStyle w:val="67"/>
        <w:ind w:firstLine="118"/>
        <w:rPr>
          <w:rFonts w:ascii="宋体" w:eastAsia="宋体"/>
          <w:color w:val="auto"/>
          <w:szCs w:val="24"/>
          <w:highlight w:val="none"/>
        </w:rPr>
      </w:pPr>
      <w:bookmarkStart w:id="609" w:name="_Toc179632685"/>
      <w:bookmarkStart w:id="610" w:name="_Toc152042445"/>
      <w:bookmarkStart w:id="611" w:name="_Toc386467077"/>
      <w:bookmarkStart w:id="612" w:name="_Toc393546331"/>
      <w:bookmarkStart w:id="613" w:name="_Toc43475805"/>
      <w:bookmarkStart w:id="614" w:name="_Toc144974635"/>
      <w:bookmarkStart w:id="615" w:name="_Toc152045667"/>
      <w:bookmarkStart w:id="616" w:name="_Toc330406272"/>
      <w:r>
        <w:rPr>
          <w:rFonts w:hint="eastAsia" w:ascii="宋体" w:eastAsia="宋体"/>
          <w:color w:val="auto"/>
          <w:szCs w:val="24"/>
          <w:highlight w:val="none"/>
        </w:rPr>
        <w:t>7.6 水路和航空运输</w:t>
      </w:r>
      <w:bookmarkEnd w:id="609"/>
      <w:bookmarkEnd w:id="610"/>
      <w:bookmarkEnd w:id="611"/>
      <w:bookmarkEnd w:id="612"/>
      <w:bookmarkEnd w:id="613"/>
      <w:bookmarkEnd w:id="614"/>
      <w:bookmarkEnd w:id="615"/>
      <w:bookmarkEnd w:id="616"/>
    </w:p>
    <w:p w14:paraId="636C226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14:paraId="205CF0D0">
      <w:pPr>
        <w:pStyle w:val="78"/>
        <w:rPr>
          <w:rFonts w:ascii="宋体" w:hAnsi="宋体"/>
          <w:color w:val="auto"/>
          <w:sz w:val="24"/>
          <w:szCs w:val="24"/>
          <w:highlight w:val="none"/>
        </w:rPr>
      </w:pPr>
      <w:bookmarkStart w:id="617" w:name="_Toc393546332"/>
      <w:bookmarkStart w:id="618" w:name="_Toc43475806"/>
      <w:bookmarkStart w:id="619" w:name="_Toc386467078"/>
      <w:r>
        <w:rPr>
          <w:rFonts w:hint="eastAsia" w:ascii="宋体" w:hAnsi="宋体"/>
          <w:color w:val="auto"/>
          <w:sz w:val="24"/>
          <w:szCs w:val="24"/>
          <w:highlight w:val="none"/>
        </w:rPr>
        <w:t>8. 测量放线</w:t>
      </w:r>
      <w:bookmarkEnd w:id="617"/>
      <w:bookmarkEnd w:id="618"/>
      <w:bookmarkEnd w:id="619"/>
    </w:p>
    <w:p w14:paraId="51CDF98C">
      <w:pPr>
        <w:pStyle w:val="67"/>
        <w:ind w:firstLine="118"/>
        <w:rPr>
          <w:rFonts w:ascii="宋体" w:eastAsia="宋体"/>
          <w:color w:val="auto"/>
          <w:szCs w:val="24"/>
          <w:highlight w:val="none"/>
        </w:rPr>
      </w:pPr>
      <w:bookmarkStart w:id="620" w:name="_Toc152045669"/>
      <w:bookmarkStart w:id="621" w:name="_Toc393546333"/>
      <w:bookmarkStart w:id="622" w:name="_Toc144974637"/>
      <w:bookmarkStart w:id="623" w:name="_Toc386467079"/>
      <w:bookmarkStart w:id="624" w:name="_Toc152042447"/>
      <w:bookmarkStart w:id="625" w:name="_Toc43475807"/>
      <w:bookmarkStart w:id="626" w:name="_Toc179632687"/>
      <w:bookmarkStart w:id="627" w:name="_Toc330406274"/>
      <w:r>
        <w:rPr>
          <w:rFonts w:hint="eastAsia" w:ascii="宋体" w:eastAsia="宋体"/>
          <w:color w:val="auto"/>
          <w:szCs w:val="24"/>
          <w:highlight w:val="none"/>
        </w:rPr>
        <w:t>8.1 施工控制网</w:t>
      </w:r>
      <w:bookmarkEnd w:id="620"/>
      <w:bookmarkEnd w:id="621"/>
      <w:bookmarkEnd w:id="622"/>
      <w:bookmarkEnd w:id="623"/>
      <w:bookmarkEnd w:id="624"/>
      <w:bookmarkEnd w:id="625"/>
      <w:bookmarkEnd w:id="626"/>
      <w:bookmarkEnd w:id="627"/>
    </w:p>
    <w:p w14:paraId="6B18432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69482AB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8.1.2承包人应负责管理施工控制网点。施工控制网点丢失或损坏的，承包人应及时修复。承包人应承担施工控制网点的管理与修复费用，并在工程竣工后将施工控制网点移交发包人。</w:t>
      </w:r>
    </w:p>
    <w:p w14:paraId="223A0F42">
      <w:pPr>
        <w:pStyle w:val="67"/>
        <w:ind w:firstLine="118"/>
        <w:rPr>
          <w:rFonts w:ascii="宋体" w:eastAsia="宋体"/>
          <w:color w:val="auto"/>
          <w:szCs w:val="24"/>
          <w:highlight w:val="none"/>
        </w:rPr>
      </w:pPr>
      <w:bookmarkStart w:id="628" w:name="_Toc179632688"/>
      <w:bookmarkStart w:id="629" w:name="_Toc43475808"/>
      <w:bookmarkStart w:id="630" w:name="_Toc393546334"/>
      <w:bookmarkStart w:id="631" w:name="_Toc386467080"/>
      <w:bookmarkStart w:id="632" w:name="_Toc144974638"/>
      <w:bookmarkStart w:id="633" w:name="_Toc152045670"/>
      <w:bookmarkStart w:id="634" w:name="_Toc152042448"/>
      <w:bookmarkStart w:id="635" w:name="_Toc330406275"/>
      <w:r>
        <w:rPr>
          <w:rFonts w:hint="eastAsia" w:ascii="宋体" w:eastAsia="宋体"/>
          <w:color w:val="auto"/>
          <w:szCs w:val="24"/>
          <w:highlight w:val="none"/>
        </w:rPr>
        <w:t>8.2 施工测量</w:t>
      </w:r>
      <w:bookmarkEnd w:id="628"/>
      <w:bookmarkEnd w:id="629"/>
      <w:bookmarkEnd w:id="630"/>
      <w:bookmarkEnd w:id="631"/>
      <w:bookmarkEnd w:id="632"/>
      <w:bookmarkEnd w:id="633"/>
      <w:bookmarkEnd w:id="634"/>
      <w:bookmarkEnd w:id="635"/>
    </w:p>
    <w:p w14:paraId="71A163B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8.2.1承包人应负责施工过程中的全部施工测量放线工作，并配置合格的人员、仪器、设备和其他物品。</w:t>
      </w:r>
    </w:p>
    <w:p w14:paraId="25CDF1C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8.2.2监理人可以指示承包人进行抽样复测，当复测中发现错误或出现超过合同约定的误差时，承包人应按监理人指示进行修正或补测，并承担相应的复测费用。</w:t>
      </w:r>
    </w:p>
    <w:p w14:paraId="122B57CC">
      <w:pPr>
        <w:pStyle w:val="67"/>
        <w:ind w:firstLine="118"/>
        <w:rPr>
          <w:rFonts w:ascii="宋体" w:eastAsia="宋体"/>
          <w:color w:val="auto"/>
          <w:szCs w:val="24"/>
          <w:highlight w:val="none"/>
        </w:rPr>
      </w:pPr>
      <w:bookmarkStart w:id="636" w:name="_Toc330406276"/>
      <w:bookmarkStart w:id="637" w:name="_Toc386467081"/>
      <w:bookmarkStart w:id="638" w:name="_Toc179632689"/>
      <w:bookmarkStart w:id="639" w:name="_Toc144974639"/>
      <w:bookmarkStart w:id="640" w:name="_Toc152045671"/>
      <w:bookmarkStart w:id="641" w:name="_Toc152042449"/>
      <w:bookmarkStart w:id="642" w:name="_Toc43475809"/>
      <w:bookmarkStart w:id="643" w:name="_Toc393546335"/>
      <w:r>
        <w:rPr>
          <w:rFonts w:hint="eastAsia" w:ascii="宋体" w:eastAsia="宋体"/>
          <w:color w:val="auto"/>
          <w:szCs w:val="24"/>
          <w:highlight w:val="none"/>
        </w:rPr>
        <w:t>8.3 基准资料错误的责任</w:t>
      </w:r>
      <w:bookmarkEnd w:id="636"/>
      <w:bookmarkEnd w:id="637"/>
      <w:bookmarkEnd w:id="638"/>
      <w:bookmarkEnd w:id="639"/>
      <w:bookmarkEnd w:id="640"/>
      <w:bookmarkEnd w:id="641"/>
      <w:bookmarkEnd w:id="642"/>
      <w:bookmarkEnd w:id="643"/>
    </w:p>
    <w:p w14:paraId="399D46D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2A04C70">
      <w:pPr>
        <w:pStyle w:val="67"/>
        <w:ind w:firstLine="118"/>
        <w:rPr>
          <w:rFonts w:ascii="宋体" w:eastAsia="宋体"/>
          <w:color w:val="auto"/>
          <w:szCs w:val="24"/>
          <w:highlight w:val="none"/>
        </w:rPr>
      </w:pPr>
      <w:bookmarkStart w:id="644" w:name="_Toc43475810"/>
      <w:bookmarkStart w:id="645" w:name="_Toc393546336"/>
      <w:bookmarkStart w:id="646" w:name="_Toc386467082"/>
      <w:r>
        <w:rPr>
          <w:rFonts w:hint="eastAsia" w:ascii="宋体" w:eastAsia="宋体"/>
          <w:color w:val="auto"/>
          <w:szCs w:val="24"/>
          <w:highlight w:val="none"/>
        </w:rPr>
        <w:t>8.4 监理人使用施工控制网</w:t>
      </w:r>
      <w:bookmarkEnd w:id="644"/>
      <w:bookmarkEnd w:id="645"/>
      <w:bookmarkEnd w:id="646"/>
    </w:p>
    <w:p w14:paraId="1BFBC720">
      <w:pPr>
        <w:spacing w:line="400" w:lineRule="exact"/>
        <w:ind w:firstLine="480" w:firstLineChars="200"/>
        <w:rPr>
          <w:rFonts w:ascii="宋体" w:hAnsi="宋体" w:cs="宋体"/>
          <w:dstrike/>
          <w:color w:val="auto"/>
          <w:sz w:val="24"/>
          <w:highlight w:val="none"/>
        </w:rPr>
      </w:pPr>
      <w:r>
        <w:rPr>
          <w:rFonts w:hint="eastAsia" w:ascii="宋体" w:hAnsi="宋体" w:cs="宋体"/>
          <w:color w:val="auto"/>
          <w:sz w:val="24"/>
          <w:highlight w:val="none"/>
        </w:rPr>
        <w:t>监理人需要使用施工控制网的，承包人应提供必要的协助，发包人不再为此支付费用。</w:t>
      </w:r>
    </w:p>
    <w:p w14:paraId="3915B2F0">
      <w:pPr>
        <w:pStyle w:val="78"/>
        <w:rPr>
          <w:rFonts w:ascii="宋体" w:hAnsi="宋体"/>
          <w:color w:val="auto"/>
          <w:sz w:val="24"/>
          <w:szCs w:val="24"/>
          <w:highlight w:val="none"/>
        </w:rPr>
      </w:pPr>
      <w:bookmarkStart w:id="647" w:name="_Toc43475811"/>
      <w:bookmarkStart w:id="648" w:name="_Toc386467083"/>
      <w:bookmarkStart w:id="649" w:name="_Toc393546337"/>
      <w:r>
        <w:rPr>
          <w:rFonts w:hint="eastAsia" w:ascii="宋体" w:hAnsi="宋体"/>
          <w:color w:val="auto"/>
          <w:sz w:val="24"/>
          <w:szCs w:val="24"/>
          <w:highlight w:val="none"/>
        </w:rPr>
        <w:t>9. 施工安全、治安保卫和环境保护</w:t>
      </w:r>
      <w:bookmarkEnd w:id="647"/>
      <w:bookmarkEnd w:id="648"/>
      <w:bookmarkEnd w:id="649"/>
    </w:p>
    <w:p w14:paraId="5AF49561">
      <w:pPr>
        <w:pStyle w:val="67"/>
        <w:ind w:firstLine="118"/>
        <w:rPr>
          <w:rFonts w:ascii="宋体" w:eastAsia="宋体"/>
          <w:color w:val="auto"/>
          <w:szCs w:val="24"/>
          <w:highlight w:val="none"/>
        </w:rPr>
      </w:pPr>
      <w:bookmarkStart w:id="650" w:name="_Toc386467084"/>
      <w:bookmarkStart w:id="651" w:name="_Toc43475812"/>
      <w:bookmarkStart w:id="652" w:name="_Toc179632692"/>
      <w:bookmarkStart w:id="653" w:name="_Toc393546338"/>
      <w:bookmarkStart w:id="654" w:name="_Toc152042452"/>
      <w:bookmarkStart w:id="655" w:name="_Toc330406279"/>
      <w:bookmarkStart w:id="656" w:name="_Toc144974642"/>
      <w:bookmarkStart w:id="657" w:name="_Toc152045674"/>
      <w:r>
        <w:rPr>
          <w:rFonts w:hint="eastAsia" w:ascii="宋体" w:eastAsia="宋体"/>
          <w:color w:val="auto"/>
          <w:szCs w:val="24"/>
          <w:highlight w:val="none"/>
        </w:rPr>
        <w:t>9.1 发包人的施工安全责任</w:t>
      </w:r>
      <w:bookmarkEnd w:id="650"/>
      <w:bookmarkEnd w:id="651"/>
      <w:bookmarkEnd w:id="652"/>
      <w:bookmarkEnd w:id="653"/>
      <w:bookmarkEnd w:id="654"/>
      <w:bookmarkEnd w:id="655"/>
      <w:bookmarkEnd w:id="656"/>
      <w:bookmarkEnd w:id="657"/>
    </w:p>
    <w:p w14:paraId="42D944B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9.1.1 发包人应按合同约定履行安全职责，授权监理人按合同约定的安全工作内容监督、检查承包人安全工作的实施，组织承包人和有关单位进行安全检查。</w:t>
      </w:r>
    </w:p>
    <w:p w14:paraId="5688014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9.1.2 发包人应对其现场机构雇佣的全部人员的工伤事故承担责任，但由于承包人原因造成发包人人员工伤的，应由承包人承担责任。</w:t>
      </w:r>
    </w:p>
    <w:p w14:paraId="7A1604F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9.1.3 发包人应负责赔偿以下各种情况造成的第三者人身伤亡和财产损失：</w:t>
      </w:r>
    </w:p>
    <w:p w14:paraId="5F4C73F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工程或工程的任何部分对土地的占用所造成的第三者财产损失；</w:t>
      </w:r>
    </w:p>
    <w:p w14:paraId="7B6CD07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由于发包人原因在施工场地及其毗邻地带造成的第三者人身伤亡和财产损失。</w:t>
      </w:r>
    </w:p>
    <w:p w14:paraId="62D7ABE1">
      <w:pPr>
        <w:pStyle w:val="67"/>
        <w:ind w:firstLine="118"/>
        <w:rPr>
          <w:rFonts w:ascii="宋体" w:eastAsia="宋体"/>
          <w:color w:val="auto"/>
          <w:szCs w:val="24"/>
          <w:highlight w:val="none"/>
        </w:rPr>
      </w:pPr>
      <w:bookmarkStart w:id="658" w:name="_Toc43475813"/>
      <w:bookmarkStart w:id="659" w:name="_Toc386467085"/>
      <w:bookmarkStart w:id="660" w:name="_Toc393546339"/>
      <w:r>
        <w:rPr>
          <w:rFonts w:hint="eastAsia" w:ascii="宋体" w:eastAsia="宋体"/>
          <w:color w:val="auto"/>
          <w:szCs w:val="24"/>
          <w:highlight w:val="none"/>
        </w:rPr>
        <w:t>9.2 承包人的施工安全责任</w:t>
      </w:r>
      <w:bookmarkEnd w:id="658"/>
      <w:bookmarkEnd w:id="659"/>
      <w:bookmarkEnd w:id="660"/>
    </w:p>
    <w:p w14:paraId="38899F9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9.2.1 承包人应按合同约定履行安全职责,执行监理人有关安全工作的指示,并在专用合同条款约定的期限内，按合同约定的安全工作内容，编制施工安全措施计划报送监理人审批。</w:t>
      </w:r>
    </w:p>
    <w:p w14:paraId="0DDC51A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9.2.2 承包人应加强施工作业安全管理，特别应加强易燃、易爆材料、火工器材、有毒与腐蚀性材料和其他危险品的管理，以及对爆破作业和地下工程施工等危险作业的管理。</w:t>
      </w:r>
    </w:p>
    <w:p w14:paraId="6E3493B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9.2.3 承包人应严格按照国家安全标准制定施工安全操作规程，配备必要的安全生产和劳动保护设施，加强对承包人人员的安全教育，并发放安全工作手册和劳动保护用具。</w:t>
      </w:r>
    </w:p>
    <w:p w14:paraId="6046F25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9.2.4 承包人应按监理人的指示制定应对灾害的紧急预案，报送监理人审批。承包人还应按预案做好安全检查，配置必要的救助物资和器材，切实保护好有关人员的人身和财产安全。</w:t>
      </w:r>
    </w:p>
    <w:p w14:paraId="4241FFE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497AAF3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9.2.6 承包人应对其履行合同所雇佣的全部人员，包括分包人人员的工伤事故承担责任，但由于发包人原因造成承包人人员工伤事故的，应由发包人承担责任。</w:t>
      </w:r>
    </w:p>
    <w:p w14:paraId="605C226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9.2.7 由于承包人原因在施工场地内及其毗邻地带造成的第三者人员伤亡和财产损失，由承包人负责赔偿。</w:t>
      </w:r>
    </w:p>
    <w:p w14:paraId="6560F1D4">
      <w:pPr>
        <w:pStyle w:val="67"/>
        <w:ind w:firstLine="118"/>
        <w:rPr>
          <w:rFonts w:ascii="宋体" w:eastAsia="宋体"/>
          <w:color w:val="auto"/>
          <w:szCs w:val="24"/>
          <w:highlight w:val="none"/>
        </w:rPr>
      </w:pPr>
      <w:bookmarkStart w:id="661" w:name="_Toc179632694"/>
      <w:bookmarkStart w:id="662" w:name="_Toc152045676"/>
      <w:bookmarkStart w:id="663" w:name="_Toc144974644"/>
      <w:bookmarkStart w:id="664" w:name="_Toc330406281"/>
      <w:bookmarkStart w:id="665" w:name="_Toc152042454"/>
      <w:bookmarkStart w:id="666" w:name="_Toc386467086"/>
      <w:bookmarkStart w:id="667" w:name="_Toc43475814"/>
      <w:bookmarkStart w:id="668" w:name="_Toc393546340"/>
      <w:r>
        <w:rPr>
          <w:rFonts w:hint="eastAsia" w:ascii="宋体" w:eastAsia="宋体"/>
          <w:color w:val="auto"/>
          <w:szCs w:val="24"/>
          <w:highlight w:val="none"/>
        </w:rPr>
        <w:t>9.3 治安保卫</w:t>
      </w:r>
      <w:bookmarkEnd w:id="661"/>
      <w:bookmarkEnd w:id="662"/>
      <w:bookmarkEnd w:id="663"/>
      <w:bookmarkEnd w:id="664"/>
      <w:bookmarkEnd w:id="665"/>
      <w:bookmarkEnd w:id="666"/>
      <w:bookmarkEnd w:id="667"/>
      <w:bookmarkEnd w:id="668"/>
    </w:p>
    <w:p w14:paraId="132D445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9.3.1 除合同另有约定外，发包人应与当地公安部门协商，在现场建立治安管理机构或联防组织，统一管理施工场地的治安保卫事项，履行合同工程的治安保卫职责。</w:t>
      </w:r>
    </w:p>
    <w:p w14:paraId="4B6D4D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9.3.2 发包人和承包人除应协助现场治安管理机构或联防组织维护施工场地的社会治安外，还应做好包括生活区在内的各自管辖区的治安保卫工作。</w:t>
      </w:r>
    </w:p>
    <w:p w14:paraId="381A00A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0B21E198">
      <w:pPr>
        <w:pStyle w:val="67"/>
        <w:ind w:firstLine="118"/>
        <w:rPr>
          <w:rFonts w:ascii="宋体" w:eastAsia="宋体"/>
          <w:color w:val="auto"/>
          <w:szCs w:val="24"/>
          <w:highlight w:val="none"/>
        </w:rPr>
      </w:pPr>
      <w:bookmarkStart w:id="669" w:name="_Toc386467087"/>
      <w:bookmarkStart w:id="670" w:name="_Toc393546341"/>
      <w:bookmarkStart w:id="671" w:name="_Toc43475815"/>
      <w:r>
        <w:rPr>
          <w:rFonts w:hint="eastAsia" w:ascii="宋体" w:eastAsia="宋体"/>
          <w:color w:val="auto"/>
          <w:szCs w:val="24"/>
          <w:highlight w:val="none"/>
        </w:rPr>
        <w:t>9.4 环境保护</w:t>
      </w:r>
      <w:bookmarkEnd w:id="669"/>
      <w:bookmarkEnd w:id="670"/>
      <w:bookmarkEnd w:id="671"/>
    </w:p>
    <w:p w14:paraId="7461B57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9.4.1 承包人在施工过程中，应遵守有关环境保护的法律，履行合同约定的环境保护义务，并对违反法律和合同约定义务所造成的环境破坏、人身伤害和财产损失负责。</w:t>
      </w:r>
    </w:p>
    <w:p w14:paraId="1EA008E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9.4.2 承包人应按合同约定的环保工作内容，编制施工环保措施计划，报送监理人审批。</w:t>
      </w:r>
    </w:p>
    <w:p w14:paraId="1A9BB85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616430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9.4.4 承包人应按合同约定采取有效措施，对施工开挖的边坡及时进行支护,维护排水设施，并进行水土保护，避免因施工造成的地质灾害。</w:t>
      </w:r>
    </w:p>
    <w:p w14:paraId="67116E4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9.4.5 承包人应按国家饮用水管理标准定期对饮用水源进行监测，防止施工活动污染饮用水源。</w:t>
      </w:r>
    </w:p>
    <w:p w14:paraId="0F73206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9.4.6 承包人应按合同约定，加强对噪声、粉尘、废气、废水和废油的控制，努力降低噪声，控制粉尘和废气浓度，做好废水和废油的治理和排放。</w:t>
      </w:r>
    </w:p>
    <w:p w14:paraId="2F5ECF65">
      <w:pPr>
        <w:pStyle w:val="67"/>
        <w:ind w:firstLine="118"/>
        <w:rPr>
          <w:rFonts w:ascii="宋体" w:eastAsia="宋体"/>
          <w:color w:val="auto"/>
          <w:szCs w:val="24"/>
          <w:highlight w:val="none"/>
        </w:rPr>
      </w:pPr>
      <w:bookmarkStart w:id="672" w:name="_Toc152042456"/>
      <w:bookmarkStart w:id="673" w:name="_Toc179632696"/>
      <w:bookmarkStart w:id="674" w:name="_Toc386467088"/>
      <w:bookmarkStart w:id="675" w:name="_Toc393546342"/>
      <w:bookmarkStart w:id="676" w:name="_Toc144974646"/>
      <w:bookmarkStart w:id="677" w:name="_Toc43475816"/>
      <w:bookmarkStart w:id="678" w:name="_Toc330406283"/>
      <w:bookmarkStart w:id="679" w:name="_Toc152045678"/>
      <w:r>
        <w:rPr>
          <w:rFonts w:hint="eastAsia" w:ascii="宋体" w:eastAsia="宋体"/>
          <w:color w:val="auto"/>
          <w:szCs w:val="24"/>
          <w:highlight w:val="none"/>
        </w:rPr>
        <w:t>9.5 事故处理</w:t>
      </w:r>
      <w:bookmarkEnd w:id="672"/>
      <w:bookmarkEnd w:id="673"/>
      <w:bookmarkEnd w:id="674"/>
      <w:bookmarkEnd w:id="675"/>
      <w:bookmarkEnd w:id="676"/>
      <w:bookmarkEnd w:id="677"/>
      <w:bookmarkEnd w:id="678"/>
      <w:bookmarkEnd w:id="679"/>
    </w:p>
    <w:p w14:paraId="2F78542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8923737">
      <w:pPr>
        <w:pStyle w:val="78"/>
        <w:rPr>
          <w:rFonts w:ascii="宋体" w:hAnsi="宋体"/>
          <w:color w:val="auto"/>
          <w:sz w:val="24"/>
          <w:szCs w:val="24"/>
          <w:highlight w:val="none"/>
        </w:rPr>
      </w:pPr>
      <w:bookmarkStart w:id="680" w:name="_Toc393546343"/>
      <w:bookmarkStart w:id="681" w:name="_Toc386467089"/>
      <w:bookmarkStart w:id="682" w:name="_Toc43475817"/>
      <w:r>
        <w:rPr>
          <w:rFonts w:hint="eastAsia" w:ascii="宋体" w:hAnsi="宋体"/>
          <w:color w:val="auto"/>
          <w:sz w:val="24"/>
          <w:szCs w:val="24"/>
          <w:highlight w:val="none"/>
        </w:rPr>
        <w:t>10. 进度计划</w:t>
      </w:r>
      <w:bookmarkEnd w:id="680"/>
      <w:bookmarkEnd w:id="681"/>
      <w:bookmarkEnd w:id="682"/>
    </w:p>
    <w:p w14:paraId="4CF35DA0">
      <w:pPr>
        <w:pStyle w:val="67"/>
        <w:ind w:firstLine="118"/>
        <w:rPr>
          <w:rFonts w:ascii="宋体" w:eastAsia="宋体"/>
          <w:color w:val="auto"/>
          <w:szCs w:val="24"/>
          <w:highlight w:val="none"/>
        </w:rPr>
      </w:pPr>
      <w:bookmarkStart w:id="683" w:name="_Toc393546344"/>
      <w:bookmarkStart w:id="684" w:name="_Toc386467090"/>
      <w:bookmarkStart w:id="685" w:name="_Toc43475818"/>
      <w:r>
        <w:rPr>
          <w:rFonts w:hint="eastAsia" w:ascii="宋体" w:eastAsia="宋体"/>
          <w:color w:val="auto"/>
          <w:szCs w:val="24"/>
          <w:highlight w:val="none"/>
        </w:rPr>
        <w:t>10.1 合同进度计划</w:t>
      </w:r>
      <w:bookmarkEnd w:id="683"/>
      <w:bookmarkEnd w:id="684"/>
      <w:bookmarkEnd w:id="685"/>
    </w:p>
    <w:p w14:paraId="38B050F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7C1F5E27">
      <w:pPr>
        <w:pStyle w:val="67"/>
        <w:ind w:firstLine="118"/>
        <w:rPr>
          <w:rFonts w:ascii="宋体" w:eastAsia="宋体"/>
          <w:color w:val="auto"/>
          <w:szCs w:val="24"/>
          <w:highlight w:val="none"/>
        </w:rPr>
      </w:pPr>
      <w:bookmarkStart w:id="686" w:name="_Toc386467091"/>
      <w:bookmarkStart w:id="687" w:name="_Toc43475819"/>
      <w:bookmarkStart w:id="688" w:name="_Toc393546345"/>
      <w:r>
        <w:rPr>
          <w:rFonts w:hint="eastAsia" w:ascii="宋体" w:eastAsia="宋体"/>
          <w:color w:val="auto"/>
          <w:szCs w:val="24"/>
          <w:highlight w:val="none"/>
        </w:rPr>
        <w:t>10.2 合同进度计划的修订</w:t>
      </w:r>
      <w:bookmarkEnd w:id="686"/>
      <w:bookmarkEnd w:id="687"/>
      <w:bookmarkEnd w:id="688"/>
    </w:p>
    <w:p w14:paraId="70EC9B4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7481906F">
      <w:pPr>
        <w:pStyle w:val="78"/>
        <w:rPr>
          <w:rFonts w:ascii="宋体" w:hAnsi="宋体"/>
          <w:color w:val="auto"/>
          <w:sz w:val="24"/>
          <w:szCs w:val="24"/>
          <w:highlight w:val="none"/>
        </w:rPr>
      </w:pPr>
      <w:bookmarkStart w:id="689" w:name="_Toc43475820"/>
      <w:bookmarkStart w:id="690" w:name="_Toc386467092"/>
      <w:bookmarkStart w:id="691" w:name="_Toc393546346"/>
      <w:r>
        <w:rPr>
          <w:rFonts w:hint="eastAsia" w:ascii="宋体" w:hAnsi="宋体"/>
          <w:color w:val="auto"/>
          <w:sz w:val="24"/>
          <w:szCs w:val="24"/>
          <w:highlight w:val="none"/>
        </w:rPr>
        <w:t>11. 开工和竣工</w:t>
      </w:r>
      <w:bookmarkEnd w:id="689"/>
      <w:bookmarkEnd w:id="690"/>
      <w:bookmarkEnd w:id="691"/>
    </w:p>
    <w:p w14:paraId="4F6F6DC2">
      <w:pPr>
        <w:pStyle w:val="67"/>
        <w:ind w:firstLine="118"/>
        <w:rPr>
          <w:rFonts w:ascii="宋体" w:eastAsia="宋体"/>
          <w:color w:val="auto"/>
          <w:szCs w:val="24"/>
          <w:highlight w:val="none"/>
        </w:rPr>
      </w:pPr>
      <w:bookmarkStart w:id="692" w:name="_Toc386467093"/>
      <w:bookmarkStart w:id="693" w:name="_Toc393546347"/>
      <w:bookmarkStart w:id="694" w:name="_Toc43475821"/>
      <w:r>
        <w:rPr>
          <w:rFonts w:hint="eastAsia" w:ascii="宋体" w:eastAsia="宋体"/>
          <w:color w:val="auto"/>
          <w:szCs w:val="24"/>
          <w:highlight w:val="none"/>
        </w:rPr>
        <w:t>11.1 开工</w:t>
      </w:r>
      <w:bookmarkEnd w:id="692"/>
      <w:bookmarkEnd w:id="693"/>
      <w:bookmarkEnd w:id="694"/>
    </w:p>
    <w:p w14:paraId="0396E5D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14:paraId="4E006193">
      <w:pPr>
        <w:spacing w:line="400" w:lineRule="exact"/>
        <w:ind w:firstLine="480" w:firstLineChars="200"/>
        <w:rPr>
          <w:rFonts w:ascii="宋体" w:hAnsi="宋体" w:cs="宋体"/>
          <w:color w:val="auto"/>
          <w:sz w:val="24"/>
          <w:highlight w:val="none"/>
          <w:shd w:val="pct10" w:color="auto" w:fill="FFFFFF"/>
        </w:rPr>
      </w:pPr>
      <w:r>
        <w:rPr>
          <w:rFonts w:hint="eastAsia" w:ascii="宋体" w:hAnsi="宋体" w:cs="宋体"/>
          <w:color w:val="auto"/>
          <w:sz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E0A15BC">
      <w:pPr>
        <w:pStyle w:val="67"/>
        <w:ind w:firstLine="118"/>
        <w:rPr>
          <w:rFonts w:ascii="宋体" w:eastAsia="宋体"/>
          <w:color w:val="auto"/>
          <w:szCs w:val="24"/>
          <w:highlight w:val="none"/>
        </w:rPr>
      </w:pPr>
      <w:bookmarkStart w:id="695" w:name="_Toc393546348"/>
      <w:bookmarkStart w:id="696" w:name="_Toc152045684"/>
      <w:bookmarkStart w:id="697" w:name="_Toc144974652"/>
      <w:bookmarkStart w:id="698" w:name="_Toc179632702"/>
      <w:bookmarkStart w:id="699" w:name="_Toc152042462"/>
      <w:bookmarkStart w:id="700" w:name="_Toc386467094"/>
      <w:bookmarkStart w:id="701" w:name="_Toc43475822"/>
      <w:bookmarkStart w:id="702" w:name="_Toc330406289"/>
      <w:r>
        <w:rPr>
          <w:rFonts w:hint="eastAsia" w:ascii="宋体" w:eastAsia="宋体"/>
          <w:color w:val="auto"/>
          <w:szCs w:val="24"/>
          <w:highlight w:val="none"/>
        </w:rPr>
        <w:t>11.2 竣工</w:t>
      </w:r>
      <w:bookmarkEnd w:id="695"/>
      <w:bookmarkEnd w:id="696"/>
      <w:bookmarkEnd w:id="697"/>
      <w:bookmarkEnd w:id="698"/>
      <w:bookmarkEnd w:id="699"/>
      <w:bookmarkEnd w:id="700"/>
      <w:bookmarkEnd w:id="701"/>
      <w:bookmarkEnd w:id="702"/>
    </w:p>
    <w:p w14:paraId="1749B66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承包人应在第1.1.4.3目约定的期限内完成合同工程。实际竣工日期在接收证书中写明。</w:t>
      </w:r>
    </w:p>
    <w:p w14:paraId="025E0F32">
      <w:pPr>
        <w:pStyle w:val="67"/>
        <w:ind w:firstLine="118"/>
        <w:rPr>
          <w:rFonts w:ascii="宋体" w:eastAsia="宋体"/>
          <w:color w:val="auto"/>
          <w:szCs w:val="24"/>
          <w:highlight w:val="none"/>
        </w:rPr>
      </w:pPr>
      <w:bookmarkStart w:id="703" w:name="_Toc43475823"/>
      <w:bookmarkStart w:id="704" w:name="_Toc393546349"/>
      <w:bookmarkStart w:id="705" w:name="_Toc386467095"/>
      <w:r>
        <w:rPr>
          <w:rFonts w:hint="eastAsia" w:ascii="宋体" w:eastAsia="宋体"/>
          <w:color w:val="auto"/>
          <w:szCs w:val="24"/>
          <w:highlight w:val="none"/>
        </w:rPr>
        <w:t>11.3 发包人的工期延误</w:t>
      </w:r>
      <w:bookmarkEnd w:id="703"/>
      <w:bookmarkEnd w:id="704"/>
      <w:bookmarkEnd w:id="705"/>
    </w:p>
    <w:p w14:paraId="393A16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在履行合同过程中，由于发包人的下列原因造成工期延误的，承包人有权要求发包人延长工期和（或）增加费用，并支付合理利润。需要修订合同进度计划的，按照第10.2款的约定办理。</w:t>
      </w:r>
    </w:p>
    <w:p w14:paraId="6C7923A5">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（1）增加合同工作内容；</w:t>
      </w:r>
    </w:p>
    <w:p w14:paraId="2E9E8588">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（2）改变合同中任何一项工作的质量要求或其他特性；</w:t>
      </w:r>
    </w:p>
    <w:p w14:paraId="748DB69E">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（3）发包人迟延提供材料、工程设备或变更交货地点的；</w:t>
      </w:r>
    </w:p>
    <w:p w14:paraId="4CBEA1A2">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（4）因发包人原因导致的暂停施工；</w:t>
      </w:r>
    </w:p>
    <w:p w14:paraId="286535B8">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（5）提供图纸延误；</w:t>
      </w:r>
    </w:p>
    <w:p w14:paraId="0107AF52">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（6）未按合同约定及时支付预付款、进度款；</w:t>
      </w:r>
    </w:p>
    <w:p w14:paraId="3F29CEE7">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（7）发包人造成工期延误的其他原因。</w:t>
      </w:r>
    </w:p>
    <w:p w14:paraId="2577EEBC">
      <w:pPr>
        <w:pStyle w:val="67"/>
        <w:ind w:firstLine="118"/>
        <w:rPr>
          <w:rFonts w:ascii="宋体" w:eastAsia="宋体"/>
          <w:color w:val="auto"/>
          <w:szCs w:val="24"/>
          <w:highlight w:val="none"/>
        </w:rPr>
      </w:pPr>
      <w:bookmarkStart w:id="706" w:name="_Toc43475824"/>
      <w:bookmarkStart w:id="707" w:name="_Toc386467096"/>
      <w:bookmarkStart w:id="708" w:name="_Toc393546350"/>
      <w:r>
        <w:rPr>
          <w:rFonts w:hint="eastAsia" w:ascii="宋体" w:eastAsia="宋体"/>
          <w:color w:val="auto"/>
          <w:szCs w:val="24"/>
          <w:highlight w:val="none"/>
        </w:rPr>
        <w:t>11.4 异常恶劣的气候条件</w:t>
      </w:r>
      <w:bookmarkEnd w:id="706"/>
      <w:bookmarkEnd w:id="707"/>
      <w:bookmarkEnd w:id="708"/>
    </w:p>
    <w:p w14:paraId="45D29073">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由于出现专用合同条款规定的异常恶劣气候的条件导致工期延误的，承包人有权要求发包人延长工期。</w:t>
      </w:r>
    </w:p>
    <w:p w14:paraId="07EA87D8">
      <w:pPr>
        <w:pStyle w:val="67"/>
        <w:ind w:firstLine="118"/>
        <w:rPr>
          <w:rFonts w:ascii="宋体" w:eastAsia="宋体"/>
          <w:color w:val="auto"/>
          <w:szCs w:val="24"/>
          <w:highlight w:val="none"/>
        </w:rPr>
      </w:pPr>
      <w:bookmarkStart w:id="709" w:name="_Toc386467097"/>
      <w:bookmarkStart w:id="710" w:name="_Toc43475825"/>
      <w:bookmarkStart w:id="711" w:name="_Toc393546351"/>
      <w:r>
        <w:rPr>
          <w:rFonts w:hint="eastAsia" w:ascii="宋体" w:eastAsia="宋体"/>
          <w:color w:val="auto"/>
          <w:szCs w:val="24"/>
          <w:highlight w:val="none"/>
        </w:rPr>
        <w:t>11.5 承包人的工期延误</w:t>
      </w:r>
      <w:bookmarkEnd w:id="709"/>
      <w:bookmarkEnd w:id="710"/>
      <w:bookmarkEnd w:id="711"/>
    </w:p>
    <w:p w14:paraId="3B9B12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67EAFBBC">
      <w:pPr>
        <w:pStyle w:val="67"/>
        <w:ind w:firstLine="118"/>
        <w:rPr>
          <w:rFonts w:ascii="宋体" w:eastAsia="宋体"/>
          <w:color w:val="auto"/>
          <w:szCs w:val="24"/>
          <w:highlight w:val="none"/>
        </w:rPr>
      </w:pPr>
      <w:bookmarkStart w:id="712" w:name="_Toc386467098"/>
      <w:bookmarkStart w:id="713" w:name="_Toc43475826"/>
      <w:bookmarkStart w:id="714" w:name="_Toc393546352"/>
      <w:r>
        <w:rPr>
          <w:rFonts w:hint="eastAsia" w:ascii="宋体" w:eastAsia="宋体"/>
          <w:color w:val="auto"/>
          <w:szCs w:val="24"/>
          <w:highlight w:val="none"/>
        </w:rPr>
        <w:t>11.6 工期提前</w:t>
      </w:r>
      <w:bookmarkEnd w:id="712"/>
      <w:bookmarkEnd w:id="713"/>
      <w:bookmarkEnd w:id="714"/>
    </w:p>
    <w:p w14:paraId="559F967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476200DA">
      <w:pPr>
        <w:pStyle w:val="78"/>
        <w:rPr>
          <w:rFonts w:ascii="宋体" w:hAnsi="宋体"/>
          <w:color w:val="auto"/>
          <w:sz w:val="24"/>
          <w:szCs w:val="24"/>
          <w:highlight w:val="none"/>
        </w:rPr>
      </w:pPr>
      <w:bookmarkStart w:id="715" w:name="_Toc43475827"/>
      <w:bookmarkStart w:id="716" w:name="_Toc393546353"/>
      <w:bookmarkStart w:id="717" w:name="_Toc386467099"/>
      <w:r>
        <w:rPr>
          <w:rFonts w:hint="eastAsia" w:ascii="宋体" w:hAnsi="宋体"/>
          <w:color w:val="auto"/>
          <w:sz w:val="24"/>
          <w:szCs w:val="24"/>
          <w:highlight w:val="none"/>
        </w:rPr>
        <w:t>12. 暂停施工</w:t>
      </w:r>
      <w:bookmarkEnd w:id="715"/>
      <w:bookmarkEnd w:id="716"/>
      <w:bookmarkEnd w:id="717"/>
    </w:p>
    <w:p w14:paraId="2FB1F752">
      <w:pPr>
        <w:pStyle w:val="67"/>
        <w:ind w:firstLine="118"/>
        <w:rPr>
          <w:rFonts w:ascii="宋体" w:eastAsia="宋体"/>
          <w:color w:val="auto"/>
          <w:szCs w:val="24"/>
          <w:highlight w:val="none"/>
        </w:rPr>
      </w:pPr>
      <w:bookmarkStart w:id="718" w:name="_Toc393546354"/>
      <w:bookmarkStart w:id="719" w:name="_Toc386467100"/>
      <w:bookmarkStart w:id="720" w:name="_Toc43475828"/>
      <w:r>
        <w:rPr>
          <w:rFonts w:hint="eastAsia" w:ascii="宋体" w:eastAsia="宋体"/>
          <w:color w:val="auto"/>
          <w:szCs w:val="24"/>
          <w:highlight w:val="none"/>
        </w:rPr>
        <w:t>12.1 承包人暂停施工的责任</w:t>
      </w:r>
      <w:bookmarkEnd w:id="718"/>
      <w:bookmarkEnd w:id="719"/>
      <w:bookmarkEnd w:id="720"/>
    </w:p>
    <w:p w14:paraId="5E99F0F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因下列暂停施工增加的费用和（或）工期延误由承包人承担：</w:t>
      </w:r>
    </w:p>
    <w:p w14:paraId="6F50DEAD">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（1）承包人违约引起的暂停施工；</w:t>
      </w:r>
    </w:p>
    <w:p w14:paraId="328F2BA1">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（2）由于承包人原因为工程合理施工和安全保障所必需的暂停施工；</w:t>
      </w:r>
    </w:p>
    <w:p w14:paraId="326BA82B">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（3）承包人擅自暂停施工；</w:t>
      </w:r>
    </w:p>
    <w:p w14:paraId="0EA209CE">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（4）承包人其他原因引起的暂停施工；</w:t>
      </w:r>
    </w:p>
    <w:p w14:paraId="5194D1C3">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（5）专用合同条款约定由承包人承担的其他暂停施工。</w:t>
      </w:r>
    </w:p>
    <w:p w14:paraId="36F619F1">
      <w:pPr>
        <w:pStyle w:val="67"/>
        <w:ind w:firstLine="118"/>
        <w:rPr>
          <w:rFonts w:ascii="宋体" w:eastAsia="宋体"/>
          <w:color w:val="auto"/>
          <w:szCs w:val="24"/>
          <w:highlight w:val="none"/>
        </w:rPr>
      </w:pPr>
      <w:bookmarkStart w:id="721" w:name="_Toc43475829"/>
      <w:bookmarkStart w:id="722" w:name="_Toc330406296"/>
      <w:bookmarkStart w:id="723" w:name="_Toc393546355"/>
      <w:bookmarkStart w:id="724" w:name="_Toc386467101"/>
      <w:bookmarkStart w:id="725" w:name="_Toc144974660"/>
      <w:bookmarkStart w:id="726" w:name="_Toc152042469"/>
      <w:bookmarkStart w:id="727" w:name="_Toc179632709"/>
      <w:bookmarkStart w:id="728" w:name="_Toc152045691"/>
      <w:r>
        <w:rPr>
          <w:rFonts w:hint="eastAsia" w:ascii="宋体" w:eastAsia="宋体"/>
          <w:color w:val="auto"/>
          <w:szCs w:val="24"/>
          <w:highlight w:val="none"/>
        </w:rPr>
        <w:t>12.2 发包人暂停施工的责任</w:t>
      </w:r>
      <w:bookmarkEnd w:id="721"/>
      <w:bookmarkEnd w:id="722"/>
      <w:bookmarkEnd w:id="723"/>
      <w:bookmarkEnd w:id="724"/>
      <w:bookmarkEnd w:id="725"/>
      <w:bookmarkEnd w:id="726"/>
      <w:bookmarkEnd w:id="727"/>
      <w:bookmarkEnd w:id="728"/>
    </w:p>
    <w:p w14:paraId="2BCD28B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由于发包人原因引起的暂停施工造成工期延误的，承包人有权要求发包人延长工期和（或）增加费用，并支付合理利润。</w:t>
      </w:r>
    </w:p>
    <w:p w14:paraId="1A1886C0">
      <w:pPr>
        <w:pStyle w:val="67"/>
        <w:ind w:firstLine="118"/>
        <w:rPr>
          <w:rFonts w:ascii="宋体" w:eastAsia="宋体"/>
          <w:color w:val="auto"/>
          <w:szCs w:val="24"/>
          <w:highlight w:val="none"/>
        </w:rPr>
      </w:pPr>
      <w:bookmarkStart w:id="729" w:name="_Toc144974661"/>
      <w:bookmarkStart w:id="730" w:name="_Toc152042470"/>
      <w:bookmarkStart w:id="731" w:name="_Toc386467102"/>
      <w:bookmarkStart w:id="732" w:name="_Toc330406297"/>
      <w:bookmarkStart w:id="733" w:name="_Toc179632710"/>
      <w:bookmarkStart w:id="734" w:name="_Toc43475830"/>
      <w:bookmarkStart w:id="735" w:name="_Toc152045692"/>
      <w:bookmarkStart w:id="736" w:name="_Toc393546356"/>
      <w:r>
        <w:rPr>
          <w:rFonts w:hint="eastAsia" w:ascii="宋体" w:eastAsia="宋体"/>
          <w:color w:val="auto"/>
          <w:szCs w:val="24"/>
          <w:highlight w:val="none"/>
        </w:rPr>
        <w:t>12.3 监理人暂停施工指示</w:t>
      </w:r>
      <w:bookmarkEnd w:id="729"/>
      <w:bookmarkEnd w:id="730"/>
      <w:bookmarkEnd w:id="731"/>
      <w:bookmarkEnd w:id="732"/>
      <w:bookmarkEnd w:id="733"/>
      <w:bookmarkEnd w:id="734"/>
      <w:bookmarkEnd w:id="735"/>
      <w:bookmarkEnd w:id="736"/>
    </w:p>
    <w:p w14:paraId="3071FCB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3EC54A9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75FE37C8">
      <w:pPr>
        <w:pStyle w:val="67"/>
        <w:ind w:firstLine="118"/>
        <w:rPr>
          <w:rFonts w:ascii="宋体" w:eastAsia="宋体"/>
          <w:color w:val="auto"/>
          <w:szCs w:val="24"/>
          <w:highlight w:val="none"/>
        </w:rPr>
      </w:pPr>
      <w:bookmarkStart w:id="737" w:name="_Toc179632711"/>
      <w:bookmarkStart w:id="738" w:name="_Toc144974662"/>
      <w:bookmarkStart w:id="739" w:name="_Toc43475831"/>
      <w:bookmarkStart w:id="740" w:name="_Toc330406298"/>
      <w:bookmarkStart w:id="741" w:name="_Toc152045693"/>
      <w:bookmarkStart w:id="742" w:name="_Toc386467103"/>
      <w:bookmarkStart w:id="743" w:name="_Toc393546357"/>
      <w:bookmarkStart w:id="744" w:name="_Toc152042471"/>
      <w:r>
        <w:rPr>
          <w:rFonts w:hint="eastAsia" w:ascii="宋体" w:eastAsia="宋体"/>
          <w:color w:val="auto"/>
          <w:szCs w:val="24"/>
          <w:highlight w:val="none"/>
        </w:rPr>
        <w:t>12.4 暂停施工后的复工</w:t>
      </w:r>
      <w:bookmarkEnd w:id="737"/>
      <w:bookmarkEnd w:id="738"/>
      <w:bookmarkEnd w:id="739"/>
      <w:bookmarkEnd w:id="740"/>
      <w:bookmarkEnd w:id="741"/>
      <w:bookmarkEnd w:id="742"/>
      <w:bookmarkEnd w:id="743"/>
      <w:bookmarkEnd w:id="744"/>
    </w:p>
    <w:p w14:paraId="743D96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444C769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12.4.2 承包人无故拖延和拒绝复工的，由此增加的费用和工期延误由承包人承担；因发包人原因无法按时复工的，承包人有权要求发包人延长工期和（或）增加费用，并支付合理利润。</w:t>
      </w:r>
    </w:p>
    <w:p w14:paraId="25C27D67">
      <w:pPr>
        <w:pStyle w:val="67"/>
        <w:ind w:firstLine="118"/>
        <w:rPr>
          <w:rFonts w:ascii="宋体" w:eastAsia="宋体"/>
          <w:color w:val="auto"/>
          <w:szCs w:val="24"/>
          <w:highlight w:val="none"/>
        </w:rPr>
      </w:pPr>
      <w:bookmarkStart w:id="745" w:name="_Toc144974663"/>
      <w:bookmarkStart w:id="746" w:name="_Toc330406299"/>
      <w:bookmarkStart w:id="747" w:name="_Toc152042472"/>
      <w:bookmarkStart w:id="748" w:name="_Toc393546358"/>
      <w:bookmarkStart w:id="749" w:name="_Toc43475832"/>
      <w:bookmarkStart w:id="750" w:name="_Toc386467104"/>
      <w:bookmarkStart w:id="751" w:name="_Toc179632712"/>
      <w:bookmarkStart w:id="752" w:name="_Toc152045694"/>
      <w:r>
        <w:rPr>
          <w:rFonts w:hint="eastAsia" w:ascii="宋体" w:eastAsia="宋体"/>
          <w:color w:val="auto"/>
          <w:szCs w:val="24"/>
          <w:highlight w:val="none"/>
        </w:rPr>
        <w:t>12.5 暂停施工持续56天以上</w:t>
      </w:r>
      <w:bookmarkEnd w:id="745"/>
      <w:bookmarkEnd w:id="746"/>
      <w:bookmarkEnd w:id="747"/>
      <w:bookmarkEnd w:id="748"/>
      <w:bookmarkEnd w:id="749"/>
      <w:bookmarkEnd w:id="750"/>
      <w:bookmarkEnd w:id="751"/>
      <w:bookmarkEnd w:id="752"/>
    </w:p>
    <w:p w14:paraId="5C3E85CA">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439A7D9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12.5.2 由于承包人责任引起的暂停施工，如承包人在收到监理人暂停施工指示后56天内不认真采取有效的复工措施，造成工期延误，可视为承包人违约，应按第22.1款的规定办理。</w:t>
      </w:r>
    </w:p>
    <w:p w14:paraId="3E6CDEA3">
      <w:pPr>
        <w:pStyle w:val="78"/>
        <w:rPr>
          <w:rFonts w:ascii="宋体" w:hAnsi="宋体"/>
          <w:color w:val="auto"/>
          <w:sz w:val="24"/>
          <w:szCs w:val="24"/>
          <w:highlight w:val="none"/>
        </w:rPr>
      </w:pPr>
      <w:bookmarkStart w:id="753" w:name="_Toc393546359"/>
      <w:bookmarkStart w:id="754" w:name="_Toc43475833"/>
      <w:bookmarkStart w:id="755" w:name="_Toc386467105"/>
      <w:r>
        <w:rPr>
          <w:rFonts w:hint="eastAsia" w:ascii="宋体" w:hAnsi="宋体"/>
          <w:color w:val="auto"/>
          <w:sz w:val="24"/>
          <w:szCs w:val="24"/>
          <w:highlight w:val="none"/>
        </w:rPr>
        <w:t>13. 工程质量</w:t>
      </w:r>
      <w:bookmarkEnd w:id="753"/>
      <w:bookmarkEnd w:id="754"/>
      <w:bookmarkEnd w:id="755"/>
    </w:p>
    <w:p w14:paraId="577FFA7A">
      <w:pPr>
        <w:pStyle w:val="67"/>
        <w:ind w:firstLine="118"/>
        <w:rPr>
          <w:rFonts w:ascii="宋体" w:eastAsia="宋体"/>
          <w:color w:val="auto"/>
          <w:szCs w:val="24"/>
          <w:highlight w:val="none"/>
        </w:rPr>
      </w:pPr>
      <w:bookmarkStart w:id="756" w:name="_Toc393546360"/>
      <w:bookmarkStart w:id="757" w:name="_Toc43475834"/>
      <w:bookmarkStart w:id="758" w:name="_Toc386467106"/>
      <w:r>
        <w:rPr>
          <w:rFonts w:hint="eastAsia" w:ascii="宋体" w:eastAsia="宋体"/>
          <w:color w:val="auto"/>
          <w:szCs w:val="24"/>
          <w:highlight w:val="none"/>
        </w:rPr>
        <w:t>13.1 工程质量要求</w:t>
      </w:r>
      <w:bookmarkEnd w:id="756"/>
      <w:bookmarkEnd w:id="757"/>
      <w:bookmarkEnd w:id="758"/>
    </w:p>
    <w:p w14:paraId="3DD1801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13.1.1 工程质量验收按合同约定验收标准执行。</w:t>
      </w:r>
    </w:p>
    <w:p w14:paraId="70FF507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13.1.2 因承包人原因造成工程质量达不到合同约定验收标准的，监理人有权要求承包人返工直至符合合同要求为止，由此造成的费用增加和（或）工期延误由承包人承担。</w:t>
      </w:r>
    </w:p>
    <w:p w14:paraId="432FB1A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13.1.3 因发包人原因造成工程质量达不到合同约定验收标准的，发包人应承担由于承包人返工造成的费用增加和（或）工期延误，并支付承包人合理利润。</w:t>
      </w:r>
    </w:p>
    <w:p w14:paraId="337EEFF5">
      <w:pPr>
        <w:pStyle w:val="67"/>
        <w:ind w:firstLine="118"/>
        <w:rPr>
          <w:rFonts w:ascii="宋体" w:eastAsia="宋体"/>
          <w:color w:val="auto"/>
          <w:szCs w:val="24"/>
          <w:highlight w:val="none"/>
        </w:rPr>
      </w:pPr>
      <w:bookmarkStart w:id="759" w:name="_Toc393546361"/>
      <w:bookmarkStart w:id="760" w:name="_Toc386467107"/>
      <w:bookmarkStart w:id="761" w:name="_Toc43475835"/>
      <w:r>
        <w:rPr>
          <w:rFonts w:hint="eastAsia" w:ascii="宋体" w:eastAsia="宋体"/>
          <w:color w:val="auto"/>
          <w:szCs w:val="24"/>
          <w:highlight w:val="none"/>
        </w:rPr>
        <w:t>13.2 承包人的质量管理</w:t>
      </w:r>
      <w:bookmarkEnd w:id="759"/>
      <w:bookmarkEnd w:id="760"/>
      <w:bookmarkEnd w:id="761"/>
    </w:p>
    <w:p w14:paraId="4949174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7AE10BB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13.2.2 承包人应加强对施工人员的质量教育和技术培训，定期考核施工人员的劳动技能，严格执行规范和操作规程。</w:t>
      </w:r>
    </w:p>
    <w:p w14:paraId="113E03C0">
      <w:pPr>
        <w:pStyle w:val="67"/>
        <w:ind w:firstLine="118"/>
        <w:rPr>
          <w:rFonts w:ascii="宋体" w:eastAsia="宋体"/>
          <w:color w:val="auto"/>
          <w:szCs w:val="24"/>
          <w:highlight w:val="none"/>
        </w:rPr>
      </w:pPr>
      <w:bookmarkStart w:id="762" w:name="_Toc152042476"/>
      <w:bookmarkStart w:id="763" w:name="_Toc330406303"/>
      <w:bookmarkStart w:id="764" w:name="_Toc386467108"/>
      <w:bookmarkStart w:id="765" w:name="_Toc152045698"/>
      <w:bookmarkStart w:id="766" w:name="_Toc43475836"/>
      <w:bookmarkStart w:id="767" w:name="_Toc179632716"/>
      <w:bookmarkStart w:id="768" w:name="_Toc144974667"/>
      <w:bookmarkStart w:id="769" w:name="_Toc393546362"/>
      <w:r>
        <w:rPr>
          <w:rFonts w:hint="eastAsia" w:ascii="宋体" w:eastAsia="宋体"/>
          <w:color w:val="auto"/>
          <w:szCs w:val="24"/>
          <w:highlight w:val="none"/>
        </w:rPr>
        <w:t>13.3 承包人的质量检查</w:t>
      </w:r>
      <w:bookmarkEnd w:id="762"/>
      <w:bookmarkEnd w:id="763"/>
      <w:bookmarkEnd w:id="764"/>
      <w:bookmarkEnd w:id="765"/>
      <w:bookmarkEnd w:id="766"/>
      <w:bookmarkEnd w:id="767"/>
      <w:bookmarkEnd w:id="768"/>
      <w:bookmarkEnd w:id="769"/>
    </w:p>
    <w:p w14:paraId="69D38E5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承包人应按合同约定对材料、工程设备以及工程的所有部位及其施工工艺进行全过程的质量检查和检验，并作详细记录，编制工程质量报表，报送监理人审查。</w:t>
      </w:r>
    </w:p>
    <w:p w14:paraId="29633C37">
      <w:pPr>
        <w:pStyle w:val="67"/>
        <w:ind w:firstLine="118"/>
        <w:rPr>
          <w:rFonts w:ascii="宋体" w:eastAsia="宋体"/>
          <w:color w:val="auto"/>
          <w:szCs w:val="24"/>
          <w:highlight w:val="none"/>
        </w:rPr>
      </w:pPr>
      <w:bookmarkStart w:id="770" w:name="_Toc386467109"/>
      <w:bookmarkStart w:id="771" w:name="_Toc393546363"/>
      <w:bookmarkStart w:id="772" w:name="_Toc43475837"/>
      <w:r>
        <w:rPr>
          <w:rFonts w:hint="eastAsia" w:ascii="宋体" w:eastAsia="宋体"/>
          <w:color w:val="auto"/>
          <w:szCs w:val="24"/>
          <w:highlight w:val="none"/>
        </w:rPr>
        <w:t>13.4 监理人的质量检查</w:t>
      </w:r>
      <w:bookmarkEnd w:id="770"/>
      <w:bookmarkEnd w:id="771"/>
      <w:bookmarkEnd w:id="772"/>
    </w:p>
    <w:p w14:paraId="46D1935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26F6C3F8">
      <w:pPr>
        <w:pStyle w:val="67"/>
        <w:ind w:firstLine="118"/>
        <w:rPr>
          <w:rFonts w:ascii="宋体" w:eastAsia="宋体"/>
          <w:color w:val="auto"/>
          <w:szCs w:val="24"/>
          <w:highlight w:val="none"/>
        </w:rPr>
      </w:pPr>
      <w:bookmarkStart w:id="773" w:name="_Toc43475838"/>
      <w:bookmarkStart w:id="774" w:name="_Toc386467110"/>
      <w:bookmarkStart w:id="775" w:name="_Toc393546364"/>
      <w:r>
        <w:rPr>
          <w:rFonts w:hint="eastAsia" w:ascii="宋体" w:eastAsia="宋体"/>
          <w:color w:val="auto"/>
          <w:szCs w:val="24"/>
          <w:highlight w:val="none"/>
        </w:rPr>
        <w:t>13.5 工程隐蔽部位覆盖前的检查</w:t>
      </w:r>
      <w:bookmarkEnd w:id="773"/>
      <w:bookmarkEnd w:id="774"/>
      <w:bookmarkEnd w:id="775"/>
    </w:p>
    <w:p w14:paraId="6C8ABB3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13.5.1 通知监理人检查</w:t>
      </w:r>
    </w:p>
    <w:p w14:paraId="0773C04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386F45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13.5.2 监理人未到场检查</w:t>
      </w:r>
    </w:p>
    <w:p w14:paraId="47D1FB1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F3146D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13.5.3 监理人重新检查</w:t>
      </w:r>
    </w:p>
    <w:p w14:paraId="72F7815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F76B98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13.5.4 承包人私自覆盖</w:t>
      </w:r>
    </w:p>
    <w:p w14:paraId="1190CCB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承包人未通知监理人到场检查，私自将工程隐蔽部位覆盖的，监理人有权指示承包人钻孔探测或揭开检查，由此增加的费用和（或）工期延误由承包人承担。</w:t>
      </w:r>
    </w:p>
    <w:p w14:paraId="5D1F4B30">
      <w:pPr>
        <w:pStyle w:val="67"/>
        <w:ind w:firstLine="118"/>
        <w:rPr>
          <w:rFonts w:ascii="宋体" w:eastAsia="宋体"/>
          <w:color w:val="auto"/>
          <w:szCs w:val="24"/>
          <w:highlight w:val="none"/>
        </w:rPr>
      </w:pPr>
      <w:bookmarkStart w:id="776" w:name="_Toc386467111"/>
      <w:bookmarkStart w:id="777" w:name="_Toc43475839"/>
      <w:bookmarkStart w:id="778" w:name="_Toc393546365"/>
      <w:r>
        <w:rPr>
          <w:rFonts w:hint="eastAsia" w:ascii="宋体" w:eastAsia="宋体"/>
          <w:color w:val="auto"/>
          <w:szCs w:val="24"/>
          <w:highlight w:val="none"/>
        </w:rPr>
        <w:t>13.6 清除不合格工程</w:t>
      </w:r>
      <w:bookmarkEnd w:id="776"/>
      <w:bookmarkEnd w:id="777"/>
      <w:bookmarkEnd w:id="778"/>
    </w:p>
    <w:p w14:paraId="6D86B41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1F5AAD7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13.6.2 由于发包人提供的材料或工程设备不合格造成的工程不合格，需要承包人采取措施补救的，发包人应承担由此增加的费用和（或）工期延误，并支付承包人合理利润。</w:t>
      </w:r>
    </w:p>
    <w:p w14:paraId="76F2BFE7">
      <w:pPr>
        <w:pStyle w:val="78"/>
        <w:rPr>
          <w:rFonts w:ascii="宋体" w:hAnsi="宋体"/>
          <w:color w:val="auto"/>
          <w:sz w:val="24"/>
          <w:szCs w:val="24"/>
          <w:highlight w:val="none"/>
        </w:rPr>
      </w:pPr>
      <w:bookmarkStart w:id="779" w:name="_Toc386467112"/>
      <w:bookmarkStart w:id="780" w:name="_Toc43475840"/>
      <w:bookmarkStart w:id="781" w:name="_Toc393546366"/>
      <w:r>
        <w:rPr>
          <w:rFonts w:hint="eastAsia" w:ascii="宋体" w:hAnsi="宋体"/>
          <w:color w:val="auto"/>
          <w:sz w:val="24"/>
          <w:szCs w:val="24"/>
          <w:highlight w:val="none"/>
        </w:rPr>
        <w:t>14. 试验和检验</w:t>
      </w:r>
      <w:bookmarkEnd w:id="779"/>
      <w:bookmarkEnd w:id="780"/>
      <w:bookmarkEnd w:id="781"/>
    </w:p>
    <w:p w14:paraId="227B42F1">
      <w:pPr>
        <w:pStyle w:val="67"/>
        <w:ind w:firstLine="118"/>
        <w:rPr>
          <w:rFonts w:ascii="宋体" w:eastAsia="宋体"/>
          <w:color w:val="auto"/>
          <w:szCs w:val="24"/>
          <w:highlight w:val="none"/>
        </w:rPr>
      </w:pPr>
      <w:bookmarkStart w:id="782" w:name="_Toc144974672"/>
      <w:bookmarkStart w:id="783" w:name="_Toc179632721"/>
      <w:bookmarkStart w:id="784" w:name="_Toc152045703"/>
      <w:bookmarkStart w:id="785" w:name="_Toc43475841"/>
      <w:bookmarkStart w:id="786" w:name="_Toc330406308"/>
      <w:bookmarkStart w:id="787" w:name="_Toc386467113"/>
      <w:bookmarkStart w:id="788" w:name="_Toc152042481"/>
      <w:bookmarkStart w:id="789" w:name="_Toc393546367"/>
      <w:r>
        <w:rPr>
          <w:rFonts w:hint="eastAsia" w:ascii="宋体" w:eastAsia="宋体"/>
          <w:color w:val="auto"/>
          <w:szCs w:val="24"/>
          <w:highlight w:val="none"/>
        </w:rPr>
        <w:t>14.1 材料、工程设备和工程的试验和检验</w:t>
      </w:r>
      <w:bookmarkEnd w:id="782"/>
      <w:bookmarkEnd w:id="783"/>
      <w:bookmarkEnd w:id="784"/>
      <w:bookmarkEnd w:id="785"/>
      <w:bookmarkEnd w:id="786"/>
      <w:bookmarkEnd w:id="787"/>
      <w:bookmarkEnd w:id="788"/>
      <w:bookmarkEnd w:id="789"/>
    </w:p>
    <w:p w14:paraId="28C4617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ABE11F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14.1.2 监理人未按合同约定派员参加试验和检验的，除监理人另有指示外，承包人可自行试验和检验，并应立即将试验和检验结果报送监理人，监理人应签字确认。</w:t>
      </w:r>
    </w:p>
    <w:p w14:paraId="057CE3A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3C923B57">
      <w:pPr>
        <w:pStyle w:val="67"/>
        <w:ind w:firstLine="118"/>
        <w:rPr>
          <w:rFonts w:ascii="宋体" w:eastAsia="宋体"/>
          <w:color w:val="auto"/>
          <w:szCs w:val="24"/>
          <w:highlight w:val="none"/>
        </w:rPr>
      </w:pPr>
      <w:bookmarkStart w:id="790" w:name="_Toc330406309"/>
      <w:bookmarkStart w:id="791" w:name="_Toc386467114"/>
      <w:bookmarkStart w:id="792" w:name="_Toc179632722"/>
      <w:bookmarkStart w:id="793" w:name="_Toc152045704"/>
      <w:bookmarkStart w:id="794" w:name="_Toc393546368"/>
      <w:bookmarkStart w:id="795" w:name="_Toc43475842"/>
      <w:bookmarkStart w:id="796" w:name="_Toc144974673"/>
      <w:bookmarkStart w:id="797" w:name="_Toc152042482"/>
      <w:r>
        <w:rPr>
          <w:rFonts w:hint="eastAsia" w:ascii="宋体" w:eastAsia="宋体"/>
          <w:color w:val="auto"/>
          <w:szCs w:val="24"/>
          <w:highlight w:val="none"/>
        </w:rPr>
        <w:t>14.2 现场材料试验</w:t>
      </w:r>
      <w:bookmarkEnd w:id="790"/>
      <w:bookmarkEnd w:id="791"/>
      <w:bookmarkEnd w:id="792"/>
      <w:bookmarkEnd w:id="793"/>
      <w:bookmarkEnd w:id="794"/>
      <w:bookmarkEnd w:id="795"/>
      <w:bookmarkEnd w:id="796"/>
      <w:bookmarkEnd w:id="797"/>
    </w:p>
    <w:p w14:paraId="5B2E97D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14.2.1 承包人根据合同约定或监理人指示进行的现场材料试验，应由承包人提供试验场所、试验人员、试验设备器材以及其他必要的试验条件。</w:t>
      </w:r>
    </w:p>
    <w:p w14:paraId="21A7F5C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14.2.2 监理人在必要时可以使用承包人的试验场所、试验设备器材以及其他试验条件，进行以工程质量检查为目的的复核性材料试验，承包人应予以协助。</w:t>
      </w:r>
    </w:p>
    <w:p w14:paraId="06021494">
      <w:pPr>
        <w:pStyle w:val="67"/>
        <w:ind w:firstLine="118"/>
        <w:rPr>
          <w:rFonts w:ascii="宋体" w:eastAsia="宋体"/>
          <w:color w:val="auto"/>
          <w:szCs w:val="24"/>
          <w:highlight w:val="none"/>
        </w:rPr>
      </w:pPr>
      <w:bookmarkStart w:id="798" w:name="_Toc393546369"/>
      <w:bookmarkStart w:id="799" w:name="_Toc43475843"/>
      <w:bookmarkStart w:id="800" w:name="_Toc386467115"/>
      <w:r>
        <w:rPr>
          <w:rFonts w:hint="eastAsia" w:ascii="宋体" w:eastAsia="宋体"/>
          <w:color w:val="auto"/>
          <w:szCs w:val="24"/>
          <w:highlight w:val="none"/>
        </w:rPr>
        <w:t>14.3 现场工艺试验</w:t>
      </w:r>
      <w:bookmarkEnd w:id="798"/>
      <w:bookmarkEnd w:id="799"/>
      <w:bookmarkEnd w:id="800"/>
    </w:p>
    <w:p w14:paraId="4E11638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13DF90EE">
      <w:pPr>
        <w:pStyle w:val="78"/>
        <w:rPr>
          <w:rFonts w:ascii="宋体" w:hAnsi="宋体"/>
          <w:color w:val="auto"/>
          <w:sz w:val="24"/>
          <w:szCs w:val="24"/>
          <w:highlight w:val="none"/>
        </w:rPr>
      </w:pPr>
      <w:bookmarkStart w:id="801" w:name="_Toc393546370"/>
      <w:bookmarkStart w:id="802" w:name="_Toc43475844"/>
      <w:bookmarkStart w:id="803" w:name="_Toc386467116"/>
      <w:r>
        <w:rPr>
          <w:rFonts w:hint="eastAsia" w:ascii="宋体" w:hAnsi="宋体"/>
          <w:color w:val="auto"/>
          <w:sz w:val="24"/>
          <w:szCs w:val="24"/>
          <w:highlight w:val="none"/>
        </w:rPr>
        <w:t>15. 变更</w:t>
      </w:r>
      <w:bookmarkEnd w:id="801"/>
      <w:bookmarkEnd w:id="802"/>
      <w:bookmarkEnd w:id="803"/>
    </w:p>
    <w:p w14:paraId="26AC1D46">
      <w:pPr>
        <w:pStyle w:val="67"/>
        <w:ind w:firstLine="118"/>
        <w:rPr>
          <w:rFonts w:ascii="宋体" w:eastAsia="宋体"/>
          <w:color w:val="auto"/>
          <w:szCs w:val="24"/>
          <w:highlight w:val="none"/>
        </w:rPr>
      </w:pPr>
      <w:bookmarkStart w:id="804" w:name="_Toc393546371"/>
      <w:bookmarkStart w:id="805" w:name="_Toc386467117"/>
      <w:bookmarkStart w:id="806" w:name="_Toc43475845"/>
      <w:r>
        <w:rPr>
          <w:rFonts w:hint="eastAsia" w:ascii="宋体" w:eastAsia="宋体"/>
          <w:color w:val="auto"/>
          <w:szCs w:val="24"/>
          <w:highlight w:val="none"/>
        </w:rPr>
        <w:t>15.1 变更的范围和内容</w:t>
      </w:r>
      <w:bookmarkEnd w:id="804"/>
      <w:bookmarkEnd w:id="805"/>
      <w:bookmarkEnd w:id="806"/>
    </w:p>
    <w:p w14:paraId="521097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除专用合同条款另有约定外，在履行合同中发生以下情形之一，应按照本条规定进行变更。</w:t>
      </w:r>
    </w:p>
    <w:p w14:paraId="73027DBD">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（1）取消合同中任何一项工作，但被取消的工作不能转由发包人或其他人实施；</w:t>
      </w:r>
    </w:p>
    <w:p w14:paraId="57A30727">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（2）改变合同中任何一项工作的质量或其他特性；</w:t>
      </w:r>
    </w:p>
    <w:p w14:paraId="700D8C84">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（3）改变合同工程的基线、标高、位置或尺寸；</w:t>
      </w:r>
    </w:p>
    <w:p w14:paraId="59C85DD6">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（4）改变合同中任何一项工作的施工时间或改变已批准的施工工艺或顺序；</w:t>
      </w:r>
    </w:p>
    <w:p w14:paraId="5A437D92">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（5）为完成工程需要追加的额外工作。</w:t>
      </w:r>
    </w:p>
    <w:p w14:paraId="015E9D93">
      <w:pPr>
        <w:pStyle w:val="67"/>
        <w:ind w:firstLine="118"/>
        <w:rPr>
          <w:rFonts w:ascii="宋体" w:eastAsia="宋体"/>
          <w:color w:val="auto"/>
          <w:szCs w:val="24"/>
          <w:highlight w:val="none"/>
        </w:rPr>
      </w:pPr>
      <w:bookmarkStart w:id="807" w:name="_Toc393546372"/>
      <w:bookmarkStart w:id="808" w:name="_Toc152042486"/>
      <w:bookmarkStart w:id="809" w:name="_Toc386467118"/>
      <w:bookmarkStart w:id="810" w:name="_Toc43475846"/>
      <w:bookmarkStart w:id="811" w:name="_Toc144974677"/>
      <w:bookmarkStart w:id="812" w:name="_Toc330406313"/>
      <w:bookmarkStart w:id="813" w:name="_Toc152045708"/>
      <w:bookmarkStart w:id="814" w:name="_Toc179632726"/>
      <w:r>
        <w:rPr>
          <w:rFonts w:hint="eastAsia" w:ascii="宋体" w:eastAsia="宋体"/>
          <w:color w:val="auto"/>
          <w:szCs w:val="24"/>
          <w:highlight w:val="none"/>
        </w:rPr>
        <w:t>15.2 变更权</w:t>
      </w:r>
      <w:bookmarkEnd w:id="807"/>
      <w:bookmarkEnd w:id="808"/>
      <w:bookmarkEnd w:id="809"/>
      <w:bookmarkEnd w:id="810"/>
      <w:bookmarkEnd w:id="811"/>
      <w:bookmarkEnd w:id="812"/>
      <w:bookmarkEnd w:id="813"/>
      <w:bookmarkEnd w:id="814"/>
    </w:p>
    <w:p w14:paraId="489B340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在履行合同过程中，经发包人同意，监理人可按第15.3款约定的变更程序向承包人作出变更指示，承包人应遵照执行。没有监理人的变更指示，承包人不得擅自变更。</w:t>
      </w:r>
    </w:p>
    <w:p w14:paraId="2EBC8FA7">
      <w:pPr>
        <w:pStyle w:val="67"/>
        <w:ind w:firstLine="118"/>
        <w:rPr>
          <w:rFonts w:ascii="宋体" w:eastAsia="宋体"/>
          <w:color w:val="auto"/>
          <w:szCs w:val="24"/>
          <w:highlight w:val="none"/>
        </w:rPr>
      </w:pPr>
      <w:bookmarkStart w:id="815" w:name="_Toc386467119"/>
      <w:bookmarkStart w:id="816" w:name="_Toc43475847"/>
      <w:bookmarkStart w:id="817" w:name="_Toc393546373"/>
      <w:r>
        <w:rPr>
          <w:rFonts w:hint="eastAsia" w:ascii="宋体" w:eastAsia="宋体"/>
          <w:color w:val="auto"/>
          <w:szCs w:val="24"/>
          <w:highlight w:val="none"/>
        </w:rPr>
        <w:t>15.3 变更程序</w:t>
      </w:r>
      <w:bookmarkEnd w:id="815"/>
      <w:bookmarkEnd w:id="816"/>
      <w:bookmarkEnd w:id="817"/>
    </w:p>
    <w:p w14:paraId="05F166E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15.3.1 变更的提出</w:t>
      </w:r>
    </w:p>
    <w:p w14:paraId="55721CC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20789DE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（2）在合同履行过程中，发生第15.1款约定情形的，监理人应按照第15.3.3项约定向承包人发出变更指示。</w:t>
      </w:r>
    </w:p>
    <w:p w14:paraId="68330CD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0BF0D70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（4）若承包人收到监理人的变更意向书后认为难以实施此项变更，应立即通知监理人，说明原因并附详细依据。监理人与承包人和发包人协商后确定撤销、改变或不改变原变更意向书。</w:t>
      </w:r>
    </w:p>
    <w:p w14:paraId="7B58F5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15.3.2 变更估价</w:t>
      </w:r>
    </w:p>
    <w:p w14:paraId="3091459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34A4D61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（2）变更工作影响工期的，承包人应提出调整工期的具体细节。监理人认为有必要时，可要求承包人提交要求提前或延长工期的施工进度计划及相应施工措施等详细资料。</w:t>
      </w:r>
    </w:p>
    <w:p w14:paraId="035654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（3）除专用合同条款对期限另有约定外，监理人收到承包人变更报价书后的14天内，根据第15.4款约定的估价原则，按照第3.5款商定或确定变更价格。</w:t>
      </w:r>
    </w:p>
    <w:p w14:paraId="2AB01A9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15.3.3 变更指示</w:t>
      </w:r>
    </w:p>
    <w:p w14:paraId="3A3D38F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（1）变更指示只能由监理人发出。</w:t>
      </w:r>
    </w:p>
    <w:p w14:paraId="05586E2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（2）变更指示应说明变更的目的、范围、变更内容以及变更的工程量及其进度和技术要求，并附有关图纸和文件。承包人收到变更指示后，应按变更指示进行变更工作。</w:t>
      </w:r>
    </w:p>
    <w:p w14:paraId="0C73235D">
      <w:pPr>
        <w:pStyle w:val="67"/>
        <w:ind w:firstLine="118"/>
        <w:rPr>
          <w:rFonts w:ascii="宋体" w:eastAsia="宋体"/>
          <w:color w:val="auto"/>
          <w:szCs w:val="24"/>
          <w:highlight w:val="none"/>
        </w:rPr>
      </w:pPr>
      <w:bookmarkStart w:id="818" w:name="_Toc43475848"/>
      <w:bookmarkStart w:id="819" w:name="_Toc393546374"/>
      <w:bookmarkStart w:id="820" w:name="_Toc386467120"/>
      <w:r>
        <w:rPr>
          <w:rFonts w:hint="eastAsia" w:ascii="宋体" w:eastAsia="宋体"/>
          <w:color w:val="auto"/>
          <w:szCs w:val="24"/>
          <w:highlight w:val="none"/>
        </w:rPr>
        <w:t>15.4 变更的估价原则</w:t>
      </w:r>
      <w:bookmarkEnd w:id="818"/>
      <w:bookmarkEnd w:id="819"/>
      <w:bookmarkEnd w:id="820"/>
    </w:p>
    <w:p w14:paraId="0E8B0EF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除专用合同条款另有约定外，因变更引起的价格调整按照本款约定处理。</w:t>
      </w:r>
    </w:p>
    <w:p w14:paraId="54096C2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15.4.1 已标价工程量清单中有适用于变更工作的子目的，采用该子目的单价。</w:t>
      </w:r>
    </w:p>
    <w:p w14:paraId="0BCDB08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15.4.2 已标价工程量清单中无适用于变更工作的子目，但有类似子目的，可在合理范围内参照类似子目的单价，由监理人按第3.5款商定或确定变更工作的单价。</w:t>
      </w:r>
    </w:p>
    <w:p w14:paraId="01CA975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15.4.3 已标价工程量清单中无适用或类似子目的单价，可按照成本加利润的原则，由监理人按第3.5款商定或确定变更工作的单价。</w:t>
      </w:r>
    </w:p>
    <w:p w14:paraId="12EEB152">
      <w:pPr>
        <w:pStyle w:val="67"/>
        <w:ind w:firstLine="118"/>
        <w:rPr>
          <w:rFonts w:ascii="宋体" w:eastAsia="宋体"/>
          <w:color w:val="auto"/>
          <w:szCs w:val="24"/>
          <w:highlight w:val="none"/>
        </w:rPr>
      </w:pPr>
      <w:bookmarkStart w:id="821" w:name="_Toc393546375"/>
      <w:bookmarkStart w:id="822" w:name="_Toc386467121"/>
      <w:bookmarkStart w:id="823" w:name="_Toc43475849"/>
      <w:r>
        <w:rPr>
          <w:rFonts w:hint="eastAsia" w:ascii="宋体" w:eastAsia="宋体"/>
          <w:color w:val="auto"/>
          <w:szCs w:val="24"/>
          <w:highlight w:val="none"/>
        </w:rPr>
        <w:t>15.5 承包人的合理化建议</w:t>
      </w:r>
      <w:bookmarkEnd w:id="821"/>
      <w:bookmarkEnd w:id="822"/>
      <w:bookmarkEnd w:id="823"/>
    </w:p>
    <w:p w14:paraId="6575EAE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856859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15.5.2 承包人提出的合理化建议降低了合同价格、缩短了工期或者提高了工程经济效益的，发包人可按国家有关规定在专用合同条款中约定给予奖励。</w:t>
      </w:r>
    </w:p>
    <w:p w14:paraId="27FA35C2">
      <w:pPr>
        <w:pStyle w:val="67"/>
        <w:ind w:firstLine="118"/>
        <w:rPr>
          <w:rFonts w:ascii="宋体" w:eastAsia="宋体"/>
          <w:color w:val="auto"/>
          <w:szCs w:val="24"/>
          <w:highlight w:val="none"/>
        </w:rPr>
      </w:pPr>
      <w:bookmarkStart w:id="824" w:name="_Toc386467122"/>
      <w:bookmarkStart w:id="825" w:name="_Toc393546376"/>
      <w:bookmarkStart w:id="826" w:name="_Toc43475850"/>
      <w:r>
        <w:rPr>
          <w:rFonts w:hint="eastAsia" w:ascii="宋体" w:eastAsia="宋体"/>
          <w:color w:val="auto"/>
          <w:szCs w:val="24"/>
          <w:highlight w:val="none"/>
        </w:rPr>
        <w:t>15.6 暂列金额</w:t>
      </w:r>
      <w:bookmarkEnd w:id="824"/>
      <w:bookmarkEnd w:id="825"/>
      <w:bookmarkEnd w:id="826"/>
    </w:p>
    <w:p w14:paraId="7386D7F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暂列金额只能按照监理人的指示使用，并对合同价格进行相应调整。</w:t>
      </w:r>
    </w:p>
    <w:p w14:paraId="1AF86689">
      <w:pPr>
        <w:pStyle w:val="67"/>
        <w:ind w:firstLine="118"/>
        <w:rPr>
          <w:rFonts w:ascii="宋体" w:eastAsia="宋体"/>
          <w:color w:val="auto"/>
          <w:szCs w:val="24"/>
          <w:highlight w:val="none"/>
        </w:rPr>
      </w:pPr>
      <w:bookmarkStart w:id="827" w:name="_Toc43475851"/>
      <w:bookmarkStart w:id="828" w:name="_Toc393546377"/>
      <w:bookmarkStart w:id="829" w:name="_Toc152045713"/>
      <w:bookmarkStart w:id="830" w:name="_Toc152042491"/>
      <w:bookmarkStart w:id="831" w:name="_Toc179632731"/>
      <w:bookmarkStart w:id="832" w:name="_Toc144974682"/>
      <w:bookmarkStart w:id="833" w:name="_Toc386467123"/>
      <w:bookmarkStart w:id="834" w:name="_Toc330406318"/>
      <w:r>
        <w:rPr>
          <w:rFonts w:hint="eastAsia" w:ascii="宋体" w:eastAsia="宋体"/>
          <w:color w:val="auto"/>
          <w:szCs w:val="24"/>
          <w:highlight w:val="none"/>
        </w:rPr>
        <w:t>15.7 计日工</w:t>
      </w:r>
      <w:bookmarkEnd w:id="827"/>
      <w:bookmarkEnd w:id="828"/>
      <w:bookmarkEnd w:id="829"/>
      <w:bookmarkEnd w:id="830"/>
      <w:bookmarkEnd w:id="831"/>
      <w:bookmarkEnd w:id="832"/>
      <w:bookmarkEnd w:id="833"/>
      <w:bookmarkEnd w:id="834"/>
    </w:p>
    <w:p w14:paraId="70EF6D6A">
      <w:pPr>
        <w:spacing w:line="400" w:lineRule="exact"/>
        <w:ind w:firstLine="480" w:firstLineChars="200"/>
        <w:rPr>
          <w:rFonts w:ascii="宋体" w:hAnsi="宋体" w:cs="宋体"/>
          <w:color w:val="auto"/>
          <w:sz w:val="24"/>
          <w:highlight w:val="none"/>
          <w:shd w:val="pct10" w:color="auto" w:fill="FFFFFF"/>
        </w:rPr>
      </w:pPr>
      <w:r>
        <w:rPr>
          <w:rFonts w:hint="eastAsia" w:ascii="宋体" w:hAnsi="宋体" w:cs="宋体"/>
          <w:color w:val="auto"/>
          <w:sz w:val="24"/>
          <w:highlight w:val="none"/>
        </w:rPr>
        <w:t>15.7.1 发包人认为有必要时，由监理人通知承包人以计日工方式实施变更的零星工作。其价款按列入已标价工程量清单中的计日工计价子目及其单价进行计算。</w:t>
      </w:r>
    </w:p>
    <w:p w14:paraId="43E732A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15.7.2 采用计日工计价的任何一项变更工作，应从暂列金额中支付，承包人应在该项变更的实施过程中，每天提交以下报表和有关凭证报送监理人审批：</w:t>
      </w:r>
    </w:p>
    <w:p w14:paraId="192BA1A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（1）工作名称、内容和数量；</w:t>
      </w:r>
    </w:p>
    <w:p w14:paraId="2A736FE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（2）投入该工作所有人员的姓名、工种、级别和耗用工时；</w:t>
      </w:r>
    </w:p>
    <w:p w14:paraId="5D6C595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（3）投入该工作的材料类别和数量；</w:t>
      </w:r>
    </w:p>
    <w:p w14:paraId="445760C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（4）投入该工作的施工设备型号、台数和耗用台时；</w:t>
      </w:r>
    </w:p>
    <w:p w14:paraId="4FB3CB8F">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（5）监理人要求提交的其他资料和凭证。</w:t>
      </w:r>
    </w:p>
    <w:p w14:paraId="4195672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15.7.3 计日工由承包人汇总后，按第17.3.2项的约定列入进度付款申请单，由监理人复核并经发包人同意后列入进度付款。</w:t>
      </w:r>
    </w:p>
    <w:p w14:paraId="35CB3F19">
      <w:pPr>
        <w:pStyle w:val="67"/>
        <w:ind w:firstLine="118"/>
        <w:rPr>
          <w:rFonts w:ascii="宋体" w:eastAsia="宋体"/>
          <w:color w:val="auto"/>
          <w:szCs w:val="24"/>
          <w:highlight w:val="none"/>
        </w:rPr>
      </w:pPr>
      <w:bookmarkStart w:id="835" w:name="_Toc179632732"/>
      <w:bookmarkStart w:id="836" w:name="_Toc386467124"/>
      <w:bookmarkStart w:id="837" w:name="_Toc330406319"/>
      <w:bookmarkStart w:id="838" w:name="_Toc152045714"/>
      <w:bookmarkStart w:id="839" w:name="_Toc43475852"/>
      <w:bookmarkStart w:id="840" w:name="_Toc152042492"/>
      <w:bookmarkStart w:id="841" w:name="_Toc144974683"/>
      <w:bookmarkStart w:id="842" w:name="_Toc393546378"/>
      <w:r>
        <w:rPr>
          <w:rFonts w:hint="eastAsia" w:ascii="宋体" w:eastAsia="宋体"/>
          <w:color w:val="auto"/>
          <w:szCs w:val="24"/>
          <w:highlight w:val="none"/>
        </w:rPr>
        <w:t>15.8 暂估价</w:t>
      </w:r>
      <w:bookmarkEnd w:id="835"/>
      <w:bookmarkEnd w:id="836"/>
      <w:bookmarkEnd w:id="837"/>
      <w:bookmarkEnd w:id="838"/>
      <w:bookmarkEnd w:id="839"/>
      <w:bookmarkEnd w:id="840"/>
      <w:bookmarkEnd w:id="841"/>
      <w:bookmarkEnd w:id="842"/>
    </w:p>
    <w:p w14:paraId="6A1B54A0">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7E111ED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EA99FA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78F6F368">
      <w:pPr>
        <w:pStyle w:val="78"/>
        <w:rPr>
          <w:rFonts w:ascii="宋体" w:hAnsi="宋体"/>
          <w:color w:val="auto"/>
          <w:sz w:val="24"/>
          <w:szCs w:val="24"/>
          <w:highlight w:val="none"/>
        </w:rPr>
      </w:pPr>
      <w:bookmarkStart w:id="843" w:name="_Toc43475853"/>
      <w:bookmarkStart w:id="844" w:name="_Toc393546379"/>
      <w:bookmarkStart w:id="845" w:name="_Toc386467125"/>
      <w:r>
        <w:rPr>
          <w:rFonts w:hint="eastAsia" w:ascii="宋体" w:hAnsi="宋体"/>
          <w:color w:val="auto"/>
          <w:sz w:val="24"/>
          <w:szCs w:val="24"/>
          <w:highlight w:val="none"/>
        </w:rPr>
        <w:t>16. 价格调整</w:t>
      </w:r>
      <w:bookmarkEnd w:id="843"/>
      <w:bookmarkEnd w:id="844"/>
      <w:bookmarkEnd w:id="845"/>
    </w:p>
    <w:p w14:paraId="681E6B9A">
      <w:pPr>
        <w:pStyle w:val="67"/>
        <w:ind w:firstLine="118"/>
        <w:rPr>
          <w:rFonts w:ascii="宋体" w:eastAsia="宋体"/>
          <w:color w:val="auto"/>
          <w:szCs w:val="24"/>
          <w:highlight w:val="none"/>
        </w:rPr>
      </w:pPr>
      <w:bookmarkStart w:id="846" w:name="_Toc43475854"/>
      <w:bookmarkStart w:id="847" w:name="_Toc386467126"/>
      <w:bookmarkStart w:id="848" w:name="_Toc393546380"/>
      <w:r>
        <w:rPr>
          <w:rFonts w:hint="eastAsia" w:ascii="宋体" w:eastAsia="宋体"/>
          <w:color w:val="auto"/>
          <w:szCs w:val="24"/>
          <w:highlight w:val="none"/>
        </w:rPr>
        <w:t>16.1 物价波动引起的价格调整</w:t>
      </w:r>
      <w:bookmarkEnd w:id="846"/>
      <w:bookmarkEnd w:id="847"/>
      <w:bookmarkEnd w:id="848"/>
    </w:p>
    <w:p w14:paraId="38D94E5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除专用合同条款另有约定外，因物价波动引起的价格调整按照本款约定处理。</w:t>
      </w:r>
    </w:p>
    <w:p w14:paraId="79F59FF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 采用价格指数调整价格差额</w:t>
      </w:r>
    </w:p>
    <w:p w14:paraId="4FFA743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16.1.1.1 价格调整公式</w:t>
      </w:r>
    </w:p>
    <w:p w14:paraId="6F34EA3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因人工、材料和设备等价格波动影响合同价格时，根据投标函附录中的价格指数和权重表约定的数据，按以下公式计算差额并调整合同价格。</w:t>
      </w:r>
    </w:p>
    <w:p w14:paraId="7AE3962D">
      <w:pPr>
        <w:autoSpaceDE w:val="0"/>
        <w:autoSpaceDN w:val="0"/>
        <w:adjustRightInd w:val="0"/>
        <w:spacing w:line="1200" w:lineRule="exact"/>
        <w:ind w:right="248" w:firstLine="955" w:firstLineChars="398"/>
        <w:rPr>
          <w:rFonts w:ascii="宋体" w:hAnsi="宋体" w:cs="宋体"/>
          <w:color w:val="auto"/>
          <w:sz w:val="24"/>
          <w:highlight w:val="none"/>
        </w:rPr>
      </w:pPr>
      <w:r>
        <w:rPr>
          <w:rFonts w:hint="eastAsia" w:ascii="宋体" w:hAnsi="宋体" w:cs="宋体"/>
          <w:color w:val="auto"/>
          <w:position w:val="-34"/>
          <w:sz w:val="24"/>
          <w:highlight w:val="none"/>
        </w:rPr>
        <w:object>
          <v:shape id="_x0000_i1025" o:spt="75" type="#_x0000_t75" style="height:41pt;width:306.4pt;" o:ole="t" filled="f" o:preferrelative="t" stroked="f" coordsize="21600,21600">
            <v:path/>
            <v:fill on="f" focussize="0,0"/>
            <v:stroke on="f" joinstyle="miter"/>
            <v:imagedata r:id="rId28" o:title=""/>
            <o:lock v:ext="edit" aspectratio="t"/>
            <w10:wrap type="none"/>
            <w10:anchorlock/>
          </v:shape>
          <o:OLEObject Type="Embed" ProgID="Equation.3" ShapeID="_x0000_i1025" DrawAspect="Content" ObjectID="_1468075725" r:id="rId27">
            <o:LockedField>false</o:LockedField>
          </o:OLEObject>
        </w:object>
      </w:r>
    </w:p>
    <w:p w14:paraId="0BAA0BF5">
      <w:pPr>
        <w:tabs>
          <w:tab w:val="left" w:pos="1260"/>
        </w:tabs>
        <w:spacing w:line="400" w:lineRule="exact"/>
        <w:ind w:firstLine="480" w:firstLineChars="200"/>
        <w:rPr>
          <w:rFonts w:ascii="宋体" w:hAnsi="宋体" w:cs="宋体"/>
          <w:color w:val="auto"/>
          <w:sz w:val="24"/>
          <w:highlight w:val="none"/>
        </w:rPr>
      </w:pPr>
    </w:p>
    <w:p w14:paraId="2B1DF60C">
      <w:pPr>
        <w:tabs>
          <w:tab w:val="left" w:pos="126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式中： △P -- 需调整的价格差额；</w:t>
      </w:r>
    </w:p>
    <w:p w14:paraId="30811FF6">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P</w:t>
      </w:r>
      <w:r>
        <w:rPr>
          <w:rFonts w:hint="eastAsia" w:ascii="宋体" w:hAnsi="宋体" w:cs="宋体"/>
          <w:color w:val="auto"/>
          <w:sz w:val="24"/>
          <w:highlight w:val="none"/>
          <w:vertAlign w:val="subscript"/>
        </w:rPr>
        <w:t>0</w:t>
      </w:r>
      <w:r>
        <w:rPr>
          <w:rFonts w:hint="eastAsia" w:ascii="宋体" w:hAnsi="宋体" w:cs="宋体"/>
          <w:color w:val="auto"/>
          <w:sz w:val="24"/>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7E89FC83">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bookmarkStart w:id="849" w:name="_Toc152042495"/>
      <w:bookmarkStart w:id="850" w:name="_Toc144974686"/>
      <w:r>
        <w:rPr>
          <w:rFonts w:hint="eastAsia" w:ascii="宋体" w:hAnsi="宋体" w:cs="宋体"/>
          <w:color w:val="auto"/>
          <w:sz w:val="24"/>
          <w:highlight w:val="none"/>
        </w:rPr>
        <w:t>A -- 定值权重(即不调部分的权重)；</w:t>
      </w:r>
      <w:bookmarkEnd w:id="849"/>
      <w:bookmarkEnd w:id="850"/>
    </w:p>
    <w:p w14:paraId="7EAE46CC">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B</w:t>
      </w:r>
      <w:r>
        <w:rPr>
          <w:rFonts w:hint="eastAsia" w:ascii="宋体" w:hAnsi="宋体" w:cs="宋体"/>
          <w:color w:val="auto"/>
          <w:sz w:val="24"/>
          <w:highlight w:val="none"/>
          <w:vertAlign w:val="subscript"/>
        </w:rPr>
        <w:t>1</w:t>
      </w:r>
      <w:r>
        <w:rPr>
          <w:rFonts w:hint="eastAsia" w:ascii="宋体" w:hAnsi="宋体" w:cs="宋体"/>
          <w:color w:val="auto"/>
          <w:sz w:val="24"/>
          <w:highlight w:val="none"/>
        </w:rPr>
        <w:t>; B</w:t>
      </w:r>
      <w:r>
        <w:rPr>
          <w:rFonts w:hint="eastAsia" w:ascii="宋体" w:hAnsi="宋体" w:cs="宋体"/>
          <w:color w:val="auto"/>
          <w:sz w:val="24"/>
          <w:highlight w:val="none"/>
          <w:vertAlign w:val="subscript"/>
        </w:rPr>
        <w:t>2</w:t>
      </w:r>
      <w:r>
        <w:rPr>
          <w:rFonts w:hint="eastAsia" w:ascii="宋体" w:hAnsi="宋体" w:cs="宋体"/>
          <w:color w:val="auto"/>
          <w:sz w:val="24"/>
          <w:highlight w:val="none"/>
        </w:rPr>
        <w:t xml:space="preserve"> ;B</w:t>
      </w:r>
      <w:r>
        <w:rPr>
          <w:rFonts w:hint="eastAsia" w:ascii="宋体" w:hAnsi="宋体" w:cs="宋体"/>
          <w:color w:val="auto"/>
          <w:sz w:val="24"/>
          <w:highlight w:val="none"/>
          <w:vertAlign w:val="subscript"/>
        </w:rPr>
        <w:t>3</w:t>
      </w:r>
      <w:r>
        <w:rPr>
          <w:rFonts w:hint="eastAsia" w:ascii="宋体" w:hAnsi="宋体" w:cs="宋体"/>
          <w:color w:val="auto"/>
          <w:sz w:val="24"/>
          <w:highlight w:val="none"/>
        </w:rPr>
        <w:t>·····B</w:t>
      </w:r>
      <w:r>
        <w:rPr>
          <w:rFonts w:hint="eastAsia" w:ascii="宋体" w:hAnsi="宋体" w:cs="宋体"/>
          <w:color w:val="auto"/>
          <w:sz w:val="24"/>
          <w:highlight w:val="none"/>
          <w:vertAlign w:val="subscript"/>
        </w:rPr>
        <w:t>n</w:t>
      </w:r>
      <w:r>
        <w:rPr>
          <w:rFonts w:hint="eastAsia" w:ascii="宋体" w:hAnsi="宋体" w:cs="宋体"/>
          <w:color w:val="auto"/>
          <w:sz w:val="24"/>
          <w:highlight w:val="none"/>
        </w:rPr>
        <w:t xml:space="preserve"> -- 各可调因子的变值权重(即可调部分的权重)为各可调因子在投标函投标总报价中所占的比例；</w:t>
      </w:r>
    </w:p>
    <w:p w14:paraId="48A43272">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F</w:t>
      </w:r>
      <w:r>
        <w:rPr>
          <w:rFonts w:hint="eastAsia" w:ascii="宋体" w:hAnsi="宋体" w:cs="宋体"/>
          <w:color w:val="auto"/>
          <w:sz w:val="24"/>
          <w:highlight w:val="none"/>
          <w:vertAlign w:val="subscript"/>
        </w:rPr>
        <w:t>t1</w:t>
      </w:r>
      <w:r>
        <w:rPr>
          <w:rFonts w:hint="eastAsia" w:ascii="宋体" w:hAnsi="宋体" w:cs="宋体"/>
          <w:color w:val="auto"/>
          <w:sz w:val="24"/>
          <w:highlight w:val="none"/>
        </w:rPr>
        <w:t xml:space="preserve"> ;F</w:t>
      </w:r>
      <w:r>
        <w:rPr>
          <w:rFonts w:hint="eastAsia" w:ascii="宋体" w:hAnsi="宋体" w:cs="宋体"/>
          <w:color w:val="auto"/>
          <w:sz w:val="24"/>
          <w:highlight w:val="none"/>
          <w:vertAlign w:val="subscript"/>
        </w:rPr>
        <w:t>t2</w:t>
      </w:r>
      <w:r>
        <w:rPr>
          <w:rFonts w:hint="eastAsia" w:ascii="宋体" w:hAnsi="宋体" w:cs="宋体"/>
          <w:color w:val="auto"/>
          <w:sz w:val="24"/>
          <w:highlight w:val="none"/>
        </w:rPr>
        <w:t xml:space="preserve"> ;F</w:t>
      </w:r>
      <w:r>
        <w:rPr>
          <w:rFonts w:hint="eastAsia" w:ascii="宋体" w:hAnsi="宋体" w:cs="宋体"/>
          <w:color w:val="auto"/>
          <w:sz w:val="24"/>
          <w:highlight w:val="none"/>
          <w:vertAlign w:val="subscript"/>
        </w:rPr>
        <w:t>t3</w:t>
      </w:r>
      <w:r>
        <w:rPr>
          <w:rFonts w:hint="eastAsia" w:ascii="宋体" w:hAnsi="宋体" w:cs="宋体"/>
          <w:color w:val="auto"/>
          <w:sz w:val="24"/>
          <w:highlight w:val="none"/>
        </w:rPr>
        <w:t>·····F</w:t>
      </w:r>
      <w:r>
        <w:rPr>
          <w:rFonts w:hint="eastAsia" w:ascii="宋体" w:hAnsi="宋体" w:cs="宋体"/>
          <w:color w:val="auto"/>
          <w:sz w:val="24"/>
          <w:highlight w:val="none"/>
          <w:vertAlign w:val="subscript"/>
        </w:rPr>
        <w:t>tn</w:t>
      </w:r>
      <w:r>
        <w:rPr>
          <w:rFonts w:hint="eastAsia" w:ascii="宋体" w:hAnsi="宋体" w:cs="宋体"/>
          <w:color w:val="auto"/>
          <w:sz w:val="24"/>
          <w:highlight w:val="none"/>
        </w:rPr>
        <w:t xml:space="preserve"> -- 各可调因子的现行价格指数，指第17.3.3项、第17.5.2项和第17.6.2项约定的付款证书相关周期最后一天的前42天的各可调因子的价格指数；</w:t>
      </w:r>
    </w:p>
    <w:p w14:paraId="1B420470">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F</w:t>
      </w:r>
      <w:r>
        <w:rPr>
          <w:rFonts w:hint="eastAsia" w:ascii="宋体" w:hAnsi="宋体" w:cs="宋体"/>
          <w:color w:val="auto"/>
          <w:sz w:val="24"/>
          <w:highlight w:val="none"/>
          <w:vertAlign w:val="subscript"/>
        </w:rPr>
        <w:t>o1</w:t>
      </w:r>
      <w:r>
        <w:rPr>
          <w:rFonts w:hint="eastAsia" w:ascii="宋体" w:hAnsi="宋体" w:cs="宋体"/>
          <w:color w:val="auto"/>
          <w:sz w:val="24"/>
          <w:highlight w:val="none"/>
        </w:rPr>
        <w:t>; F</w:t>
      </w:r>
      <w:r>
        <w:rPr>
          <w:rFonts w:hint="eastAsia" w:ascii="宋体" w:hAnsi="宋体" w:cs="宋体"/>
          <w:color w:val="auto"/>
          <w:sz w:val="24"/>
          <w:highlight w:val="none"/>
          <w:vertAlign w:val="subscript"/>
        </w:rPr>
        <w:t>o2</w:t>
      </w:r>
      <w:r>
        <w:rPr>
          <w:rFonts w:hint="eastAsia" w:ascii="宋体" w:hAnsi="宋体" w:cs="宋体"/>
          <w:color w:val="auto"/>
          <w:sz w:val="24"/>
          <w:highlight w:val="none"/>
        </w:rPr>
        <w:t>; F</w:t>
      </w:r>
      <w:r>
        <w:rPr>
          <w:rFonts w:hint="eastAsia" w:ascii="宋体" w:hAnsi="宋体" w:cs="宋体"/>
          <w:color w:val="auto"/>
          <w:sz w:val="24"/>
          <w:highlight w:val="none"/>
          <w:vertAlign w:val="subscript"/>
        </w:rPr>
        <w:t>o3</w:t>
      </w:r>
      <w:r>
        <w:rPr>
          <w:rFonts w:hint="eastAsia" w:ascii="宋体" w:hAnsi="宋体" w:cs="宋体"/>
          <w:color w:val="auto"/>
          <w:sz w:val="24"/>
          <w:highlight w:val="none"/>
        </w:rPr>
        <w:t>·····F</w:t>
      </w:r>
      <w:r>
        <w:rPr>
          <w:rFonts w:hint="eastAsia" w:ascii="宋体" w:hAnsi="宋体" w:cs="宋体"/>
          <w:color w:val="auto"/>
          <w:sz w:val="24"/>
          <w:highlight w:val="none"/>
          <w:vertAlign w:val="subscript"/>
        </w:rPr>
        <w:t>on</w:t>
      </w:r>
      <w:r>
        <w:rPr>
          <w:rFonts w:hint="eastAsia" w:ascii="宋体" w:hAnsi="宋体" w:cs="宋体"/>
          <w:color w:val="auto"/>
          <w:sz w:val="24"/>
          <w:highlight w:val="none"/>
        </w:rPr>
        <w:t xml:space="preserve"> -- 各可调因子的基本价格指数，指基准日期的各可调因子的价格指数。</w:t>
      </w:r>
    </w:p>
    <w:p w14:paraId="000516D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641225A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16.1.1.2 暂时确定调整差额</w:t>
      </w:r>
    </w:p>
    <w:p w14:paraId="6877C4F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在计算调整差额时得不到现行价格指数的，可暂用上一次价格指数计算，并在以后的付款中再按实际价格指数进行调整。</w:t>
      </w:r>
    </w:p>
    <w:p w14:paraId="0C12567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16.1.1.3 权重的调整</w:t>
      </w:r>
    </w:p>
    <w:p w14:paraId="350E899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按第15.1款约定的变更导致原定合同中的权重不合理时，由监理人与承包人和发包人协商后进行调整。</w:t>
      </w:r>
    </w:p>
    <w:p w14:paraId="51EDEEA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16.1.1.4 承包人工期延误后的价格调整</w:t>
      </w:r>
    </w:p>
    <w:p w14:paraId="2FE55FA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415053F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16.1.2 采用造价信息调整价格差额</w:t>
      </w:r>
    </w:p>
    <w:p w14:paraId="6BB840C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708D7E6C">
      <w:pPr>
        <w:pStyle w:val="67"/>
        <w:ind w:firstLine="118"/>
        <w:rPr>
          <w:rFonts w:ascii="宋体" w:eastAsia="宋体"/>
          <w:color w:val="auto"/>
          <w:szCs w:val="24"/>
          <w:highlight w:val="none"/>
        </w:rPr>
      </w:pPr>
      <w:bookmarkStart w:id="851" w:name="_Toc393546381"/>
      <w:bookmarkStart w:id="852" w:name="_Toc152045717"/>
      <w:bookmarkStart w:id="853" w:name="_Toc179632735"/>
      <w:bookmarkStart w:id="854" w:name="_Toc386467127"/>
      <w:bookmarkStart w:id="855" w:name="_Toc43475855"/>
      <w:bookmarkStart w:id="856" w:name="_Toc152042496"/>
      <w:bookmarkStart w:id="857" w:name="_Toc330406322"/>
      <w:bookmarkStart w:id="858" w:name="_Toc144974688"/>
      <w:r>
        <w:rPr>
          <w:rFonts w:hint="eastAsia" w:ascii="宋体" w:eastAsia="宋体"/>
          <w:color w:val="auto"/>
          <w:szCs w:val="24"/>
          <w:highlight w:val="none"/>
        </w:rPr>
        <w:t>16.2 法律变化引起的价格调整</w:t>
      </w:r>
      <w:bookmarkEnd w:id="851"/>
      <w:bookmarkEnd w:id="852"/>
      <w:bookmarkEnd w:id="853"/>
      <w:bookmarkEnd w:id="854"/>
      <w:bookmarkEnd w:id="855"/>
      <w:bookmarkEnd w:id="856"/>
      <w:bookmarkEnd w:id="857"/>
      <w:bookmarkEnd w:id="858"/>
    </w:p>
    <w:p w14:paraId="08D1743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60C7EB56">
      <w:pPr>
        <w:pStyle w:val="78"/>
        <w:rPr>
          <w:rFonts w:ascii="宋体" w:hAnsi="宋体"/>
          <w:color w:val="auto"/>
          <w:sz w:val="24"/>
          <w:szCs w:val="24"/>
          <w:highlight w:val="none"/>
        </w:rPr>
      </w:pPr>
      <w:bookmarkStart w:id="859" w:name="_Toc393546382"/>
      <w:bookmarkStart w:id="860" w:name="_Toc386467128"/>
      <w:bookmarkStart w:id="861" w:name="_Toc43475856"/>
      <w:r>
        <w:rPr>
          <w:rFonts w:hint="eastAsia" w:ascii="宋体" w:hAnsi="宋体"/>
          <w:color w:val="auto"/>
          <w:sz w:val="24"/>
          <w:szCs w:val="24"/>
          <w:highlight w:val="none"/>
        </w:rPr>
        <w:t>17. 计量与支付</w:t>
      </w:r>
      <w:bookmarkEnd w:id="859"/>
      <w:bookmarkEnd w:id="860"/>
      <w:bookmarkEnd w:id="861"/>
    </w:p>
    <w:p w14:paraId="170E7370">
      <w:pPr>
        <w:pStyle w:val="67"/>
        <w:ind w:firstLine="118"/>
        <w:rPr>
          <w:rFonts w:ascii="宋体" w:eastAsia="宋体"/>
          <w:color w:val="auto"/>
          <w:szCs w:val="24"/>
          <w:highlight w:val="none"/>
        </w:rPr>
      </w:pPr>
      <w:bookmarkStart w:id="862" w:name="_Toc393546383"/>
      <w:bookmarkStart w:id="863" w:name="_Toc43475857"/>
      <w:bookmarkStart w:id="864" w:name="_Toc386467129"/>
      <w:r>
        <w:rPr>
          <w:rFonts w:hint="eastAsia" w:ascii="宋体" w:eastAsia="宋体"/>
          <w:color w:val="auto"/>
          <w:szCs w:val="24"/>
          <w:highlight w:val="none"/>
        </w:rPr>
        <w:t>17.1 计量</w:t>
      </w:r>
      <w:bookmarkEnd w:id="862"/>
      <w:bookmarkEnd w:id="863"/>
      <w:bookmarkEnd w:id="864"/>
    </w:p>
    <w:p w14:paraId="5470DA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17.1.1 计量单位</w:t>
      </w:r>
    </w:p>
    <w:p w14:paraId="00BC596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计量采用国家法定的计量单位。</w:t>
      </w:r>
    </w:p>
    <w:p w14:paraId="471499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17.1.2 计量方法</w:t>
      </w:r>
    </w:p>
    <w:p w14:paraId="20EBB1B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工程量清单中的工程量计算规则应按有关国家标准、行业标准的规定，并在合同中约定执行。</w:t>
      </w:r>
    </w:p>
    <w:p w14:paraId="50EC279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17.1.3 计量周期</w:t>
      </w:r>
    </w:p>
    <w:p w14:paraId="2482ABB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除专用合同条款另有约定外，单价子目已完成工程量按月计量，总价子目的计量周期按批准的支付分解报告确定。</w:t>
      </w:r>
    </w:p>
    <w:p w14:paraId="6DCE4D7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17.1.4 单价子目的计量</w:t>
      </w:r>
    </w:p>
    <w:p w14:paraId="1AF1B89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（1）已标价工程量清单中的单价子目工程量为估算工程量。结算工程量是承包人实际完成的，并按合同约定的计量方法进行计量的工程量。</w:t>
      </w:r>
    </w:p>
    <w:p w14:paraId="43948C50">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（2）承包人对已完成的工程进行计量，向监理人提交进度付款申请单、已完成工程量报表和有关计量资料。</w:t>
      </w:r>
    </w:p>
    <w:p w14:paraId="7DCCC4DF">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CE432B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（4）监理人认为有必要时，可通知承包人共同进行联合测量、计量，承包人应遵照执行。</w:t>
      </w:r>
    </w:p>
    <w:p w14:paraId="0665D29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B75827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（6）监理人应在收到承包人提交的工程量报表后的7天内进行复核，监理人未在约定时间内复核的，承包人提交的工程量报表中的工程量视为承包人实际完成的工程量，据此计算工程价款。</w:t>
      </w:r>
    </w:p>
    <w:p w14:paraId="4F5429A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17.1.5 总价子目的计量</w:t>
      </w:r>
    </w:p>
    <w:p w14:paraId="3F84A2D8">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除专用合同条款另有约定外，总价子目的分解和计量按照下述约定进行。</w:t>
      </w:r>
    </w:p>
    <w:p w14:paraId="4466FBB4">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（1）总价子目的计量和支付应以总价为基础，不因第16.1款中的因素而进行调整。承包人实际完成的工程量，是进行工程目标管理和控制进度支付的依据。</w:t>
      </w:r>
    </w:p>
    <w:p w14:paraId="0042CA72">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5A8F475C">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（3）监理人对承包人提交的上述资料进行复核，以确定分阶段实际完成的工程量和工程形象目标。对其有异议的，可要求承包人按第8.2款约定进行共同复核和抽样复测。</w:t>
      </w:r>
    </w:p>
    <w:p w14:paraId="4BF24A26">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（4）除按照第15条约定的变更外，总价子目的工程量是承包人用于结算的最终工程量。 </w:t>
      </w:r>
    </w:p>
    <w:p w14:paraId="187AE7BB">
      <w:pPr>
        <w:pStyle w:val="67"/>
        <w:ind w:firstLine="118"/>
        <w:rPr>
          <w:rFonts w:ascii="宋体" w:eastAsia="宋体"/>
          <w:color w:val="auto"/>
          <w:szCs w:val="24"/>
          <w:highlight w:val="none"/>
        </w:rPr>
      </w:pPr>
      <w:bookmarkStart w:id="865" w:name="_Toc386467130"/>
      <w:bookmarkStart w:id="866" w:name="_Toc43475858"/>
      <w:bookmarkStart w:id="867" w:name="_Toc393546384"/>
      <w:r>
        <w:rPr>
          <w:rFonts w:hint="eastAsia" w:ascii="宋体" w:eastAsia="宋体"/>
          <w:color w:val="auto"/>
          <w:szCs w:val="24"/>
          <w:highlight w:val="none"/>
        </w:rPr>
        <w:t>17.2 预付款</w:t>
      </w:r>
      <w:bookmarkEnd w:id="865"/>
      <w:bookmarkEnd w:id="866"/>
      <w:bookmarkEnd w:id="867"/>
    </w:p>
    <w:p w14:paraId="0A1D5C2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17.2.1 预付款</w:t>
      </w:r>
    </w:p>
    <w:p w14:paraId="4BC6B30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预付款用于承包人为合同工程施工购置材料、工程设备、施工设备、修建临时设施以及组织施工队伍进场等。预付款的额度和预付办法在专用合同条款中约定。预付款必须专用于合同工程。</w:t>
      </w:r>
    </w:p>
    <w:p w14:paraId="21266A0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17.2.2 预付款保函</w:t>
      </w:r>
    </w:p>
    <w:p w14:paraId="334B8A9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2A1A3BC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17.2.3 预付款的扣回与还清</w:t>
      </w:r>
    </w:p>
    <w:p w14:paraId="3E9689E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5E5D4CD5">
      <w:pPr>
        <w:pStyle w:val="67"/>
        <w:ind w:firstLine="118"/>
        <w:rPr>
          <w:rFonts w:ascii="宋体" w:eastAsia="宋体"/>
          <w:color w:val="auto"/>
          <w:szCs w:val="24"/>
          <w:highlight w:val="none"/>
        </w:rPr>
      </w:pPr>
      <w:bookmarkStart w:id="868" w:name="_Toc386467131"/>
      <w:bookmarkStart w:id="869" w:name="_Toc43475859"/>
      <w:bookmarkStart w:id="870" w:name="_Toc393546385"/>
      <w:r>
        <w:rPr>
          <w:rFonts w:hint="eastAsia" w:ascii="宋体" w:eastAsia="宋体"/>
          <w:color w:val="auto"/>
          <w:szCs w:val="24"/>
          <w:highlight w:val="none"/>
        </w:rPr>
        <w:t>17.3 工程进度付款</w:t>
      </w:r>
      <w:bookmarkEnd w:id="868"/>
      <w:bookmarkEnd w:id="869"/>
      <w:bookmarkEnd w:id="870"/>
    </w:p>
    <w:p w14:paraId="02C266D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17.3.1 付款周期</w:t>
      </w:r>
    </w:p>
    <w:p w14:paraId="7506887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付款周期同计量周期。</w:t>
      </w:r>
    </w:p>
    <w:p w14:paraId="77D6527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17.3.2 进度付款申请单</w:t>
      </w:r>
    </w:p>
    <w:p w14:paraId="3F8A04F9">
      <w:pPr>
        <w:spacing w:line="400" w:lineRule="exact"/>
        <w:ind w:firstLine="480" w:firstLineChars="200"/>
        <w:rPr>
          <w:rFonts w:ascii="宋体" w:hAnsi="宋体" w:cs="宋体"/>
          <w:dstrike/>
          <w:color w:val="auto"/>
          <w:sz w:val="24"/>
          <w:highlight w:val="none"/>
        </w:rPr>
      </w:pPr>
      <w:r>
        <w:rPr>
          <w:rFonts w:hint="eastAsia" w:ascii="宋体" w:hAnsi="宋体" w:cs="宋体"/>
          <w:color w:val="auto"/>
          <w:sz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36D4290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（1）截至本次付款周期末已实施工程的价款；</w:t>
      </w:r>
    </w:p>
    <w:p w14:paraId="78D2FBD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（2）根据第15条应增加和扣减的变更金额；</w:t>
      </w:r>
    </w:p>
    <w:p w14:paraId="17D8E4D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（3）根据第23条应增加和扣减的索赔金额；</w:t>
      </w:r>
    </w:p>
    <w:p w14:paraId="5CF9E58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（4）根据第17.2款约定应支付的预付款和扣减的返还预付款；</w:t>
      </w:r>
    </w:p>
    <w:p w14:paraId="3F3CE5B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（5）根据第17.4.1项约定应扣减的质量保证金；</w:t>
      </w:r>
    </w:p>
    <w:p w14:paraId="7A14C12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（6）根据合同应增加和扣减的其他金额。</w:t>
      </w:r>
    </w:p>
    <w:p w14:paraId="12E6414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17.3.3 进度付款证书和支付时间</w:t>
      </w:r>
    </w:p>
    <w:p w14:paraId="44A6BF02">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7C634FF">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（2）发包人应在监理人收到进度付款申请单后的28天内，将进度应付款支付给承包人。发包人不按期支付的，按专用合同条款的约定支付逾期付款违约金。</w:t>
      </w:r>
    </w:p>
    <w:p w14:paraId="5ADEE78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（3）监理人出具进度付款证书，不应视为监理人已同意、批准或接受了承包人完成的该部分工作。</w:t>
      </w:r>
    </w:p>
    <w:p w14:paraId="68D2A5C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（4）进度付款涉及政府投资资金的，按照国库集中支付等国家相关规定和专用合同条款的约定办理。</w:t>
      </w:r>
    </w:p>
    <w:p w14:paraId="5359F5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17.3.4 工程进度付款的修正</w:t>
      </w:r>
    </w:p>
    <w:p w14:paraId="6A300F8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2FE2610C">
      <w:pPr>
        <w:pStyle w:val="67"/>
        <w:ind w:firstLine="118"/>
        <w:rPr>
          <w:rFonts w:ascii="宋体" w:eastAsia="宋体"/>
          <w:color w:val="auto"/>
          <w:szCs w:val="24"/>
          <w:highlight w:val="none"/>
        </w:rPr>
      </w:pPr>
      <w:bookmarkStart w:id="871" w:name="_Toc386467132"/>
      <w:bookmarkStart w:id="872" w:name="_Toc393546386"/>
      <w:bookmarkStart w:id="873" w:name="_Toc43475860"/>
      <w:r>
        <w:rPr>
          <w:rFonts w:hint="eastAsia" w:ascii="宋体" w:eastAsia="宋体"/>
          <w:color w:val="auto"/>
          <w:szCs w:val="24"/>
          <w:highlight w:val="none"/>
        </w:rPr>
        <w:t>17.4 质量保证金</w:t>
      </w:r>
      <w:bookmarkEnd w:id="871"/>
      <w:bookmarkEnd w:id="872"/>
      <w:bookmarkEnd w:id="873"/>
    </w:p>
    <w:p w14:paraId="38D9774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37FAD4E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46DC4EB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63096957">
      <w:pPr>
        <w:pStyle w:val="67"/>
        <w:ind w:firstLine="118"/>
        <w:rPr>
          <w:rFonts w:ascii="宋体" w:eastAsia="宋体"/>
          <w:color w:val="auto"/>
          <w:szCs w:val="24"/>
          <w:highlight w:val="none"/>
        </w:rPr>
      </w:pPr>
      <w:bookmarkStart w:id="874" w:name="_Toc393546387"/>
      <w:bookmarkStart w:id="875" w:name="_Toc386467133"/>
      <w:bookmarkStart w:id="876" w:name="_Toc43475861"/>
      <w:r>
        <w:rPr>
          <w:rFonts w:hint="eastAsia" w:ascii="宋体" w:eastAsia="宋体"/>
          <w:color w:val="auto"/>
          <w:szCs w:val="24"/>
          <w:highlight w:val="none"/>
        </w:rPr>
        <w:t>17.5 竣工结算</w:t>
      </w:r>
      <w:bookmarkEnd w:id="874"/>
      <w:bookmarkEnd w:id="875"/>
      <w:bookmarkEnd w:id="876"/>
    </w:p>
    <w:p w14:paraId="44EE258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17.5.1 竣工付款申请单</w:t>
      </w:r>
    </w:p>
    <w:p w14:paraId="52A486A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B520DEA">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（2）监理人对竣工付款申请单有异议的，有权要求承包人进行修正和提供补充资料。经监理人和承包人协商后，由承包人向监理人提交修正后的竣工付款申请单。</w:t>
      </w:r>
    </w:p>
    <w:p w14:paraId="5E794B1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17.5.2 竣工付款证书及支付时间</w:t>
      </w:r>
    </w:p>
    <w:p w14:paraId="7F511FF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45706D3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（2）发包人应在监理人出具竣工付款证书后的14天内，将应支付款支付给承包人。发包人不按期支付的，按第17.3.3（2）目的约定，将逾期付款违约金支付给承包人。</w:t>
      </w:r>
    </w:p>
    <w:p w14:paraId="0C4647B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（3）承包人对发包人签认的竣工付款证书有异议的，发包人可出具竣工付款申请单中承包人已同意部分的临时付款证书。存在争议的部分，按第24条的约定办理。</w:t>
      </w:r>
    </w:p>
    <w:p w14:paraId="50EA6D56">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（4）竣工付款涉及政府投资资金的，按第17.3.3（4）目的约定办理。</w:t>
      </w:r>
    </w:p>
    <w:p w14:paraId="641F5613">
      <w:pPr>
        <w:pStyle w:val="67"/>
        <w:ind w:firstLine="118"/>
        <w:rPr>
          <w:rFonts w:ascii="宋体" w:eastAsia="宋体"/>
          <w:color w:val="auto"/>
          <w:szCs w:val="24"/>
          <w:highlight w:val="none"/>
        </w:rPr>
      </w:pPr>
      <w:bookmarkStart w:id="877" w:name="_Toc43475862"/>
      <w:bookmarkStart w:id="878" w:name="_Toc386467134"/>
      <w:bookmarkStart w:id="879" w:name="_Toc393546388"/>
      <w:r>
        <w:rPr>
          <w:rFonts w:hint="eastAsia" w:ascii="宋体" w:eastAsia="宋体"/>
          <w:color w:val="auto"/>
          <w:szCs w:val="24"/>
          <w:highlight w:val="none"/>
        </w:rPr>
        <w:t>17.6 最终结清</w:t>
      </w:r>
      <w:bookmarkEnd w:id="877"/>
      <w:bookmarkEnd w:id="878"/>
      <w:bookmarkEnd w:id="879"/>
    </w:p>
    <w:p w14:paraId="7E4C379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17.6.1 最终结清申请单</w:t>
      </w:r>
    </w:p>
    <w:p w14:paraId="601EEC7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（1）缺陷责任期终止证书签发后，承包人可按专用合同条款约定的份数和期限向监理人提交最终结清申请单，并提供相关证明材料。</w:t>
      </w:r>
    </w:p>
    <w:p w14:paraId="0963F92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（2）发包人对最终结清申请单内容有异议的，有权要求承包人进行修正和提供补充资料，由承包人向监理人提交修正后的最终结清申请单。</w:t>
      </w:r>
    </w:p>
    <w:p w14:paraId="2243364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17.6.2 最终结清证书和支付时间</w:t>
      </w:r>
    </w:p>
    <w:p w14:paraId="18A9152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C851A4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（2）发包人应在监理人出具最终结清证书后的14天内，将应支付款支付给承包人。发包人不按期支付的，按第17.3.3（2）目的约定，将逾期付款违约金支付给承包人。</w:t>
      </w:r>
    </w:p>
    <w:p w14:paraId="09AC52A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（3）承包人对发包人签认的最终结清证书有异议的，按第24条的约定办理。</w:t>
      </w:r>
    </w:p>
    <w:p w14:paraId="273DA65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（4）最终结清付款涉及政府投资资金的，按第17.3.3（4）目的约定办理。</w:t>
      </w:r>
    </w:p>
    <w:p w14:paraId="5F19D5FE">
      <w:pPr>
        <w:pStyle w:val="78"/>
        <w:rPr>
          <w:rFonts w:ascii="宋体" w:hAnsi="宋体"/>
          <w:color w:val="auto"/>
          <w:sz w:val="24"/>
          <w:szCs w:val="24"/>
          <w:highlight w:val="none"/>
        </w:rPr>
      </w:pPr>
      <w:bookmarkStart w:id="880" w:name="_Toc43475863"/>
      <w:bookmarkStart w:id="881" w:name="_Toc393546389"/>
      <w:bookmarkStart w:id="882" w:name="_Toc386467135"/>
      <w:r>
        <w:rPr>
          <w:rFonts w:hint="eastAsia" w:ascii="宋体" w:hAnsi="宋体"/>
          <w:color w:val="auto"/>
          <w:sz w:val="24"/>
          <w:szCs w:val="24"/>
          <w:highlight w:val="none"/>
        </w:rPr>
        <w:t>18. 竣工验收</w:t>
      </w:r>
      <w:bookmarkEnd w:id="880"/>
      <w:bookmarkEnd w:id="881"/>
      <w:bookmarkEnd w:id="882"/>
    </w:p>
    <w:p w14:paraId="4C0AA3E3">
      <w:pPr>
        <w:pStyle w:val="67"/>
        <w:ind w:firstLine="118"/>
        <w:rPr>
          <w:rFonts w:ascii="宋体" w:eastAsia="宋体"/>
          <w:color w:val="auto"/>
          <w:szCs w:val="24"/>
          <w:highlight w:val="none"/>
        </w:rPr>
      </w:pPr>
      <w:bookmarkStart w:id="883" w:name="_Toc386467136"/>
      <w:bookmarkStart w:id="884" w:name="_Toc152045726"/>
      <w:bookmarkStart w:id="885" w:name="_Toc179632744"/>
      <w:bookmarkStart w:id="886" w:name="_Toc330406331"/>
      <w:bookmarkStart w:id="887" w:name="_Toc144974697"/>
      <w:bookmarkStart w:id="888" w:name="_Toc43475864"/>
      <w:bookmarkStart w:id="889" w:name="_Toc152042505"/>
      <w:bookmarkStart w:id="890" w:name="_Toc393546390"/>
      <w:r>
        <w:rPr>
          <w:rFonts w:hint="eastAsia" w:ascii="宋体" w:eastAsia="宋体"/>
          <w:color w:val="auto"/>
          <w:szCs w:val="24"/>
          <w:highlight w:val="none"/>
        </w:rPr>
        <w:t>18.1 竣工验收的含义</w:t>
      </w:r>
      <w:bookmarkEnd w:id="883"/>
      <w:bookmarkEnd w:id="884"/>
      <w:bookmarkEnd w:id="885"/>
      <w:bookmarkEnd w:id="886"/>
      <w:bookmarkEnd w:id="887"/>
      <w:bookmarkEnd w:id="888"/>
      <w:bookmarkEnd w:id="889"/>
      <w:bookmarkEnd w:id="890"/>
    </w:p>
    <w:p w14:paraId="2575BA3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18.1.1 竣工验收指承包人完成了全部合同工作后，发包人按合同要求进行的验收。</w:t>
      </w:r>
    </w:p>
    <w:p w14:paraId="4CBA9C9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18.1.2 国家验收是政府有关部门根据法律、规范、规程和政策要求，针对发包人全面组织实施的整个工程正式交付投运前的验收。</w:t>
      </w:r>
    </w:p>
    <w:p w14:paraId="203AD19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61473B15">
      <w:pPr>
        <w:pStyle w:val="67"/>
        <w:ind w:firstLine="118"/>
        <w:rPr>
          <w:rFonts w:ascii="宋体" w:eastAsia="宋体"/>
          <w:color w:val="auto"/>
          <w:szCs w:val="24"/>
          <w:highlight w:val="none"/>
        </w:rPr>
      </w:pPr>
      <w:bookmarkStart w:id="891" w:name="_Toc393546391"/>
      <w:bookmarkStart w:id="892" w:name="_Toc386467137"/>
      <w:bookmarkStart w:id="893" w:name="_Toc43475865"/>
      <w:r>
        <w:rPr>
          <w:rFonts w:hint="eastAsia" w:ascii="宋体" w:eastAsia="宋体"/>
          <w:color w:val="auto"/>
          <w:szCs w:val="24"/>
          <w:highlight w:val="none"/>
        </w:rPr>
        <w:t>18.2 竣工验收申请报告</w:t>
      </w:r>
      <w:bookmarkEnd w:id="891"/>
      <w:bookmarkEnd w:id="892"/>
      <w:bookmarkEnd w:id="893"/>
    </w:p>
    <w:p w14:paraId="49232A8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当工程具备以下条件时，承包人即可向监理人报送竣工验收申请报告：</w:t>
      </w:r>
    </w:p>
    <w:p w14:paraId="1ADD06F4">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（1）除监理人同意列入缺陷责任期内完成的尾工（甩项）工程和缺陷修补工作外，合同范围内的全部单位工程以及有关工作，包括合同要求的试验、试运行以及检验和验收均已完成，并符合合同要求；</w:t>
      </w:r>
    </w:p>
    <w:p w14:paraId="31EF4195">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 xml:space="preserve">（2）已按合同约定的内容和份数备齐了符合要求的竣工资料； </w:t>
      </w:r>
    </w:p>
    <w:p w14:paraId="03431387">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（3）已按监理人的要求编制了在缺陷责任期内完成的尾工（甩项）工程和缺陷修补工作清单以及相应施工计划；</w:t>
      </w:r>
    </w:p>
    <w:p w14:paraId="1311C7A2">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（4）监理人要求在竣工验收前应完成的其他工作；</w:t>
      </w:r>
    </w:p>
    <w:p w14:paraId="347D543D">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（5）监理人要求提交的竣工验收资料清单。</w:t>
      </w:r>
    </w:p>
    <w:p w14:paraId="703CACB8">
      <w:pPr>
        <w:pStyle w:val="67"/>
        <w:ind w:firstLine="118"/>
        <w:rPr>
          <w:rFonts w:ascii="宋体" w:eastAsia="宋体"/>
          <w:color w:val="auto"/>
          <w:szCs w:val="24"/>
          <w:highlight w:val="none"/>
        </w:rPr>
      </w:pPr>
      <w:bookmarkStart w:id="894" w:name="_Toc386467138"/>
      <w:bookmarkStart w:id="895" w:name="_Toc393546392"/>
      <w:bookmarkStart w:id="896" w:name="_Toc43475866"/>
      <w:r>
        <w:rPr>
          <w:rFonts w:hint="eastAsia" w:ascii="宋体" w:eastAsia="宋体"/>
          <w:color w:val="auto"/>
          <w:szCs w:val="24"/>
          <w:highlight w:val="none"/>
        </w:rPr>
        <w:t>18.3 验收</w:t>
      </w:r>
      <w:bookmarkEnd w:id="894"/>
      <w:bookmarkEnd w:id="895"/>
      <w:bookmarkEnd w:id="896"/>
    </w:p>
    <w:p w14:paraId="1D37D97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监理人收到承包人按第18.2款约定提交的竣工验收申请报告后，应审查申请报告的各项内容，并按以下不同情况进行处理。</w:t>
      </w:r>
    </w:p>
    <w:p w14:paraId="4A6071D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09EDB0E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18.3.2 监理人审查后认为已具备竣工验收条件的，应在收到竣工验收申请报告后的28天内提请发包人进行工程验收。</w:t>
      </w:r>
    </w:p>
    <w:p w14:paraId="12D0979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0EF60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1C989E1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18.3.5 除专用合同条款另有约定外，经验收合格工程的实际竣工日期，以提交竣工验收申请报告的日期为准，并在工程接收证书中写明。</w:t>
      </w:r>
    </w:p>
    <w:p w14:paraId="0F89206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18.3.6 发包人在收到承包人竣工验收申请报告56天后未进行验收的，视为验收合格，实际竣工日期以提交竣工验收申请报告的日期为准，但发包人由于不可抗力不能进行验收的除外。</w:t>
      </w:r>
    </w:p>
    <w:p w14:paraId="46E879D6">
      <w:pPr>
        <w:pStyle w:val="67"/>
        <w:ind w:firstLine="118"/>
        <w:rPr>
          <w:rFonts w:ascii="宋体" w:eastAsia="宋体"/>
          <w:color w:val="auto"/>
          <w:szCs w:val="24"/>
          <w:highlight w:val="none"/>
        </w:rPr>
      </w:pPr>
      <w:bookmarkStart w:id="897" w:name="_Toc144974700"/>
      <w:bookmarkStart w:id="898" w:name="_Toc393546393"/>
      <w:bookmarkStart w:id="899" w:name="_Toc152045729"/>
      <w:bookmarkStart w:id="900" w:name="_Toc43475867"/>
      <w:bookmarkStart w:id="901" w:name="_Toc330406334"/>
      <w:bookmarkStart w:id="902" w:name="_Toc386467139"/>
      <w:bookmarkStart w:id="903" w:name="_Toc179632747"/>
      <w:bookmarkStart w:id="904" w:name="_Toc152042508"/>
      <w:r>
        <w:rPr>
          <w:rFonts w:hint="eastAsia" w:ascii="宋体" w:eastAsia="宋体"/>
          <w:color w:val="auto"/>
          <w:szCs w:val="24"/>
          <w:highlight w:val="none"/>
        </w:rPr>
        <w:t>18.4 单位工程验收</w:t>
      </w:r>
      <w:bookmarkEnd w:id="897"/>
      <w:bookmarkEnd w:id="898"/>
      <w:bookmarkEnd w:id="899"/>
      <w:bookmarkEnd w:id="900"/>
      <w:bookmarkEnd w:id="901"/>
      <w:bookmarkEnd w:id="902"/>
      <w:bookmarkEnd w:id="903"/>
      <w:bookmarkEnd w:id="904"/>
    </w:p>
    <w:p w14:paraId="4BFFD0E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39B0633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18.4.2 发包人在全部工程竣工前，使用已接收的单位工程导致承包人费用增加的，发包人应承担由此增加的费用和（或）工期延误，并支付承包人合理利润。</w:t>
      </w:r>
    </w:p>
    <w:p w14:paraId="2082E90C">
      <w:pPr>
        <w:pStyle w:val="67"/>
        <w:ind w:firstLine="118"/>
        <w:rPr>
          <w:rFonts w:ascii="宋体" w:eastAsia="宋体"/>
          <w:color w:val="auto"/>
          <w:szCs w:val="24"/>
          <w:highlight w:val="none"/>
        </w:rPr>
      </w:pPr>
      <w:bookmarkStart w:id="905" w:name="_Toc330406335"/>
      <w:bookmarkStart w:id="906" w:name="_Toc152042509"/>
      <w:bookmarkStart w:id="907" w:name="_Toc393546394"/>
      <w:bookmarkStart w:id="908" w:name="_Toc43475868"/>
      <w:bookmarkStart w:id="909" w:name="_Toc386467140"/>
      <w:bookmarkStart w:id="910" w:name="_Toc152045730"/>
      <w:bookmarkStart w:id="911" w:name="_Toc144974701"/>
      <w:bookmarkStart w:id="912" w:name="_Toc179632748"/>
      <w:r>
        <w:rPr>
          <w:rFonts w:hint="eastAsia" w:ascii="宋体" w:eastAsia="宋体"/>
          <w:color w:val="auto"/>
          <w:szCs w:val="24"/>
          <w:highlight w:val="none"/>
        </w:rPr>
        <w:t>18.5 施工期运行</w:t>
      </w:r>
      <w:bookmarkEnd w:id="905"/>
      <w:bookmarkEnd w:id="906"/>
      <w:bookmarkEnd w:id="907"/>
      <w:bookmarkEnd w:id="908"/>
      <w:bookmarkEnd w:id="909"/>
      <w:bookmarkEnd w:id="910"/>
      <w:bookmarkEnd w:id="911"/>
      <w:bookmarkEnd w:id="912"/>
    </w:p>
    <w:p w14:paraId="46A0C4F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279B6BA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18.5.2 在施工期运行中发现工程或工程设备损坏或存在缺陷的，由承包人按第19.2款约定进行修复。</w:t>
      </w:r>
    </w:p>
    <w:p w14:paraId="50138381">
      <w:pPr>
        <w:pStyle w:val="67"/>
        <w:ind w:firstLine="118"/>
        <w:rPr>
          <w:rFonts w:ascii="宋体" w:eastAsia="宋体"/>
          <w:color w:val="auto"/>
          <w:szCs w:val="24"/>
          <w:highlight w:val="none"/>
        </w:rPr>
      </w:pPr>
      <w:bookmarkStart w:id="913" w:name="_Toc43475869"/>
      <w:bookmarkStart w:id="914" w:name="_Toc152042510"/>
      <w:bookmarkStart w:id="915" w:name="_Toc179632749"/>
      <w:bookmarkStart w:id="916" w:name="_Toc330406336"/>
      <w:bookmarkStart w:id="917" w:name="_Toc393546395"/>
      <w:bookmarkStart w:id="918" w:name="_Toc386467141"/>
      <w:bookmarkStart w:id="919" w:name="_Toc152045731"/>
      <w:bookmarkStart w:id="920" w:name="_Toc144974702"/>
      <w:r>
        <w:rPr>
          <w:rFonts w:hint="eastAsia" w:ascii="宋体" w:eastAsia="宋体"/>
          <w:color w:val="auto"/>
          <w:szCs w:val="24"/>
          <w:highlight w:val="none"/>
        </w:rPr>
        <w:t>18.6 试运行</w:t>
      </w:r>
      <w:bookmarkEnd w:id="913"/>
      <w:bookmarkEnd w:id="914"/>
      <w:bookmarkEnd w:id="915"/>
      <w:bookmarkEnd w:id="916"/>
      <w:bookmarkEnd w:id="917"/>
      <w:bookmarkEnd w:id="918"/>
      <w:bookmarkEnd w:id="919"/>
      <w:bookmarkEnd w:id="920"/>
    </w:p>
    <w:p w14:paraId="3B1F509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18.6.1 除专用合同条款另有约定外，承包人应按专用合同条款约定进行工程及工程设备试运行，负责提供试运行所需的人员、器材和必要的条件，并承担全部试运行费用。</w:t>
      </w:r>
    </w:p>
    <w:p w14:paraId="606EE5E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33DDE36">
      <w:pPr>
        <w:pStyle w:val="67"/>
        <w:ind w:firstLine="118"/>
        <w:rPr>
          <w:rFonts w:ascii="宋体" w:eastAsia="宋体"/>
          <w:color w:val="auto"/>
          <w:szCs w:val="24"/>
          <w:highlight w:val="none"/>
        </w:rPr>
      </w:pPr>
      <w:bookmarkStart w:id="921" w:name="_Toc152045732"/>
      <w:bookmarkStart w:id="922" w:name="_Toc393546396"/>
      <w:bookmarkStart w:id="923" w:name="_Toc43475870"/>
      <w:bookmarkStart w:id="924" w:name="_Toc152042511"/>
      <w:bookmarkStart w:id="925" w:name="_Toc179632750"/>
      <w:bookmarkStart w:id="926" w:name="_Toc144974703"/>
      <w:bookmarkStart w:id="927" w:name="_Toc386467142"/>
      <w:bookmarkStart w:id="928" w:name="_Toc330406337"/>
      <w:r>
        <w:rPr>
          <w:rFonts w:hint="eastAsia" w:ascii="宋体" w:eastAsia="宋体"/>
          <w:color w:val="auto"/>
          <w:szCs w:val="24"/>
          <w:highlight w:val="none"/>
        </w:rPr>
        <w:t>18.7 竣工清场</w:t>
      </w:r>
      <w:bookmarkEnd w:id="921"/>
      <w:bookmarkEnd w:id="922"/>
      <w:bookmarkEnd w:id="923"/>
      <w:bookmarkEnd w:id="924"/>
      <w:bookmarkEnd w:id="925"/>
      <w:bookmarkEnd w:id="926"/>
      <w:bookmarkEnd w:id="927"/>
      <w:bookmarkEnd w:id="928"/>
    </w:p>
    <w:p w14:paraId="4BB1A83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18.7.1 除合同另有约定外，工程接收证书颁发后，承包人应按以下要求对施工场地进行清理，直至监理人检验合格为止。竣工清场费用由承包人承担。</w:t>
      </w:r>
    </w:p>
    <w:p w14:paraId="3B9F3D0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（1）施工场地内残留的垃圾已全部清除出场；</w:t>
      </w:r>
    </w:p>
    <w:p w14:paraId="7DD3981A">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（2）临时工程已拆除，场地已按合同要求进行清理、平整或复原；</w:t>
      </w:r>
    </w:p>
    <w:p w14:paraId="1378644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（3）按合同约定应撤离的承包人设备和剩余的材料，包括废弃的施工设备和材料，已按计划撤离施工场地；</w:t>
      </w:r>
    </w:p>
    <w:p w14:paraId="6858CA8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（4）工程建筑物周边及其附近道路、河道的施工堆积物，已按监理人指示全部清理；</w:t>
      </w:r>
    </w:p>
    <w:p w14:paraId="37A3FA6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（5）监理人指示的其他场地清理工作已全部完成。</w:t>
      </w:r>
    </w:p>
    <w:p w14:paraId="2E34021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18.7.2 承包人未按监理人的要求恢复临时占地，或者场地清理未达到合同约定的，发包人有权委托其他人恢复或清理，所发生的金额从拟支付给承包人的款项中扣除。</w:t>
      </w:r>
    </w:p>
    <w:p w14:paraId="058AB1A1">
      <w:pPr>
        <w:pStyle w:val="67"/>
        <w:ind w:firstLine="118"/>
        <w:rPr>
          <w:rFonts w:ascii="宋体" w:eastAsia="宋体"/>
          <w:color w:val="auto"/>
          <w:szCs w:val="24"/>
          <w:highlight w:val="none"/>
        </w:rPr>
      </w:pPr>
      <w:bookmarkStart w:id="929" w:name="_Toc43475871"/>
      <w:bookmarkStart w:id="930" w:name="_Toc386467143"/>
      <w:bookmarkStart w:id="931" w:name="_Toc393546397"/>
      <w:r>
        <w:rPr>
          <w:rFonts w:hint="eastAsia" w:ascii="宋体" w:eastAsia="宋体"/>
          <w:color w:val="auto"/>
          <w:szCs w:val="24"/>
          <w:highlight w:val="none"/>
        </w:rPr>
        <w:t>18.8 施工队伍的撤离</w:t>
      </w:r>
      <w:bookmarkEnd w:id="929"/>
      <w:bookmarkEnd w:id="930"/>
      <w:bookmarkEnd w:id="931"/>
    </w:p>
    <w:p w14:paraId="564D057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47D29A7">
      <w:pPr>
        <w:pStyle w:val="78"/>
        <w:rPr>
          <w:rFonts w:ascii="宋体" w:hAnsi="宋体"/>
          <w:color w:val="auto"/>
          <w:sz w:val="24"/>
          <w:szCs w:val="24"/>
          <w:highlight w:val="none"/>
        </w:rPr>
      </w:pPr>
      <w:bookmarkStart w:id="932" w:name="_Toc386467144"/>
      <w:bookmarkStart w:id="933" w:name="_Toc393546398"/>
      <w:bookmarkStart w:id="934" w:name="_Toc43475872"/>
      <w:r>
        <w:rPr>
          <w:rFonts w:hint="eastAsia" w:ascii="宋体" w:hAnsi="宋体"/>
          <w:color w:val="auto"/>
          <w:sz w:val="24"/>
          <w:szCs w:val="24"/>
          <w:highlight w:val="none"/>
        </w:rPr>
        <w:t>19. 缺陷责任与保修责任</w:t>
      </w:r>
      <w:bookmarkEnd w:id="932"/>
      <w:bookmarkEnd w:id="933"/>
      <w:bookmarkEnd w:id="934"/>
    </w:p>
    <w:p w14:paraId="15C08520">
      <w:pPr>
        <w:pStyle w:val="67"/>
        <w:ind w:firstLine="118"/>
        <w:rPr>
          <w:rFonts w:ascii="宋体" w:eastAsia="宋体"/>
          <w:color w:val="auto"/>
          <w:szCs w:val="24"/>
          <w:highlight w:val="none"/>
        </w:rPr>
      </w:pPr>
      <w:bookmarkStart w:id="935" w:name="_Toc179632753"/>
      <w:bookmarkStart w:id="936" w:name="_Toc152045735"/>
      <w:bookmarkStart w:id="937" w:name="_Toc144974706"/>
      <w:bookmarkStart w:id="938" w:name="_Toc330406340"/>
      <w:bookmarkStart w:id="939" w:name="_Toc43475873"/>
      <w:bookmarkStart w:id="940" w:name="_Toc152042514"/>
      <w:bookmarkStart w:id="941" w:name="_Toc393546399"/>
      <w:bookmarkStart w:id="942" w:name="_Toc386467145"/>
      <w:r>
        <w:rPr>
          <w:rFonts w:hint="eastAsia" w:ascii="宋体" w:eastAsia="宋体"/>
          <w:color w:val="auto"/>
          <w:szCs w:val="24"/>
          <w:highlight w:val="none"/>
        </w:rPr>
        <w:t>19.1 缺陷责任期的起算时间</w:t>
      </w:r>
      <w:bookmarkEnd w:id="935"/>
      <w:bookmarkEnd w:id="936"/>
      <w:bookmarkEnd w:id="937"/>
      <w:bookmarkEnd w:id="938"/>
      <w:bookmarkEnd w:id="939"/>
      <w:bookmarkEnd w:id="940"/>
      <w:bookmarkEnd w:id="941"/>
      <w:bookmarkEnd w:id="942"/>
    </w:p>
    <w:p w14:paraId="0DAF9DF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缺陷责任期自实际竣工日期起计算。在全部工程竣工验收前，已经发包人提前验收的单位工程，其缺陷责任期的起算日期相应提前。</w:t>
      </w:r>
    </w:p>
    <w:p w14:paraId="200F7967">
      <w:pPr>
        <w:pStyle w:val="67"/>
        <w:ind w:firstLine="118"/>
        <w:rPr>
          <w:rFonts w:ascii="宋体" w:eastAsia="宋体"/>
          <w:color w:val="auto"/>
          <w:szCs w:val="24"/>
          <w:highlight w:val="none"/>
        </w:rPr>
      </w:pPr>
      <w:bookmarkStart w:id="943" w:name="_Toc43475874"/>
      <w:bookmarkStart w:id="944" w:name="_Toc393546400"/>
      <w:bookmarkStart w:id="945" w:name="_Toc386467146"/>
      <w:r>
        <w:rPr>
          <w:rFonts w:hint="eastAsia" w:ascii="宋体" w:eastAsia="宋体"/>
          <w:color w:val="auto"/>
          <w:szCs w:val="24"/>
          <w:highlight w:val="none"/>
        </w:rPr>
        <w:t>19.2 缺陷责任</w:t>
      </w:r>
      <w:bookmarkEnd w:id="943"/>
      <w:bookmarkEnd w:id="944"/>
      <w:bookmarkEnd w:id="945"/>
    </w:p>
    <w:p w14:paraId="05153C1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19.2.1 承包人应在缺陷责任期内对已交付使用的工程承担缺陷责任。</w:t>
      </w:r>
    </w:p>
    <w:p w14:paraId="266D5E4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1E25B3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69F5CE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19.2.4 承包人不能在合理时间内修复缺陷的，发包人可自行修复或委托其他人修复，所需费用和利润的承担，按第19.2.3项约定办理。</w:t>
      </w:r>
    </w:p>
    <w:p w14:paraId="7513A469">
      <w:pPr>
        <w:pStyle w:val="67"/>
        <w:ind w:firstLine="118"/>
        <w:rPr>
          <w:rFonts w:ascii="宋体" w:eastAsia="宋体"/>
          <w:color w:val="auto"/>
          <w:szCs w:val="24"/>
          <w:highlight w:val="none"/>
        </w:rPr>
      </w:pPr>
      <w:bookmarkStart w:id="946" w:name="_Toc386467147"/>
      <w:bookmarkStart w:id="947" w:name="_Toc179632755"/>
      <w:bookmarkStart w:id="948" w:name="_Toc152042516"/>
      <w:bookmarkStart w:id="949" w:name="_Toc393546401"/>
      <w:bookmarkStart w:id="950" w:name="_Toc43475875"/>
      <w:bookmarkStart w:id="951" w:name="_Toc144974708"/>
      <w:bookmarkStart w:id="952" w:name="_Toc152045737"/>
      <w:bookmarkStart w:id="953" w:name="_Toc330406342"/>
      <w:r>
        <w:rPr>
          <w:rFonts w:hint="eastAsia" w:ascii="宋体" w:eastAsia="宋体"/>
          <w:color w:val="auto"/>
          <w:szCs w:val="24"/>
          <w:highlight w:val="none"/>
        </w:rPr>
        <w:t>19.3 缺陷责任期的延长</w:t>
      </w:r>
      <w:bookmarkEnd w:id="946"/>
      <w:bookmarkEnd w:id="947"/>
      <w:bookmarkEnd w:id="948"/>
      <w:bookmarkEnd w:id="949"/>
      <w:bookmarkEnd w:id="950"/>
      <w:bookmarkEnd w:id="951"/>
      <w:bookmarkEnd w:id="952"/>
      <w:bookmarkEnd w:id="953"/>
    </w:p>
    <w:p w14:paraId="7710BB3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32EB9EE0">
      <w:pPr>
        <w:pStyle w:val="67"/>
        <w:ind w:firstLine="118"/>
        <w:rPr>
          <w:rFonts w:ascii="宋体" w:eastAsia="宋体"/>
          <w:color w:val="auto"/>
          <w:szCs w:val="24"/>
          <w:highlight w:val="none"/>
        </w:rPr>
      </w:pPr>
      <w:bookmarkStart w:id="954" w:name="_Toc152045738"/>
      <w:bookmarkStart w:id="955" w:name="_Toc330406343"/>
      <w:bookmarkStart w:id="956" w:name="_Toc144974709"/>
      <w:bookmarkStart w:id="957" w:name="_Toc393546402"/>
      <w:bookmarkStart w:id="958" w:name="_Toc386467148"/>
      <w:bookmarkStart w:id="959" w:name="_Toc179632756"/>
      <w:bookmarkStart w:id="960" w:name="_Toc152042517"/>
      <w:bookmarkStart w:id="961" w:name="_Toc43475876"/>
      <w:r>
        <w:rPr>
          <w:rFonts w:hint="eastAsia" w:ascii="宋体" w:eastAsia="宋体"/>
          <w:color w:val="auto"/>
          <w:szCs w:val="24"/>
          <w:highlight w:val="none"/>
        </w:rPr>
        <w:t>19.4 进一步试验和试运行</w:t>
      </w:r>
      <w:bookmarkEnd w:id="954"/>
      <w:bookmarkEnd w:id="955"/>
      <w:bookmarkEnd w:id="956"/>
      <w:bookmarkEnd w:id="957"/>
      <w:bookmarkEnd w:id="958"/>
      <w:bookmarkEnd w:id="959"/>
      <w:bookmarkEnd w:id="960"/>
      <w:bookmarkEnd w:id="961"/>
    </w:p>
    <w:p w14:paraId="7F0A521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任何一项缺陷或损坏修复后，经检查证明其影响了工程或工程设备的使用性能，承包人应重新进行合同约定的试验和试运行，试验和试运行的全部费用应由责任方承担。</w:t>
      </w:r>
    </w:p>
    <w:p w14:paraId="0F3258A9">
      <w:pPr>
        <w:pStyle w:val="67"/>
        <w:ind w:firstLine="118"/>
        <w:rPr>
          <w:rFonts w:ascii="宋体" w:eastAsia="宋体"/>
          <w:color w:val="auto"/>
          <w:szCs w:val="24"/>
          <w:highlight w:val="none"/>
        </w:rPr>
      </w:pPr>
      <w:bookmarkStart w:id="962" w:name="_Toc43475877"/>
      <w:bookmarkStart w:id="963" w:name="_Toc386467149"/>
      <w:bookmarkStart w:id="964" w:name="_Toc393546403"/>
      <w:r>
        <w:rPr>
          <w:rFonts w:hint="eastAsia" w:ascii="宋体" w:eastAsia="宋体"/>
          <w:color w:val="auto"/>
          <w:szCs w:val="24"/>
          <w:highlight w:val="none"/>
        </w:rPr>
        <w:t>19.5 承包人的进入权</w:t>
      </w:r>
      <w:bookmarkEnd w:id="962"/>
      <w:bookmarkEnd w:id="963"/>
      <w:bookmarkEnd w:id="964"/>
    </w:p>
    <w:p w14:paraId="3340453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缺陷责任期内承包人为缺陷修复工作需要，有权进入工程现场，但应遵守发包人的保安和保密规定。</w:t>
      </w:r>
    </w:p>
    <w:p w14:paraId="7D656064">
      <w:pPr>
        <w:pStyle w:val="67"/>
        <w:ind w:firstLine="118"/>
        <w:rPr>
          <w:rFonts w:ascii="宋体" w:eastAsia="宋体"/>
          <w:color w:val="auto"/>
          <w:szCs w:val="24"/>
          <w:highlight w:val="none"/>
        </w:rPr>
      </w:pPr>
      <w:bookmarkStart w:id="965" w:name="_Toc393546404"/>
      <w:bookmarkStart w:id="966" w:name="_Toc179632758"/>
      <w:bookmarkStart w:id="967" w:name="_Toc152042519"/>
      <w:bookmarkStart w:id="968" w:name="_Toc386467150"/>
      <w:bookmarkStart w:id="969" w:name="_Toc144974711"/>
      <w:bookmarkStart w:id="970" w:name="_Toc330406345"/>
      <w:bookmarkStart w:id="971" w:name="_Toc152045740"/>
      <w:bookmarkStart w:id="972" w:name="_Toc43475878"/>
      <w:r>
        <w:rPr>
          <w:rFonts w:hint="eastAsia" w:ascii="宋体" w:eastAsia="宋体"/>
          <w:color w:val="auto"/>
          <w:szCs w:val="24"/>
          <w:highlight w:val="none"/>
        </w:rPr>
        <w:t>19.6 缺陷责任期终止证书</w:t>
      </w:r>
      <w:bookmarkEnd w:id="965"/>
      <w:bookmarkEnd w:id="966"/>
      <w:bookmarkEnd w:id="967"/>
      <w:bookmarkEnd w:id="968"/>
      <w:bookmarkEnd w:id="969"/>
      <w:bookmarkEnd w:id="970"/>
      <w:bookmarkEnd w:id="971"/>
      <w:bookmarkEnd w:id="972"/>
    </w:p>
    <w:p w14:paraId="02B2578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在第1.1.4.5目约定的缺陷责任期，包括根据第19.3款延长的期限终止后14天内，由监理人向承包人出具经发包人签认的缺陷责任期终止证书，并退还剩余的质量保证金。</w:t>
      </w:r>
    </w:p>
    <w:p w14:paraId="3F7A3364">
      <w:pPr>
        <w:pStyle w:val="67"/>
        <w:ind w:firstLine="118"/>
        <w:rPr>
          <w:rFonts w:ascii="宋体" w:eastAsia="宋体"/>
          <w:color w:val="auto"/>
          <w:szCs w:val="24"/>
          <w:highlight w:val="none"/>
        </w:rPr>
      </w:pPr>
      <w:bookmarkStart w:id="973" w:name="_Toc43475879"/>
      <w:bookmarkStart w:id="974" w:name="_Toc386467151"/>
      <w:bookmarkStart w:id="975" w:name="_Toc393546405"/>
      <w:r>
        <w:rPr>
          <w:rFonts w:hint="eastAsia" w:ascii="宋体" w:eastAsia="宋体"/>
          <w:color w:val="auto"/>
          <w:szCs w:val="24"/>
          <w:highlight w:val="none"/>
        </w:rPr>
        <w:t>19.7 保修责任</w:t>
      </w:r>
      <w:bookmarkEnd w:id="973"/>
      <w:bookmarkEnd w:id="974"/>
      <w:bookmarkEnd w:id="975"/>
    </w:p>
    <w:p w14:paraId="7D67F19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2912EFF">
      <w:pPr>
        <w:pStyle w:val="78"/>
        <w:rPr>
          <w:rFonts w:ascii="宋体" w:hAnsi="宋体"/>
          <w:color w:val="auto"/>
          <w:sz w:val="24"/>
          <w:szCs w:val="24"/>
          <w:highlight w:val="none"/>
        </w:rPr>
      </w:pPr>
      <w:bookmarkStart w:id="976" w:name="_Toc393546406"/>
      <w:bookmarkStart w:id="977" w:name="_Toc386467152"/>
      <w:bookmarkStart w:id="978" w:name="_Toc43475880"/>
      <w:r>
        <w:rPr>
          <w:rFonts w:hint="eastAsia" w:ascii="宋体" w:hAnsi="宋体"/>
          <w:color w:val="auto"/>
          <w:sz w:val="24"/>
          <w:szCs w:val="24"/>
          <w:highlight w:val="none"/>
        </w:rPr>
        <w:t>20. 保险</w:t>
      </w:r>
      <w:bookmarkEnd w:id="976"/>
      <w:bookmarkEnd w:id="977"/>
      <w:bookmarkEnd w:id="978"/>
    </w:p>
    <w:p w14:paraId="66F77CBD">
      <w:pPr>
        <w:pStyle w:val="67"/>
        <w:ind w:firstLine="118"/>
        <w:rPr>
          <w:rFonts w:ascii="宋体" w:eastAsia="宋体"/>
          <w:color w:val="auto"/>
          <w:szCs w:val="24"/>
          <w:highlight w:val="none"/>
        </w:rPr>
      </w:pPr>
      <w:bookmarkStart w:id="979" w:name="_Toc43475881"/>
      <w:bookmarkStart w:id="980" w:name="_Toc393546407"/>
      <w:bookmarkStart w:id="981" w:name="_Toc386467153"/>
      <w:r>
        <w:rPr>
          <w:rFonts w:hint="eastAsia" w:ascii="宋体" w:eastAsia="宋体"/>
          <w:color w:val="auto"/>
          <w:szCs w:val="24"/>
          <w:highlight w:val="none"/>
        </w:rPr>
        <w:t>20.1 工程保险</w:t>
      </w:r>
      <w:bookmarkEnd w:id="979"/>
      <w:bookmarkEnd w:id="980"/>
      <w:bookmarkEnd w:id="981"/>
    </w:p>
    <w:p w14:paraId="62F99F67">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6A9280AD">
      <w:pPr>
        <w:pStyle w:val="67"/>
        <w:ind w:firstLine="118"/>
        <w:rPr>
          <w:rFonts w:ascii="宋体" w:eastAsia="宋体"/>
          <w:color w:val="auto"/>
          <w:szCs w:val="24"/>
          <w:highlight w:val="none"/>
        </w:rPr>
      </w:pPr>
      <w:bookmarkStart w:id="982" w:name="_Toc386467154"/>
      <w:bookmarkStart w:id="983" w:name="_Toc152045744"/>
      <w:bookmarkStart w:id="984" w:name="_Toc179632762"/>
      <w:bookmarkStart w:id="985" w:name="_Toc330406349"/>
      <w:bookmarkStart w:id="986" w:name="_Toc43475882"/>
      <w:bookmarkStart w:id="987" w:name="_Toc393546408"/>
      <w:bookmarkStart w:id="988" w:name="_Toc152042523"/>
      <w:bookmarkStart w:id="989" w:name="_Toc144974715"/>
      <w:r>
        <w:rPr>
          <w:rFonts w:hint="eastAsia" w:ascii="宋体" w:eastAsia="宋体"/>
          <w:color w:val="auto"/>
          <w:szCs w:val="24"/>
          <w:highlight w:val="none"/>
        </w:rPr>
        <w:t>20.2 人员工伤事故的保险</w:t>
      </w:r>
      <w:bookmarkEnd w:id="982"/>
      <w:bookmarkEnd w:id="983"/>
      <w:bookmarkEnd w:id="984"/>
      <w:bookmarkEnd w:id="985"/>
      <w:bookmarkEnd w:id="986"/>
      <w:bookmarkEnd w:id="987"/>
      <w:bookmarkEnd w:id="988"/>
      <w:bookmarkEnd w:id="989"/>
    </w:p>
    <w:p w14:paraId="635F9E30">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20.2.1 承包人员工伤事故的保险</w:t>
      </w:r>
    </w:p>
    <w:p w14:paraId="3A12D17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承包人应依照有关法律规定参加工伤保险，为其履行合同所雇佣的全部人员，缴纳工伤保险费，并要求其分包人也进行此项保险。</w:t>
      </w:r>
    </w:p>
    <w:p w14:paraId="10CF3FC2">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20.2.2 发包人员工伤事故的保险</w:t>
      </w:r>
    </w:p>
    <w:p w14:paraId="5425C520">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发包人应依照有关法律规定参加工伤保险，为其现场机构雇佣的全部人员，缴纳工伤保险费，并要求其监理人也进行此项保险。</w:t>
      </w:r>
    </w:p>
    <w:p w14:paraId="2DB6E8A1">
      <w:pPr>
        <w:pStyle w:val="67"/>
        <w:ind w:firstLine="118"/>
        <w:rPr>
          <w:rFonts w:ascii="宋体" w:eastAsia="宋体"/>
          <w:color w:val="auto"/>
          <w:szCs w:val="24"/>
          <w:highlight w:val="none"/>
        </w:rPr>
      </w:pPr>
      <w:bookmarkStart w:id="990" w:name="_Toc386467155"/>
      <w:bookmarkStart w:id="991" w:name="_Toc330406350"/>
      <w:bookmarkStart w:id="992" w:name="_Toc43475883"/>
      <w:bookmarkStart w:id="993" w:name="_Toc179632763"/>
      <w:bookmarkStart w:id="994" w:name="_Toc152045745"/>
      <w:bookmarkStart w:id="995" w:name="_Toc152042524"/>
      <w:bookmarkStart w:id="996" w:name="_Toc393546409"/>
      <w:bookmarkStart w:id="997" w:name="_Toc144974716"/>
      <w:r>
        <w:rPr>
          <w:rFonts w:hint="eastAsia" w:ascii="宋体" w:eastAsia="宋体"/>
          <w:color w:val="auto"/>
          <w:szCs w:val="24"/>
          <w:highlight w:val="none"/>
        </w:rPr>
        <w:t>20.3 人身意外伤害险</w:t>
      </w:r>
      <w:bookmarkEnd w:id="990"/>
      <w:bookmarkEnd w:id="991"/>
      <w:bookmarkEnd w:id="992"/>
      <w:bookmarkEnd w:id="993"/>
      <w:bookmarkEnd w:id="994"/>
      <w:bookmarkEnd w:id="995"/>
      <w:bookmarkEnd w:id="996"/>
      <w:bookmarkEnd w:id="997"/>
    </w:p>
    <w:p w14:paraId="10E8CA02">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20.3.1 发包人应在整个施工期间为其现场机构雇用的全部人员，投保人身意外伤害险，缴纳保险费，并要求其监理人也进行此项保险。</w:t>
      </w:r>
    </w:p>
    <w:p w14:paraId="41FB0F4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20.3.2 承包人应在整个施工期间为其现场机构雇用的全部人员，投保人身意外伤害险，缴纳保险费，并要求其分包人也进行此项保险。</w:t>
      </w:r>
    </w:p>
    <w:p w14:paraId="73D94284">
      <w:pPr>
        <w:pStyle w:val="67"/>
        <w:ind w:firstLine="118"/>
        <w:rPr>
          <w:rFonts w:ascii="宋体" w:eastAsia="宋体"/>
          <w:color w:val="auto"/>
          <w:szCs w:val="24"/>
          <w:highlight w:val="none"/>
        </w:rPr>
      </w:pPr>
      <w:bookmarkStart w:id="998" w:name="_Toc386467156"/>
      <w:bookmarkStart w:id="999" w:name="_Toc393546410"/>
      <w:bookmarkStart w:id="1000" w:name="_Toc43475884"/>
      <w:r>
        <w:rPr>
          <w:rFonts w:hint="eastAsia" w:ascii="宋体" w:eastAsia="宋体"/>
          <w:color w:val="auto"/>
          <w:szCs w:val="24"/>
          <w:highlight w:val="none"/>
        </w:rPr>
        <w:t>20.4 第三者责任险</w:t>
      </w:r>
      <w:bookmarkEnd w:id="998"/>
      <w:bookmarkEnd w:id="999"/>
      <w:bookmarkEnd w:id="1000"/>
    </w:p>
    <w:p w14:paraId="5DE0127B">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A24BB10">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20.4.2 在缺陷责任期终止证书颁发前，承包人应以承包人和发包人的共同名义，投保第20.4.1项约定的第三者责任险，其保险费率、保险金额等有关内容在专用合同条款中约定。</w:t>
      </w:r>
    </w:p>
    <w:p w14:paraId="0F635C9D">
      <w:pPr>
        <w:pStyle w:val="67"/>
        <w:ind w:firstLine="118"/>
        <w:rPr>
          <w:rFonts w:ascii="宋体" w:eastAsia="宋体"/>
          <w:color w:val="auto"/>
          <w:szCs w:val="24"/>
          <w:highlight w:val="none"/>
        </w:rPr>
      </w:pPr>
      <w:bookmarkStart w:id="1001" w:name="_Toc386467157"/>
      <w:bookmarkStart w:id="1002" w:name="_Toc43475885"/>
      <w:bookmarkStart w:id="1003" w:name="_Toc393546411"/>
      <w:r>
        <w:rPr>
          <w:rFonts w:hint="eastAsia" w:ascii="宋体" w:eastAsia="宋体"/>
          <w:color w:val="auto"/>
          <w:szCs w:val="24"/>
          <w:highlight w:val="none"/>
        </w:rPr>
        <w:t>20.5 其他保险</w:t>
      </w:r>
      <w:bookmarkEnd w:id="1001"/>
      <w:bookmarkEnd w:id="1002"/>
      <w:bookmarkEnd w:id="1003"/>
    </w:p>
    <w:p w14:paraId="53778250">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除专用合同条款另有约定外，承包人应为其施工设备、进场的材料和工程设备等办理保险。</w:t>
      </w:r>
    </w:p>
    <w:p w14:paraId="72BA03FB">
      <w:pPr>
        <w:pStyle w:val="67"/>
        <w:ind w:firstLine="118"/>
        <w:rPr>
          <w:rFonts w:ascii="宋体" w:eastAsia="宋体"/>
          <w:color w:val="auto"/>
          <w:szCs w:val="24"/>
          <w:highlight w:val="none"/>
        </w:rPr>
      </w:pPr>
      <w:bookmarkStart w:id="1004" w:name="_Toc393546412"/>
      <w:bookmarkStart w:id="1005" w:name="_Toc43475886"/>
      <w:bookmarkStart w:id="1006" w:name="_Toc386467158"/>
      <w:r>
        <w:rPr>
          <w:rFonts w:hint="eastAsia" w:ascii="宋体" w:eastAsia="宋体"/>
          <w:color w:val="auto"/>
          <w:szCs w:val="24"/>
          <w:highlight w:val="none"/>
        </w:rPr>
        <w:t>20.6 对各项保险的一般要求</w:t>
      </w:r>
      <w:bookmarkEnd w:id="1004"/>
      <w:bookmarkEnd w:id="1005"/>
      <w:bookmarkEnd w:id="1006"/>
    </w:p>
    <w:p w14:paraId="25CE2B2C">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20.6.1 保险凭证</w:t>
      </w:r>
    </w:p>
    <w:p w14:paraId="7BF75557">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承包人应在专用合同条款约定的期限内向发包人提交各项保险生效的证据和保险单副本，保险单必须与专用合同条款约定的条件保持一致。</w:t>
      </w:r>
    </w:p>
    <w:p w14:paraId="75FC4D01">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20.6.2 保险合同条款的变动</w:t>
      </w:r>
    </w:p>
    <w:p w14:paraId="12554DD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承包人需要变动保险合同条款时，应事先征得发包人同意，并通知监理人。保险人作出变动的，承包人应在收到保险人通知后立即通知发包人和监理人。</w:t>
      </w:r>
    </w:p>
    <w:p w14:paraId="3F70B87D">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20.6.3 持续保险</w:t>
      </w:r>
    </w:p>
    <w:p w14:paraId="169A0AEB">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承包人应与保险人保持联系，使保险人能够随时了解工程实施中的变动，并确保按保险合同条款要求持续保险。</w:t>
      </w:r>
    </w:p>
    <w:p w14:paraId="14E78FE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20.6.4 保险金不足的补偿</w:t>
      </w:r>
    </w:p>
    <w:p w14:paraId="2F8F224C">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保险金不足以补偿损失的，应由承包人和（或）发包人按合同约定负责补偿。</w:t>
      </w:r>
    </w:p>
    <w:p w14:paraId="652CCDF4">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20.6.5 未按约定投保的补救</w:t>
      </w:r>
    </w:p>
    <w:p w14:paraId="4EFF4C71">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（1）由于负有投保义务的一方当事人未按合同约定办理保险，或未能使保险持续有效的，另一方当事人可代为办理，所需费用由对方当事人承担。</w:t>
      </w:r>
    </w:p>
    <w:p w14:paraId="3B7029E2">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（2）由于负有投保义务的一方当事人未按合同约定办理某项保险，导致受益人未能得到保险人的赔偿，原应从该项保险得到的保险金应由负有投保义务的一方当事人支付。</w:t>
      </w:r>
    </w:p>
    <w:p w14:paraId="161B695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20.6.6 报告义务</w:t>
      </w:r>
    </w:p>
    <w:p w14:paraId="3B6F8A7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当保险事故发生时，投保人应按照保险单规定的条件和期限及时向保险人报告。</w:t>
      </w:r>
    </w:p>
    <w:p w14:paraId="6562B333">
      <w:pPr>
        <w:pStyle w:val="78"/>
        <w:rPr>
          <w:rFonts w:ascii="宋体" w:hAnsi="宋体"/>
          <w:color w:val="auto"/>
          <w:sz w:val="24"/>
          <w:szCs w:val="24"/>
          <w:highlight w:val="none"/>
        </w:rPr>
      </w:pPr>
      <w:bookmarkStart w:id="1007" w:name="_Toc43475887"/>
      <w:bookmarkStart w:id="1008" w:name="_Toc393546413"/>
      <w:bookmarkStart w:id="1009" w:name="_Toc386467159"/>
      <w:r>
        <w:rPr>
          <w:rFonts w:hint="eastAsia" w:ascii="宋体" w:hAnsi="宋体"/>
          <w:color w:val="auto"/>
          <w:sz w:val="24"/>
          <w:szCs w:val="24"/>
          <w:highlight w:val="none"/>
        </w:rPr>
        <w:t>21. 不可抗力</w:t>
      </w:r>
      <w:bookmarkEnd w:id="1007"/>
      <w:bookmarkEnd w:id="1008"/>
      <w:bookmarkEnd w:id="1009"/>
    </w:p>
    <w:p w14:paraId="3F3454C4">
      <w:pPr>
        <w:pStyle w:val="67"/>
        <w:ind w:firstLine="118"/>
        <w:rPr>
          <w:rFonts w:ascii="宋体" w:eastAsia="宋体"/>
          <w:color w:val="auto"/>
          <w:szCs w:val="24"/>
          <w:highlight w:val="none"/>
        </w:rPr>
      </w:pPr>
      <w:bookmarkStart w:id="1010" w:name="_Toc386467160"/>
      <w:bookmarkStart w:id="1011" w:name="_Toc393546414"/>
      <w:bookmarkStart w:id="1012" w:name="_Toc43475888"/>
      <w:r>
        <w:rPr>
          <w:rFonts w:hint="eastAsia" w:ascii="宋体" w:eastAsia="宋体"/>
          <w:color w:val="auto"/>
          <w:szCs w:val="24"/>
          <w:highlight w:val="none"/>
        </w:rPr>
        <w:t>21.1 不可抗力的确认</w:t>
      </w:r>
      <w:bookmarkEnd w:id="1010"/>
      <w:bookmarkEnd w:id="1011"/>
      <w:bookmarkEnd w:id="1012"/>
    </w:p>
    <w:p w14:paraId="5219A70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613D0FF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69C0404A">
      <w:pPr>
        <w:pStyle w:val="67"/>
        <w:ind w:firstLine="118"/>
        <w:rPr>
          <w:rFonts w:ascii="宋体" w:eastAsia="宋体"/>
          <w:color w:val="auto"/>
          <w:szCs w:val="24"/>
          <w:highlight w:val="none"/>
        </w:rPr>
      </w:pPr>
      <w:bookmarkStart w:id="1013" w:name="_Toc179632769"/>
      <w:bookmarkStart w:id="1014" w:name="_Toc43475889"/>
      <w:bookmarkStart w:id="1015" w:name="_Toc152042530"/>
      <w:bookmarkStart w:id="1016" w:name="_Toc393546415"/>
      <w:bookmarkStart w:id="1017" w:name="_Toc386467161"/>
      <w:bookmarkStart w:id="1018" w:name="_Toc152045751"/>
      <w:bookmarkStart w:id="1019" w:name="_Toc144974722"/>
      <w:bookmarkStart w:id="1020" w:name="_Toc330406356"/>
      <w:r>
        <w:rPr>
          <w:rFonts w:hint="eastAsia" w:ascii="宋体" w:eastAsia="宋体"/>
          <w:color w:val="auto"/>
          <w:szCs w:val="24"/>
          <w:highlight w:val="none"/>
        </w:rPr>
        <w:t>21.2 不可抗力的通知</w:t>
      </w:r>
      <w:bookmarkEnd w:id="1013"/>
      <w:bookmarkEnd w:id="1014"/>
      <w:bookmarkEnd w:id="1015"/>
      <w:bookmarkEnd w:id="1016"/>
      <w:bookmarkEnd w:id="1017"/>
      <w:bookmarkEnd w:id="1018"/>
      <w:bookmarkEnd w:id="1019"/>
      <w:bookmarkEnd w:id="1020"/>
    </w:p>
    <w:p w14:paraId="1CC9E94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 合同一方当事人遇到不可抗力事件，使其履行合同义务受到阻碍时，应立即通知合同另一方当事人和监理人，书面说明不可抗力和受阻碍的详细情况，并提供必要的证明。</w:t>
      </w:r>
    </w:p>
    <w:p w14:paraId="4B7531C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05A0C3F1">
      <w:pPr>
        <w:pStyle w:val="67"/>
        <w:ind w:firstLine="118"/>
        <w:rPr>
          <w:rFonts w:ascii="宋体" w:eastAsia="宋体"/>
          <w:color w:val="auto"/>
          <w:szCs w:val="24"/>
          <w:highlight w:val="none"/>
        </w:rPr>
      </w:pPr>
      <w:bookmarkStart w:id="1021" w:name="_Toc386467162"/>
      <w:bookmarkStart w:id="1022" w:name="_Toc43475890"/>
      <w:bookmarkStart w:id="1023" w:name="_Toc393546416"/>
      <w:r>
        <w:rPr>
          <w:rFonts w:hint="eastAsia" w:ascii="宋体" w:eastAsia="宋体"/>
          <w:color w:val="auto"/>
          <w:szCs w:val="24"/>
          <w:highlight w:val="none"/>
        </w:rPr>
        <w:t>21.3 不可抗力后果及其处理</w:t>
      </w:r>
      <w:bookmarkEnd w:id="1021"/>
      <w:bookmarkEnd w:id="1022"/>
      <w:bookmarkEnd w:id="1023"/>
    </w:p>
    <w:p w14:paraId="22805487">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21.3.1 不可抗力造成损害的责任</w:t>
      </w:r>
    </w:p>
    <w:p w14:paraId="574913D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除专用合同条款另有约定外，不可抗力导致的人员伤亡、财产损失、费用增加和（或）工期延误等后果，由合同双方按以下原则承担：</w:t>
      </w:r>
    </w:p>
    <w:p w14:paraId="1ED6C4C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（1）永久工程，包括已运至施工场地的材料和工程设备的损害，以及因工程损害造成的第三者人员伤亡和财产损失由发包人承担；</w:t>
      </w:r>
    </w:p>
    <w:p w14:paraId="340E8A9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（2）承包人设备的损坏由承包人承担；</w:t>
      </w:r>
    </w:p>
    <w:p w14:paraId="4F037E7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（3）发包人和承包人各自承担其人员伤亡和其他财产损失及其相关费用；</w:t>
      </w:r>
    </w:p>
    <w:p w14:paraId="7313D58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（4）承包人的停工损失由承包人承担，但停工期间应监理人要求照管工程和清理、修复工程的金额由发包人承担；</w:t>
      </w:r>
    </w:p>
    <w:p w14:paraId="772612D3">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（5）不能按期竣工的，应合理延长工期，承包人不需支付逾期竣工违约金。发包人要求赶工的，承包人应采取赶工措施，赶工费用由发包人承担。</w:t>
      </w:r>
    </w:p>
    <w:p w14:paraId="3F20AB5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21.3.2 延迟履行期间发生的不可抗力</w:t>
      </w:r>
    </w:p>
    <w:p w14:paraId="0628A87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合同一方当事人延迟履行，在延迟履行期间发生不可抗力的，不免除其责任。</w:t>
      </w:r>
    </w:p>
    <w:p w14:paraId="3362785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21.3.3 避免和减少不可抗力损失</w:t>
      </w:r>
    </w:p>
    <w:p w14:paraId="6DFCE67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不可抗力发生后，发包人和承包人均应采取措施尽量避免和减少损失的扩大，任何一方没有采取有效措施导致损失扩大的，应对扩大的损失承担责任。</w:t>
      </w:r>
    </w:p>
    <w:p w14:paraId="0F39CDE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因不可抗力解除合同</w:t>
      </w:r>
    </w:p>
    <w:p w14:paraId="2853234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6FE6C599">
      <w:pPr>
        <w:pStyle w:val="78"/>
        <w:rPr>
          <w:rFonts w:ascii="宋体" w:hAnsi="宋体"/>
          <w:color w:val="auto"/>
          <w:sz w:val="24"/>
          <w:szCs w:val="24"/>
          <w:highlight w:val="none"/>
        </w:rPr>
      </w:pPr>
      <w:bookmarkStart w:id="1024" w:name="_Toc386467163"/>
      <w:bookmarkStart w:id="1025" w:name="_Toc393546417"/>
      <w:bookmarkStart w:id="1026" w:name="_Toc43475891"/>
      <w:r>
        <w:rPr>
          <w:rFonts w:hint="eastAsia" w:ascii="宋体" w:hAnsi="宋体"/>
          <w:color w:val="auto"/>
          <w:sz w:val="24"/>
          <w:szCs w:val="24"/>
          <w:highlight w:val="none"/>
        </w:rPr>
        <w:t>22. 违约</w:t>
      </w:r>
      <w:bookmarkEnd w:id="1024"/>
      <w:bookmarkEnd w:id="1025"/>
      <w:bookmarkEnd w:id="1026"/>
    </w:p>
    <w:p w14:paraId="1DC2BB1E">
      <w:pPr>
        <w:pStyle w:val="67"/>
        <w:ind w:firstLine="118"/>
        <w:rPr>
          <w:rFonts w:ascii="宋体" w:eastAsia="宋体"/>
          <w:color w:val="auto"/>
          <w:szCs w:val="24"/>
          <w:highlight w:val="none"/>
        </w:rPr>
      </w:pPr>
      <w:bookmarkStart w:id="1027" w:name="_Toc43475892"/>
      <w:bookmarkStart w:id="1028" w:name="_Toc393546418"/>
      <w:bookmarkStart w:id="1029" w:name="_Toc386467164"/>
      <w:r>
        <w:rPr>
          <w:rFonts w:hint="eastAsia" w:ascii="宋体" w:eastAsia="宋体"/>
          <w:color w:val="auto"/>
          <w:szCs w:val="24"/>
          <w:highlight w:val="none"/>
        </w:rPr>
        <w:t>22.1 承包人违约</w:t>
      </w:r>
      <w:bookmarkEnd w:id="1027"/>
      <w:bookmarkEnd w:id="1028"/>
      <w:bookmarkEnd w:id="1029"/>
    </w:p>
    <w:p w14:paraId="0360A3F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22.1.1 承包人违约的情形</w:t>
      </w:r>
    </w:p>
    <w:p w14:paraId="0C40665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在履行合同过程中发生的下列情况属承包人违约：</w:t>
      </w:r>
    </w:p>
    <w:p w14:paraId="5950F20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（1）承包人违反第1.8款或第4.3款的约定，私自将合同的全部或部分权利转让给其他人，或私自将合同的全部或部分义务转移给其他人；</w:t>
      </w:r>
    </w:p>
    <w:p w14:paraId="406F790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（2）承包人违反第5.3款或第6.4款的约定，未经监理人批准，私自将已按合同约定进入施工场地的施工设备、临时设施或材料撤离施工场地；</w:t>
      </w:r>
    </w:p>
    <w:p w14:paraId="3A3A3700">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（3）承包人违反第5.4款的约定使用了不合格材料或工程设备，工程质量达不到标准要求，又拒绝清除不合格工程；</w:t>
      </w:r>
    </w:p>
    <w:p w14:paraId="5C5DBE1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（4）承包人未能按合同进度计划及时完成合同约定的工作，已造成或预期造成工期延误；</w:t>
      </w:r>
    </w:p>
    <w:p w14:paraId="7A7793C3">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（5）承包人在缺陷责任期内，未能对工程接收证书所列的缺陷清单的内容或缺陷责任期内发生的缺陷进行修复，而又拒绝按监理人指示再进行修补；</w:t>
      </w:r>
    </w:p>
    <w:p w14:paraId="219DECB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（6）承包人无法继续履行或明确表示不履行或实质上已停止履行合同；</w:t>
      </w:r>
    </w:p>
    <w:p w14:paraId="7D0A55D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（7）承包人不按合同约定履行义务的其他情况。</w:t>
      </w:r>
    </w:p>
    <w:p w14:paraId="4D0E3A3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22.1.2 对承包人违约的处理</w:t>
      </w:r>
    </w:p>
    <w:p w14:paraId="51FF912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（1）承包人发生第22.1.1（6）目约定的违约情况时，发包人可通知承包人立即解除合同，并按有关法律处理。</w:t>
      </w:r>
    </w:p>
    <w:p w14:paraId="7252CFB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（2）承包人发生除第22.1.1（6）目约定以外的其他违约情况时，监理人可向承包人发出整改通知，要求其在指定的期限内改正。承包人应承担其违约所引起的费用增加和（或）工期延误。</w:t>
      </w:r>
    </w:p>
    <w:p w14:paraId="757FDAF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（3）经检查证明承包人已采取了有效措施纠正违约行为，具备复工条件的，可由监理人签发复工通知复工。</w:t>
      </w:r>
    </w:p>
    <w:p w14:paraId="0CC9814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22.1.3 承包人违约解除合同</w:t>
      </w:r>
    </w:p>
    <w:p w14:paraId="16D965E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952484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22.1.4 合同解除后的估价、付款和结清</w:t>
      </w:r>
    </w:p>
    <w:p w14:paraId="56B4BE1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 xml:space="preserve">（1）合同解除后，监理人按第3.5款商定或确定承包人实际完成工作的价值，以及承包人已提供的材料、施工设备、工程设备和临时工程等的价值。 </w:t>
      </w:r>
    </w:p>
    <w:p w14:paraId="78E65A2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 xml:space="preserve">（2）合同解除后，发包人应暂停对承包人的一切付款，查清各项付款和已扣款金额，包括承包人应支付的违约金。 </w:t>
      </w:r>
    </w:p>
    <w:p w14:paraId="77209E4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（3）合同解除后，发包人应按第23.4款的约定向承包人索赔由于解除合同给发包人造成的损失。</w:t>
      </w:r>
    </w:p>
    <w:p w14:paraId="7381877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（4）合同双方确认上述往来款项后，出具最终结清付款证书，结清全部合同款项。</w:t>
      </w:r>
    </w:p>
    <w:p w14:paraId="25722B7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（5）发包人和承包人未能就解除合同后的结清达成一致而形成争议的，按第24条的约定办理。</w:t>
      </w:r>
    </w:p>
    <w:p w14:paraId="1DB04C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22.1.5 协议利益的转让</w:t>
      </w:r>
    </w:p>
    <w:p w14:paraId="3F2C835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14:paraId="453687C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22.1.6 紧急情况下无能力或不愿进行抢救</w:t>
      </w:r>
    </w:p>
    <w:p w14:paraId="56FE9FC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9AF5B42">
      <w:pPr>
        <w:pStyle w:val="67"/>
        <w:ind w:firstLine="118"/>
        <w:rPr>
          <w:rFonts w:ascii="宋体" w:eastAsia="宋体"/>
          <w:color w:val="auto"/>
          <w:szCs w:val="24"/>
          <w:highlight w:val="none"/>
        </w:rPr>
      </w:pPr>
      <w:bookmarkStart w:id="1030" w:name="_Toc43475893"/>
      <w:bookmarkStart w:id="1031" w:name="_Toc386467165"/>
      <w:bookmarkStart w:id="1032" w:name="_Toc393546419"/>
      <w:r>
        <w:rPr>
          <w:rFonts w:hint="eastAsia" w:ascii="宋体" w:eastAsia="宋体"/>
          <w:color w:val="auto"/>
          <w:szCs w:val="24"/>
          <w:highlight w:val="none"/>
        </w:rPr>
        <w:t>22.2 发包人违约</w:t>
      </w:r>
      <w:bookmarkEnd w:id="1030"/>
      <w:bookmarkEnd w:id="1031"/>
      <w:bookmarkEnd w:id="1032"/>
    </w:p>
    <w:p w14:paraId="4FC0943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22.2.1 发包人违约的情形</w:t>
      </w:r>
    </w:p>
    <w:p w14:paraId="22EC43F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在履行合同过程中发生的下列情形，属发包人违约：</w:t>
      </w:r>
    </w:p>
    <w:p w14:paraId="1325056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（1）发包人未能按合同约定支付预付款或合同价款，或拖延、拒绝批准付款申请和支付凭证，导致付款延误的；</w:t>
      </w:r>
    </w:p>
    <w:p w14:paraId="55A573E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（2）发包人原因造成停工的；</w:t>
      </w:r>
    </w:p>
    <w:p w14:paraId="413CF04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（3）监理人无正当理由没有在约定期限内发出复工指示，导致承包人无法复工的；</w:t>
      </w:r>
    </w:p>
    <w:p w14:paraId="517A195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（4）发包人无法继续履行或明确表示不履行或实质上已停止履行合同的；</w:t>
      </w:r>
    </w:p>
    <w:p w14:paraId="11BBA73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（5）发包人不履行合同约定其他义务的。</w:t>
      </w:r>
    </w:p>
    <w:p w14:paraId="0E02E1A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22.2.2 承包人有权暂停施工</w:t>
      </w:r>
    </w:p>
    <w:p w14:paraId="231150B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2861DE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22.2.3 发包人违约解除合同 </w:t>
      </w:r>
    </w:p>
    <w:p w14:paraId="638ABCF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 xml:space="preserve">（1）发生第22.2.1（4）目的违约情况时，承包人可书面通知发包人解除合同。   </w:t>
      </w:r>
    </w:p>
    <w:p w14:paraId="2A8DF83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14:paraId="22FDB1C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22.2.4 解除合同后的付款</w:t>
      </w:r>
    </w:p>
    <w:p w14:paraId="19044D7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因发包人违约解除合同的，发包人应在解除合同后28天内向承包人支付下列金额，承包人应在此期限内及时向发包人提交要求支付下列金额的有关资料和凭证：</w:t>
      </w:r>
    </w:p>
    <w:p w14:paraId="53F34D4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（1）合同解除日以前所完成工作的价款；</w:t>
      </w:r>
    </w:p>
    <w:p w14:paraId="6909C08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（2）承包人为该工程施工订购并已付款的材料、工程设备和其他物品的金额。发包人付还后，该材料、工程设备和其他物品归发包人所有；</w:t>
      </w:r>
    </w:p>
    <w:p w14:paraId="2BEEB69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（3）承包人为完成工程所发生的，而发包人未支付的金额；</w:t>
      </w:r>
    </w:p>
    <w:p w14:paraId="251B771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（4）承包人撤离施工场地以及遣散承包人人员的金额；</w:t>
      </w:r>
    </w:p>
    <w:p w14:paraId="79417A8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（5）由于解除合同应赔偿的承包人损失；</w:t>
      </w:r>
    </w:p>
    <w:p w14:paraId="61E867EB">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（6）按合同约定在合同解除日前应支付给承包人的其他金额。</w:t>
      </w:r>
    </w:p>
    <w:p w14:paraId="2172348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发包人应按本项约定支付上述金额并退还质量保证金和履约担保，但有权要求承包人支付应偿还给发包人的各项金额。</w:t>
      </w:r>
    </w:p>
    <w:p w14:paraId="20F78F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22.2.5 解除合同后的承包人撤离</w:t>
      </w:r>
    </w:p>
    <w:p w14:paraId="553777C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6231CA4B">
      <w:pPr>
        <w:pStyle w:val="67"/>
        <w:ind w:firstLine="118"/>
        <w:rPr>
          <w:rFonts w:ascii="宋体" w:eastAsia="宋体"/>
          <w:color w:val="auto"/>
          <w:szCs w:val="24"/>
          <w:highlight w:val="none"/>
        </w:rPr>
      </w:pPr>
      <w:bookmarkStart w:id="1033" w:name="_Toc43475894"/>
      <w:bookmarkStart w:id="1034" w:name="_Toc393546420"/>
      <w:bookmarkStart w:id="1035" w:name="_Toc152045756"/>
      <w:bookmarkStart w:id="1036" w:name="_Toc330406361"/>
      <w:bookmarkStart w:id="1037" w:name="_Toc179632774"/>
      <w:bookmarkStart w:id="1038" w:name="_Toc386467166"/>
      <w:bookmarkStart w:id="1039" w:name="_Toc152042535"/>
      <w:r>
        <w:rPr>
          <w:rFonts w:hint="eastAsia" w:ascii="宋体" w:eastAsia="宋体"/>
          <w:color w:val="auto"/>
          <w:szCs w:val="24"/>
          <w:highlight w:val="none"/>
        </w:rPr>
        <w:t>22.3 第三人造成的违约</w:t>
      </w:r>
      <w:bookmarkEnd w:id="1033"/>
      <w:bookmarkEnd w:id="1034"/>
      <w:bookmarkEnd w:id="1035"/>
      <w:bookmarkEnd w:id="1036"/>
      <w:bookmarkEnd w:id="1037"/>
      <w:bookmarkEnd w:id="1038"/>
      <w:bookmarkEnd w:id="1039"/>
    </w:p>
    <w:p w14:paraId="43E57D4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在履行合同过程中，一方当事人因第三人的原因造成违约的，应当向对方当事人承担违约责任。一方当事人和第三人之间的纠纷，依照法律规定或者按照约定解决。</w:t>
      </w:r>
    </w:p>
    <w:p w14:paraId="1DF37DED">
      <w:pPr>
        <w:pStyle w:val="78"/>
        <w:rPr>
          <w:rFonts w:ascii="宋体" w:hAnsi="宋体"/>
          <w:color w:val="auto"/>
          <w:sz w:val="24"/>
          <w:szCs w:val="24"/>
          <w:highlight w:val="none"/>
        </w:rPr>
      </w:pPr>
      <w:bookmarkStart w:id="1040" w:name="_Toc393546421"/>
      <w:bookmarkStart w:id="1041" w:name="_Toc43475895"/>
      <w:bookmarkStart w:id="1042" w:name="_Toc386467167"/>
      <w:r>
        <w:rPr>
          <w:rFonts w:hint="eastAsia" w:ascii="宋体" w:hAnsi="宋体"/>
          <w:color w:val="auto"/>
          <w:sz w:val="24"/>
          <w:szCs w:val="24"/>
          <w:highlight w:val="none"/>
        </w:rPr>
        <w:t>23. 索赔</w:t>
      </w:r>
      <w:bookmarkEnd w:id="1040"/>
      <w:bookmarkEnd w:id="1041"/>
      <w:bookmarkEnd w:id="1042"/>
    </w:p>
    <w:p w14:paraId="0D10E5D2">
      <w:pPr>
        <w:pStyle w:val="67"/>
        <w:ind w:firstLine="118"/>
        <w:rPr>
          <w:rFonts w:ascii="宋体" w:eastAsia="宋体"/>
          <w:color w:val="auto"/>
          <w:szCs w:val="24"/>
          <w:highlight w:val="none"/>
        </w:rPr>
      </w:pPr>
      <w:bookmarkStart w:id="1043" w:name="_Toc386467168"/>
      <w:bookmarkStart w:id="1044" w:name="_Toc43475896"/>
      <w:bookmarkStart w:id="1045" w:name="_Toc393546422"/>
      <w:r>
        <w:rPr>
          <w:rFonts w:hint="eastAsia" w:ascii="宋体" w:eastAsia="宋体"/>
          <w:color w:val="auto"/>
          <w:szCs w:val="24"/>
          <w:highlight w:val="none"/>
        </w:rPr>
        <w:t>23.1 承包人索赔的提出</w:t>
      </w:r>
      <w:bookmarkEnd w:id="1043"/>
      <w:bookmarkEnd w:id="1044"/>
      <w:bookmarkEnd w:id="1045"/>
    </w:p>
    <w:p w14:paraId="7725883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根据合同约定，承包人认为有权得到追加付款和（或）延长工期的，应按以下程序向发包人提出索赔：</w:t>
      </w:r>
    </w:p>
    <w:p w14:paraId="2D5C85CD">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8B3DDBE">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（2）承包人应在发出索赔意向通知书后28天内，向监理人正式递交索赔通知书。索赔通知书应详细说明索赔理由以及要求追加的付款金额和（或）延长的工期，并附必要的记录和证明材料；</w:t>
      </w:r>
    </w:p>
    <w:p w14:paraId="2AE48713">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（3）索赔事件具有连续影响的，承包人应按合理时间间隔继续递交延续索赔通知，说明连续影响的实际情况和记录，列出累计的追加付款金额和（或）工期延长天数；</w:t>
      </w:r>
    </w:p>
    <w:p w14:paraId="580A1D30">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（4）在索赔事件影响结束后的28天内，承包人应向监理人递交最终索赔通知书，说明最终要求索赔的追加付款金额和延长的工期，并附必要的记录和证明材料。</w:t>
      </w:r>
    </w:p>
    <w:p w14:paraId="1CBE9A2D">
      <w:pPr>
        <w:pStyle w:val="67"/>
        <w:ind w:firstLine="118"/>
        <w:rPr>
          <w:rFonts w:ascii="宋体" w:eastAsia="宋体"/>
          <w:color w:val="auto"/>
          <w:szCs w:val="24"/>
          <w:highlight w:val="none"/>
        </w:rPr>
      </w:pPr>
      <w:bookmarkStart w:id="1046" w:name="_Toc43475897"/>
      <w:bookmarkStart w:id="1047" w:name="_Toc393546423"/>
      <w:bookmarkStart w:id="1048" w:name="_Toc386467169"/>
      <w:r>
        <w:rPr>
          <w:rFonts w:hint="eastAsia" w:ascii="宋体" w:eastAsia="宋体"/>
          <w:color w:val="auto"/>
          <w:szCs w:val="24"/>
          <w:highlight w:val="none"/>
        </w:rPr>
        <w:t>23.2 承包人索赔处理程序</w:t>
      </w:r>
      <w:bookmarkEnd w:id="1046"/>
      <w:bookmarkEnd w:id="1047"/>
      <w:bookmarkEnd w:id="1048"/>
    </w:p>
    <w:p w14:paraId="3B58407F">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（1）监理人收到承包人提交的索赔通知书后，应及时审查索赔通知书的内容、查验承包人的记录和证明材料，必要时监理人可要求承包人提交全部原始记录副本。</w:t>
      </w:r>
    </w:p>
    <w:p w14:paraId="361E2A25">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（2）监理人应按第3.5款商定或确定追加的付款和（或）延长的工期，并在收到上述索赔通知书或有关索赔的进一步证明材料后的42天内，将索赔处理结果答复承包人。</w:t>
      </w:r>
    </w:p>
    <w:p w14:paraId="145E69BE">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（3）承包人接受索赔处理结果的，发包人应在作出索赔处理结果答复后28天内完成赔付。承包人不接受索赔处理结果的，按第24条的约定办理。</w:t>
      </w:r>
    </w:p>
    <w:p w14:paraId="05E810C6">
      <w:pPr>
        <w:pStyle w:val="67"/>
        <w:ind w:firstLine="118"/>
        <w:rPr>
          <w:rFonts w:ascii="宋体" w:eastAsia="宋体"/>
          <w:color w:val="auto"/>
          <w:szCs w:val="24"/>
          <w:highlight w:val="none"/>
        </w:rPr>
      </w:pPr>
      <w:bookmarkStart w:id="1049" w:name="_Toc43475898"/>
      <w:bookmarkStart w:id="1050" w:name="_Toc179632778"/>
      <w:bookmarkStart w:id="1051" w:name="_Toc393546424"/>
      <w:bookmarkStart w:id="1052" w:name="_Toc330406365"/>
      <w:bookmarkStart w:id="1053" w:name="_Toc144974730"/>
      <w:bookmarkStart w:id="1054" w:name="_Toc152045760"/>
      <w:bookmarkStart w:id="1055" w:name="_Toc152042539"/>
      <w:bookmarkStart w:id="1056" w:name="_Toc386467170"/>
      <w:r>
        <w:rPr>
          <w:rFonts w:hint="eastAsia" w:ascii="宋体" w:eastAsia="宋体"/>
          <w:color w:val="auto"/>
          <w:szCs w:val="24"/>
          <w:highlight w:val="none"/>
        </w:rPr>
        <w:t>23.3 承包人提出索赔的期限</w:t>
      </w:r>
      <w:bookmarkEnd w:id="1049"/>
      <w:bookmarkEnd w:id="1050"/>
      <w:bookmarkEnd w:id="1051"/>
      <w:bookmarkEnd w:id="1052"/>
      <w:bookmarkEnd w:id="1053"/>
      <w:bookmarkEnd w:id="1054"/>
      <w:bookmarkEnd w:id="1055"/>
      <w:bookmarkEnd w:id="1056"/>
    </w:p>
    <w:p w14:paraId="2782B1E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23.3.1 承包人按第17.5款的约定接受了竣工付款证书后，应被认为已无权再提出在合同工程接收证书颁发前所发生的任何索赔。</w:t>
      </w:r>
    </w:p>
    <w:p w14:paraId="67648D2A">
      <w:pPr>
        <w:spacing w:line="380" w:lineRule="exact"/>
        <w:ind w:firstLine="480" w:firstLineChars="200"/>
        <w:rPr>
          <w:rFonts w:ascii="宋体" w:hAnsi="宋体" w:cs="宋体"/>
          <w:color w:val="auto"/>
          <w:sz w:val="24"/>
          <w:highlight w:val="none"/>
          <w:shd w:val="pct10" w:color="auto" w:fill="FFFFFF"/>
        </w:rPr>
      </w:pPr>
      <w:r>
        <w:rPr>
          <w:rFonts w:hint="eastAsia" w:ascii="宋体" w:hAnsi="宋体" w:cs="宋体"/>
          <w:color w:val="auto"/>
          <w:sz w:val="24"/>
          <w:highlight w:val="none"/>
        </w:rPr>
        <w:t xml:space="preserve">23.3.2 承包人按第17.6款的约定提交的最终结清申请单中，只限于提出工程接收证书颁发后发生的索赔。提出索赔的期限自接受最终结清证书时终止。 </w:t>
      </w:r>
    </w:p>
    <w:p w14:paraId="5E843008">
      <w:pPr>
        <w:pStyle w:val="67"/>
        <w:spacing w:line="380" w:lineRule="exact"/>
        <w:ind w:firstLine="118"/>
        <w:rPr>
          <w:rFonts w:ascii="宋体" w:eastAsia="宋体"/>
          <w:color w:val="auto"/>
          <w:szCs w:val="24"/>
          <w:highlight w:val="none"/>
        </w:rPr>
      </w:pPr>
      <w:bookmarkStart w:id="1057" w:name="_Toc179632779"/>
      <w:bookmarkStart w:id="1058" w:name="_Toc43475899"/>
      <w:bookmarkStart w:id="1059" w:name="_Toc152045761"/>
      <w:bookmarkStart w:id="1060" w:name="_Toc393546425"/>
      <w:bookmarkStart w:id="1061" w:name="_Toc144974731"/>
      <w:bookmarkStart w:id="1062" w:name="_Toc152042540"/>
      <w:bookmarkStart w:id="1063" w:name="_Toc330406366"/>
      <w:bookmarkStart w:id="1064" w:name="_Toc386467171"/>
      <w:r>
        <w:rPr>
          <w:rFonts w:hint="eastAsia" w:ascii="宋体" w:eastAsia="宋体"/>
          <w:color w:val="auto"/>
          <w:szCs w:val="24"/>
          <w:highlight w:val="none"/>
        </w:rPr>
        <w:t>23.4 发包人的索赔</w:t>
      </w:r>
      <w:bookmarkEnd w:id="1057"/>
      <w:bookmarkEnd w:id="1058"/>
      <w:bookmarkEnd w:id="1059"/>
      <w:bookmarkEnd w:id="1060"/>
      <w:bookmarkEnd w:id="1061"/>
      <w:bookmarkEnd w:id="1062"/>
      <w:bookmarkEnd w:id="1063"/>
      <w:bookmarkEnd w:id="1064"/>
    </w:p>
    <w:p w14:paraId="35AAD188">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41A5F6FA">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304187E5">
      <w:pPr>
        <w:pStyle w:val="78"/>
        <w:spacing w:line="380" w:lineRule="exact"/>
        <w:rPr>
          <w:rFonts w:ascii="宋体" w:hAnsi="宋体"/>
          <w:color w:val="auto"/>
          <w:sz w:val="24"/>
          <w:szCs w:val="24"/>
          <w:highlight w:val="none"/>
        </w:rPr>
      </w:pPr>
      <w:bookmarkStart w:id="1065" w:name="_Toc43475900"/>
      <w:bookmarkStart w:id="1066" w:name="_Toc393546426"/>
      <w:bookmarkStart w:id="1067" w:name="_Toc386467172"/>
      <w:r>
        <w:rPr>
          <w:rFonts w:hint="eastAsia" w:ascii="宋体" w:hAnsi="宋体"/>
          <w:color w:val="auto"/>
          <w:sz w:val="24"/>
          <w:szCs w:val="24"/>
          <w:highlight w:val="none"/>
        </w:rPr>
        <w:t>24. 争议的解决</w:t>
      </w:r>
      <w:bookmarkEnd w:id="1065"/>
      <w:bookmarkEnd w:id="1066"/>
      <w:bookmarkEnd w:id="1067"/>
    </w:p>
    <w:p w14:paraId="051F3DA2">
      <w:pPr>
        <w:pStyle w:val="67"/>
        <w:spacing w:line="380" w:lineRule="exact"/>
        <w:ind w:firstLine="118"/>
        <w:rPr>
          <w:rFonts w:ascii="宋体" w:eastAsia="宋体"/>
          <w:color w:val="auto"/>
          <w:szCs w:val="24"/>
          <w:highlight w:val="none"/>
        </w:rPr>
      </w:pPr>
      <w:bookmarkStart w:id="1068" w:name="_Toc393546427"/>
      <w:bookmarkStart w:id="1069" w:name="_Toc43475901"/>
      <w:bookmarkStart w:id="1070" w:name="_Toc179632781"/>
      <w:bookmarkStart w:id="1071" w:name="_Toc144974733"/>
      <w:bookmarkStart w:id="1072" w:name="_Toc152045763"/>
      <w:bookmarkStart w:id="1073" w:name="_Toc152042542"/>
      <w:bookmarkStart w:id="1074" w:name="_Toc330406368"/>
      <w:bookmarkStart w:id="1075" w:name="_Toc386467173"/>
      <w:r>
        <w:rPr>
          <w:rFonts w:hint="eastAsia" w:ascii="宋体" w:eastAsia="宋体"/>
          <w:color w:val="auto"/>
          <w:szCs w:val="24"/>
          <w:highlight w:val="none"/>
        </w:rPr>
        <w:t>24.1 争议的解决方式</w:t>
      </w:r>
      <w:bookmarkEnd w:id="1068"/>
      <w:bookmarkEnd w:id="1069"/>
      <w:bookmarkEnd w:id="1070"/>
      <w:bookmarkEnd w:id="1071"/>
      <w:bookmarkEnd w:id="1072"/>
      <w:bookmarkEnd w:id="1073"/>
      <w:bookmarkEnd w:id="1074"/>
      <w:bookmarkEnd w:id="1075"/>
    </w:p>
    <w:p w14:paraId="56DE295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7ADCAF7">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（1）向约定的仲裁委员会申请仲裁；</w:t>
      </w:r>
    </w:p>
    <w:p w14:paraId="7B99194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（2）向有管辖权的人民法院提起诉讼。</w:t>
      </w:r>
    </w:p>
    <w:p w14:paraId="306340ED">
      <w:pPr>
        <w:pStyle w:val="67"/>
        <w:spacing w:line="380" w:lineRule="exact"/>
        <w:ind w:firstLine="118"/>
        <w:rPr>
          <w:rFonts w:ascii="宋体" w:eastAsia="宋体"/>
          <w:color w:val="auto"/>
          <w:szCs w:val="24"/>
          <w:highlight w:val="none"/>
        </w:rPr>
      </w:pPr>
      <w:bookmarkStart w:id="1076" w:name="_Toc386467174"/>
      <w:bookmarkStart w:id="1077" w:name="_Toc179632782"/>
      <w:bookmarkStart w:id="1078" w:name="_Toc152045764"/>
      <w:bookmarkStart w:id="1079" w:name="_Toc330406369"/>
      <w:bookmarkStart w:id="1080" w:name="_Toc43475902"/>
      <w:bookmarkStart w:id="1081" w:name="_Toc393546428"/>
      <w:bookmarkStart w:id="1082" w:name="_Toc144974734"/>
      <w:bookmarkStart w:id="1083" w:name="_Toc152042543"/>
      <w:r>
        <w:rPr>
          <w:rFonts w:hint="eastAsia" w:ascii="宋体" w:eastAsia="宋体"/>
          <w:color w:val="auto"/>
          <w:szCs w:val="24"/>
          <w:highlight w:val="none"/>
        </w:rPr>
        <w:t>24.2 友好解决</w:t>
      </w:r>
      <w:bookmarkEnd w:id="1076"/>
      <w:bookmarkEnd w:id="1077"/>
      <w:bookmarkEnd w:id="1078"/>
      <w:bookmarkEnd w:id="1079"/>
      <w:bookmarkEnd w:id="1080"/>
      <w:bookmarkEnd w:id="1081"/>
      <w:bookmarkEnd w:id="1082"/>
      <w:bookmarkEnd w:id="1083"/>
    </w:p>
    <w:p w14:paraId="79BD00D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在提请争议评审、仲裁或者诉讼前，以及在争议评审、仲裁或诉讼过程中，发包人和承包人均可共同努力友好协商解决争议。</w:t>
      </w:r>
    </w:p>
    <w:p w14:paraId="60584351">
      <w:pPr>
        <w:pStyle w:val="67"/>
        <w:spacing w:line="380" w:lineRule="exact"/>
        <w:ind w:firstLine="118"/>
        <w:rPr>
          <w:rFonts w:ascii="宋体" w:eastAsia="宋体"/>
          <w:color w:val="auto"/>
          <w:szCs w:val="24"/>
          <w:highlight w:val="none"/>
        </w:rPr>
      </w:pPr>
      <w:r>
        <w:rPr>
          <w:rFonts w:hint="eastAsia" w:ascii="宋体" w:eastAsia="宋体"/>
          <w:color w:val="auto"/>
          <w:szCs w:val="24"/>
          <w:highlight w:val="none"/>
        </w:rPr>
        <w:t>24.3 争议评审</w:t>
      </w:r>
    </w:p>
    <w:p w14:paraId="48FA040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24.3.1 采用争议评审的，发包人和承包人应在开工日后的28天内或在争议发生后，协商成立争议评审组。争议评审组由有合同管理和工程实践经验的专家组成。</w:t>
      </w:r>
    </w:p>
    <w:p w14:paraId="2B51FA4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24.3.2 合同双方的争议，应首先由申请人向争议评审组提交一份详细的评审申请报告，并附必要的文件、图纸和证明材料，申请人还应将上述报告的副本同时提交给被申请人和监理人。</w:t>
      </w:r>
    </w:p>
    <w:p w14:paraId="2DB5157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24.3.3 被申请人在收到申请人评审申请报告副本后的28天内，向争议评审组提交一份答辩报告，并附证明材料。被申请人应将答辩报告的副本同时提交给申请人和监理人。</w:t>
      </w:r>
    </w:p>
    <w:p w14:paraId="1330083B">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1BF4A31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0824C66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24.3.6 发包人和承包人接受评审意见的，由监理人根据评审意见拟定执行协议，经争议双方签字后作为合同的补充文件，并遵照执行。</w:t>
      </w:r>
    </w:p>
    <w:p w14:paraId="18694C7B">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4E48102C">
      <w:pPr>
        <w:spacing w:line="400" w:lineRule="exact"/>
        <w:ind w:firstLine="480" w:firstLineChars="200"/>
        <w:rPr>
          <w:rFonts w:ascii="宋体" w:hAnsi="宋体" w:cs="宋体"/>
          <w:color w:val="auto"/>
          <w:sz w:val="24"/>
          <w:highlight w:val="none"/>
        </w:rPr>
      </w:pPr>
    </w:p>
    <w:p w14:paraId="5B7A2824">
      <w:pPr>
        <w:pStyle w:val="3"/>
        <w:jc w:val="center"/>
        <w:rPr>
          <w:rFonts w:ascii="宋体" w:hAnsi="宋体" w:eastAsia="宋体" w:cs="宋体"/>
          <w:color w:val="auto"/>
          <w:highlight w:val="none"/>
        </w:rPr>
      </w:pPr>
      <w:bookmarkStart w:id="1084" w:name="_Toc11537"/>
      <w:bookmarkStart w:id="1085" w:name="_Toc426012248"/>
      <w:bookmarkStart w:id="1086" w:name="_Toc247514197"/>
      <w:bookmarkStart w:id="1087" w:name="_Toc184635122"/>
      <w:bookmarkStart w:id="1088" w:name="_Toc247527798"/>
    </w:p>
    <w:p w14:paraId="13F48CC5">
      <w:pPr>
        <w:pStyle w:val="3"/>
        <w:jc w:val="center"/>
        <w:rPr>
          <w:rFonts w:ascii="宋体" w:hAnsi="宋体" w:eastAsia="宋体" w:cs="宋体"/>
          <w:color w:val="auto"/>
          <w:highlight w:val="none"/>
        </w:rPr>
      </w:pPr>
      <w:bookmarkStart w:id="1089" w:name="_Toc43475904"/>
      <w:r>
        <w:rPr>
          <w:rFonts w:hint="eastAsia" w:ascii="宋体" w:hAnsi="宋体" w:eastAsia="宋体" w:cs="宋体"/>
          <w:color w:val="auto"/>
          <w:highlight w:val="none"/>
        </w:rPr>
        <w:t>第二节 专用合同条款</w:t>
      </w:r>
      <w:bookmarkEnd w:id="1084"/>
      <w:bookmarkEnd w:id="1085"/>
      <w:bookmarkEnd w:id="1086"/>
      <w:bookmarkEnd w:id="1087"/>
      <w:bookmarkEnd w:id="1088"/>
      <w:bookmarkEnd w:id="1089"/>
    </w:p>
    <w:p w14:paraId="035DE868">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包括：</w:t>
      </w:r>
    </w:p>
    <w:p w14:paraId="04D6D3CB">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A  公路工程专用合同条款详见«公路工程标准施工招标文件»</w:t>
      </w:r>
    </w:p>
    <w:p w14:paraId="3FD414DF">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（2018 版）的第四章第二节</w:t>
      </w:r>
    </w:p>
    <w:p w14:paraId="29D7E65C">
      <w:pPr>
        <w:pStyle w:val="52"/>
        <w:rPr>
          <w:color w:val="auto"/>
          <w:highlight w:val="none"/>
        </w:rPr>
      </w:pPr>
      <w:r>
        <w:rPr>
          <w:rFonts w:hint="eastAsia" w:ascii="宋体" w:hAnsi="宋体" w:cs="宋体"/>
          <w:color w:val="auto"/>
          <w:highlight w:val="none"/>
        </w:rPr>
        <w:t xml:space="preserve">B  项目专用合同条款     </w:t>
      </w:r>
    </w:p>
    <w:p w14:paraId="6D3928CB">
      <w:pPr>
        <w:pStyle w:val="3"/>
        <w:spacing w:after="120" w:line="240" w:lineRule="auto"/>
        <w:rPr>
          <w:rFonts w:ascii="宋体" w:hAnsi="宋体"/>
          <w:color w:val="auto"/>
          <w:sz w:val="44"/>
          <w:szCs w:val="44"/>
          <w:highlight w:val="none"/>
        </w:rPr>
      </w:pPr>
      <w:r>
        <w:rPr>
          <w:rFonts w:hint="eastAsia" w:ascii="宋体" w:hAnsi="宋体"/>
          <w:color w:val="auto"/>
          <w:sz w:val="44"/>
          <w:szCs w:val="44"/>
          <w:highlight w:val="none"/>
        </w:rPr>
        <w:br w:type="page"/>
      </w:r>
    </w:p>
    <w:bookmarkEnd w:id="284"/>
    <w:bookmarkEnd w:id="285"/>
    <w:p w14:paraId="0F2AEF36">
      <w:pPr>
        <w:ind w:left="420"/>
        <w:jc w:val="center"/>
        <w:rPr>
          <w:rFonts w:ascii="宋体" w:hAnsi="宋体" w:cs="宋体"/>
          <w:color w:val="auto"/>
          <w:sz w:val="36"/>
          <w:szCs w:val="36"/>
          <w:highlight w:val="none"/>
        </w:rPr>
      </w:pPr>
      <w:r>
        <w:rPr>
          <w:rFonts w:hint="eastAsia" w:ascii="宋体" w:hAnsi="宋体" w:cs="宋体"/>
          <w:color w:val="auto"/>
          <w:sz w:val="36"/>
          <w:szCs w:val="36"/>
          <w:highlight w:val="none"/>
        </w:rPr>
        <w:t>A.公路工程专用合同条款</w:t>
      </w:r>
    </w:p>
    <w:p w14:paraId="61A3CFD0">
      <w:pPr>
        <w:rPr>
          <w:rFonts w:ascii="宋体" w:hAnsi="宋体" w:cs="宋体"/>
          <w:color w:val="auto"/>
          <w:highlight w:val="none"/>
        </w:rPr>
      </w:pPr>
    </w:p>
    <w:p w14:paraId="69DB0AE3">
      <w:pPr>
        <w:ind w:firstLine="482" w:firstLineChars="200"/>
        <w:rPr>
          <w:rFonts w:ascii="宋体" w:hAnsi="宋体" w:cs="宋体"/>
          <w:b/>
          <w:color w:val="auto"/>
          <w:sz w:val="24"/>
          <w:highlight w:val="none"/>
        </w:rPr>
      </w:pPr>
      <w:r>
        <w:rPr>
          <w:rFonts w:hint="eastAsia" w:ascii="宋体" w:hAnsi="宋体" w:cs="宋体"/>
          <w:b/>
          <w:color w:val="auto"/>
          <w:sz w:val="24"/>
          <w:highlight w:val="none"/>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14:paraId="710D28BB">
      <w:pPr>
        <w:rPr>
          <w:rFonts w:ascii="宋体" w:hAnsi="宋体" w:cs="宋体"/>
          <w:color w:val="auto"/>
          <w:highlight w:val="none"/>
        </w:rPr>
      </w:pPr>
    </w:p>
    <w:p w14:paraId="69460A3B">
      <w:pPr>
        <w:pStyle w:val="2"/>
        <w:spacing w:beforeLines="50" w:line="400" w:lineRule="exact"/>
        <w:rPr>
          <w:rFonts w:ascii="宋体" w:hAnsi="宋体" w:cs="宋体"/>
          <w:color w:val="auto"/>
          <w:sz w:val="28"/>
          <w:szCs w:val="28"/>
          <w:highlight w:val="none"/>
        </w:rPr>
      </w:pPr>
      <w:bookmarkStart w:id="1090" w:name="_Toc451261281"/>
      <w:bookmarkStart w:id="1091" w:name="_Toc393546431"/>
      <w:bookmarkStart w:id="1092" w:name="_Toc43475905"/>
      <w:bookmarkStart w:id="1093" w:name="_Toc386467177"/>
      <w:bookmarkStart w:id="1094" w:name="_Toc330406372"/>
      <w:bookmarkStart w:id="1095" w:name="_Toc453057091"/>
      <w:r>
        <w:rPr>
          <w:rFonts w:hint="eastAsia" w:ascii="宋体" w:hAnsi="宋体" w:cs="宋体"/>
          <w:color w:val="auto"/>
          <w:sz w:val="28"/>
          <w:szCs w:val="28"/>
          <w:highlight w:val="none"/>
        </w:rPr>
        <w:t>1.一般约定</w:t>
      </w:r>
      <w:bookmarkEnd w:id="1090"/>
      <w:bookmarkEnd w:id="1091"/>
      <w:bookmarkEnd w:id="1092"/>
      <w:bookmarkEnd w:id="1093"/>
      <w:bookmarkEnd w:id="1094"/>
      <w:bookmarkEnd w:id="1095"/>
    </w:p>
    <w:p w14:paraId="31BB2377">
      <w:pPr>
        <w:pStyle w:val="2"/>
        <w:spacing w:beforeLines="50" w:line="400" w:lineRule="exact"/>
        <w:rPr>
          <w:rFonts w:ascii="宋体" w:hAnsi="宋体" w:cs="宋体"/>
          <w:color w:val="auto"/>
          <w:sz w:val="24"/>
          <w:szCs w:val="24"/>
          <w:highlight w:val="none"/>
        </w:rPr>
      </w:pPr>
      <w:bookmarkStart w:id="1096" w:name="_Toc451261282"/>
      <w:bookmarkStart w:id="1097" w:name="_Toc453057092"/>
      <w:bookmarkStart w:id="1098" w:name="_Toc393546432"/>
      <w:bookmarkStart w:id="1099" w:name="_Toc43475906"/>
      <w:bookmarkStart w:id="1100" w:name="_Toc330406373"/>
      <w:bookmarkStart w:id="1101" w:name="_Toc386467178"/>
      <w:r>
        <w:rPr>
          <w:rFonts w:hint="eastAsia" w:ascii="宋体" w:hAnsi="宋体" w:cs="宋体"/>
          <w:color w:val="auto"/>
          <w:sz w:val="24"/>
          <w:szCs w:val="24"/>
          <w:highlight w:val="none"/>
        </w:rPr>
        <w:t>1.1词语定义</w:t>
      </w:r>
      <w:bookmarkEnd w:id="1096"/>
      <w:bookmarkEnd w:id="1097"/>
      <w:bookmarkEnd w:id="1098"/>
      <w:bookmarkEnd w:id="1099"/>
      <w:bookmarkEnd w:id="1100"/>
      <w:bookmarkEnd w:id="1101"/>
    </w:p>
    <w:p w14:paraId="321DD8A2">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1.1.1合同</w:t>
      </w:r>
    </w:p>
    <w:p w14:paraId="52D28FC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第1.1.1.6目细化为：</w:t>
      </w:r>
    </w:p>
    <w:p w14:paraId="25C8FAC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技术规范：指本合同所约定的技术标准和要求，是合同文件的组成部分。通用合同条款中“技术标准和要求”一词具有相同含义。</w:t>
      </w:r>
    </w:p>
    <w:p w14:paraId="17AD8AD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第1.1.1.8目细化为：</w:t>
      </w:r>
    </w:p>
    <w:p w14:paraId="0B6C5F8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己标价工程量清单：指构成合同文件组成部分的己标明价格、经算术性错误 修正及其他错误修正（如有）且承包人己确认的最终的工程量清单，包括工程量清 单说明、投标报价说明、计日工说明、其他说明及工程量清单各项表格（工程量清 单表</w:t>
      </w:r>
      <w:r>
        <w:rPr>
          <w:rFonts w:hint="eastAsia" w:ascii="宋体" w:hAnsi="宋体" w:cs="宋体"/>
          <w:color w:val="auto"/>
          <w:sz w:val="24"/>
          <w:highlight w:val="none"/>
        </w:rPr>
        <w:t>5.1</w:t>
      </w:r>
      <w:r>
        <w:rPr>
          <w:rFonts w:hint="eastAsia" w:ascii="宋体" w:hAnsi="宋体" w:cs="宋体"/>
          <w:color w:val="auto"/>
          <w:sz w:val="24"/>
          <w:highlight w:val="none"/>
          <w:lang w:val="zh-CN"/>
        </w:rPr>
        <w:t>〜表</w:t>
      </w:r>
      <w:r>
        <w:rPr>
          <w:rFonts w:hint="eastAsia" w:ascii="宋体" w:hAnsi="宋体" w:cs="宋体"/>
          <w:color w:val="auto"/>
          <w:sz w:val="24"/>
          <w:highlight w:val="none"/>
        </w:rPr>
        <w:t>5.5）。</w:t>
      </w:r>
    </w:p>
    <w:p w14:paraId="0B528B2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本项补充第1.1.1.10目：</w:t>
      </w:r>
    </w:p>
    <w:p w14:paraId="345DF4A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1.1.1.10补遗书：指发出招标文件之后由招标人向已取得招标文件的投标人发出的、编号的对招标文件所作的澄清、修改书。</w:t>
      </w:r>
    </w:p>
    <w:p w14:paraId="62D213F9">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1.1.2合同当事人和人员</w:t>
      </w:r>
    </w:p>
    <w:p w14:paraId="3383C4A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本项补充第1.1.2.8目：</w:t>
      </w:r>
    </w:p>
    <w:p w14:paraId="43B919F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1.1.2.8 承包人项目总工：指由承包人书面委派常驻现场负责管理本合同工程的总工程师或技术总负责人。</w:t>
      </w:r>
    </w:p>
    <w:p w14:paraId="1C261071">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1.1.3 工程和设备</w:t>
      </w:r>
    </w:p>
    <w:p w14:paraId="1FFF99F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第1.1.3.4目细化为：</w:t>
      </w:r>
    </w:p>
    <w:p w14:paraId="724B38C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单位工程：指在建设项目中，根据签订的合同，具有独立施工条件的工程。</w:t>
      </w:r>
    </w:p>
    <w:p w14:paraId="0003913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1.1.3.10目细化为：</w:t>
      </w:r>
    </w:p>
    <w:p w14:paraId="5014C30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永久占地：指为实施本合同工程而需要的一切永久占用的土地，包括公路两侧路权范围内的用地。</w:t>
      </w:r>
    </w:p>
    <w:p w14:paraId="4598080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第1.1.3.11目细化为：</w:t>
      </w:r>
    </w:p>
    <w:p w14:paraId="5289A37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临时占地：指为实施本合同工程而需要的一切临时占用的土地，包括施工所用的临时支线、便道、便桥和现场的临时出入通道，以及生产（办公）、生活等临时设施用地等。</w:t>
      </w:r>
    </w:p>
    <w:p w14:paraId="5642FE6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本项补充第1.1.3.12目、第1.1.3.13目：</w:t>
      </w:r>
    </w:p>
    <w:p w14:paraId="664F0D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1.1.3.12 分部工程：指在单位工程中，按结构部位、路段长度及施工特点或施工任务划分的若干个工程。</w:t>
      </w:r>
    </w:p>
    <w:p w14:paraId="7A67106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1.1.3.13 分项工程：指在分部工程中，按不同的施工方法、材料、工序及路段长度等划分的若干个过程。</w:t>
      </w:r>
    </w:p>
    <w:p w14:paraId="3E6FE837">
      <w:pPr>
        <w:spacing w:line="400" w:lineRule="exact"/>
        <w:ind w:firstLine="480"/>
        <w:rPr>
          <w:rFonts w:ascii="宋体" w:hAnsi="宋体" w:cs="宋体"/>
          <w:b/>
          <w:bCs/>
          <w:color w:val="auto"/>
          <w:sz w:val="24"/>
          <w:highlight w:val="none"/>
        </w:rPr>
      </w:pPr>
      <w:r>
        <w:rPr>
          <w:rFonts w:hint="eastAsia" w:ascii="宋体" w:hAnsi="宋体" w:cs="宋体"/>
          <w:b/>
          <w:bCs/>
          <w:color w:val="auto"/>
          <w:sz w:val="24"/>
          <w:highlight w:val="none"/>
        </w:rPr>
        <w:t>1.1.6 其他</w:t>
      </w:r>
    </w:p>
    <w:p w14:paraId="42773259">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本项补充第1.1.6.2目～1.1.6.9目：</w:t>
      </w:r>
    </w:p>
    <w:p w14:paraId="7FFFEAE8">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1.1.6.2 竣工验收：指《公路工程竣（交）工验收办法》中的竣工验收。通用合同条款中“国家验收”一词具有相同含义。</w:t>
      </w:r>
    </w:p>
    <w:p w14:paraId="4711D384">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1.1.6.3 交工：指《公路工程竣（交）工验收办法》中的交工通用合同条款中“竣工”一词具有相同含义。</w:t>
      </w:r>
    </w:p>
    <w:p w14:paraId="549BD429">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1.1.6.4 交工验收：指《公路工程竣（交）工验收办法》中的交工验收。通用合同条款中“竣工验收”一词具有相同含义。</w:t>
      </w:r>
    </w:p>
    <w:p w14:paraId="1E8AD79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1.1.6.5 交工验收证书：指《公路工程竣（交）工验收办法》中的交工验收证书。通用合同条款中“工程接收证书”一词具有相同含义。</w:t>
      </w:r>
    </w:p>
    <w:p w14:paraId="21A0F5E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1.1.6.6 转包：指承包人违反法律和不履行合同规定的责任和义务，将中标工程全部委托或以专业分包的名义将中标工程肢解后全部委托给其他施工企业施工的行为。</w:t>
      </w:r>
    </w:p>
    <w:p w14:paraId="4AFF8A4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6262A3C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1.1.6.8 劳务分包：指承包人与具有劳务分包资质的劳务企业签订劳务分包，由劳务企业提供劳务人员及机具，由承包人统一组织施工，统一控制工程质量、施工进度、材料采购、生产安全的施工行为。</w:t>
      </w:r>
    </w:p>
    <w:p w14:paraId="3D38A34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1.1.6.9 雇佣民工：指承包人与具有相应劳动能力的自然人签订劳动合同，由承包人统一组织管理，从事分项工程施工或配套工程施工的行为。</w:t>
      </w:r>
    </w:p>
    <w:p w14:paraId="4397097B">
      <w:pPr>
        <w:pStyle w:val="2"/>
        <w:spacing w:beforeLines="50" w:line="400" w:lineRule="exact"/>
        <w:rPr>
          <w:rFonts w:ascii="宋体" w:hAnsi="宋体" w:cs="宋体"/>
          <w:color w:val="auto"/>
          <w:sz w:val="24"/>
          <w:szCs w:val="24"/>
          <w:highlight w:val="none"/>
        </w:rPr>
      </w:pPr>
      <w:bookmarkStart w:id="1102" w:name="_Toc386467179"/>
      <w:bookmarkStart w:id="1103" w:name="_Toc43475907"/>
      <w:bookmarkStart w:id="1104" w:name="_Toc393546433"/>
      <w:bookmarkStart w:id="1105" w:name="_Toc330406374"/>
      <w:bookmarkStart w:id="1106" w:name="_Toc453057093"/>
      <w:bookmarkStart w:id="1107" w:name="_Toc451261283"/>
      <w:r>
        <w:rPr>
          <w:rFonts w:hint="eastAsia" w:ascii="宋体" w:hAnsi="宋体" w:cs="宋体"/>
          <w:color w:val="auto"/>
          <w:sz w:val="24"/>
          <w:szCs w:val="24"/>
          <w:highlight w:val="none"/>
        </w:rPr>
        <w:t>1.4合同文件的优先顺序</w:t>
      </w:r>
      <w:bookmarkEnd w:id="1102"/>
      <w:bookmarkEnd w:id="1103"/>
      <w:bookmarkEnd w:id="1104"/>
      <w:bookmarkEnd w:id="1105"/>
      <w:bookmarkEnd w:id="1106"/>
      <w:bookmarkEnd w:id="1107"/>
    </w:p>
    <w:p w14:paraId="45975BC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770FFA9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组成合同的各项文件应互相解释，互为说明。除项目专用合同条款另有约定外，解释合同文件的优先顺序如下：</w:t>
      </w:r>
    </w:p>
    <w:p w14:paraId="3EA20C1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（1）合同协议书及各种合同附件（含评标期间和合同谈判过程中的澄清文件和补充资料）；</w:t>
      </w:r>
    </w:p>
    <w:p w14:paraId="2B77AF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14:paraId="434B5EA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（3）投标函及投标函附录；</w:t>
      </w:r>
    </w:p>
    <w:p w14:paraId="28A4F2C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（4）项目专用合同条款；</w:t>
      </w:r>
    </w:p>
    <w:p w14:paraId="02EDE3D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（5）公路工程专用合同条款；</w:t>
      </w:r>
    </w:p>
    <w:p w14:paraId="46DF3C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（6）通用合同条款；</w:t>
      </w:r>
    </w:p>
    <w:p w14:paraId="7A81B9E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工程量清单计量规则</w:t>
      </w:r>
      <w:r>
        <w:rPr>
          <w:rFonts w:hint="eastAsia" w:ascii="宋体" w:hAnsi="宋体" w:cs="宋体"/>
          <w:color w:val="auto"/>
          <w:sz w:val="24"/>
          <w:highlight w:val="none"/>
        </w:rPr>
        <w:t>；</w:t>
      </w:r>
    </w:p>
    <w:p w14:paraId="0A1152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（8）技术规范；</w:t>
      </w:r>
    </w:p>
    <w:p w14:paraId="4A9D3ED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（9）图纸；</w:t>
      </w:r>
    </w:p>
    <w:p w14:paraId="6FCBDE8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（10）已标价工程量清单；</w:t>
      </w:r>
    </w:p>
    <w:p w14:paraId="11B309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（11）承包人有关人员、设备投入的承诺及投标文件中的施工组织设计；</w:t>
      </w:r>
    </w:p>
    <w:p w14:paraId="38163E5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（12）其他合同文件。</w:t>
      </w:r>
    </w:p>
    <w:p w14:paraId="7924FC93">
      <w:pPr>
        <w:pStyle w:val="2"/>
        <w:spacing w:beforeLines="50" w:line="400" w:lineRule="exact"/>
        <w:rPr>
          <w:rFonts w:ascii="宋体" w:hAnsi="宋体" w:cs="宋体"/>
          <w:color w:val="auto"/>
          <w:sz w:val="24"/>
          <w:szCs w:val="24"/>
          <w:highlight w:val="none"/>
        </w:rPr>
      </w:pPr>
      <w:bookmarkStart w:id="1108" w:name="_Toc386467180"/>
      <w:bookmarkStart w:id="1109" w:name="_Toc393546434"/>
      <w:bookmarkStart w:id="1110" w:name="_Toc43475908"/>
      <w:bookmarkStart w:id="1111" w:name="_Toc451261284"/>
      <w:bookmarkStart w:id="1112" w:name="_Toc453057094"/>
      <w:bookmarkStart w:id="1113" w:name="_Toc330406375"/>
      <w:r>
        <w:rPr>
          <w:rFonts w:hint="eastAsia" w:ascii="宋体" w:hAnsi="宋体" w:cs="宋体"/>
          <w:color w:val="auto"/>
          <w:sz w:val="24"/>
          <w:szCs w:val="24"/>
          <w:highlight w:val="none"/>
        </w:rPr>
        <w:t>1.5合同协议书</w:t>
      </w:r>
      <w:bookmarkEnd w:id="1108"/>
      <w:bookmarkEnd w:id="1109"/>
      <w:bookmarkEnd w:id="1110"/>
      <w:bookmarkEnd w:id="1111"/>
      <w:bookmarkEnd w:id="1112"/>
      <w:bookmarkEnd w:id="1113"/>
    </w:p>
    <w:p w14:paraId="4117914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33AF23B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制备本合同文件的费用由发包人承担。在合同协议书签订并生效之前，投标函和中标通知书将对双方具有约束力。</w:t>
      </w:r>
    </w:p>
    <w:p w14:paraId="42624454">
      <w:pPr>
        <w:pStyle w:val="2"/>
        <w:spacing w:beforeLines="50" w:line="400" w:lineRule="exact"/>
        <w:rPr>
          <w:rFonts w:ascii="宋体" w:hAnsi="宋体" w:cs="宋体"/>
          <w:color w:val="auto"/>
          <w:sz w:val="24"/>
          <w:szCs w:val="24"/>
          <w:highlight w:val="none"/>
        </w:rPr>
      </w:pPr>
      <w:bookmarkStart w:id="1114" w:name="_Toc386467181"/>
      <w:bookmarkStart w:id="1115" w:name="_Toc393546435"/>
      <w:bookmarkStart w:id="1116" w:name="_Toc330406376"/>
      <w:bookmarkStart w:id="1117" w:name="_Toc453057095"/>
      <w:bookmarkStart w:id="1118" w:name="_Toc43475909"/>
      <w:bookmarkStart w:id="1119" w:name="_Toc451261285"/>
      <w:r>
        <w:rPr>
          <w:rFonts w:hint="eastAsia" w:ascii="宋体" w:hAnsi="宋体" w:cs="宋体"/>
          <w:color w:val="auto"/>
          <w:sz w:val="24"/>
          <w:szCs w:val="24"/>
          <w:highlight w:val="none"/>
        </w:rPr>
        <w:t>1.6图纸和承包人文件</w:t>
      </w:r>
      <w:bookmarkEnd w:id="1114"/>
      <w:bookmarkEnd w:id="1115"/>
      <w:bookmarkEnd w:id="1116"/>
      <w:bookmarkEnd w:id="1117"/>
      <w:bookmarkEnd w:id="1118"/>
      <w:bookmarkEnd w:id="1119"/>
    </w:p>
    <w:p w14:paraId="703F6563">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1.6.1 图纸的提供</w:t>
      </w:r>
    </w:p>
    <w:p w14:paraId="7C0FADF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78F3929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7EE63FDB">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1.6.2承包人提供的文件</w:t>
      </w:r>
    </w:p>
    <w:p w14:paraId="783794B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2069FCB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有下列情形之一的，承包人应免费向监理人提交相关部分工程的施工图纸3份，并附必要的计算书、技术资料，或施工工艺图、设备安装图及安装设备的使用和维护手册各2份供监理人批准。</w:t>
      </w:r>
    </w:p>
    <w:p w14:paraId="13AE632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（1）为使第1.6.1项所述的施工图纸适合于经现场测量后的纵、横断面；</w:t>
      </w:r>
    </w:p>
    <w:p w14:paraId="153E09A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（2）为使第1.6.1项所述的施工图纸适合于现场具体地形；</w:t>
      </w:r>
    </w:p>
    <w:p w14:paraId="0FE09C3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（3）为使第1.6.1项所述的施工图纸适合于因尺寸与位置变化而引起局部变更；</w:t>
      </w:r>
    </w:p>
    <w:p w14:paraId="69B51E5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（4）由于合同要求与施工需要。</w:t>
      </w:r>
    </w:p>
    <w:p w14:paraId="4CEC944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01CE8487">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1.6.4图纸的错误</w:t>
      </w:r>
    </w:p>
    <w:p w14:paraId="736A447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5266D02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57251D9A">
      <w:pPr>
        <w:pStyle w:val="2"/>
        <w:spacing w:beforeLines="50" w:line="400" w:lineRule="exact"/>
        <w:rPr>
          <w:rFonts w:ascii="宋体" w:hAnsi="宋体" w:cs="宋体"/>
          <w:color w:val="auto"/>
          <w:sz w:val="24"/>
          <w:szCs w:val="24"/>
          <w:highlight w:val="none"/>
        </w:rPr>
      </w:pPr>
      <w:bookmarkStart w:id="1120" w:name="_Toc330406377"/>
      <w:bookmarkStart w:id="1121" w:name="_Toc393546436"/>
      <w:bookmarkStart w:id="1122" w:name="_Toc453057096"/>
      <w:bookmarkStart w:id="1123" w:name="_Toc43475910"/>
      <w:bookmarkStart w:id="1124" w:name="_Toc386467182"/>
      <w:bookmarkStart w:id="1125" w:name="_Toc451261286"/>
      <w:r>
        <w:rPr>
          <w:rFonts w:hint="eastAsia" w:ascii="宋体" w:hAnsi="宋体" w:cs="宋体"/>
          <w:color w:val="auto"/>
          <w:sz w:val="24"/>
          <w:szCs w:val="24"/>
          <w:highlight w:val="none"/>
        </w:rPr>
        <w:t>1.9严禁贿赂</w:t>
      </w:r>
      <w:bookmarkEnd w:id="1120"/>
      <w:bookmarkEnd w:id="1121"/>
      <w:bookmarkEnd w:id="1122"/>
      <w:bookmarkEnd w:id="1123"/>
      <w:bookmarkEnd w:id="1124"/>
      <w:bookmarkEnd w:id="1125"/>
    </w:p>
    <w:p w14:paraId="5908F2C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6E44058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4220506A">
      <w:pPr>
        <w:pStyle w:val="2"/>
        <w:spacing w:beforeLines="50" w:line="400" w:lineRule="exact"/>
        <w:rPr>
          <w:rFonts w:ascii="宋体" w:hAnsi="宋体" w:cs="宋体"/>
          <w:color w:val="auto"/>
          <w:sz w:val="28"/>
          <w:szCs w:val="28"/>
          <w:highlight w:val="none"/>
        </w:rPr>
      </w:pPr>
      <w:bookmarkStart w:id="1126" w:name="_Toc386467183"/>
      <w:bookmarkStart w:id="1127" w:name="_Toc453057097"/>
      <w:bookmarkStart w:id="1128" w:name="_Toc451261287"/>
      <w:bookmarkStart w:id="1129" w:name="_Toc43475911"/>
      <w:bookmarkStart w:id="1130" w:name="_Toc330406378"/>
      <w:bookmarkStart w:id="1131" w:name="_Toc393546437"/>
      <w:r>
        <w:rPr>
          <w:rFonts w:hint="eastAsia" w:ascii="宋体" w:hAnsi="宋体" w:cs="宋体"/>
          <w:color w:val="auto"/>
          <w:sz w:val="28"/>
          <w:szCs w:val="28"/>
          <w:highlight w:val="none"/>
        </w:rPr>
        <w:t>2.发包人义务</w:t>
      </w:r>
      <w:bookmarkEnd w:id="1126"/>
      <w:bookmarkEnd w:id="1127"/>
      <w:bookmarkEnd w:id="1128"/>
      <w:bookmarkEnd w:id="1129"/>
      <w:bookmarkEnd w:id="1130"/>
      <w:bookmarkEnd w:id="1131"/>
    </w:p>
    <w:p w14:paraId="52A2C48B">
      <w:pPr>
        <w:pStyle w:val="2"/>
        <w:spacing w:beforeLines="50" w:line="400" w:lineRule="exact"/>
        <w:rPr>
          <w:rFonts w:ascii="宋体" w:hAnsi="宋体" w:cs="宋体"/>
          <w:color w:val="auto"/>
          <w:sz w:val="24"/>
          <w:szCs w:val="24"/>
          <w:highlight w:val="none"/>
        </w:rPr>
      </w:pPr>
      <w:bookmarkStart w:id="1132" w:name="_Toc43475912"/>
      <w:bookmarkStart w:id="1133" w:name="_Toc393546438"/>
      <w:bookmarkStart w:id="1134" w:name="_Toc330406379"/>
      <w:bookmarkStart w:id="1135" w:name="_Toc453057098"/>
      <w:bookmarkStart w:id="1136" w:name="_Toc451261288"/>
      <w:bookmarkStart w:id="1137" w:name="_Toc386467184"/>
      <w:r>
        <w:rPr>
          <w:rFonts w:hint="eastAsia" w:ascii="宋体" w:hAnsi="宋体" w:cs="宋体"/>
          <w:color w:val="auto"/>
          <w:sz w:val="24"/>
          <w:szCs w:val="24"/>
          <w:highlight w:val="none"/>
        </w:rPr>
        <w:t>2.3提供施工场地</w:t>
      </w:r>
      <w:bookmarkEnd w:id="1132"/>
      <w:bookmarkEnd w:id="1133"/>
      <w:bookmarkEnd w:id="1134"/>
      <w:bookmarkEnd w:id="1135"/>
      <w:bookmarkEnd w:id="1136"/>
      <w:bookmarkEnd w:id="1137"/>
    </w:p>
    <w:p w14:paraId="1621F18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6918EE5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51E4297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1C7AF0F6">
      <w:pPr>
        <w:pStyle w:val="2"/>
        <w:spacing w:beforeLines="50" w:line="400" w:lineRule="exact"/>
        <w:rPr>
          <w:rFonts w:ascii="宋体" w:hAnsi="宋体" w:cs="宋体"/>
          <w:color w:val="auto"/>
          <w:sz w:val="28"/>
          <w:szCs w:val="28"/>
          <w:highlight w:val="none"/>
        </w:rPr>
      </w:pPr>
      <w:bookmarkStart w:id="1138" w:name="_Toc451261289"/>
      <w:bookmarkStart w:id="1139" w:name="_Toc43475913"/>
      <w:bookmarkStart w:id="1140" w:name="_Toc393546439"/>
      <w:bookmarkStart w:id="1141" w:name="_Toc330406380"/>
      <w:bookmarkStart w:id="1142" w:name="_Toc386467185"/>
      <w:bookmarkStart w:id="1143" w:name="_Toc453057099"/>
      <w:r>
        <w:rPr>
          <w:rFonts w:hint="eastAsia" w:ascii="宋体" w:hAnsi="宋体" w:cs="宋体"/>
          <w:color w:val="auto"/>
          <w:sz w:val="28"/>
          <w:szCs w:val="28"/>
          <w:highlight w:val="none"/>
        </w:rPr>
        <w:t>3.监理人</w:t>
      </w:r>
      <w:bookmarkEnd w:id="1138"/>
      <w:bookmarkEnd w:id="1139"/>
      <w:bookmarkEnd w:id="1140"/>
      <w:bookmarkEnd w:id="1141"/>
      <w:bookmarkEnd w:id="1142"/>
      <w:bookmarkEnd w:id="1143"/>
    </w:p>
    <w:p w14:paraId="0216E360">
      <w:pPr>
        <w:pStyle w:val="2"/>
        <w:spacing w:beforeLines="50" w:line="400" w:lineRule="exact"/>
        <w:rPr>
          <w:rFonts w:ascii="宋体" w:hAnsi="宋体" w:cs="宋体"/>
          <w:color w:val="auto"/>
          <w:sz w:val="24"/>
          <w:szCs w:val="24"/>
          <w:highlight w:val="none"/>
        </w:rPr>
      </w:pPr>
      <w:bookmarkStart w:id="1144" w:name="_Toc393546440"/>
      <w:bookmarkStart w:id="1145" w:name="_Toc451261290"/>
      <w:bookmarkStart w:id="1146" w:name="_Toc330406381"/>
      <w:bookmarkStart w:id="1147" w:name="_Toc386467186"/>
      <w:bookmarkStart w:id="1148" w:name="_Toc453057100"/>
      <w:bookmarkStart w:id="1149" w:name="_Toc43475914"/>
      <w:r>
        <w:rPr>
          <w:rFonts w:hint="eastAsia" w:ascii="宋体" w:hAnsi="宋体" w:cs="宋体"/>
          <w:color w:val="auto"/>
          <w:sz w:val="24"/>
          <w:szCs w:val="24"/>
          <w:highlight w:val="none"/>
        </w:rPr>
        <w:t>3.1监理人的职责和权力</w:t>
      </w:r>
      <w:bookmarkEnd w:id="1144"/>
      <w:bookmarkEnd w:id="1145"/>
      <w:bookmarkEnd w:id="1146"/>
      <w:bookmarkEnd w:id="1147"/>
      <w:bookmarkEnd w:id="1148"/>
      <w:bookmarkEnd w:id="1149"/>
    </w:p>
    <w:p w14:paraId="1A91EC9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第3.1.1项补充：</w:t>
      </w:r>
    </w:p>
    <w:p w14:paraId="5C714EA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监理人在行使下列权力前需要经发包人事先批准：</w:t>
      </w:r>
    </w:p>
    <w:p w14:paraId="3AD2CDA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（1）根据第4.3款，同意分包</w:t>
      </w:r>
      <w:r>
        <w:rPr>
          <w:rFonts w:hint="eastAsia" w:ascii="宋体" w:hAnsi="宋体" w:cs="宋体"/>
          <w:color w:val="auto"/>
          <w:highlight w:val="none"/>
        </w:rPr>
        <w:t>本工程的某些非关键性工作或者适合专业化队伍施工的专项工程</w:t>
      </w:r>
      <w:r>
        <w:rPr>
          <w:rFonts w:hint="eastAsia" w:ascii="宋体" w:hAnsi="宋体" w:cs="宋体"/>
          <w:color w:val="auto"/>
          <w:sz w:val="24"/>
          <w:highlight w:val="none"/>
        </w:rPr>
        <w:t>；</w:t>
      </w:r>
    </w:p>
    <w:p w14:paraId="3E6469F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（2）确定第4.11款下产生的费用增加额；</w:t>
      </w:r>
    </w:p>
    <w:p w14:paraId="55328A9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（3）根据第11.1款、第12.3款、第12.4款发布开工通知、暂停施工指示或复工通知；</w:t>
      </w:r>
    </w:p>
    <w:p w14:paraId="11BC7C2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（4）决定第11.3款、第11.4款下的工期延长；</w:t>
      </w:r>
    </w:p>
    <w:p w14:paraId="34DFACD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（5）审查批准技术方案设计的变更；</w:t>
      </w:r>
    </w:p>
    <w:p w14:paraId="2384CE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（6）根据第15.3款发出的变更指令，其单项工程变更或累计变更涉及的金额超过了项目专用合同条款数据表中规定的金额；</w:t>
      </w:r>
    </w:p>
    <w:p w14:paraId="5E6377D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（7）确定第15.4款下变更工作的单价；</w:t>
      </w:r>
    </w:p>
    <w:p w14:paraId="115F409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（8）按照第15.6款决定有关暂列金额的使用；</w:t>
      </w:r>
    </w:p>
    <w:p w14:paraId="0001E37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（9）确定第15.8款项下的暂估价金额；</w:t>
      </w:r>
    </w:p>
    <w:p w14:paraId="0E1993C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（10）确定第23.1款项下的索赔额。</w:t>
      </w:r>
    </w:p>
    <w:p w14:paraId="49B607F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3EA4E6AD">
      <w:pPr>
        <w:pStyle w:val="2"/>
        <w:spacing w:beforeLines="50" w:line="400" w:lineRule="exact"/>
        <w:rPr>
          <w:rFonts w:ascii="宋体" w:hAnsi="宋体" w:cs="宋体"/>
          <w:color w:val="auto"/>
          <w:sz w:val="24"/>
          <w:szCs w:val="24"/>
          <w:highlight w:val="none"/>
        </w:rPr>
      </w:pPr>
      <w:bookmarkStart w:id="1150" w:name="_Toc386467187"/>
      <w:bookmarkStart w:id="1151" w:name="_Toc453057101"/>
      <w:bookmarkStart w:id="1152" w:name="_Toc451261291"/>
      <w:bookmarkStart w:id="1153" w:name="_Toc393546441"/>
      <w:bookmarkStart w:id="1154" w:name="_Toc43475915"/>
      <w:bookmarkStart w:id="1155" w:name="_Toc330406382"/>
      <w:r>
        <w:rPr>
          <w:rFonts w:hint="eastAsia" w:ascii="宋体" w:hAnsi="宋体" w:cs="宋体"/>
          <w:color w:val="auto"/>
          <w:sz w:val="24"/>
          <w:szCs w:val="24"/>
          <w:highlight w:val="none"/>
        </w:rPr>
        <w:t>3.5商定或确定</w:t>
      </w:r>
      <w:bookmarkEnd w:id="1150"/>
      <w:bookmarkEnd w:id="1151"/>
      <w:bookmarkEnd w:id="1152"/>
      <w:bookmarkEnd w:id="1153"/>
      <w:bookmarkEnd w:id="1154"/>
      <w:bookmarkEnd w:id="1155"/>
    </w:p>
    <w:p w14:paraId="5A4EB10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第3.5.1 项补充：</w:t>
      </w:r>
    </w:p>
    <w:p w14:paraId="557DB17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如果这项商定或确定导致费用增加和（或）工期延长，或者涉及确定变更工程的价格，则总监理工程师在发出通知前，应征得发包人的同意。</w:t>
      </w:r>
    </w:p>
    <w:p w14:paraId="27ED48F5">
      <w:pPr>
        <w:pStyle w:val="2"/>
        <w:spacing w:beforeLines="50" w:line="400" w:lineRule="exact"/>
        <w:rPr>
          <w:rFonts w:ascii="宋体" w:hAnsi="宋体" w:cs="宋体"/>
          <w:color w:val="auto"/>
          <w:sz w:val="28"/>
          <w:szCs w:val="28"/>
          <w:highlight w:val="none"/>
        </w:rPr>
      </w:pPr>
      <w:bookmarkStart w:id="1156" w:name="_Toc393546442"/>
      <w:bookmarkStart w:id="1157" w:name="_Toc453057102"/>
      <w:bookmarkStart w:id="1158" w:name="_Toc451261292"/>
      <w:bookmarkStart w:id="1159" w:name="_Toc386467188"/>
      <w:bookmarkStart w:id="1160" w:name="_Toc330406383"/>
      <w:bookmarkStart w:id="1161" w:name="_Toc43475916"/>
      <w:r>
        <w:rPr>
          <w:rFonts w:hint="eastAsia" w:ascii="宋体" w:hAnsi="宋体" w:cs="宋体"/>
          <w:color w:val="auto"/>
          <w:sz w:val="28"/>
          <w:szCs w:val="28"/>
          <w:highlight w:val="none"/>
        </w:rPr>
        <w:t>4.承包人</w:t>
      </w:r>
      <w:bookmarkEnd w:id="1156"/>
      <w:bookmarkEnd w:id="1157"/>
      <w:bookmarkEnd w:id="1158"/>
      <w:bookmarkEnd w:id="1159"/>
      <w:bookmarkEnd w:id="1160"/>
      <w:bookmarkEnd w:id="1161"/>
    </w:p>
    <w:p w14:paraId="4297CE79">
      <w:pPr>
        <w:pStyle w:val="2"/>
        <w:spacing w:beforeLines="50" w:line="400" w:lineRule="exact"/>
        <w:rPr>
          <w:rFonts w:ascii="宋体" w:hAnsi="宋体" w:cs="宋体"/>
          <w:color w:val="auto"/>
          <w:sz w:val="24"/>
          <w:szCs w:val="24"/>
          <w:highlight w:val="none"/>
        </w:rPr>
      </w:pPr>
      <w:bookmarkStart w:id="1162" w:name="_Toc393546443"/>
      <w:bookmarkStart w:id="1163" w:name="_Toc386467189"/>
      <w:bookmarkStart w:id="1164" w:name="_Toc330406384"/>
      <w:bookmarkStart w:id="1165" w:name="_Toc453057103"/>
      <w:bookmarkStart w:id="1166" w:name="_Toc451261293"/>
      <w:bookmarkStart w:id="1167" w:name="_Toc43475917"/>
      <w:r>
        <w:rPr>
          <w:rFonts w:hint="eastAsia" w:ascii="宋体" w:hAnsi="宋体" w:cs="宋体"/>
          <w:color w:val="auto"/>
          <w:sz w:val="24"/>
          <w:szCs w:val="24"/>
          <w:highlight w:val="none"/>
        </w:rPr>
        <w:t>4.1承包工的一般义务</w:t>
      </w:r>
      <w:bookmarkEnd w:id="1162"/>
      <w:bookmarkEnd w:id="1163"/>
      <w:bookmarkEnd w:id="1164"/>
      <w:bookmarkEnd w:id="1165"/>
      <w:bookmarkEnd w:id="1166"/>
      <w:bookmarkEnd w:id="1167"/>
    </w:p>
    <w:p w14:paraId="3C0E146C">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4.1.9工程的维护和照管</w:t>
      </w:r>
    </w:p>
    <w:p w14:paraId="0FC7474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01B2B9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56B4AAA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1344F8FB">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4.1.10其他义务</w:t>
      </w:r>
    </w:p>
    <w:p w14:paraId="101381F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311E976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（1）临时占地由承包人向当地政府土地管理部门申请，并办理租用手续，承包人按有关规定直接支付其费用，发包人对此将予以协调。</w:t>
      </w:r>
    </w:p>
    <w:p w14:paraId="53ECCED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14BCD1C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5736D43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436A43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0B68E9E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0459D67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工资支付表应如实记录支付单位、支付时间、支付对象、支付数额、支付对象的身份证号和签字等信息。民工花名册和工资支付表应报监理人备查。</w:t>
      </w:r>
    </w:p>
    <w:p w14:paraId="16E1C442">
      <w:pPr>
        <w:numPr>
          <w:ilvl w:val="0"/>
          <w:numId w:val="10"/>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14:paraId="1FF3C831">
      <w:pPr>
        <w:numPr>
          <w:ilvl w:val="0"/>
          <w:numId w:val="10"/>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14:paraId="79D45556">
      <w:pPr>
        <w:numPr>
          <w:ilvl w:val="0"/>
          <w:numId w:val="10"/>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承包人应履行项目专用合同条款约定的其他义务。</w:t>
      </w:r>
    </w:p>
    <w:p w14:paraId="03779650">
      <w:pPr>
        <w:pStyle w:val="2"/>
        <w:spacing w:beforeLines="50" w:line="400" w:lineRule="exact"/>
        <w:rPr>
          <w:rFonts w:ascii="宋体" w:hAnsi="宋体" w:cs="宋体"/>
          <w:color w:val="auto"/>
          <w:sz w:val="24"/>
          <w:szCs w:val="24"/>
          <w:highlight w:val="none"/>
        </w:rPr>
      </w:pPr>
      <w:bookmarkStart w:id="1168" w:name="_Toc43475918"/>
      <w:r>
        <w:rPr>
          <w:rFonts w:hint="eastAsia" w:ascii="宋体" w:hAnsi="宋体" w:cs="宋体"/>
          <w:color w:val="auto"/>
          <w:sz w:val="24"/>
          <w:szCs w:val="24"/>
          <w:highlight w:val="none"/>
        </w:rPr>
        <w:t>4.2</w:t>
      </w:r>
      <w:r>
        <w:rPr>
          <w:rFonts w:hint="eastAsia" w:ascii="宋体" w:hAnsi="宋体" w:cs="宋体"/>
          <w:color w:val="auto"/>
          <w:sz w:val="24"/>
          <w:szCs w:val="24"/>
          <w:highlight w:val="none"/>
          <w:lang w:val="zh-CN"/>
        </w:rPr>
        <w:t>履约保证金</w:t>
      </w:r>
      <w:bookmarkEnd w:id="1168"/>
    </w:p>
    <w:p w14:paraId="2E94A04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本款细化为：</w:t>
      </w:r>
    </w:p>
    <w:p w14:paraId="39A4B37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承包人应保证其履约保证金在发包人签发交工验收证书且承包人按照合同约定缴纳质量保证金前一直有效。履约保证金</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val="zh-CN"/>
        </w:rPr>
        <w:t>退还</w:t>
      </w:r>
      <w:r>
        <w:rPr>
          <w:rFonts w:hint="eastAsia" w:ascii="宋体" w:hAnsi="宋体" w:cs="宋体"/>
          <w:snapToGrid w:val="0"/>
          <w:color w:val="auto"/>
          <w:kern w:val="0"/>
          <w:sz w:val="24"/>
          <w:szCs w:val="24"/>
          <w:highlight w:val="none"/>
        </w:rPr>
        <w:t>根据《关于统一在市公共资源交易一体化服务平台缴退工程建设项目履约保证金的通知》</w:t>
      </w:r>
      <w:r>
        <w:rPr>
          <w:rFonts w:hint="eastAsia" w:ascii="宋体" w:hAnsi="宋体" w:cs="宋体"/>
          <w:snapToGrid w:val="0"/>
          <w:color w:val="auto"/>
          <w:kern w:val="0"/>
          <w:sz w:val="24"/>
          <w:szCs w:val="24"/>
          <w:highlight w:val="none"/>
          <w:lang w:val="en-US" w:eastAsia="zh-CN"/>
        </w:rPr>
        <w:t>办理。</w:t>
      </w:r>
    </w:p>
    <w:p w14:paraId="67D7EE5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承包人拒绝按照本合同约定缴纳质量保证金的，发包人有权从竣工付款证书中扣留相应金额作为质量保证金，或者直接将履约保证金金额用于保证承包人在缺陷责任期内履行缺陷修复义务。</w:t>
      </w:r>
    </w:p>
    <w:p w14:paraId="430DD61F">
      <w:pPr>
        <w:pStyle w:val="2"/>
        <w:spacing w:beforeLines="50" w:line="400" w:lineRule="exact"/>
        <w:rPr>
          <w:rFonts w:ascii="宋体" w:hAnsi="宋体" w:cs="宋体"/>
          <w:color w:val="auto"/>
          <w:sz w:val="24"/>
          <w:szCs w:val="24"/>
          <w:highlight w:val="none"/>
        </w:rPr>
      </w:pPr>
      <w:bookmarkStart w:id="1169" w:name="_Toc330406385"/>
      <w:bookmarkStart w:id="1170" w:name="_Toc451261294"/>
      <w:bookmarkStart w:id="1171" w:name="_Toc386467190"/>
      <w:bookmarkStart w:id="1172" w:name="_Toc393546444"/>
      <w:bookmarkStart w:id="1173" w:name="_Toc453057104"/>
      <w:bookmarkStart w:id="1174" w:name="_Toc43475919"/>
      <w:r>
        <w:rPr>
          <w:rFonts w:hint="eastAsia" w:ascii="宋体" w:hAnsi="宋体" w:cs="宋体"/>
          <w:color w:val="auto"/>
          <w:sz w:val="24"/>
          <w:szCs w:val="24"/>
          <w:highlight w:val="none"/>
        </w:rPr>
        <w:t>4.3 分包</w:t>
      </w:r>
      <w:bookmarkEnd w:id="1169"/>
      <w:bookmarkEnd w:id="1170"/>
      <w:bookmarkEnd w:id="1171"/>
      <w:bookmarkEnd w:id="1172"/>
      <w:bookmarkEnd w:id="1173"/>
      <w:bookmarkEnd w:id="1174"/>
    </w:p>
    <w:p w14:paraId="7D3E6AB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第4.3.2项～第4.3.4项细化为：</w:t>
      </w:r>
    </w:p>
    <w:p w14:paraId="0EADA31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4.3.2 承包人不得将4关键性工作分包给第三人。经发包人同意，承包人可将工程的其他部分或工作分包给第三人。分包包括专业分包和劳务分包。</w:t>
      </w:r>
    </w:p>
    <w:p w14:paraId="0C6F8020">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4.3.3专业分包</w:t>
      </w:r>
    </w:p>
    <w:p w14:paraId="0B02AA1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在工程施工过程中，承包人进行专业分包必须遵守以下规定：</w:t>
      </w:r>
    </w:p>
    <w:p w14:paraId="0AB3B62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37628020">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专业分包人的资格能力(含安全生产能力)应与其分包工程的标准和规模相适应，且应当具备如下条件：</w:t>
      </w:r>
    </w:p>
    <w:p w14:paraId="2F1CA58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w:t>
      </w:r>
      <w:r>
        <w:rPr>
          <w:rFonts w:hint="eastAsia" w:ascii="宋体" w:hAnsi="宋体" w:cs="宋体"/>
          <w:color w:val="auto"/>
          <w:sz w:val="24"/>
          <w:highlight w:val="none"/>
          <w:lang w:val="zh-CN"/>
        </w:rPr>
        <w:t>具有经工商登记的法人资格；</w:t>
      </w:r>
    </w:p>
    <w:p w14:paraId="188ADBC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w:t>
      </w:r>
      <w:r>
        <w:rPr>
          <w:rFonts w:hint="eastAsia" w:ascii="宋体" w:hAnsi="宋体" w:cs="宋体"/>
          <w:color w:val="auto"/>
          <w:sz w:val="24"/>
          <w:highlight w:val="none"/>
          <w:lang w:val="zh-CN"/>
        </w:rPr>
        <w:t>具有从事类似工程经验的管理与技术人员；</w:t>
      </w:r>
    </w:p>
    <w:p w14:paraId="62FD19C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w:t>
      </w:r>
      <w:r>
        <w:rPr>
          <w:rFonts w:hint="eastAsia" w:ascii="宋体" w:hAnsi="宋体" w:cs="宋体"/>
          <w:color w:val="auto"/>
          <w:sz w:val="24"/>
          <w:highlight w:val="none"/>
          <w:lang w:val="zh-CN"/>
        </w:rPr>
        <w:t>具有(自有或租赁)分包工程所需的施工设备。</w:t>
      </w:r>
    </w:p>
    <w:p w14:paraId="0F0AC3DB">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承包人应向监理人提交专业分包人的资格能力证明材料，经监理人审查并报发包人批准后，可以将相应专业工程分包给该专业分包人。</w:t>
      </w:r>
    </w:p>
    <w:p w14:paraId="2167EF2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（3）专业分工程不得再次分包。</w:t>
      </w:r>
    </w:p>
    <w:p w14:paraId="3F5D3AD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zh-CN"/>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2950A50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zh-CN"/>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4ED696F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zh-CN"/>
        </w:rPr>
        <w:t>承包人应当建立健全相关分包管理制度和台账，对专业分包工程的质量、安全、进度和专业分包人的行为等实施全过程管理，按照本办法规定和合同约定对专业分包工程的实施向发包人负责，并承担赔偿责任。专业分包合同不免除承包合同中规定的承包人的责任或者义务。</w:t>
      </w:r>
    </w:p>
    <w:p w14:paraId="7890EAB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59602FF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7841669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违反上述规定之一者属违规分包。</w:t>
      </w:r>
    </w:p>
    <w:p w14:paraId="3EEDD73E">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4.3.4劳务分包</w:t>
      </w:r>
    </w:p>
    <w:p w14:paraId="1AFA849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在工程施工过程中，承包人进行劳务分包必须遵守以下规定：</w:t>
      </w:r>
    </w:p>
    <w:p w14:paraId="311F53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（1）劳务分包人应具有劳务分包资质。</w:t>
      </w:r>
    </w:p>
    <w:p w14:paraId="0E386EB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628EE77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14:paraId="7966639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（4）承包人应当对劳务分包人员进行安全培训和管理，劳务分包人不得将其分包的劳务作业再次分包。</w:t>
      </w:r>
    </w:p>
    <w:p w14:paraId="4EB1E23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违反上述规定之一者属违规分包。</w:t>
      </w:r>
    </w:p>
    <w:p w14:paraId="1A25FE5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本款补充第4.3.6项：</w:t>
      </w:r>
    </w:p>
    <w:p w14:paraId="18291B5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4.3.6、发包人对承包人与分包人之间的法律与经济纠纷不承担任何责任和义务。</w:t>
      </w:r>
    </w:p>
    <w:p w14:paraId="5C2B217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4.3.7、本项目的各项分包工作均应遵守《公路工程施工分包管理办法》的有关规定。</w:t>
      </w:r>
    </w:p>
    <w:p w14:paraId="37CB7525">
      <w:pPr>
        <w:pStyle w:val="2"/>
        <w:spacing w:beforeLines="50" w:line="400" w:lineRule="exact"/>
        <w:rPr>
          <w:rFonts w:ascii="宋体" w:hAnsi="宋体" w:cs="宋体"/>
          <w:color w:val="auto"/>
          <w:sz w:val="24"/>
          <w:szCs w:val="24"/>
          <w:highlight w:val="none"/>
        </w:rPr>
      </w:pPr>
      <w:bookmarkStart w:id="1175" w:name="_Toc386467191"/>
      <w:bookmarkStart w:id="1176" w:name="_Toc393546445"/>
      <w:bookmarkStart w:id="1177" w:name="_Toc451261295"/>
      <w:bookmarkStart w:id="1178" w:name="_Toc43475920"/>
      <w:bookmarkStart w:id="1179" w:name="_Toc453057105"/>
      <w:bookmarkStart w:id="1180" w:name="_Toc330406386"/>
      <w:r>
        <w:rPr>
          <w:rFonts w:hint="eastAsia" w:ascii="宋体" w:hAnsi="宋体" w:cs="宋体"/>
          <w:color w:val="auto"/>
          <w:sz w:val="24"/>
          <w:szCs w:val="24"/>
          <w:highlight w:val="none"/>
        </w:rPr>
        <w:t>4.4联合体</w:t>
      </w:r>
      <w:bookmarkEnd w:id="1175"/>
      <w:bookmarkEnd w:id="1176"/>
      <w:bookmarkEnd w:id="1177"/>
      <w:bookmarkEnd w:id="1178"/>
      <w:bookmarkEnd w:id="1179"/>
      <w:bookmarkEnd w:id="1180"/>
    </w:p>
    <w:p w14:paraId="08A6691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本款增加第4.4.4项：</w:t>
      </w:r>
    </w:p>
    <w:p w14:paraId="5AFCB25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4.4.4未经发包人事先同意，联合体的组成与结构不得变动。</w:t>
      </w:r>
    </w:p>
    <w:p w14:paraId="7C867B9D">
      <w:pPr>
        <w:pStyle w:val="2"/>
        <w:spacing w:beforeLines="50" w:line="400" w:lineRule="exact"/>
        <w:rPr>
          <w:rFonts w:ascii="宋体" w:hAnsi="宋体" w:cs="宋体"/>
          <w:color w:val="auto"/>
          <w:sz w:val="24"/>
          <w:szCs w:val="24"/>
          <w:highlight w:val="none"/>
        </w:rPr>
      </w:pPr>
      <w:bookmarkStart w:id="1181" w:name="_Toc43475921"/>
      <w:bookmarkStart w:id="1182" w:name="_Toc393546446"/>
      <w:bookmarkStart w:id="1183" w:name="_Toc451261296"/>
      <w:bookmarkStart w:id="1184" w:name="_Toc386467192"/>
      <w:bookmarkStart w:id="1185" w:name="_Toc330406387"/>
      <w:bookmarkStart w:id="1186" w:name="_Toc453057106"/>
      <w:r>
        <w:rPr>
          <w:rFonts w:hint="eastAsia" w:ascii="宋体" w:hAnsi="宋体" w:cs="宋体"/>
          <w:color w:val="auto"/>
          <w:sz w:val="24"/>
          <w:szCs w:val="24"/>
          <w:highlight w:val="none"/>
        </w:rPr>
        <w:t>4.6承包人人员的管理</w:t>
      </w:r>
      <w:bookmarkEnd w:id="1181"/>
      <w:bookmarkEnd w:id="1182"/>
      <w:bookmarkEnd w:id="1183"/>
      <w:bookmarkEnd w:id="1184"/>
      <w:bookmarkEnd w:id="1185"/>
      <w:bookmarkEnd w:id="1186"/>
    </w:p>
    <w:p w14:paraId="7F8818B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第4.6.3项细化为：</w:t>
      </w:r>
    </w:p>
    <w:p w14:paraId="2CBC6B5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0F95410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本款补充第4.6.5项：</w:t>
      </w:r>
    </w:p>
    <w:p w14:paraId="5B4F341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14:paraId="3B9EE704">
      <w:pPr>
        <w:pStyle w:val="2"/>
        <w:spacing w:beforeLines="50" w:line="400" w:lineRule="exact"/>
        <w:rPr>
          <w:rFonts w:ascii="宋体" w:hAnsi="宋体" w:cs="宋体"/>
          <w:color w:val="auto"/>
          <w:sz w:val="24"/>
          <w:szCs w:val="24"/>
          <w:highlight w:val="none"/>
        </w:rPr>
      </w:pPr>
      <w:bookmarkStart w:id="1187" w:name="_Toc43475922"/>
      <w:bookmarkStart w:id="1188" w:name="_Toc453057107"/>
      <w:bookmarkStart w:id="1189" w:name="_Toc451261297"/>
      <w:bookmarkStart w:id="1190" w:name="_Toc386467193"/>
      <w:bookmarkStart w:id="1191" w:name="_Toc330406388"/>
      <w:bookmarkStart w:id="1192" w:name="_Toc393546447"/>
      <w:r>
        <w:rPr>
          <w:rFonts w:hint="eastAsia" w:ascii="宋体" w:hAnsi="宋体" w:cs="宋体"/>
          <w:color w:val="auto"/>
          <w:sz w:val="24"/>
          <w:szCs w:val="24"/>
          <w:highlight w:val="none"/>
        </w:rPr>
        <w:t>4.7撤换承包人项目经理和其他人员</w:t>
      </w:r>
      <w:bookmarkEnd w:id="1187"/>
      <w:bookmarkEnd w:id="1188"/>
      <w:bookmarkEnd w:id="1189"/>
      <w:bookmarkEnd w:id="1190"/>
      <w:bookmarkEnd w:id="1191"/>
      <w:bookmarkEnd w:id="1192"/>
    </w:p>
    <w:p w14:paraId="581CE88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6F58D7E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3A283CD4">
      <w:pPr>
        <w:pStyle w:val="2"/>
        <w:spacing w:beforeLines="50" w:line="400" w:lineRule="exact"/>
        <w:rPr>
          <w:rFonts w:ascii="宋体" w:hAnsi="宋体" w:cs="宋体"/>
          <w:color w:val="auto"/>
          <w:sz w:val="24"/>
          <w:szCs w:val="24"/>
          <w:highlight w:val="none"/>
        </w:rPr>
      </w:pPr>
      <w:bookmarkStart w:id="1193" w:name="_Toc393546448"/>
      <w:bookmarkStart w:id="1194" w:name="_Toc453057108"/>
      <w:bookmarkStart w:id="1195" w:name="_Toc451261298"/>
      <w:bookmarkStart w:id="1196" w:name="_Toc43475923"/>
      <w:bookmarkStart w:id="1197" w:name="_Toc330406389"/>
      <w:bookmarkStart w:id="1198" w:name="_Toc386467194"/>
      <w:r>
        <w:rPr>
          <w:rFonts w:hint="eastAsia" w:ascii="宋体" w:hAnsi="宋体" w:cs="宋体"/>
          <w:color w:val="auto"/>
          <w:sz w:val="24"/>
          <w:szCs w:val="24"/>
          <w:highlight w:val="none"/>
        </w:rPr>
        <w:t>4.9工程价款应专款专用</w:t>
      </w:r>
      <w:bookmarkEnd w:id="1193"/>
      <w:bookmarkEnd w:id="1194"/>
      <w:bookmarkEnd w:id="1195"/>
      <w:bookmarkEnd w:id="1196"/>
      <w:bookmarkEnd w:id="1197"/>
      <w:bookmarkEnd w:id="1198"/>
    </w:p>
    <w:p w14:paraId="40CB9A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590F21F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7A785026">
      <w:pPr>
        <w:pStyle w:val="2"/>
        <w:spacing w:beforeLines="50" w:line="400" w:lineRule="exact"/>
        <w:rPr>
          <w:rFonts w:ascii="宋体" w:hAnsi="宋体" w:cs="宋体"/>
          <w:color w:val="auto"/>
          <w:sz w:val="24"/>
          <w:szCs w:val="24"/>
          <w:highlight w:val="none"/>
        </w:rPr>
      </w:pPr>
      <w:bookmarkStart w:id="1199" w:name="_Toc386467195"/>
      <w:bookmarkStart w:id="1200" w:name="_Toc43475924"/>
      <w:bookmarkStart w:id="1201" w:name="_Toc330406390"/>
      <w:bookmarkStart w:id="1202" w:name="_Toc453057109"/>
      <w:bookmarkStart w:id="1203" w:name="_Toc393546449"/>
      <w:bookmarkStart w:id="1204" w:name="_Toc451261299"/>
      <w:r>
        <w:rPr>
          <w:rFonts w:hint="eastAsia" w:ascii="宋体" w:hAnsi="宋体" w:cs="宋体"/>
          <w:color w:val="auto"/>
          <w:sz w:val="24"/>
          <w:szCs w:val="24"/>
          <w:highlight w:val="none"/>
        </w:rPr>
        <w:t>4.10承包人现场查勘</w:t>
      </w:r>
      <w:bookmarkEnd w:id="1199"/>
      <w:bookmarkEnd w:id="1200"/>
      <w:bookmarkEnd w:id="1201"/>
      <w:bookmarkEnd w:id="1202"/>
      <w:bookmarkEnd w:id="1203"/>
      <w:bookmarkEnd w:id="1204"/>
    </w:p>
    <w:p w14:paraId="404ABFF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第4.10.1项细化为：</w:t>
      </w:r>
    </w:p>
    <w:p w14:paraId="160CB1B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4D416CB3">
      <w:pPr>
        <w:pStyle w:val="2"/>
        <w:spacing w:beforeLines="50" w:line="400" w:lineRule="exact"/>
        <w:rPr>
          <w:rFonts w:ascii="宋体" w:hAnsi="宋体" w:cs="宋体"/>
          <w:color w:val="auto"/>
          <w:sz w:val="24"/>
          <w:szCs w:val="24"/>
          <w:highlight w:val="none"/>
        </w:rPr>
      </w:pPr>
      <w:bookmarkStart w:id="1205" w:name="_Toc330406391"/>
      <w:bookmarkStart w:id="1206" w:name="_Toc386467196"/>
      <w:bookmarkStart w:id="1207" w:name="_Toc393546450"/>
      <w:bookmarkStart w:id="1208" w:name="_Toc451261300"/>
      <w:bookmarkStart w:id="1209" w:name="_Toc43475925"/>
      <w:bookmarkStart w:id="1210" w:name="_Toc453057110"/>
      <w:r>
        <w:rPr>
          <w:rFonts w:hint="eastAsia" w:ascii="宋体" w:hAnsi="宋体" w:cs="宋体"/>
          <w:color w:val="auto"/>
          <w:sz w:val="24"/>
          <w:szCs w:val="24"/>
          <w:highlight w:val="none"/>
        </w:rPr>
        <w:t>4.11不利物质条件</w:t>
      </w:r>
      <w:bookmarkEnd w:id="1205"/>
      <w:bookmarkEnd w:id="1206"/>
      <w:bookmarkEnd w:id="1207"/>
      <w:bookmarkEnd w:id="1208"/>
      <w:bookmarkEnd w:id="1209"/>
      <w:bookmarkEnd w:id="1210"/>
    </w:p>
    <w:p w14:paraId="101EFAB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第4.11.2项细化为：</w:t>
      </w:r>
    </w:p>
    <w:p w14:paraId="6DC0638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00CC77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本款补充第4.11.3项：</w:t>
      </w:r>
    </w:p>
    <w:p w14:paraId="55EC167A">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4.11.3 可预见的不利物质条件</w:t>
      </w:r>
    </w:p>
    <w:p w14:paraId="1E2F60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14:paraId="7E3852C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（2）对于项目专用合同条款未明确指出，但是在不利物质条件发生之前，监理人已经指示承包人有可能发生，但承包人未能及时采取有效措施，而导致的损失和后果均由承包人承担。</w:t>
      </w:r>
    </w:p>
    <w:p w14:paraId="610FC8FD">
      <w:pPr>
        <w:spacing w:line="400" w:lineRule="exact"/>
        <w:ind w:firstLine="480" w:firstLineChars="200"/>
        <w:rPr>
          <w:rFonts w:ascii="宋体" w:hAnsi="宋体" w:cs="宋体"/>
          <w:color w:val="auto"/>
          <w:sz w:val="24"/>
          <w:highlight w:val="none"/>
        </w:rPr>
      </w:pPr>
    </w:p>
    <w:p w14:paraId="2E21657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补充第4.12、</w:t>
      </w:r>
      <w:r>
        <w:rPr>
          <w:rFonts w:hint="eastAsia" w:ascii="宋体" w:hAnsi="宋体" w:cs="宋体"/>
          <w:color w:val="auto"/>
          <w:sz w:val="24"/>
          <w:highlight w:val="none"/>
        </w:rPr>
        <w:t>4.13</w:t>
      </w:r>
      <w:r>
        <w:rPr>
          <w:rFonts w:hint="eastAsia" w:ascii="宋体" w:hAnsi="宋体" w:cs="宋体"/>
          <w:color w:val="auto"/>
          <w:sz w:val="24"/>
          <w:highlight w:val="none"/>
          <w:lang w:val="zh-CN"/>
        </w:rPr>
        <w:t>款：</w:t>
      </w:r>
    </w:p>
    <w:p w14:paraId="12BCA5F4">
      <w:pPr>
        <w:pStyle w:val="2"/>
        <w:spacing w:beforeLines="50" w:line="400" w:lineRule="exact"/>
        <w:rPr>
          <w:rFonts w:ascii="宋体" w:hAnsi="宋体" w:cs="宋体"/>
          <w:color w:val="auto"/>
          <w:sz w:val="24"/>
          <w:szCs w:val="24"/>
          <w:highlight w:val="none"/>
        </w:rPr>
      </w:pPr>
      <w:bookmarkStart w:id="1211" w:name="_Toc451261301"/>
      <w:bookmarkStart w:id="1212" w:name="_Toc43475926"/>
      <w:bookmarkStart w:id="1213" w:name="_Toc453057111"/>
      <w:bookmarkStart w:id="1214" w:name="_Toc393546451"/>
      <w:bookmarkStart w:id="1215" w:name="_Toc386467197"/>
      <w:bookmarkStart w:id="1216" w:name="_Toc330406392"/>
      <w:r>
        <w:rPr>
          <w:rFonts w:hint="eastAsia" w:ascii="宋体" w:hAnsi="宋体" w:cs="宋体"/>
          <w:color w:val="auto"/>
          <w:sz w:val="24"/>
          <w:szCs w:val="24"/>
          <w:highlight w:val="none"/>
        </w:rPr>
        <w:t>4.12投标文件的完备性</w:t>
      </w:r>
      <w:bookmarkEnd w:id="1211"/>
      <w:bookmarkEnd w:id="1212"/>
      <w:bookmarkEnd w:id="1213"/>
      <w:bookmarkEnd w:id="1214"/>
      <w:bookmarkEnd w:id="1215"/>
      <w:bookmarkEnd w:id="1216"/>
    </w:p>
    <w:p w14:paraId="29DD932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030C4FAF">
      <w:pPr>
        <w:pStyle w:val="2"/>
        <w:spacing w:beforeLines="50" w:line="400" w:lineRule="exact"/>
        <w:rPr>
          <w:rFonts w:ascii="宋体" w:hAnsi="宋体" w:cs="宋体"/>
          <w:color w:val="auto"/>
          <w:sz w:val="24"/>
          <w:szCs w:val="24"/>
          <w:highlight w:val="none"/>
        </w:rPr>
      </w:pPr>
      <w:bookmarkStart w:id="1217" w:name="bookmark15"/>
      <w:bookmarkStart w:id="1218" w:name="_Toc43475927"/>
      <w:r>
        <w:rPr>
          <w:rFonts w:hint="eastAsia" w:ascii="宋体" w:hAnsi="宋体" w:cs="宋体"/>
          <w:color w:val="auto"/>
          <w:sz w:val="24"/>
          <w:szCs w:val="24"/>
          <w:highlight w:val="none"/>
        </w:rPr>
        <w:t>4.13</w:t>
      </w:r>
      <w:r>
        <w:rPr>
          <w:rFonts w:hint="eastAsia" w:ascii="宋体" w:hAnsi="宋体" w:cs="宋体"/>
          <w:color w:val="auto"/>
          <w:sz w:val="24"/>
          <w:szCs w:val="24"/>
          <w:highlight w:val="none"/>
          <w:lang w:val="zh-CN"/>
        </w:rPr>
        <w:t>开展党建工作要求</w:t>
      </w:r>
      <w:bookmarkEnd w:id="1217"/>
      <w:bookmarkEnd w:id="1218"/>
    </w:p>
    <w:p w14:paraId="1C9717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对于政府投资的国家高速公路项目，或承包人为国有控股或参股企业的，承包 人应按规定在项目现场设立基层党组织。不满足上述情形的，应创造条件使党员能够参加党组织生活并接受相应管理。</w:t>
      </w:r>
    </w:p>
    <w:p w14:paraId="02A1ADC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14:paraId="2167CDC2">
      <w:pPr>
        <w:pStyle w:val="2"/>
        <w:spacing w:beforeLines="50" w:line="400" w:lineRule="exact"/>
        <w:rPr>
          <w:rFonts w:ascii="宋体" w:hAnsi="宋体" w:cs="宋体"/>
          <w:color w:val="auto"/>
          <w:sz w:val="28"/>
          <w:szCs w:val="28"/>
          <w:highlight w:val="none"/>
        </w:rPr>
      </w:pPr>
      <w:bookmarkStart w:id="1219" w:name="_Toc453057112"/>
      <w:bookmarkStart w:id="1220" w:name="_Toc393546452"/>
      <w:bookmarkStart w:id="1221" w:name="_Toc451261302"/>
      <w:bookmarkStart w:id="1222" w:name="_Toc43475928"/>
      <w:bookmarkStart w:id="1223" w:name="_Toc386467198"/>
      <w:bookmarkStart w:id="1224" w:name="_Toc330406393"/>
      <w:r>
        <w:rPr>
          <w:rFonts w:hint="eastAsia" w:ascii="宋体" w:hAnsi="宋体" w:cs="宋体"/>
          <w:color w:val="auto"/>
          <w:sz w:val="28"/>
          <w:szCs w:val="28"/>
          <w:highlight w:val="none"/>
        </w:rPr>
        <w:t>5.材料和工程设备</w:t>
      </w:r>
      <w:bookmarkEnd w:id="1219"/>
      <w:bookmarkEnd w:id="1220"/>
      <w:bookmarkEnd w:id="1221"/>
      <w:bookmarkEnd w:id="1222"/>
      <w:bookmarkEnd w:id="1223"/>
      <w:bookmarkEnd w:id="1224"/>
    </w:p>
    <w:p w14:paraId="07E09B62">
      <w:pPr>
        <w:pStyle w:val="2"/>
        <w:spacing w:beforeLines="50" w:line="400" w:lineRule="exact"/>
        <w:rPr>
          <w:rFonts w:ascii="宋体" w:hAnsi="宋体" w:cs="宋体"/>
          <w:color w:val="auto"/>
          <w:sz w:val="24"/>
          <w:szCs w:val="24"/>
          <w:highlight w:val="none"/>
        </w:rPr>
      </w:pPr>
      <w:bookmarkStart w:id="1225" w:name="_Toc330406394"/>
      <w:bookmarkStart w:id="1226" w:name="_Toc386467199"/>
      <w:bookmarkStart w:id="1227" w:name="_Toc43475929"/>
      <w:bookmarkStart w:id="1228" w:name="_Toc451261303"/>
      <w:bookmarkStart w:id="1229" w:name="_Toc393546453"/>
      <w:bookmarkStart w:id="1230" w:name="_Toc453057113"/>
      <w:r>
        <w:rPr>
          <w:rFonts w:hint="eastAsia" w:ascii="宋体" w:hAnsi="宋体" w:cs="宋体"/>
          <w:color w:val="auto"/>
          <w:sz w:val="24"/>
          <w:szCs w:val="24"/>
          <w:highlight w:val="none"/>
        </w:rPr>
        <w:t>5.2发包人提供的材料和工程设备</w:t>
      </w:r>
      <w:bookmarkEnd w:id="1225"/>
      <w:bookmarkEnd w:id="1226"/>
      <w:bookmarkEnd w:id="1227"/>
      <w:bookmarkEnd w:id="1228"/>
      <w:bookmarkEnd w:id="1229"/>
      <w:bookmarkEnd w:id="1230"/>
    </w:p>
    <w:p w14:paraId="7286A8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第5.2.3项补充：</w:t>
      </w:r>
    </w:p>
    <w:p w14:paraId="3E9AEB5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4E2626EA">
      <w:pPr>
        <w:pStyle w:val="2"/>
        <w:spacing w:beforeLines="50" w:line="400" w:lineRule="exact"/>
        <w:rPr>
          <w:rFonts w:ascii="宋体" w:hAnsi="宋体" w:cs="宋体"/>
          <w:color w:val="auto"/>
          <w:sz w:val="28"/>
          <w:szCs w:val="28"/>
          <w:highlight w:val="none"/>
        </w:rPr>
      </w:pPr>
      <w:bookmarkStart w:id="1231" w:name="_Toc330406395"/>
      <w:bookmarkStart w:id="1232" w:name="_Toc393546454"/>
      <w:bookmarkStart w:id="1233" w:name="_Toc453057114"/>
      <w:bookmarkStart w:id="1234" w:name="_Toc43475930"/>
      <w:bookmarkStart w:id="1235" w:name="_Toc386467200"/>
      <w:bookmarkStart w:id="1236" w:name="_Toc451261304"/>
      <w:r>
        <w:rPr>
          <w:rFonts w:hint="eastAsia" w:ascii="宋体" w:hAnsi="宋体" w:cs="宋体"/>
          <w:color w:val="auto"/>
          <w:sz w:val="28"/>
          <w:szCs w:val="28"/>
          <w:highlight w:val="none"/>
        </w:rPr>
        <w:t>6.施工设备和临时设施</w:t>
      </w:r>
      <w:bookmarkEnd w:id="1231"/>
      <w:bookmarkEnd w:id="1232"/>
      <w:bookmarkEnd w:id="1233"/>
      <w:bookmarkEnd w:id="1234"/>
      <w:bookmarkEnd w:id="1235"/>
      <w:bookmarkEnd w:id="1236"/>
    </w:p>
    <w:p w14:paraId="4BAA8CF5">
      <w:pPr>
        <w:pStyle w:val="2"/>
        <w:spacing w:beforeLines="50" w:line="400" w:lineRule="exact"/>
        <w:rPr>
          <w:rFonts w:ascii="宋体" w:hAnsi="宋体" w:cs="宋体"/>
          <w:color w:val="auto"/>
          <w:sz w:val="24"/>
          <w:szCs w:val="24"/>
          <w:highlight w:val="none"/>
        </w:rPr>
      </w:pPr>
      <w:bookmarkStart w:id="1237" w:name="_Toc393546455"/>
      <w:bookmarkStart w:id="1238" w:name="_Toc386467201"/>
      <w:bookmarkStart w:id="1239" w:name="_Toc453057115"/>
      <w:bookmarkStart w:id="1240" w:name="_Toc451261305"/>
      <w:bookmarkStart w:id="1241" w:name="_Toc330406396"/>
      <w:bookmarkStart w:id="1242" w:name="_Toc43475931"/>
      <w:r>
        <w:rPr>
          <w:rFonts w:hint="eastAsia" w:ascii="宋体" w:hAnsi="宋体" w:cs="宋体"/>
          <w:color w:val="auto"/>
          <w:sz w:val="24"/>
          <w:szCs w:val="24"/>
          <w:highlight w:val="none"/>
        </w:rPr>
        <w:t>6.2承包人提供的施工设备和临时设施</w:t>
      </w:r>
      <w:bookmarkEnd w:id="1237"/>
      <w:bookmarkEnd w:id="1238"/>
      <w:bookmarkEnd w:id="1239"/>
      <w:bookmarkEnd w:id="1240"/>
      <w:bookmarkEnd w:id="1241"/>
      <w:bookmarkEnd w:id="1242"/>
    </w:p>
    <w:p w14:paraId="69A17EA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第6.1.2项约定为：</w:t>
      </w:r>
    </w:p>
    <w:p w14:paraId="06548E8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承包人应自行承担修建临时设施的费用，需要临时占地的，应由承包人按第4.1.10项（1）目的规定办理。</w:t>
      </w:r>
    </w:p>
    <w:p w14:paraId="06A01BB4">
      <w:pPr>
        <w:pStyle w:val="2"/>
        <w:spacing w:beforeLines="50" w:line="400" w:lineRule="exact"/>
        <w:rPr>
          <w:rFonts w:ascii="宋体" w:hAnsi="宋体" w:cs="宋体"/>
          <w:color w:val="auto"/>
          <w:sz w:val="24"/>
          <w:szCs w:val="24"/>
          <w:highlight w:val="none"/>
        </w:rPr>
      </w:pPr>
      <w:bookmarkStart w:id="1243" w:name="_Toc453057116"/>
      <w:bookmarkStart w:id="1244" w:name="_Toc43475932"/>
      <w:bookmarkStart w:id="1245" w:name="_Toc393546456"/>
      <w:bookmarkStart w:id="1246" w:name="_Toc451261306"/>
      <w:bookmarkStart w:id="1247" w:name="_Toc386467202"/>
      <w:bookmarkStart w:id="1248" w:name="_Toc330406397"/>
      <w:r>
        <w:rPr>
          <w:rFonts w:hint="eastAsia" w:ascii="宋体" w:hAnsi="宋体" w:cs="宋体"/>
          <w:color w:val="auto"/>
          <w:sz w:val="24"/>
          <w:szCs w:val="24"/>
          <w:highlight w:val="none"/>
        </w:rPr>
        <w:t>6.3要求承包人增加或更换施工设备</w:t>
      </w:r>
      <w:bookmarkEnd w:id="1243"/>
      <w:bookmarkEnd w:id="1244"/>
      <w:bookmarkEnd w:id="1245"/>
      <w:bookmarkEnd w:id="1246"/>
      <w:bookmarkEnd w:id="1247"/>
      <w:bookmarkEnd w:id="1248"/>
    </w:p>
    <w:p w14:paraId="14AC787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4652827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60D067CF">
      <w:pPr>
        <w:pStyle w:val="2"/>
        <w:spacing w:beforeLines="50" w:line="400" w:lineRule="exact"/>
        <w:rPr>
          <w:rFonts w:ascii="宋体" w:hAnsi="宋体" w:cs="宋体"/>
          <w:color w:val="auto"/>
          <w:sz w:val="28"/>
          <w:szCs w:val="28"/>
          <w:highlight w:val="none"/>
        </w:rPr>
      </w:pPr>
      <w:bookmarkStart w:id="1249" w:name="_Toc43475933"/>
      <w:bookmarkStart w:id="1250" w:name="_Toc330406398"/>
      <w:bookmarkStart w:id="1251" w:name="_Toc453057117"/>
      <w:bookmarkStart w:id="1252" w:name="_Toc393546457"/>
      <w:bookmarkStart w:id="1253" w:name="_Toc451261307"/>
      <w:bookmarkStart w:id="1254" w:name="_Toc386467203"/>
      <w:r>
        <w:rPr>
          <w:rFonts w:hint="eastAsia" w:ascii="宋体" w:hAnsi="宋体" w:cs="宋体"/>
          <w:color w:val="auto"/>
          <w:sz w:val="28"/>
          <w:szCs w:val="28"/>
          <w:highlight w:val="none"/>
        </w:rPr>
        <w:t>7.交通运输</w:t>
      </w:r>
      <w:bookmarkEnd w:id="1249"/>
      <w:bookmarkEnd w:id="1250"/>
      <w:bookmarkEnd w:id="1251"/>
      <w:bookmarkEnd w:id="1252"/>
      <w:bookmarkEnd w:id="1253"/>
      <w:bookmarkEnd w:id="1254"/>
    </w:p>
    <w:p w14:paraId="39B07A4B">
      <w:pPr>
        <w:pStyle w:val="2"/>
        <w:spacing w:beforeLines="50" w:line="400" w:lineRule="exact"/>
        <w:rPr>
          <w:rFonts w:ascii="宋体" w:hAnsi="宋体" w:cs="宋体"/>
          <w:color w:val="auto"/>
          <w:sz w:val="24"/>
          <w:szCs w:val="24"/>
          <w:highlight w:val="none"/>
        </w:rPr>
      </w:pPr>
      <w:bookmarkStart w:id="1255" w:name="_Toc393546458"/>
      <w:bookmarkStart w:id="1256" w:name="_Toc453057118"/>
      <w:bookmarkStart w:id="1257" w:name="_Toc330406399"/>
      <w:bookmarkStart w:id="1258" w:name="_Toc451261308"/>
      <w:bookmarkStart w:id="1259" w:name="_Toc43475934"/>
      <w:bookmarkStart w:id="1260" w:name="_Toc386467204"/>
      <w:r>
        <w:rPr>
          <w:rFonts w:hint="eastAsia" w:ascii="宋体" w:hAnsi="宋体" w:cs="宋体"/>
          <w:color w:val="auto"/>
          <w:sz w:val="24"/>
          <w:szCs w:val="24"/>
          <w:highlight w:val="none"/>
        </w:rPr>
        <w:t>7.1道路通行权和场外设施</w:t>
      </w:r>
      <w:bookmarkEnd w:id="1255"/>
      <w:bookmarkEnd w:id="1256"/>
      <w:bookmarkEnd w:id="1257"/>
      <w:bookmarkEnd w:id="1258"/>
      <w:bookmarkEnd w:id="1259"/>
      <w:bookmarkEnd w:id="1260"/>
    </w:p>
    <w:p w14:paraId="623F6A0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140ADCB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267A21B6">
      <w:pPr>
        <w:pStyle w:val="2"/>
        <w:spacing w:beforeLines="50" w:line="400" w:lineRule="exact"/>
        <w:rPr>
          <w:rFonts w:ascii="宋体" w:hAnsi="宋体" w:cs="宋体"/>
          <w:color w:val="auto"/>
          <w:sz w:val="28"/>
          <w:szCs w:val="28"/>
          <w:highlight w:val="none"/>
        </w:rPr>
      </w:pPr>
      <w:bookmarkStart w:id="1261" w:name="_Toc43475935"/>
      <w:bookmarkStart w:id="1262" w:name="_Toc386467205"/>
      <w:bookmarkStart w:id="1263" w:name="_Toc393546459"/>
      <w:bookmarkStart w:id="1264" w:name="_Toc451261309"/>
      <w:bookmarkStart w:id="1265" w:name="_Toc330406400"/>
      <w:bookmarkStart w:id="1266" w:name="_Toc453057119"/>
      <w:r>
        <w:rPr>
          <w:rFonts w:hint="eastAsia" w:ascii="宋体" w:hAnsi="宋体" w:cs="宋体"/>
          <w:color w:val="auto"/>
          <w:sz w:val="28"/>
          <w:szCs w:val="28"/>
          <w:highlight w:val="none"/>
        </w:rPr>
        <w:t>8.测量放线</w:t>
      </w:r>
      <w:bookmarkEnd w:id="1261"/>
      <w:bookmarkEnd w:id="1262"/>
      <w:bookmarkEnd w:id="1263"/>
      <w:bookmarkEnd w:id="1264"/>
      <w:bookmarkEnd w:id="1265"/>
      <w:bookmarkEnd w:id="1266"/>
    </w:p>
    <w:p w14:paraId="380F5DEC">
      <w:pPr>
        <w:pStyle w:val="2"/>
        <w:spacing w:beforeLines="50" w:line="400" w:lineRule="exact"/>
        <w:rPr>
          <w:rFonts w:ascii="宋体" w:hAnsi="宋体" w:cs="宋体"/>
          <w:color w:val="auto"/>
          <w:sz w:val="24"/>
          <w:szCs w:val="24"/>
          <w:highlight w:val="none"/>
        </w:rPr>
      </w:pPr>
      <w:bookmarkStart w:id="1267" w:name="_Toc43475936"/>
      <w:bookmarkStart w:id="1268" w:name="_Toc386467206"/>
      <w:bookmarkStart w:id="1269" w:name="_Toc453057120"/>
      <w:bookmarkStart w:id="1270" w:name="_Toc393546460"/>
      <w:bookmarkStart w:id="1271" w:name="_Toc330406401"/>
      <w:bookmarkStart w:id="1272" w:name="_Toc451261310"/>
      <w:r>
        <w:rPr>
          <w:rFonts w:hint="eastAsia" w:ascii="宋体" w:hAnsi="宋体" w:cs="宋体"/>
          <w:color w:val="auto"/>
          <w:sz w:val="24"/>
          <w:szCs w:val="24"/>
          <w:highlight w:val="none"/>
        </w:rPr>
        <w:t>8.4监理人使用施工控制网</w:t>
      </w:r>
      <w:bookmarkEnd w:id="1267"/>
      <w:bookmarkEnd w:id="1268"/>
      <w:bookmarkEnd w:id="1269"/>
      <w:bookmarkEnd w:id="1270"/>
      <w:bookmarkEnd w:id="1271"/>
      <w:bookmarkEnd w:id="1272"/>
    </w:p>
    <w:p w14:paraId="75E29DB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61E5A97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经监理人批准，其他相关承包人也可免费使用施工控制网。</w:t>
      </w:r>
    </w:p>
    <w:p w14:paraId="38040406">
      <w:pPr>
        <w:pStyle w:val="2"/>
        <w:spacing w:beforeLines="50" w:line="400" w:lineRule="exact"/>
        <w:rPr>
          <w:rFonts w:ascii="宋体" w:hAnsi="宋体" w:cs="宋体"/>
          <w:color w:val="auto"/>
          <w:sz w:val="28"/>
          <w:szCs w:val="28"/>
          <w:highlight w:val="none"/>
        </w:rPr>
      </w:pPr>
      <w:bookmarkStart w:id="1273" w:name="_Toc451261311"/>
      <w:bookmarkStart w:id="1274" w:name="_Toc330406402"/>
      <w:bookmarkStart w:id="1275" w:name="_Toc43475937"/>
      <w:bookmarkStart w:id="1276" w:name="_Toc393546461"/>
      <w:bookmarkStart w:id="1277" w:name="_Toc453057121"/>
      <w:bookmarkStart w:id="1278" w:name="_Toc386467207"/>
      <w:r>
        <w:rPr>
          <w:rFonts w:hint="eastAsia" w:ascii="宋体" w:hAnsi="宋体" w:cs="宋体"/>
          <w:color w:val="auto"/>
          <w:sz w:val="28"/>
          <w:szCs w:val="28"/>
          <w:highlight w:val="none"/>
        </w:rPr>
        <w:t>9.施工安全、治安保卫和环境保护</w:t>
      </w:r>
      <w:bookmarkEnd w:id="1273"/>
      <w:bookmarkEnd w:id="1274"/>
      <w:bookmarkEnd w:id="1275"/>
      <w:bookmarkEnd w:id="1276"/>
      <w:bookmarkEnd w:id="1277"/>
      <w:bookmarkEnd w:id="1278"/>
    </w:p>
    <w:p w14:paraId="3F5294AE">
      <w:pPr>
        <w:pStyle w:val="2"/>
        <w:spacing w:beforeLines="50" w:line="400" w:lineRule="exact"/>
        <w:rPr>
          <w:rFonts w:ascii="宋体" w:hAnsi="宋体" w:cs="宋体"/>
          <w:color w:val="auto"/>
          <w:sz w:val="24"/>
          <w:szCs w:val="24"/>
          <w:highlight w:val="none"/>
        </w:rPr>
      </w:pPr>
      <w:bookmarkStart w:id="1279" w:name="_Toc330406403"/>
      <w:bookmarkStart w:id="1280" w:name="_Toc453057122"/>
      <w:bookmarkStart w:id="1281" w:name="_Toc393546462"/>
      <w:bookmarkStart w:id="1282" w:name="_Toc451261312"/>
      <w:bookmarkStart w:id="1283" w:name="_Toc386467208"/>
      <w:bookmarkStart w:id="1284" w:name="_Toc43475938"/>
      <w:r>
        <w:rPr>
          <w:rFonts w:hint="eastAsia" w:ascii="宋体" w:hAnsi="宋体" w:cs="宋体"/>
          <w:color w:val="auto"/>
          <w:sz w:val="24"/>
          <w:szCs w:val="24"/>
          <w:highlight w:val="none"/>
        </w:rPr>
        <w:t>9.2承包人的施工安全责任</w:t>
      </w:r>
      <w:bookmarkEnd w:id="1279"/>
      <w:bookmarkEnd w:id="1280"/>
      <w:bookmarkEnd w:id="1281"/>
      <w:bookmarkEnd w:id="1282"/>
      <w:bookmarkEnd w:id="1283"/>
      <w:bookmarkEnd w:id="1284"/>
    </w:p>
    <w:p w14:paraId="4AEC8A0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第9.2.1项细化为：</w:t>
      </w:r>
    </w:p>
    <w:p w14:paraId="77ED8F4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3F7A898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76CB838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本项目需要编制专项施工方案的工程包括但不限于以下内容：</w:t>
      </w:r>
    </w:p>
    <w:p w14:paraId="4AD259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（1）不良地质条件下有潜在危险性的土方、石方开挖；</w:t>
      </w:r>
    </w:p>
    <w:p w14:paraId="0421D0F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（2）滑坡和高边坡处理；</w:t>
      </w:r>
    </w:p>
    <w:p w14:paraId="25DA36A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（3）桩基础、挡墙基础、深水基础及围堰工程；</w:t>
      </w:r>
    </w:p>
    <w:p w14:paraId="6A0F8F3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（4）桥梁工程中的梁、拱、柱等构件施工等；</w:t>
      </w:r>
    </w:p>
    <w:p w14:paraId="11E94EC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（5）隧道工程中的不良地质隧道、高瓦斯隧道等；</w:t>
      </w:r>
    </w:p>
    <w:p w14:paraId="773BBC8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（6）水上工程中的打桩船作业、施工船作业、外海孤岛作业、边通航边施工作业等；</w:t>
      </w:r>
    </w:p>
    <w:p w14:paraId="4CE4D87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（7）水下工程中的水下焊接、混凝土浇筑、爆破工程等；</w:t>
      </w:r>
    </w:p>
    <w:p w14:paraId="26ADB67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（8）爆破工程；</w:t>
      </w:r>
    </w:p>
    <w:p w14:paraId="6D2ADCA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（9）大型临时工程中的大型支架、模板、便桥的架设与拆除；桥梁、码头的加固与拆除；</w:t>
      </w:r>
    </w:p>
    <w:p w14:paraId="1902736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（10）其他危险性较大的工程。</w:t>
      </w:r>
    </w:p>
    <w:p w14:paraId="6766A4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监理人和发包人在检查中发现有安全问题或有违反安全管理规章制度的情况时，可视其为承包人违约，应按第22.1款的规定处理。</w:t>
      </w:r>
    </w:p>
    <w:p w14:paraId="564216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第9.2.5项细化为：</w:t>
      </w:r>
    </w:p>
    <w:p w14:paraId="7D0BC207">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除项目专用合同条款另有约定外，安全生产费按计费基数</w:t>
      </w:r>
      <w:r>
        <w:rPr>
          <w:rFonts w:hint="eastAsia" w:ascii="宋体" w:hAnsi="宋体" w:cs="宋体"/>
          <w:color w:val="auto"/>
          <w:sz w:val="24"/>
          <w:highlight w:val="none"/>
          <w:u w:val="single"/>
        </w:rPr>
        <w:t>(工程量清单第100章至第900章费用之和，并扣除安全生产费本身和机电工程设备购置费)</w:t>
      </w:r>
      <w:r>
        <w:rPr>
          <w:rFonts w:hint="eastAsia" w:ascii="宋体" w:hAnsi="宋体" w:cs="宋体"/>
          <w:color w:val="auto"/>
          <w:sz w:val="24"/>
          <w:highlight w:val="none"/>
        </w:rPr>
        <w:t>的1.5%(不含新建、改建、扩建以及拆除、加固等建设工程专项交通安全维护费)。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04626AC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本款补充第9.2.8项～9.2.11项：</w:t>
      </w:r>
    </w:p>
    <w:p w14:paraId="63A9104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9.2.8承包人应充分关注和保障所有在现场工作的人员的安全，采取以下有效措施，使现场和本合同工程的实施保持有条不紊，以免使让述人员的安全受到威胁。</w:t>
      </w:r>
    </w:p>
    <w:p w14:paraId="0E70ABA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（1）按《公路水运工程安全生产临督管理办法》规定的最低数量和资质条件配备专职安全生产管理人员；</w:t>
      </w:r>
    </w:p>
    <w:p w14:paraId="455E125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75C4074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（3）所有施工机具设备和高空作业设备均应定期检查，并有安全员的签字记录。</w:t>
      </w:r>
    </w:p>
    <w:p w14:paraId="01BFF5A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（4）根据本合同各单位工程的特点，严格执行《公路水运工程安全生产监督管理办法》、《公路工程施工安全技术规程》与《公路筑养路机械操作规程》的具体规定。</w:t>
      </w:r>
    </w:p>
    <w:p w14:paraId="649DE3D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9.2.9为保护本合同工程免遭损坏，或为了现场附近和过往群众的安全与方便，在确有必要的时候和地方，或当监理人或有关主管部门要求时，承包人应自费提供照明、警卫、护栅、警告标志等安全防护设施。</w:t>
      </w:r>
    </w:p>
    <w:p w14:paraId="24AC28E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9.2.10在通航水域施工时，承包人应与当地主管部门取得联系，设置必要的导航标志，及时发布航行通告，确保施工水域安全。</w:t>
      </w:r>
    </w:p>
    <w:p w14:paraId="2B6F4D1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29DDB22D">
      <w:pPr>
        <w:pStyle w:val="2"/>
        <w:spacing w:beforeLines="50" w:line="400" w:lineRule="exact"/>
        <w:rPr>
          <w:rFonts w:ascii="宋体" w:hAnsi="宋体" w:cs="宋体"/>
          <w:color w:val="auto"/>
          <w:sz w:val="24"/>
          <w:szCs w:val="24"/>
          <w:highlight w:val="none"/>
        </w:rPr>
      </w:pPr>
      <w:bookmarkStart w:id="1285" w:name="_Toc453057123"/>
      <w:bookmarkStart w:id="1286" w:name="_Toc393546463"/>
      <w:bookmarkStart w:id="1287" w:name="_Toc330406404"/>
      <w:bookmarkStart w:id="1288" w:name="_Toc43475939"/>
      <w:bookmarkStart w:id="1289" w:name="_Toc451261313"/>
      <w:bookmarkStart w:id="1290" w:name="_Toc386467209"/>
      <w:r>
        <w:rPr>
          <w:rFonts w:hint="eastAsia" w:ascii="宋体" w:hAnsi="宋体" w:cs="宋体"/>
          <w:color w:val="auto"/>
          <w:sz w:val="24"/>
          <w:szCs w:val="24"/>
          <w:highlight w:val="none"/>
        </w:rPr>
        <w:t>9.4环境保护</w:t>
      </w:r>
      <w:bookmarkEnd w:id="1285"/>
      <w:bookmarkEnd w:id="1286"/>
      <w:bookmarkEnd w:id="1287"/>
      <w:bookmarkEnd w:id="1288"/>
      <w:bookmarkEnd w:id="1289"/>
      <w:bookmarkEnd w:id="1290"/>
    </w:p>
    <w:p w14:paraId="4DF9FBD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本款补充第9.4.7～第9.4.11项：</w:t>
      </w:r>
    </w:p>
    <w:p w14:paraId="046975D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9.4.7 承包人应切实执行技术规范中有关环境保护方面的条款和规定。</w:t>
      </w:r>
    </w:p>
    <w:p w14:paraId="511FCF7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611672E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（2）对于公路施工中粉尘污染的主要污染源——灰土拌和、施工车辆和筑路机械运行及运输产生的扬尘，应采取有效措施减轻施工现场的大气污染，保护人民健康，如：</w:t>
      </w:r>
    </w:p>
    <w:p w14:paraId="45FA58A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a.拌和设备应有较好的密封，或有防尘设备。</w:t>
      </w:r>
    </w:p>
    <w:p w14:paraId="4E691B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b.施工通道、沥青混凝土拌和站及灰土拌和站应经常进行洒水降尘。</w:t>
      </w:r>
    </w:p>
    <w:p w14:paraId="1A98BEE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c.路面施工应注意保持水分，以免扬尘。</w:t>
      </w:r>
    </w:p>
    <w:p w14:paraId="2C178BE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d.隧道出渣和桥梁钻孔灌注桩施工时排出的泥浆要进行妥善处理，严禁向河流或农田排放。</w:t>
      </w:r>
    </w:p>
    <w:p w14:paraId="759ED3A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（3）采取可靠措施保证原有交通的正常通行，维持沿线村镇的居民饮水、农田灌溉、生产生活用电及通讯等管线的正常使用。</w:t>
      </w:r>
    </w:p>
    <w:p w14:paraId="0CB5A62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14109FC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9.4.9在施工期间，承包人应随时保持现场整洁，施工设备和材料、工程设备应整齐妥善存放和储存，废料与垃圾及不再需要的临时设施应及时从现场清除、拆除并运走。</w:t>
      </w:r>
    </w:p>
    <w:p w14:paraId="7BD1C58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70233A0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3C8EB0CC">
      <w:pPr>
        <w:pStyle w:val="2"/>
        <w:spacing w:beforeLines="50" w:line="400" w:lineRule="exact"/>
        <w:rPr>
          <w:rFonts w:ascii="宋体" w:hAnsi="宋体" w:cs="宋体"/>
          <w:color w:val="auto"/>
          <w:sz w:val="28"/>
          <w:szCs w:val="28"/>
          <w:highlight w:val="none"/>
        </w:rPr>
      </w:pPr>
      <w:bookmarkStart w:id="1291" w:name="_Toc453057124"/>
      <w:bookmarkStart w:id="1292" w:name="_Toc330406405"/>
      <w:bookmarkStart w:id="1293" w:name="_Toc386467210"/>
      <w:bookmarkStart w:id="1294" w:name="_Toc451261314"/>
      <w:bookmarkStart w:id="1295" w:name="_Toc43475940"/>
      <w:bookmarkStart w:id="1296" w:name="_Toc393546464"/>
      <w:r>
        <w:rPr>
          <w:rFonts w:hint="eastAsia" w:ascii="宋体" w:hAnsi="宋体" w:cs="宋体"/>
          <w:color w:val="auto"/>
          <w:sz w:val="28"/>
          <w:szCs w:val="28"/>
          <w:highlight w:val="none"/>
        </w:rPr>
        <w:t>10.进度计划</w:t>
      </w:r>
      <w:bookmarkEnd w:id="1291"/>
      <w:bookmarkEnd w:id="1292"/>
      <w:bookmarkEnd w:id="1293"/>
      <w:bookmarkEnd w:id="1294"/>
      <w:bookmarkEnd w:id="1295"/>
      <w:bookmarkEnd w:id="1296"/>
    </w:p>
    <w:p w14:paraId="22B3FAFF">
      <w:pPr>
        <w:pStyle w:val="2"/>
        <w:spacing w:beforeLines="50" w:line="400" w:lineRule="exact"/>
        <w:rPr>
          <w:rFonts w:ascii="宋体" w:hAnsi="宋体" w:cs="宋体"/>
          <w:color w:val="auto"/>
          <w:sz w:val="24"/>
          <w:szCs w:val="24"/>
          <w:highlight w:val="none"/>
        </w:rPr>
      </w:pPr>
      <w:bookmarkStart w:id="1297" w:name="_Toc386467211"/>
      <w:bookmarkStart w:id="1298" w:name="_Toc453057125"/>
      <w:bookmarkStart w:id="1299" w:name="_Toc451261315"/>
      <w:bookmarkStart w:id="1300" w:name="_Toc393546465"/>
      <w:bookmarkStart w:id="1301" w:name="_Toc330406406"/>
      <w:bookmarkStart w:id="1302" w:name="_Toc43475941"/>
      <w:r>
        <w:rPr>
          <w:rFonts w:hint="eastAsia" w:ascii="宋体" w:hAnsi="宋体" w:cs="宋体"/>
          <w:color w:val="auto"/>
          <w:sz w:val="24"/>
          <w:szCs w:val="24"/>
          <w:highlight w:val="none"/>
        </w:rPr>
        <w:t>10.1合同进度计划</w:t>
      </w:r>
      <w:bookmarkEnd w:id="1297"/>
      <w:bookmarkEnd w:id="1298"/>
      <w:bookmarkEnd w:id="1299"/>
      <w:bookmarkEnd w:id="1300"/>
      <w:bookmarkEnd w:id="1301"/>
      <w:bookmarkEnd w:id="1302"/>
    </w:p>
    <w:p w14:paraId="3408EF7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3935CA5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承包人编制施工方案说明的内容见项目专用合同条款。</w:t>
      </w:r>
    </w:p>
    <w:p w14:paraId="16494C9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承包人向监理人报送施工进度计划和施工方案说明的期限：签订合同协议书后28天之内。</w:t>
      </w:r>
    </w:p>
    <w:p w14:paraId="7357091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监理人应在14天内对承包人施工进度计划和施工方案说明予以批复或提出修改意见。</w:t>
      </w:r>
    </w:p>
    <w:p w14:paraId="519774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合同进度计划应按照关键线路网络图和主要工作横道图两种形式分别编绘，并应包括每月预计完成的工作量和形象进度。</w:t>
      </w:r>
    </w:p>
    <w:p w14:paraId="36A520AE">
      <w:pPr>
        <w:pStyle w:val="2"/>
        <w:spacing w:beforeLines="50" w:line="400" w:lineRule="exact"/>
        <w:rPr>
          <w:rFonts w:ascii="宋体" w:hAnsi="宋体" w:cs="宋体"/>
          <w:color w:val="auto"/>
          <w:sz w:val="24"/>
          <w:szCs w:val="24"/>
          <w:highlight w:val="none"/>
        </w:rPr>
      </w:pPr>
      <w:bookmarkStart w:id="1303" w:name="_Toc43475942"/>
      <w:bookmarkStart w:id="1304" w:name="_Toc453057126"/>
      <w:bookmarkStart w:id="1305" w:name="_Toc451261316"/>
      <w:bookmarkStart w:id="1306" w:name="_Toc393546466"/>
      <w:bookmarkStart w:id="1307" w:name="_Toc386467212"/>
      <w:bookmarkStart w:id="1308" w:name="_Toc330406407"/>
      <w:r>
        <w:rPr>
          <w:rFonts w:hint="eastAsia" w:ascii="宋体" w:hAnsi="宋体" w:cs="宋体"/>
          <w:color w:val="auto"/>
          <w:sz w:val="24"/>
          <w:szCs w:val="24"/>
          <w:highlight w:val="none"/>
        </w:rPr>
        <w:t>10.2合同进度计划的修订</w:t>
      </w:r>
      <w:bookmarkEnd w:id="1303"/>
      <w:bookmarkEnd w:id="1304"/>
      <w:bookmarkEnd w:id="1305"/>
      <w:bookmarkEnd w:id="1306"/>
      <w:bookmarkEnd w:id="1307"/>
      <w:bookmarkEnd w:id="1308"/>
    </w:p>
    <w:p w14:paraId="239946C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5788B6E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承包人提交合同进度计划修订申请报告，并附有关措施和相关资料的期限：实际进度发生滞后的当月25日前。</w:t>
      </w:r>
    </w:p>
    <w:p w14:paraId="113C00C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监理人批复修订合同进度计划的期限：收到修订合同进度计划后14天内。</w:t>
      </w:r>
    </w:p>
    <w:p w14:paraId="09774D96">
      <w:pPr>
        <w:spacing w:line="400" w:lineRule="exact"/>
        <w:ind w:firstLine="480" w:firstLineChars="200"/>
        <w:rPr>
          <w:rFonts w:ascii="宋体" w:hAnsi="宋体" w:cs="宋体"/>
          <w:color w:val="auto"/>
          <w:sz w:val="24"/>
          <w:highlight w:val="none"/>
        </w:rPr>
      </w:pPr>
    </w:p>
    <w:p w14:paraId="6CFC3DC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补充第10.3、10.4款：</w:t>
      </w:r>
    </w:p>
    <w:p w14:paraId="42F1D1BA">
      <w:pPr>
        <w:pStyle w:val="2"/>
        <w:spacing w:beforeLines="50" w:line="400" w:lineRule="exact"/>
        <w:rPr>
          <w:rFonts w:ascii="宋体" w:hAnsi="宋体" w:cs="宋体"/>
          <w:color w:val="auto"/>
          <w:sz w:val="24"/>
          <w:szCs w:val="24"/>
          <w:highlight w:val="none"/>
        </w:rPr>
      </w:pPr>
      <w:bookmarkStart w:id="1309" w:name="_Toc330406408"/>
      <w:bookmarkStart w:id="1310" w:name="_Toc43475943"/>
      <w:bookmarkStart w:id="1311" w:name="_Toc386467213"/>
      <w:bookmarkStart w:id="1312" w:name="_Toc451261317"/>
      <w:bookmarkStart w:id="1313" w:name="_Toc393546467"/>
      <w:bookmarkStart w:id="1314" w:name="_Toc453057127"/>
      <w:r>
        <w:rPr>
          <w:rFonts w:hint="eastAsia" w:ascii="宋体" w:hAnsi="宋体" w:cs="宋体"/>
          <w:color w:val="auto"/>
          <w:sz w:val="24"/>
          <w:szCs w:val="24"/>
          <w:highlight w:val="none"/>
        </w:rPr>
        <w:t>10.3年度施工计划</w:t>
      </w:r>
      <w:bookmarkEnd w:id="1309"/>
      <w:bookmarkEnd w:id="1310"/>
      <w:bookmarkEnd w:id="1311"/>
      <w:bookmarkEnd w:id="1312"/>
      <w:bookmarkEnd w:id="1313"/>
      <w:bookmarkEnd w:id="1314"/>
    </w:p>
    <w:p w14:paraId="450E49F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202632EF">
      <w:pPr>
        <w:pStyle w:val="2"/>
        <w:spacing w:beforeLines="50" w:line="400" w:lineRule="exact"/>
        <w:rPr>
          <w:rFonts w:ascii="宋体" w:hAnsi="宋体" w:cs="宋体"/>
          <w:color w:val="auto"/>
          <w:sz w:val="24"/>
          <w:highlight w:val="none"/>
        </w:rPr>
      </w:pPr>
      <w:bookmarkStart w:id="1315" w:name="_Toc393546468"/>
      <w:bookmarkStart w:id="1316" w:name="_Toc386467214"/>
      <w:bookmarkStart w:id="1317" w:name="_Toc330406409"/>
      <w:bookmarkStart w:id="1318" w:name="_Toc453057128"/>
      <w:bookmarkStart w:id="1319" w:name="_Toc43475944"/>
      <w:bookmarkStart w:id="1320" w:name="_Toc451261318"/>
      <w:r>
        <w:rPr>
          <w:rFonts w:hint="eastAsia" w:ascii="宋体" w:hAnsi="宋体" w:cs="宋体"/>
          <w:color w:val="auto"/>
          <w:sz w:val="24"/>
          <w:szCs w:val="24"/>
          <w:highlight w:val="none"/>
        </w:rPr>
        <w:t>10.4合同用款计划</w:t>
      </w:r>
      <w:bookmarkEnd w:id="1315"/>
      <w:bookmarkEnd w:id="1316"/>
      <w:bookmarkEnd w:id="1317"/>
      <w:bookmarkEnd w:id="1318"/>
      <w:bookmarkEnd w:id="1319"/>
      <w:bookmarkEnd w:id="1320"/>
    </w:p>
    <w:p w14:paraId="3F2E4F9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3311CE11">
      <w:pPr>
        <w:pStyle w:val="2"/>
        <w:spacing w:beforeLines="50" w:line="400" w:lineRule="exact"/>
        <w:rPr>
          <w:rFonts w:ascii="宋体" w:hAnsi="宋体" w:cs="宋体"/>
          <w:color w:val="auto"/>
          <w:sz w:val="28"/>
          <w:szCs w:val="28"/>
          <w:highlight w:val="none"/>
        </w:rPr>
      </w:pPr>
      <w:bookmarkStart w:id="1321" w:name="_Toc393546469"/>
      <w:bookmarkStart w:id="1322" w:name="_Toc451261319"/>
      <w:bookmarkStart w:id="1323" w:name="_Toc386467215"/>
      <w:bookmarkStart w:id="1324" w:name="_Toc330406410"/>
      <w:bookmarkStart w:id="1325" w:name="_Toc453057129"/>
      <w:bookmarkStart w:id="1326" w:name="_Toc43475945"/>
      <w:r>
        <w:rPr>
          <w:rFonts w:hint="eastAsia" w:ascii="宋体" w:hAnsi="宋体" w:cs="宋体"/>
          <w:color w:val="auto"/>
          <w:sz w:val="28"/>
          <w:szCs w:val="28"/>
          <w:highlight w:val="none"/>
        </w:rPr>
        <w:t>11.开工和交工</w:t>
      </w:r>
      <w:bookmarkEnd w:id="1321"/>
      <w:bookmarkEnd w:id="1322"/>
      <w:bookmarkEnd w:id="1323"/>
      <w:bookmarkEnd w:id="1324"/>
      <w:bookmarkEnd w:id="1325"/>
      <w:bookmarkEnd w:id="1326"/>
    </w:p>
    <w:p w14:paraId="138DBFCB">
      <w:pPr>
        <w:pStyle w:val="2"/>
        <w:spacing w:beforeLines="50" w:line="400" w:lineRule="exact"/>
        <w:rPr>
          <w:rFonts w:ascii="宋体" w:hAnsi="宋体" w:cs="宋体"/>
          <w:color w:val="auto"/>
          <w:sz w:val="24"/>
          <w:szCs w:val="24"/>
          <w:highlight w:val="none"/>
        </w:rPr>
      </w:pPr>
      <w:bookmarkStart w:id="1327" w:name="_Toc393546470"/>
      <w:bookmarkStart w:id="1328" w:name="_Toc451261320"/>
      <w:bookmarkStart w:id="1329" w:name="_Toc43475946"/>
      <w:bookmarkStart w:id="1330" w:name="_Toc386467216"/>
      <w:bookmarkStart w:id="1331" w:name="_Toc453057130"/>
      <w:bookmarkStart w:id="1332" w:name="_Toc330406411"/>
      <w:r>
        <w:rPr>
          <w:rFonts w:hint="eastAsia" w:ascii="宋体" w:hAnsi="宋体" w:cs="宋体"/>
          <w:color w:val="auto"/>
          <w:sz w:val="24"/>
          <w:szCs w:val="24"/>
          <w:highlight w:val="none"/>
        </w:rPr>
        <w:t>11.1开工</w:t>
      </w:r>
      <w:bookmarkEnd w:id="1327"/>
      <w:bookmarkEnd w:id="1328"/>
      <w:bookmarkEnd w:id="1329"/>
      <w:bookmarkEnd w:id="1330"/>
      <w:bookmarkEnd w:id="1331"/>
      <w:bookmarkEnd w:id="1332"/>
    </w:p>
    <w:p w14:paraId="0D391B8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第11.1.2项补充：</w:t>
      </w:r>
    </w:p>
    <w:p w14:paraId="24470B5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承包人应在分部工程开工前14天向监理人提交分部工程开工报审表，若承包人的开工准备、工作计划和质量控制方法是可接受的且已获得批准，则经监理人书面同意，分部工程才能开工。</w:t>
      </w:r>
    </w:p>
    <w:p w14:paraId="5F581A4D">
      <w:pPr>
        <w:pStyle w:val="2"/>
        <w:spacing w:beforeLines="50" w:line="400" w:lineRule="exact"/>
        <w:rPr>
          <w:rFonts w:ascii="宋体" w:hAnsi="宋体" w:cs="宋体"/>
          <w:color w:val="auto"/>
          <w:sz w:val="24"/>
          <w:szCs w:val="24"/>
          <w:highlight w:val="none"/>
        </w:rPr>
      </w:pPr>
      <w:bookmarkStart w:id="1333" w:name="_Toc386467217"/>
      <w:bookmarkStart w:id="1334" w:name="_Toc451261321"/>
      <w:bookmarkStart w:id="1335" w:name="_Toc43475947"/>
      <w:bookmarkStart w:id="1336" w:name="_Toc330406412"/>
      <w:bookmarkStart w:id="1337" w:name="_Toc393546471"/>
      <w:bookmarkStart w:id="1338" w:name="_Toc453057131"/>
      <w:r>
        <w:rPr>
          <w:rFonts w:hint="eastAsia" w:ascii="宋体" w:hAnsi="宋体" w:cs="宋体"/>
          <w:color w:val="auto"/>
          <w:sz w:val="24"/>
          <w:szCs w:val="24"/>
          <w:highlight w:val="none"/>
        </w:rPr>
        <w:t>11.3发包人的工期延误</w:t>
      </w:r>
      <w:bookmarkEnd w:id="1333"/>
      <w:bookmarkEnd w:id="1334"/>
      <w:bookmarkEnd w:id="1335"/>
      <w:bookmarkEnd w:id="1336"/>
      <w:bookmarkEnd w:id="1337"/>
      <w:bookmarkEnd w:id="1338"/>
    </w:p>
    <w:p w14:paraId="644E0D6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767B0B4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即使由于上述原因造成工期延误，如果受影响的工程并非处在工程施工进度网络计划的关键线路上，则承包人无权要求延长总工期。</w:t>
      </w:r>
    </w:p>
    <w:p w14:paraId="4B9361A3">
      <w:pPr>
        <w:pStyle w:val="2"/>
        <w:spacing w:beforeLines="50" w:line="400" w:lineRule="exact"/>
        <w:rPr>
          <w:rFonts w:ascii="宋体" w:hAnsi="宋体" w:cs="宋体"/>
          <w:color w:val="auto"/>
          <w:sz w:val="24"/>
          <w:szCs w:val="24"/>
          <w:highlight w:val="none"/>
        </w:rPr>
      </w:pPr>
      <w:bookmarkStart w:id="1339" w:name="_Toc386467218"/>
      <w:bookmarkStart w:id="1340" w:name="_Toc453057132"/>
      <w:bookmarkStart w:id="1341" w:name="_Toc43475948"/>
      <w:bookmarkStart w:id="1342" w:name="_Toc393546472"/>
      <w:bookmarkStart w:id="1343" w:name="_Toc451261322"/>
      <w:bookmarkStart w:id="1344" w:name="_Toc330406413"/>
      <w:r>
        <w:rPr>
          <w:rFonts w:hint="eastAsia" w:ascii="宋体" w:hAnsi="宋体" w:cs="宋体"/>
          <w:color w:val="auto"/>
          <w:sz w:val="24"/>
          <w:szCs w:val="24"/>
          <w:highlight w:val="none"/>
        </w:rPr>
        <w:t>11.4异常恶劣的气候条件</w:t>
      </w:r>
      <w:bookmarkEnd w:id="1339"/>
      <w:bookmarkEnd w:id="1340"/>
      <w:bookmarkEnd w:id="1341"/>
      <w:bookmarkEnd w:id="1342"/>
      <w:bookmarkEnd w:id="1343"/>
      <w:bookmarkEnd w:id="1344"/>
    </w:p>
    <w:p w14:paraId="249BAA1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4A8E7E4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异常气候条件是指项目所在地30年一遇的罕见气候现象（包括温度、降水、降雪、风等）。异常恶劣的气候条件在项目专用合同条款中作具体规定。</w:t>
      </w:r>
    </w:p>
    <w:p w14:paraId="12125577">
      <w:pPr>
        <w:pStyle w:val="2"/>
        <w:spacing w:beforeLines="50" w:line="400" w:lineRule="exact"/>
        <w:rPr>
          <w:rFonts w:ascii="宋体" w:hAnsi="宋体" w:cs="宋体"/>
          <w:color w:val="auto"/>
          <w:sz w:val="24"/>
          <w:szCs w:val="24"/>
          <w:highlight w:val="none"/>
        </w:rPr>
      </w:pPr>
      <w:bookmarkStart w:id="1345" w:name="_Toc330406414"/>
      <w:bookmarkStart w:id="1346" w:name="_Toc451261323"/>
      <w:bookmarkStart w:id="1347" w:name="_Toc386467219"/>
      <w:bookmarkStart w:id="1348" w:name="_Toc43475949"/>
      <w:bookmarkStart w:id="1349" w:name="_Toc393546473"/>
      <w:bookmarkStart w:id="1350" w:name="_Toc453057133"/>
      <w:r>
        <w:rPr>
          <w:rFonts w:hint="eastAsia" w:ascii="宋体" w:hAnsi="宋体" w:cs="宋体"/>
          <w:color w:val="auto"/>
          <w:sz w:val="24"/>
          <w:szCs w:val="24"/>
          <w:highlight w:val="none"/>
        </w:rPr>
        <w:t>11.5承包人的工期延误</w:t>
      </w:r>
      <w:bookmarkEnd w:id="1345"/>
      <w:bookmarkEnd w:id="1346"/>
      <w:bookmarkEnd w:id="1347"/>
      <w:bookmarkEnd w:id="1348"/>
      <w:bookmarkEnd w:id="1349"/>
      <w:bookmarkEnd w:id="1350"/>
    </w:p>
    <w:p w14:paraId="670F398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771A62C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61FB27B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FBC226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29D8349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（4）承包人支付逾期竣工建约金，不免除承包人完成工程及修补缺陷的义务。</w:t>
      </w:r>
    </w:p>
    <w:p w14:paraId="5046265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7CEE4C77">
      <w:pPr>
        <w:pStyle w:val="2"/>
        <w:spacing w:beforeLines="50" w:line="400" w:lineRule="exact"/>
        <w:rPr>
          <w:rFonts w:ascii="宋体" w:hAnsi="宋体" w:cs="宋体"/>
          <w:color w:val="auto"/>
          <w:sz w:val="24"/>
          <w:szCs w:val="24"/>
          <w:highlight w:val="none"/>
        </w:rPr>
      </w:pPr>
      <w:bookmarkStart w:id="1351" w:name="_Toc330406415"/>
      <w:bookmarkStart w:id="1352" w:name="_Toc386467220"/>
      <w:bookmarkStart w:id="1353" w:name="_Toc43475950"/>
      <w:bookmarkStart w:id="1354" w:name="_Toc393546474"/>
      <w:bookmarkStart w:id="1355" w:name="_Toc451261324"/>
      <w:bookmarkStart w:id="1356" w:name="_Toc453057134"/>
      <w:r>
        <w:rPr>
          <w:rFonts w:hint="eastAsia" w:ascii="宋体" w:hAnsi="宋体" w:cs="宋体"/>
          <w:color w:val="auto"/>
          <w:sz w:val="24"/>
          <w:szCs w:val="24"/>
          <w:highlight w:val="none"/>
        </w:rPr>
        <w:t>11.6工期提前</w:t>
      </w:r>
      <w:bookmarkEnd w:id="1351"/>
      <w:bookmarkEnd w:id="1352"/>
      <w:bookmarkEnd w:id="1353"/>
      <w:bookmarkEnd w:id="1354"/>
      <w:bookmarkEnd w:id="1355"/>
      <w:bookmarkEnd w:id="1356"/>
    </w:p>
    <w:p w14:paraId="35DD75F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1EA5DDB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发包人不得随意要求承包人提前交工，承包人也不得随意提出提前交工的建议。如遇特殊情况，确需将工期提前的，发包人和承包人必须采取有效措施，确保工程质量。</w:t>
      </w:r>
    </w:p>
    <w:p w14:paraId="330BA38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70999DE7">
      <w:pPr>
        <w:spacing w:line="400" w:lineRule="exact"/>
        <w:ind w:firstLine="480" w:firstLineChars="200"/>
        <w:rPr>
          <w:rFonts w:ascii="宋体" w:hAnsi="宋体" w:cs="宋体"/>
          <w:color w:val="auto"/>
          <w:sz w:val="24"/>
          <w:highlight w:val="none"/>
        </w:rPr>
      </w:pPr>
    </w:p>
    <w:p w14:paraId="1281EDD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本条补充11.7款：</w:t>
      </w:r>
    </w:p>
    <w:p w14:paraId="511875C6">
      <w:pPr>
        <w:pStyle w:val="2"/>
        <w:spacing w:beforeLines="50" w:line="400" w:lineRule="exact"/>
        <w:rPr>
          <w:rFonts w:ascii="宋体" w:hAnsi="宋体" w:cs="宋体"/>
          <w:color w:val="auto"/>
          <w:sz w:val="24"/>
          <w:szCs w:val="24"/>
          <w:highlight w:val="none"/>
        </w:rPr>
      </w:pPr>
      <w:bookmarkStart w:id="1357" w:name="_Toc453057135"/>
      <w:bookmarkStart w:id="1358" w:name="_Toc330406416"/>
      <w:bookmarkStart w:id="1359" w:name="_Toc451261325"/>
      <w:bookmarkStart w:id="1360" w:name="_Toc393546475"/>
      <w:bookmarkStart w:id="1361" w:name="_Toc43475951"/>
      <w:bookmarkStart w:id="1362" w:name="_Toc386467221"/>
      <w:r>
        <w:rPr>
          <w:rFonts w:hint="eastAsia" w:ascii="宋体" w:hAnsi="宋体" w:cs="宋体"/>
          <w:color w:val="auto"/>
          <w:sz w:val="24"/>
          <w:szCs w:val="24"/>
          <w:highlight w:val="none"/>
        </w:rPr>
        <w:t>11.7工作时间的限制</w:t>
      </w:r>
      <w:bookmarkEnd w:id="1357"/>
      <w:bookmarkEnd w:id="1358"/>
      <w:bookmarkEnd w:id="1359"/>
      <w:bookmarkEnd w:id="1360"/>
      <w:bookmarkEnd w:id="1361"/>
      <w:bookmarkEnd w:id="1362"/>
    </w:p>
    <w:p w14:paraId="1812F0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承包人在夜间或国家规定的节假日进行永久工程的施工，应向监理人报告，以便监理人履行监理人履行监理职责和义务。</w:t>
      </w:r>
    </w:p>
    <w:p w14:paraId="5A0F9A8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但是，为了抢救生命或保护财产，或为了工程的安全、质量而不可避免地短暂作业，则不必事先向监理人报告。但承包人应在事后立即向监理人报告。</w:t>
      </w:r>
    </w:p>
    <w:p w14:paraId="5E9D19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本款规定不适用于习惯上或施工本身要求实行连续生产的作业。</w:t>
      </w:r>
    </w:p>
    <w:p w14:paraId="4B6BA698">
      <w:pPr>
        <w:pStyle w:val="2"/>
        <w:spacing w:beforeLines="50" w:line="400" w:lineRule="exact"/>
        <w:rPr>
          <w:rFonts w:ascii="宋体" w:hAnsi="宋体" w:cs="宋体"/>
          <w:color w:val="auto"/>
          <w:sz w:val="28"/>
          <w:szCs w:val="28"/>
          <w:highlight w:val="none"/>
        </w:rPr>
      </w:pPr>
      <w:bookmarkStart w:id="1363" w:name="_Toc393546476"/>
      <w:bookmarkStart w:id="1364" w:name="_Toc330406417"/>
      <w:bookmarkStart w:id="1365" w:name="_Toc451261326"/>
      <w:bookmarkStart w:id="1366" w:name="_Toc43475952"/>
      <w:bookmarkStart w:id="1367" w:name="_Toc453057136"/>
      <w:bookmarkStart w:id="1368" w:name="_Toc386467222"/>
      <w:r>
        <w:rPr>
          <w:rFonts w:hint="eastAsia" w:ascii="宋体" w:hAnsi="宋体" w:cs="宋体"/>
          <w:color w:val="auto"/>
          <w:sz w:val="28"/>
          <w:szCs w:val="28"/>
          <w:highlight w:val="none"/>
        </w:rPr>
        <w:t>12.暂停施工</w:t>
      </w:r>
      <w:bookmarkEnd w:id="1363"/>
      <w:bookmarkEnd w:id="1364"/>
      <w:bookmarkEnd w:id="1365"/>
      <w:bookmarkEnd w:id="1366"/>
      <w:bookmarkEnd w:id="1367"/>
      <w:bookmarkEnd w:id="1368"/>
    </w:p>
    <w:p w14:paraId="6EA2F4F7">
      <w:pPr>
        <w:pStyle w:val="2"/>
        <w:spacing w:beforeLines="50" w:line="400" w:lineRule="exact"/>
        <w:rPr>
          <w:rFonts w:ascii="宋体" w:hAnsi="宋体" w:cs="宋体"/>
          <w:color w:val="auto"/>
          <w:sz w:val="24"/>
          <w:szCs w:val="24"/>
          <w:highlight w:val="none"/>
        </w:rPr>
      </w:pPr>
      <w:bookmarkStart w:id="1369" w:name="_Toc330406418"/>
      <w:bookmarkStart w:id="1370" w:name="_Toc393546477"/>
      <w:bookmarkStart w:id="1371" w:name="_Toc43475953"/>
      <w:bookmarkStart w:id="1372" w:name="_Toc386467223"/>
      <w:bookmarkStart w:id="1373" w:name="_Toc451261327"/>
      <w:bookmarkStart w:id="1374" w:name="_Toc453057137"/>
      <w:r>
        <w:rPr>
          <w:rFonts w:hint="eastAsia" w:ascii="宋体" w:hAnsi="宋体" w:cs="宋体"/>
          <w:color w:val="auto"/>
          <w:sz w:val="24"/>
          <w:szCs w:val="24"/>
          <w:highlight w:val="none"/>
        </w:rPr>
        <w:t>12.1承包人暂停施工的责任</w:t>
      </w:r>
      <w:bookmarkEnd w:id="1369"/>
      <w:bookmarkEnd w:id="1370"/>
      <w:bookmarkEnd w:id="1371"/>
      <w:bookmarkEnd w:id="1372"/>
      <w:bookmarkEnd w:id="1373"/>
      <w:bookmarkEnd w:id="1374"/>
    </w:p>
    <w:p w14:paraId="3673979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本款第（5）项细化为：</w:t>
      </w:r>
    </w:p>
    <w:p w14:paraId="3D9CAEF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（5）现场气候条件导致的必要停工（第11.4款规定的异常恶劣的气候条件除外）；</w:t>
      </w:r>
    </w:p>
    <w:p w14:paraId="0AA4ACC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（6）项目专用合同条款约定的由承包人承担的其他暂停施工。</w:t>
      </w:r>
    </w:p>
    <w:p w14:paraId="4F795118">
      <w:pPr>
        <w:pStyle w:val="2"/>
        <w:spacing w:beforeLines="50" w:after="120" w:line="400" w:lineRule="exact"/>
        <w:rPr>
          <w:rFonts w:ascii="宋体" w:hAnsi="宋体" w:cs="宋体"/>
          <w:color w:val="auto"/>
          <w:sz w:val="28"/>
          <w:szCs w:val="28"/>
          <w:highlight w:val="none"/>
        </w:rPr>
      </w:pPr>
      <w:bookmarkStart w:id="1375" w:name="_Toc43475954"/>
      <w:bookmarkStart w:id="1376" w:name="_Toc453057138"/>
      <w:bookmarkStart w:id="1377" w:name="_Toc330406419"/>
      <w:bookmarkStart w:id="1378" w:name="_Toc451261328"/>
      <w:bookmarkStart w:id="1379" w:name="_Toc386467224"/>
      <w:bookmarkStart w:id="1380" w:name="_Toc393546478"/>
      <w:r>
        <w:rPr>
          <w:rFonts w:hint="eastAsia" w:ascii="宋体" w:hAnsi="宋体" w:cs="宋体"/>
          <w:color w:val="auto"/>
          <w:sz w:val="28"/>
          <w:szCs w:val="28"/>
          <w:highlight w:val="none"/>
        </w:rPr>
        <w:t>13.工程质量</w:t>
      </w:r>
      <w:bookmarkEnd w:id="1375"/>
      <w:bookmarkEnd w:id="1376"/>
      <w:bookmarkEnd w:id="1377"/>
      <w:bookmarkEnd w:id="1378"/>
      <w:bookmarkEnd w:id="1379"/>
      <w:bookmarkEnd w:id="1380"/>
    </w:p>
    <w:p w14:paraId="7C08D8FD">
      <w:pPr>
        <w:pStyle w:val="2"/>
        <w:spacing w:beforeLines="50" w:line="400" w:lineRule="exact"/>
        <w:rPr>
          <w:rFonts w:ascii="宋体" w:hAnsi="宋体" w:cs="宋体"/>
          <w:color w:val="auto"/>
          <w:sz w:val="24"/>
          <w:szCs w:val="24"/>
          <w:highlight w:val="none"/>
        </w:rPr>
      </w:pPr>
      <w:bookmarkStart w:id="1381" w:name="_Toc43475955"/>
      <w:bookmarkStart w:id="1382" w:name="_Toc330406420"/>
      <w:bookmarkStart w:id="1383" w:name="_Toc393546479"/>
      <w:bookmarkStart w:id="1384" w:name="_Toc386467225"/>
      <w:bookmarkStart w:id="1385" w:name="_Toc451261329"/>
      <w:bookmarkStart w:id="1386" w:name="_Toc453057139"/>
      <w:r>
        <w:rPr>
          <w:rFonts w:hint="eastAsia" w:ascii="宋体" w:hAnsi="宋体" w:cs="宋体"/>
          <w:color w:val="auto"/>
          <w:sz w:val="24"/>
          <w:szCs w:val="24"/>
          <w:highlight w:val="none"/>
        </w:rPr>
        <w:t>13.1工程质量要求</w:t>
      </w:r>
      <w:bookmarkEnd w:id="1381"/>
      <w:bookmarkEnd w:id="1382"/>
      <w:bookmarkEnd w:id="1383"/>
      <w:bookmarkEnd w:id="1384"/>
      <w:bookmarkEnd w:id="1385"/>
      <w:bookmarkEnd w:id="1386"/>
    </w:p>
    <w:p w14:paraId="2039214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第13.1.1项约定为：</w:t>
      </w:r>
    </w:p>
    <w:p w14:paraId="2B5CE9A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工程质量验收按技术规范及《公路工程质量检验评定标准》执行。</w:t>
      </w:r>
    </w:p>
    <w:p w14:paraId="4463C88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本款补充第13.1.4和13.1.5项：</w:t>
      </w:r>
    </w:p>
    <w:p w14:paraId="1E9D71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13.1.4发包人和承包人应严格遵守《关于严格落实公路工程质量责任制的若干意见》的相关规定，认真执行工程质量责任登记制度并按要求填写工程质量责任登记表。</w:t>
      </w:r>
    </w:p>
    <w:p w14:paraId="6808BC4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13.1.5本项目严格执行质量责任追究制度。质量事故处理实行“四不放过”原则：事故原因调查不清不放过；事故责任者没有受到教育不放过；没有防范措施不放过；相关责任人没受到处理不放过。</w:t>
      </w:r>
    </w:p>
    <w:p w14:paraId="7B12E504">
      <w:pPr>
        <w:pStyle w:val="2"/>
        <w:spacing w:beforeLines="50" w:line="400" w:lineRule="exact"/>
        <w:rPr>
          <w:rFonts w:ascii="宋体" w:hAnsi="宋体" w:cs="宋体"/>
          <w:color w:val="auto"/>
          <w:sz w:val="24"/>
          <w:szCs w:val="24"/>
          <w:highlight w:val="none"/>
        </w:rPr>
      </w:pPr>
      <w:bookmarkStart w:id="1387" w:name="_Toc393546480"/>
      <w:bookmarkStart w:id="1388" w:name="_Toc43475956"/>
      <w:bookmarkStart w:id="1389" w:name="_Toc451261330"/>
      <w:bookmarkStart w:id="1390" w:name="_Toc330406421"/>
      <w:bookmarkStart w:id="1391" w:name="_Toc386467226"/>
      <w:bookmarkStart w:id="1392" w:name="_Toc453057140"/>
      <w:r>
        <w:rPr>
          <w:rFonts w:hint="eastAsia" w:ascii="宋体" w:hAnsi="宋体" w:cs="宋体"/>
          <w:color w:val="auto"/>
          <w:sz w:val="24"/>
          <w:szCs w:val="24"/>
          <w:highlight w:val="none"/>
        </w:rPr>
        <w:t>13.2承包人的质量管理</w:t>
      </w:r>
      <w:bookmarkEnd w:id="1387"/>
      <w:bookmarkEnd w:id="1388"/>
      <w:bookmarkEnd w:id="1389"/>
      <w:bookmarkEnd w:id="1390"/>
      <w:bookmarkEnd w:id="1391"/>
      <w:bookmarkEnd w:id="1392"/>
    </w:p>
    <w:p w14:paraId="459A780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第13.2.1项补充：</w:t>
      </w:r>
    </w:p>
    <w:p w14:paraId="33F2AF7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承包人提交工程质量保证措施文件的期限：签订合同协议书后28天之内。</w:t>
      </w:r>
    </w:p>
    <w:p w14:paraId="334D712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本款补充第</w:t>
      </w:r>
      <w:r>
        <w:rPr>
          <w:rFonts w:hint="eastAsia" w:ascii="宋体" w:hAnsi="宋体" w:cs="宋体"/>
          <w:color w:val="auto"/>
          <w:sz w:val="24"/>
          <w:highlight w:val="none"/>
        </w:rPr>
        <w:t>13.2.3</w:t>
      </w:r>
      <w:r>
        <w:rPr>
          <w:rFonts w:hint="eastAsia" w:ascii="宋体" w:hAnsi="宋体" w:cs="宋体"/>
          <w:color w:val="auto"/>
          <w:sz w:val="24"/>
          <w:highlight w:val="none"/>
          <w:lang w:val="zh-CN"/>
        </w:rPr>
        <w:t>项〜第</w:t>
      </w:r>
      <w:r>
        <w:rPr>
          <w:rFonts w:hint="eastAsia" w:ascii="宋体" w:hAnsi="宋体" w:cs="宋体"/>
          <w:color w:val="auto"/>
          <w:sz w:val="24"/>
          <w:highlight w:val="none"/>
        </w:rPr>
        <w:t>13.2.10</w:t>
      </w:r>
      <w:r>
        <w:rPr>
          <w:rFonts w:hint="eastAsia" w:ascii="宋体" w:hAnsi="宋体" w:cs="宋体"/>
          <w:color w:val="auto"/>
          <w:sz w:val="24"/>
          <w:highlight w:val="none"/>
          <w:lang w:val="zh-CN"/>
        </w:rPr>
        <w:t>项：</w:t>
      </w:r>
    </w:p>
    <w:p w14:paraId="72C06D7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13.2.3</w:t>
      </w:r>
      <w:r>
        <w:rPr>
          <w:rFonts w:hint="eastAsia" w:ascii="宋体" w:hAnsi="宋体" w:cs="宋体"/>
          <w:color w:val="auto"/>
          <w:sz w:val="24"/>
          <w:highlight w:val="none"/>
          <w:lang w:val="zh-CN"/>
        </w:rPr>
        <w:t>公路工程施行质量责任终身制。承包人应当书面明确相应的项目负责人 和质量负责人。承包人的相关人员按照国家法律法规和有关规定在工程合理使用年 限内承担相应的质量责任。</w:t>
      </w:r>
    </w:p>
    <w:p w14:paraId="7A7E6D4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13.2.4</w:t>
      </w:r>
      <w:r>
        <w:rPr>
          <w:rFonts w:hint="eastAsia" w:ascii="宋体" w:hAnsi="宋体" w:cs="宋体"/>
          <w:color w:val="auto"/>
          <w:sz w:val="24"/>
          <w:highlight w:val="none"/>
          <w:lang w:val="zh-CN"/>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14:paraId="5BD5FDA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13.2.5</w:t>
      </w:r>
      <w:r>
        <w:rPr>
          <w:rFonts w:hint="eastAsia" w:ascii="宋体" w:hAnsi="宋体" w:cs="宋体"/>
          <w:color w:val="auto"/>
          <w:sz w:val="24"/>
          <w:highlight w:val="none"/>
          <w:lang w:val="zh-CN"/>
        </w:rPr>
        <w:t>承包人对工程施工质量负责，应当按合同约定设立现场质量管理机构、 配备工程技术人员和质量管理人员，落实工程施工质量责任制。</w:t>
      </w:r>
    </w:p>
    <w:p w14:paraId="6FAE896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13.2.6</w:t>
      </w:r>
      <w:r>
        <w:rPr>
          <w:rFonts w:hint="eastAsia" w:ascii="宋体" w:hAnsi="宋体" w:cs="宋体"/>
          <w:color w:val="auto"/>
          <w:sz w:val="24"/>
          <w:highlight w:val="none"/>
          <w:lang w:val="zh-CN"/>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14:paraId="4CB584F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13.2.7</w:t>
      </w:r>
      <w:r>
        <w:rPr>
          <w:rFonts w:hint="eastAsia" w:ascii="宋体" w:hAnsi="宋体" w:cs="宋体"/>
          <w:color w:val="auto"/>
          <w:sz w:val="24"/>
          <w:highlight w:val="none"/>
          <w:lang w:val="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593B2E4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13.2.8</w:t>
      </w:r>
      <w:r>
        <w:rPr>
          <w:rFonts w:hint="eastAsia" w:ascii="宋体" w:hAnsi="宋体" w:cs="宋体"/>
          <w:color w:val="auto"/>
          <w:sz w:val="24"/>
          <w:highlight w:val="none"/>
          <w:lang w:val="zh-CN"/>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567D5DE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13.2.9</w:t>
      </w:r>
      <w:r>
        <w:rPr>
          <w:rFonts w:hint="eastAsia" w:ascii="宋体" w:hAnsi="宋体" w:cs="宋体"/>
          <w:color w:val="auto"/>
          <w:sz w:val="24"/>
          <w:highlight w:val="none"/>
          <w:lang w:val="zh-CN"/>
        </w:rPr>
        <w:t>承包人应当依法规范分包行为，并对承担的工程质量负总责，分包单位 对分包合同范围内的工程质量负责。</w:t>
      </w:r>
    </w:p>
    <w:p w14:paraId="419C2F0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13.2.10</w:t>
      </w:r>
      <w:r>
        <w:rPr>
          <w:rFonts w:hint="eastAsia" w:ascii="宋体" w:hAnsi="宋体" w:cs="宋体"/>
          <w:color w:val="auto"/>
          <w:sz w:val="24"/>
          <w:highlight w:val="none"/>
          <w:lang w:val="zh-CN"/>
        </w:rPr>
        <w:t>承包人驻工程现场机构应在现场驻地和重要的分部、分项工程施工现场 设置明显的工程质量责任登记表公示牌</w:t>
      </w:r>
    </w:p>
    <w:p w14:paraId="0581D797">
      <w:pPr>
        <w:pStyle w:val="2"/>
        <w:spacing w:beforeLines="50" w:line="400" w:lineRule="exact"/>
        <w:rPr>
          <w:rFonts w:ascii="宋体" w:hAnsi="宋体" w:cs="宋体"/>
          <w:color w:val="auto"/>
          <w:sz w:val="24"/>
          <w:szCs w:val="24"/>
          <w:highlight w:val="none"/>
        </w:rPr>
      </w:pPr>
      <w:bookmarkStart w:id="1393" w:name="_Toc393546481"/>
      <w:bookmarkStart w:id="1394" w:name="_Toc451261331"/>
      <w:bookmarkStart w:id="1395" w:name="_Toc453057141"/>
      <w:bookmarkStart w:id="1396" w:name="_Toc43475957"/>
      <w:bookmarkStart w:id="1397" w:name="_Toc330406422"/>
      <w:bookmarkStart w:id="1398" w:name="_Toc386467227"/>
      <w:r>
        <w:rPr>
          <w:rFonts w:hint="eastAsia" w:ascii="宋体" w:hAnsi="宋体" w:cs="宋体"/>
          <w:color w:val="auto"/>
          <w:sz w:val="24"/>
          <w:szCs w:val="24"/>
          <w:highlight w:val="none"/>
        </w:rPr>
        <w:t>13.4监理人的质量检查</w:t>
      </w:r>
      <w:bookmarkEnd w:id="1393"/>
      <w:bookmarkEnd w:id="1394"/>
      <w:bookmarkEnd w:id="1395"/>
      <w:bookmarkEnd w:id="1396"/>
      <w:bookmarkEnd w:id="1397"/>
      <w:bookmarkEnd w:id="1398"/>
    </w:p>
    <w:p w14:paraId="21A4B8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4356B5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14:paraId="6BFB7E5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监理人可以将材料或工程设备的检查委托给一家独立的有质量检验认证资格的检验单位。该独立检验单位的检验结果应视为监理人完成的。监理人应将这种委托的通知书不少于7天交给承包人。</w:t>
      </w:r>
    </w:p>
    <w:p w14:paraId="565B81FE">
      <w:pPr>
        <w:pStyle w:val="2"/>
        <w:spacing w:beforeLines="50" w:line="400" w:lineRule="exact"/>
        <w:rPr>
          <w:rFonts w:ascii="宋体" w:hAnsi="宋体" w:cs="宋体"/>
          <w:color w:val="auto"/>
          <w:sz w:val="24"/>
          <w:szCs w:val="24"/>
          <w:highlight w:val="none"/>
        </w:rPr>
      </w:pPr>
      <w:bookmarkStart w:id="1399" w:name="_Toc43475958"/>
      <w:bookmarkStart w:id="1400" w:name="_Toc451261332"/>
      <w:bookmarkStart w:id="1401" w:name="_Toc386467228"/>
      <w:bookmarkStart w:id="1402" w:name="_Toc393546482"/>
      <w:bookmarkStart w:id="1403" w:name="_Toc453057142"/>
      <w:bookmarkStart w:id="1404" w:name="_Toc330406423"/>
      <w:r>
        <w:rPr>
          <w:rFonts w:hint="eastAsia" w:ascii="宋体" w:hAnsi="宋体" w:cs="宋体"/>
          <w:color w:val="auto"/>
          <w:sz w:val="24"/>
          <w:szCs w:val="24"/>
          <w:highlight w:val="none"/>
        </w:rPr>
        <w:t>13.5工程隐蔽部位覆盖前的检查</w:t>
      </w:r>
      <w:bookmarkEnd w:id="1399"/>
      <w:bookmarkEnd w:id="1400"/>
      <w:bookmarkEnd w:id="1401"/>
      <w:bookmarkEnd w:id="1402"/>
      <w:bookmarkEnd w:id="1403"/>
      <w:bookmarkEnd w:id="1404"/>
    </w:p>
    <w:p w14:paraId="633A311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第13.5.1项补充：</w:t>
      </w:r>
    </w:p>
    <w:p w14:paraId="51C2433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当监理人有指示时，承包人应对重要隐蔽工程进行拍摄或照相并应保证监理人有充分的机会对将要覆盖或隐蔽的工程进行检查或量测，特别是在基础以上的任一部分工程修筑之前，对该基础进行检查。</w:t>
      </w:r>
    </w:p>
    <w:p w14:paraId="6C0D8840">
      <w:pPr>
        <w:pStyle w:val="2"/>
        <w:spacing w:beforeLines="50" w:line="400" w:lineRule="exact"/>
        <w:rPr>
          <w:rFonts w:ascii="宋体" w:hAnsi="宋体" w:cs="宋体"/>
          <w:color w:val="auto"/>
          <w:sz w:val="24"/>
          <w:szCs w:val="24"/>
          <w:highlight w:val="none"/>
        </w:rPr>
      </w:pPr>
      <w:bookmarkStart w:id="1405" w:name="_Toc451261333"/>
      <w:bookmarkStart w:id="1406" w:name="_Toc386467229"/>
      <w:bookmarkStart w:id="1407" w:name="_Toc393546483"/>
      <w:bookmarkStart w:id="1408" w:name="_Toc330406424"/>
      <w:bookmarkStart w:id="1409" w:name="_Toc43475959"/>
      <w:bookmarkStart w:id="1410" w:name="_Toc453057143"/>
      <w:r>
        <w:rPr>
          <w:rFonts w:hint="eastAsia" w:ascii="宋体" w:hAnsi="宋体" w:cs="宋体"/>
          <w:color w:val="auto"/>
          <w:sz w:val="24"/>
          <w:szCs w:val="24"/>
          <w:highlight w:val="none"/>
        </w:rPr>
        <w:t>13.6清除不合格工程</w:t>
      </w:r>
      <w:bookmarkEnd w:id="1405"/>
      <w:bookmarkEnd w:id="1406"/>
      <w:bookmarkEnd w:id="1407"/>
      <w:bookmarkEnd w:id="1408"/>
      <w:bookmarkEnd w:id="1409"/>
      <w:bookmarkEnd w:id="1410"/>
    </w:p>
    <w:p w14:paraId="47DEA28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第13.6.1项细化为：</w:t>
      </w:r>
    </w:p>
    <w:p w14:paraId="2347476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15111C7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（2）如果承包人未在规定时间内执行监理人的指示，发包人有权雇用他人执行，由此增加的费用和（或）工期延误由承包人承担。</w:t>
      </w:r>
    </w:p>
    <w:p w14:paraId="4A281592">
      <w:pPr>
        <w:pStyle w:val="2"/>
        <w:spacing w:beforeLines="50" w:after="120" w:line="400" w:lineRule="exact"/>
        <w:rPr>
          <w:rFonts w:ascii="宋体" w:hAnsi="宋体" w:cs="宋体"/>
          <w:color w:val="auto"/>
          <w:sz w:val="28"/>
          <w:szCs w:val="28"/>
          <w:highlight w:val="none"/>
        </w:rPr>
      </w:pPr>
      <w:bookmarkStart w:id="1411" w:name="_Toc451261334"/>
      <w:bookmarkStart w:id="1412" w:name="_Toc393546484"/>
      <w:bookmarkStart w:id="1413" w:name="_Toc453057144"/>
      <w:bookmarkStart w:id="1414" w:name="_Toc386467230"/>
      <w:bookmarkStart w:id="1415" w:name="_Toc43475960"/>
      <w:bookmarkStart w:id="1416" w:name="_Toc330406425"/>
      <w:r>
        <w:rPr>
          <w:rFonts w:hint="eastAsia" w:ascii="宋体" w:hAnsi="宋体" w:cs="宋体"/>
          <w:color w:val="auto"/>
          <w:sz w:val="28"/>
          <w:szCs w:val="28"/>
          <w:highlight w:val="none"/>
        </w:rPr>
        <w:t>14.试验和检验</w:t>
      </w:r>
      <w:bookmarkEnd w:id="1411"/>
      <w:bookmarkEnd w:id="1412"/>
      <w:bookmarkEnd w:id="1413"/>
      <w:bookmarkEnd w:id="1414"/>
      <w:bookmarkEnd w:id="1415"/>
      <w:bookmarkEnd w:id="1416"/>
    </w:p>
    <w:p w14:paraId="3FB34A6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补充第14.4款：</w:t>
      </w:r>
    </w:p>
    <w:p w14:paraId="59DF747F">
      <w:pPr>
        <w:pStyle w:val="2"/>
        <w:spacing w:beforeLines="50" w:line="400" w:lineRule="exact"/>
        <w:rPr>
          <w:rFonts w:ascii="宋体" w:hAnsi="宋体" w:cs="宋体"/>
          <w:color w:val="auto"/>
          <w:sz w:val="24"/>
          <w:szCs w:val="24"/>
          <w:highlight w:val="none"/>
        </w:rPr>
      </w:pPr>
      <w:bookmarkStart w:id="1417" w:name="_Toc43475961"/>
      <w:bookmarkStart w:id="1418" w:name="_Toc393546485"/>
      <w:bookmarkStart w:id="1419" w:name="_Toc386467231"/>
      <w:bookmarkStart w:id="1420" w:name="_Toc451261335"/>
      <w:bookmarkStart w:id="1421" w:name="_Toc330406426"/>
      <w:bookmarkStart w:id="1422" w:name="_Toc453057145"/>
      <w:r>
        <w:rPr>
          <w:rFonts w:hint="eastAsia" w:ascii="宋体" w:hAnsi="宋体" w:cs="宋体"/>
          <w:color w:val="auto"/>
          <w:sz w:val="24"/>
          <w:szCs w:val="24"/>
          <w:highlight w:val="none"/>
        </w:rPr>
        <w:t>14.4试验和检验费用</w:t>
      </w:r>
      <w:bookmarkEnd w:id="1417"/>
      <w:bookmarkEnd w:id="1418"/>
      <w:bookmarkEnd w:id="1419"/>
      <w:bookmarkEnd w:id="1420"/>
      <w:bookmarkEnd w:id="1421"/>
      <w:bookmarkEnd w:id="1422"/>
    </w:p>
    <w:p w14:paraId="6BF7F0A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（1）承包人应负责提供合同和技术规范规定的试验和检验所需的全部样品，并承担其费用。</w:t>
      </w:r>
    </w:p>
    <w:p w14:paraId="4497045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（2）在合同中明确规定的试验和检验，包括无须在工程量清单中单独列项和已在工程量清单中单独列项的试验和检验，其试验和检验的费用由承包人承担。</w:t>
      </w:r>
    </w:p>
    <w:p w14:paraId="42DDC66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091D084F">
      <w:pPr>
        <w:pStyle w:val="2"/>
        <w:spacing w:beforeLines="50" w:after="120" w:line="400" w:lineRule="exact"/>
        <w:rPr>
          <w:rFonts w:ascii="宋体" w:hAnsi="宋体" w:cs="宋体"/>
          <w:color w:val="auto"/>
          <w:sz w:val="28"/>
          <w:szCs w:val="28"/>
          <w:highlight w:val="none"/>
        </w:rPr>
      </w:pPr>
      <w:bookmarkStart w:id="1423" w:name="_Toc330406427"/>
      <w:bookmarkStart w:id="1424" w:name="_Toc43475962"/>
      <w:bookmarkStart w:id="1425" w:name="_Toc393546486"/>
      <w:bookmarkStart w:id="1426" w:name="_Toc451261336"/>
      <w:bookmarkStart w:id="1427" w:name="_Toc386467232"/>
      <w:bookmarkStart w:id="1428" w:name="_Toc453057146"/>
      <w:r>
        <w:rPr>
          <w:rFonts w:hint="eastAsia" w:ascii="宋体" w:hAnsi="宋体" w:cs="宋体"/>
          <w:color w:val="auto"/>
          <w:sz w:val="28"/>
          <w:szCs w:val="28"/>
          <w:highlight w:val="none"/>
        </w:rPr>
        <w:t>15.变更</w:t>
      </w:r>
      <w:bookmarkEnd w:id="1423"/>
      <w:bookmarkEnd w:id="1424"/>
      <w:bookmarkEnd w:id="1425"/>
      <w:bookmarkEnd w:id="1426"/>
      <w:bookmarkEnd w:id="1427"/>
      <w:bookmarkEnd w:id="1428"/>
    </w:p>
    <w:p w14:paraId="66E1847C">
      <w:pPr>
        <w:pStyle w:val="2"/>
        <w:spacing w:beforeLines="50" w:line="400" w:lineRule="exact"/>
        <w:rPr>
          <w:rFonts w:ascii="宋体" w:hAnsi="宋体" w:cs="宋体"/>
          <w:color w:val="auto"/>
          <w:sz w:val="24"/>
          <w:szCs w:val="24"/>
          <w:highlight w:val="none"/>
        </w:rPr>
      </w:pPr>
      <w:bookmarkStart w:id="1429" w:name="_Toc453057147"/>
      <w:bookmarkStart w:id="1430" w:name="_Toc43475963"/>
      <w:bookmarkStart w:id="1431" w:name="_Toc386467233"/>
      <w:bookmarkStart w:id="1432" w:name="_Toc330406428"/>
      <w:bookmarkStart w:id="1433" w:name="_Toc393546487"/>
      <w:bookmarkStart w:id="1434" w:name="_Toc451261337"/>
      <w:r>
        <w:rPr>
          <w:rFonts w:hint="eastAsia" w:ascii="宋体" w:hAnsi="宋体" w:cs="宋体"/>
          <w:color w:val="auto"/>
          <w:sz w:val="24"/>
          <w:szCs w:val="24"/>
          <w:highlight w:val="none"/>
        </w:rPr>
        <w:t>15.1变更的范围和内容</w:t>
      </w:r>
      <w:bookmarkEnd w:id="1429"/>
      <w:bookmarkEnd w:id="1430"/>
      <w:bookmarkEnd w:id="1431"/>
      <w:bookmarkEnd w:id="1432"/>
      <w:bookmarkEnd w:id="1433"/>
      <w:bookmarkEnd w:id="1434"/>
    </w:p>
    <w:p w14:paraId="4E51B9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本款第（1）项细化为：</w:t>
      </w:r>
    </w:p>
    <w:p w14:paraId="5B4AA72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（1）取消合同中任何一项工作，但被取消的工作不能转由发包人或其他人实施，由于承包人违约造成的情况除外；</w:t>
      </w:r>
    </w:p>
    <w:p w14:paraId="18E60BAC">
      <w:pPr>
        <w:pStyle w:val="2"/>
        <w:spacing w:beforeLines="50" w:line="400" w:lineRule="exact"/>
        <w:rPr>
          <w:rFonts w:ascii="宋体" w:hAnsi="宋体" w:cs="宋体"/>
          <w:color w:val="auto"/>
          <w:sz w:val="24"/>
          <w:szCs w:val="24"/>
          <w:highlight w:val="none"/>
        </w:rPr>
      </w:pPr>
      <w:bookmarkStart w:id="1435" w:name="_Toc453057148"/>
      <w:bookmarkStart w:id="1436" w:name="_Toc43475964"/>
      <w:bookmarkStart w:id="1437" w:name="_Toc386467234"/>
      <w:bookmarkStart w:id="1438" w:name="_Toc451261338"/>
      <w:bookmarkStart w:id="1439" w:name="_Toc393546488"/>
      <w:bookmarkStart w:id="1440" w:name="_Toc330406429"/>
      <w:r>
        <w:rPr>
          <w:rFonts w:hint="eastAsia" w:ascii="宋体" w:hAnsi="宋体" w:cs="宋体"/>
          <w:color w:val="auto"/>
          <w:sz w:val="24"/>
          <w:szCs w:val="24"/>
          <w:highlight w:val="none"/>
        </w:rPr>
        <w:t>15.3变更程序</w:t>
      </w:r>
      <w:bookmarkEnd w:id="1435"/>
      <w:bookmarkEnd w:id="1436"/>
      <w:bookmarkEnd w:id="1437"/>
      <w:bookmarkEnd w:id="1438"/>
      <w:bookmarkEnd w:id="1439"/>
      <w:bookmarkEnd w:id="1440"/>
    </w:p>
    <w:p w14:paraId="276469D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本款补充第15.3.4项：</w:t>
      </w:r>
    </w:p>
    <w:p w14:paraId="0CEC4B9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15.3.4设计变更程序应执行《公路工程设计变更管理办法》的相关规定。</w:t>
      </w:r>
    </w:p>
    <w:p w14:paraId="2156B3A0">
      <w:pPr>
        <w:pStyle w:val="2"/>
        <w:spacing w:beforeLines="50" w:line="400" w:lineRule="exact"/>
        <w:rPr>
          <w:rFonts w:ascii="宋体" w:hAnsi="宋体" w:cs="宋体"/>
          <w:color w:val="auto"/>
          <w:sz w:val="24"/>
          <w:szCs w:val="24"/>
          <w:highlight w:val="none"/>
        </w:rPr>
      </w:pPr>
      <w:bookmarkStart w:id="1441" w:name="_Toc43475965"/>
      <w:bookmarkStart w:id="1442" w:name="_Toc386467235"/>
      <w:bookmarkStart w:id="1443" w:name="_Toc330406430"/>
      <w:bookmarkStart w:id="1444" w:name="_Toc453057149"/>
      <w:bookmarkStart w:id="1445" w:name="_Toc451261339"/>
      <w:bookmarkStart w:id="1446" w:name="_Toc393546489"/>
      <w:r>
        <w:rPr>
          <w:rFonts w:hint="eastAsia" w:ascii="宋体" w:hAnsi="宋体" w:cs="宋体"/>
          <w:color w:val="auto"/>
          <w:sz w:val="24"/>
          <w:szCs w:val="24"/>
          <w:highlight w:val="none"/>
        </w:rPr>
        <w:t>15.4变更的估价原则</w:t>
      </w:r>
      <w:bookmarkEnd w:id="1441"/>
      <w:bookmarkEnd w:id="1442"/>
      <w:bookmarkEnd w:id="1443"/>
      <w:bookmarkEnd w:id="1444"/>
      <w:bookmarkEnd w:id="1445"/>
      <w:bookmarkEnd w:id="1446"/>
    </w:p>
    <w:p w14:paraId="5A57A64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1CA7F68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除项目专用合同条款另有约定外，因变更引起的价格调整按照本款约定处理。</w:t>
      </w:r>
    </w:p>
    <w:p w14:paraId="476478D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15.4.1如果取消某项工作，则该项工作的总额价不予以支付；</w:t>
      </w:r>
    </w:p>
    <w:p w14:paraId="6BD8A7D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15.4.2已标价工程量清单中有适用于变更工作的子目的，采用该子目的单价。</w:t>
      </w:r>
    </w:p>
    <w:p w14:paraId="1E5E488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15.4.3已标价工程量清单中无适用于变更工作的子目，但有类似子目的，可在合理范围内参照类似子目的单价，由监理人按第3.5款商定或确定变更工作的单价。</w:t>
      </w:r>
    </w:p>
    <w:p w14:paraId="253950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15.4.4已标价工程量清单中无适用或类似子目的单价，可在综合考虑承包人在投标时所提供的单价分析表的基础上，由监理人按第3.5款商定或确定变更工作的单价。</w:t>
      </w:r>
    </w:p>
    <w:p w14:paraId="06F5D9F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15.4.5如果本工程的变更指示是因承包人过错、承包人违反合同或承包人责任造成的，则这种违约引起的任何额外费用应由承包人承担。</w:t>
      </w:r>
    </w:p>
    <w:p w14:paraId="74F52906">
      <w:pPr>
        <w:pStyle w:val="2"/>
        <w:spacing w:beforeLines="50" w:line="400" w:lineRule="exact"/>
        <w:rPr>
          <w:rFonts w:ascii="宋体" w:hAnsi="宋体" w:cs="宋体"/>
          <w:color w:val="auto"/>
          <w:sz w:val="24"/>
          <w:szCs w:val="24"/>
          <w:highlight w:val="none"/>
        </w:rPr>
      </w:pPr>
      <w:bookmarkStart w:id="1447" w:name="_Toc393546490"/>
      <w:bookmarkStart w:id="1448" w:name="_Toc451261340"/>
      <w:bookmarkStart w:id="1449" w:name="_Toc330406431"/>
      <w:bookmarkStart w:id="1450" w:name="_Toc453057150"/>
      <w:bookmarkStart w:id="1451" w:name="_Toc43475966"/>
      <w:bookmarkStart w:id="1452" w:name="_Toc386467236"/>
      <w:r>
        <w:rPr>
          <w:rFonts w:hint="eastAsia" w:ascii="宋体" w:hAnsi="宋体" w:cs="宋体"/>
          <w:color w:val="auto"/>
          <w:sz w:val="24"/>
          <w:szCs w:val="24"/>
          <w:highlight w:val="none"/>
        </w:rPr>
        <w:t>15.5承包人的合理化建议</w:t>
      </w:r>
      <w:bookmarkEnd w:id="1447"/>
      <w:bookmarkEnd w:id="1448"/>
      <w:bookmarkEnd w:id="1449"/>
      <w:bookmarkEnd w:id="1450"/>
      <w:bookmarkEnd w:id="1451"/>
      <w:bookmarkEnd w:id="1452"/>
    </w:p>
    <w:p w14:paraId="4C27C96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第15.5.2项约定为：</w:t>
      </w:r>
    </w:p>
    <w:p w14:paraId="6A5D6D4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承包人提出的合理化建议缩短了工期，发包人按第11.6款的规定给予奖励。</w:t>
      </w:r>
    </w:p>
    <w:p w14:paraId="31C6935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承包人提出的合理化建议降低了合同价格或者提高了工程经济效益的，发包人按项目专用合同条款数据表中规定的金额给予奖励。</w:t>
      </w:r>
    </w:p>
    <w:p w14:paraId="2A149FE9">
      <w:pPr>
        <w:pStyle w:val="2"/>
        <w:spacing w:beforeLines="50" w:line="400" w:lineRule="exact"/>
        <w:rPr>
          <w:rFonts w:ascii="宋体" w:hAnsi="宋体" w:cs="宋体"/>
          <w:color w:val="auto"/>
          <w:sz w:val="24"/>
          <w:szCs w:val="24"/>
          <w:highlight w:val="none"/>
        </w:rPr>
      </w:pPr>
      <w:bookmarkStart w:id="1453" w:name="_Toc43475967"/>
      <w:bookmarkStart w:id="1454" w:name="_Toc453057151"/>
      <w:bookmarkStart w:id="1455" w:name="_Toc451261341"/>
      <w:bookmarkStart w:id="1456" w:name="_Toc330406432"/>
      <w:bookmarkStart w:id="1457" w:name="_Toc386467237"/>
      <w:bookmarkStart w:id="1458" w:name="_Toc393546491"/>
      <w:r>
        <w:rPr>
          <w:rFonts w:hint="eastAsia" w:ascii="宋体" w:hAnsi="宋体" w:cs="宋体"/>
          <w:color w:val="auto"/>
          <w:sz w:val="24"/>
          <w:szCs w:val="24"/>
          <w:highlight w:val="none"/>
        </w:rPr>
        <w:t>15.6暂列金额</w:t>
      </w:r>
      <w:bookmarkEnd w:id="1453"/>
      <w:bookmarkEnd w:id="1454"/>
      <w:bookmarkEnd w:id="1455"/>
      <w:bookmarkEnd w:id="1456"/>
      <w:bookmarkEnd w:id="1457"/>
      <w:bookmarkEnd w:id="1458"/>
    </w:p>
    <w:p w14:paraId="765B86E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523174F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15.6.l暂列金额应由监理人报发包人批准后指令全部或部分地使用，或者根本不予动用。</w:t>
      </w:r>
    </w:p>
    <w:p w14:paraId="2086216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3CB06EC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15.6.3当监理人提出要求时，承包人应提供有关暂列金额支出的所有报价单、发票、凭证和账单或收据，除非该工作是根据已标价工程量清单列明的单价或总额价进行的估价。</w:t>
      </w:r>
    </w:p>
    <w:p w14:paraId="0E61406B">
      <w:pPr>
        <w:pStyle w:val="2"/>
        <w:spacing w:beforeLines="50" w:after="120" w:line="400" w:lineRule="exact"/>
        <w:rPr>
          <w:rFonts w:ascii="宋体" w:hAnsi="宋体" w:cs="宋体"/>
          <w:color w:val="auto"/>
          <w:sz w:val="28"/>
          <w:szCs w:val="28"/>
          <w:highlight w:val="none"/>
        </w:rPr>
      </w:pPr>
      <w:bookmarkStart w:id="1459" w:name="_Toc386467238"/>
      <w:bookmarkStart w:id="1460" w:name="_Toc330406433"/>
      <w:bookmarkStart w:id="1461" w:name="_Toc393546492"/>
      <w:bookmarkStart w:id="1462" w:name="_Toc43475968"/>
      <w:bookmarkStart w:id="1463" w:name="_Toc451261342"/>
      <w:bookmarkStart w:id="1464" w:name="_Toc453057152"/>
      <w:r>
        <w:rPr>
          <w:rFonts w:hint="eastAsia" w:ascii="宋体" w:hAnsi="宋体" w:cs="宋体"/>
          <w:color w:val="auto"/>
          <w:sz w:val="28"/>
          <w:szCs w:val="28"/>
          <w:highlight w:val="none"/>
        </w:rPr>
        <w:t>16.价格调整</w:t>
      </w:r>
      <w:bookmarkEnd w:id="1459"/>
      <w:bookmarkEnd w:id="1460"/>
      <w:bookmarkEnd w:id="1461"/>
      <w:bookmarkEnd w:id="1462"/>
      <w:bookmarkEnd w:id="1463"/>
      <w:bookmarkEnd w:id="1464"/>
    </w:p>
    <w:p w14:paraId="3CA7E078">
      <w:pPr>
        <w:pStyle w:val="2"/>
        <w:spacing w:beforeLines="50" w:line="400" w:lineRule="exact"/>
        <w:rPr>
          <w:rFonts w:ascii="宋体" w:hAnsi="宋体" w:cs="宋体"/>
          <w:color w:val="auto"/>
          <w:sz w:val="24"/>
          <w:szCs w:val="24"/>
          <w:highlight w:val="none"/>
        </w:rPr>
      </w:pPr>
      <w:bookmarkStart w:id="1465" w:name="_Toc386467239"/>
      <w:bookmarkStart w:id="1466" w:name="_Toc330406434"/>
      <w:bookmarkStart w:id="1467" w:name="_Toc451261343"/>
      <w:bookmarkStart w:id="1468" w:name="_Toc453057153"/>
      <w:bookmarkStart w:id="1469" w:name="_Toc393546493"/>
      <w:bookmarkStart w:id="1470" w:name="_Toc43475969"/>
      <w:r>
        <w:rPr>
          <w:rFonts w:hint="eastAsia" w:ascii="宋体" w:hAnsi="宋体" w:cs="宋体"/>
          <w:color w:val="auto"/>
          <w:sz w:val="24"/>
          <w:szCs w:val="24"/>
          <w:highlight w:val="none"/>
        </w:rPr>
        <w:t>16.1物价波动引起的价格调整</w:t>
      </w:r>
      <w:bookmarkEnd w:id="1465"/>
      <w:bookmarkEnd w:id="1466"/>
      <w:bookmarkEnd w:id="1467"/>
      <w:bookmarkEnd w:id="1468"/>
      <w:bookmarkEnd w:id="1469"/>
      <w:bookmarkEnd w:id="1470"/>
    </w:p>
    <w:p w14:paraId="6E6AD60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73F847D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（1）除项目专用合同条款另有约定外，因物价波动引起的价格调整应按项目专用合同条款数据表的规定，按照第16.1.1项或第16.1.2项约定的原则处理；或者</w:t>
      </w:r>
    </w:p>
    <w:p w14:paraId="370816B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（2）在合同执行期间（包括工期拖延期间），由于人工、材料和设备价格的上涨而引起工程施工成本增加的风险由承包人自行承担，合同价格不会因此而调整。</w:t>
      </w:r>
    </w:p>
    <w:p w14:paraId="5062417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16.1.1采用价格指数调整价格差额</w:t>
      </w:r>
    </w:p>
    <w:p w14:paraId="1A65450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16.1.1价格调整公式</w:t>
      </w:r>
    </w:p>
    <w:p w14:paraId="522C737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价格调整公式后增加备注如下：</w:t>
      </w:r>
    </w:p>
    <w:p w14:paraId="584C44D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式中，</w:t>
      </w:r>
      <w:r>
        <w:rPr>
          <w:rFonts w:hint="eastAsia" w:ascii="宋体" w:hAnsi="宋体" w:cs="宋体"/>
          <w:i/>
          <w:color w:val="auto"/>
          <w:sz w:val="24"/>
          <w:highlight w:val="none"/>
        </w:rPr>
        <w:t>A</w:t>
      </w:r>
      <w:r>
        <w:rPr>
          <w:rFonts w:hint="eastAsia" w:ascii="宋体" w:hAnsi="宋体" w:cs="宋体"/>
          <w:color w:val="auto"/>
          <w:sz w:val="24"/>
          <w:highlight w:val="none"/>
        </w:rPr>
        <w:t xml:space="preserve"> ＝ 1 －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1 </w:t>
      </w:r>
      <w:r>
        <w:rPr>
          <w:rFonts w:hint="eastAsia" w:ascii="宋体" w:hAnsi="宋体" w:cs="宋体"/>
          <w:color w:val="auto"/>
          <w:sz w:val="24"/>
          <w:highlight w:val="none"/>
        </w:rPr>
        <w:t xml:space="preserve">＋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2 </w:t>
      </w:r>
      <w:r>
        <w:rPr>
          <w:rFonts w:hint="eastAsia" w:ascii="宋体" w:hAnsi="宋体" w:cs="宋体"/>
          <w:color w:val="auto"/>
          <w:sz w:val="24"/>
          <w:highlight w:val="none"/>
        </w:rPr>
        <w:t xml:space="preserve">＋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3 </w:t>
      </w:r>
      <w:r>
        <w:rPr>
          <w:rFonts w:hint="eastAsia" w:ascii="宋体" w:hAnsi="宋体" w:cs="宋体"/>
          <w:color w:val="auto"/>
          <w:sz w:val="24"/>
          <w:highlight w:val="none"/>
        </w:rPr>
        <w:t xml:space="preserve">＋ ... ＋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n </w:t>
      </w:r>
      <w:r>
        <w:rPr>
          <w:rFonts w:hint="eastAsia" w:ascii="宋体" w:hAnsi="宋体" w:cs="宋体"/>
          <w:color w:val="auto"/>
          <w:sz w:val="24"/>
          <w:highlight w:val="none"/>
        </w:rPr>
        <w:t>）</w:t>
      </w:r>
    </w:p>
    <w:p w14:paraId="26D2E4F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本目最后一段文字细化为：</w:t>
      </w:r>
    </w:p>
    <w:p w14:paraId="73C5CB1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在采用价格调整公式进行调价时，还应遵守以下规定：</w:t>
      </w:r>
    </w:p>
    <w:p w14:paraId="2BDFAC8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305D882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2E67B199">
      <w:pPr>
        <w:pStyle w:val="2"/>
        <w:spacing w:beforeLines="50" w:after="120" w:line="400" w:lineRule="exact"/>
        <w:rPr>
          <w:rFonts w:ascii="宋体" w:hAnsi="宋体" w:cs="宋体"/>
          <w:color w:val="auto"/>
          <w:sz w:val="28"/>
          <w:szCs w:val="28"/>
          <w:highlight w:val="none"/>
        </w:rPr>
      </w:pPr>
      <w:bookmarkStart w:id="1471" w:name="_Toc453057154"/>
      <w:bookmarkStart w:id="1472" w:name="_Toc386467240"/>
      <w:bookmarkStart w:id="1473" w:name="_Toc451261344"/>
      <w:bookmarkStart w:id="1474" w:name="_Toc43475970"/>
      <w:bookmarkStart w:id="1475" w:name="_Toc330406435"/>
      <w:bookmarkStart w:id="1476" w:name="_Toc393546494"/>
      <w:r>
        <w:rPr>
          <w:rFonts w:hint="eastAsia" w:ascii="宋体" w:hAnsi="宋体" w:cs="宋体"/>
          <w:color w:val="auto"/>
          <w:sz w:val="28"/>
          <w:szCs w:val="28"/>
          <w:highlight w:val="none"/>
        </w:rPr>
        <w:t>17.计量与支付</w:t>
      </w:r>
      <w:bookmarkEnd w:id="1471"/>
      <w:bookmarkEnd w:id="1472"/>
      <w:bookmarkEnd w:id="1473"/>
      <w:bookmarkEnd w:id="1474"/>
      <w:bookmarkEnd w:id="1475"/>
      <w:bookmarkEnd w:id="1476"/>
    </w:p>
    <w:p w14:paraId="358C7485">
      <w:pPr>
        <w:pStyle w:val="2"/>
        <w:spacing w:beforeLines="50" w:line="400" w:lineRule="exact"/>
        <w:rPr>
          <w:rFonts w:ascii="宋体" w:hAnsi="宋体" w:cs="宋体"/>
          <w:color w:val="auto"/>
          <w:sz w:val="24"/>
          <w:szCs w:val="24"/>
          <w:highlight w:val="none"/>
        </w:rPr>
      </w:pPr>
      <w:bookmarkStart w:id="1477" w:name="_Toc330406436"/>
      <w:bookmarkStart w:id="1478" w:name="_Toc393546495"/>
      <w:bookmarkStart w:id="1479" w:name="_Toc386467241"/>
      <w:bookmarkStart w:id="1480" w:name="_Toc43475971"/>
      <w:bookmarkStart w:id="1481" w:name="_Toc453057155"/>
      <w:bookmarkStart w:id="1482" w:name="_Toc451261345"/>
      <w:r>
        <w:rPr>
          <w:rFonts w:hint="eastAsia" w:ascii="宋体" w:hAnsi="宋体" w:cs="宋体"/>
          <w:color w:val="auto"/>
          <w:sz w:val="24"/>
          <w:szCs w:val="24"/>
          <w:highlight w:val="none"/>
        </w:rPr>
        <w:t>17.1计量</w:t>
      </w:r>
      <w:bookmarkEnd w:id="1477"/>
      <w:bookmarkEnd w:id="1478"/>
      <w:bookmarkEnd w:id="1479"/>
      <w:bookmarkEnd w:id="1480"/>
      <w:bookmarkEnd w:id="1481"/>
      <w:bookmarkEnd w:id="1482"/>
    </w:p>
    <w:p w14:paraId="5E544BA6">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17.1.2计量方法</w:t>
      </w:r>
    </w:p>
    <w:p w14:paraId="0EAE225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14:paraId="18A486D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工程的计量应以净值为准，除非项目专用合同条款另有约定。工程量清单中各个子目的具体计量方法按本合同文件技术标准中的规定执行。</w:t>
      </w:r>
    </w:p>
    <w:p w14:paraId="539A0ADD">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17.1.4单价子目的计量</w:t>
      </w:r>
    </w:p>
    <w:p w14:paraId="4771754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3E4151AD">
      <w:pPr>
        <w:numPr>
          <w:ilvl w:val="0"/>
          <w:numId w:val="10"/>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承包人未在已标价工程量清单中填入单价或总额价的工程子目，将被认为其已包含在本合同的其他子目的单价和总额价中，发包人将不另行支付。</w:t>
      </w:r>
    </w:p>
    <w:p w14:paraId="6C4BBD22">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17.1.5总价子目的计量</w:t>
      </w:r>
    </w:p>
    <w:p w14:paraId="2A47F07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4D308C5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本项目工程量清单中要求承包人以“总额”方式报价的子目，各子目的支付原则和支付进度按项目专用合同条款的规定执行。</w:t>
      </w:r>
    </w:p>
    <w:p w14:paraId="2EA1C850">
      <w:pPr>
        <w:spacing w:line="400" w:lineRule="exact"/>
        <w:ind w:left="420" w:leftChars="200"/>
        <w:rPr>
          <w:rFonts w:ascii="宋体" w:hAnsi="宋体" w:cs="宋体"/>
          <w:color w:val="auto"/>
          <w:sz w:val="24"/>
          <w:highlight w:val="none"/>
        </w:rPr>
      </w:pPr>
    </w:p>
    <w:p w14:paraId="574F6381">
      <w:pPr>
        <w:pStyle w:val="2"/>
        <w:spacing w:beforeLines="50" w:line="400" w:lineRule="exact"/>
        <w:rPr>
          <w:rFonts w:ascii="宋体" w:hAnsi="宋体" w:cs="宋体"/>
          <w:color w:val="auto"/>
          <w:sz w:val="24"/>
          <w:szCs w:val="24"/>
          <w:highlight w:val="none"/>
        </w:rPr>
      </w:pPr>
      <w:bookmarkStart w:id="1483" w:name="_Toc451261346"/>
      <w:bookmarkStart w:id="1484" w:name="_Toc330406437"/>
      <w:bookmarkStart w:id="1485" w:name="_Toc43475972"/>
      <w:bookmarkStart w:id="1486" w:name="_Toc453057156"/>
      <w:bookmarkStart w:id="1487" w:name="_Toc386467242"/>
      <w:bookmarkStart w:id="1488" w:name="_Toc393546496"/>
      <w:r>
        <w:rPr>
          <w:rFonts w:hint="eastAsia" w:ascii="宋体" w:hAnsi="宋体" w:cs="宋体"/>
          <w:color w:val="auto"/>
          <w:sz w:val="24"/>
          <w:szCs w:val="24"/>
          <w:highlight w:val="none"/>
        </w:rPr>
        <w:t>17.2预付款</w:t>
      </w:r>
      <w:bookmarkEnd w:id="1483"/>
      <w:bookmarkEnd w:id="1484"/>
      <w:bookmarkEnd w:id="1485"/>
      <w:bookmarkEnd w:id="1486"/>
      <w:bookmarkEnd w:id="1487"/>
      <w:bookmarkEnd w:id="1488"/>
    </w:p>
    <w:p w14:paraId="25559073">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17.2.1预付款</w:t>
      </w:r>
    </w:p>
    <w:p w14:paraId="657EB0C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14:paraId="495801D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预付款包括开工预付款和材料、设备预付款。具体额度和预付办法如下：</w:t>
      </w:r>
    </w:p>
    <w:p w14:paraId="03FAD13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（1）开工预付款的金额在项目专用条款数据表中约定。在承包人签订了合同协议书且承包人承诺的主要设备进场后，监理人应在当期进度付款证书中向承包人支付开工预付款。</w:t>
      </w:r>
    </w:p>
    <w:p w14:paraId="1F505E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承包人不得将该预付款用于与本工程无关的支出，监理人有权监督承包人对该项费用的使用，如经查实承包人滥用开工预付款，发包人有权立即向银行索赔履约保证金，并解除合同。</w:t>
      </w:r>
    </w:p>
    <w:p w14:paraId="05EDF3F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（2）材料、设备预付款按项目专用合同条款数据表中所列主要材料、设备单据费用（进口的材料、设备为到岸价，国内采购的为出厂价或销售价，地方材料为堆场价）的百分比支付。其预付条件为：</w:t>
      </w:r>
    </w:p>
    <w:p w14:paraId="2A70A8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a.材料、设备符合规范要求并经监理人认可；</w:t>
      </w:r>
    </w:p>
    <w:p w14:paraId="05D3027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b.承包人已出具材料、设备费用凭证或支付单据；</w:t>
      </w:r>
    </w:p>
    <w:p w14:paraId="2089206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c.材料、设备已在现场交货，且存储良好，监理人认为材料、设备的存储方法符合要求。</w:t>
      </w:r>
    </w:p>
    <w:p w14:paraId="6A1242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则监理人应将此项金额作为材料、设备预付款计入下一次的进度付款证书中。在预计交工前3个月，将不再支付材料、设备预付款。</w:t>
      </w:r>
    </w:p>
    <w:p w14:paraId="25370568">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17.2.2预付款保函</w:t>
      </w:r>
    </w:p>
    <w:p w14:paraId="2C90756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64FDEF5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承包人无须向发包人提交预付款保函。发包人向承包人支付的预付款，应按照本合同第17.2.1项规定使用，承包人提交的履约保证金对预付款的正常使用承担保证责任。</w:t>
      </w:r>
    </w:p>
    <w:p w14:paraId="5FD0F2CD">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17.2.3预付款的扣回与还清</w:t>
      </w:r>
    </w:p>
    <w:p w14:paraId="1CEB5B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14:paraId="1CBC82B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6B2E632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（2）当材料、设备已用于或安装在永久工程之中时，材料、设备预付款应从进度付款证书中扣回，扣回期不超过3个月。已经支付材料、设备预付款的材料、设备的所有权应属于发包人。</w:t>
      </w:r>
    </w:p>
    <w:p w14:paraId="2F2F5B1F">
      <w:pPr>
        <w:pStyle w:val="2"/>
        <w:spacing w:beforeLines="50" w:line="400" w:lineRule="exact"/>
        <w:rPr>
          <w:rFonts w:ascii="宋体" w:hAnsi="宋体" w:cs="宋体"/>
          <w:color w:val="auto"/>
          <w:sz w:val="24"/>
          <w:szCs w:val="24"/>
          <w:highlight w:val="none"/>
        </w:rPr>
      </w:pPr>
      <w:bookmarkStart w:id="1489" w:name="_Toc330406438"/>
      <w:bookmarkStart w:id="1490" w:name="_Toc43475973"/>
      <w:bookmarkStart w:id="1491" w:name="_Toc386467243"/>
      <w:bookmarkStart w:id="1492" w:name="_Toc393546497"/>
      <w:bookmarkStart w:id="1493" w:name="_Toc451261347"/>
      <w:bookmarkStart w:id="1494" w:name="_Toc453057157"/>
      <w:r>
        <w:rPr>
          <w:rFonts w:hint="eastAsia" w:ascii="宋体" w:hAnsi="宋体" w:cs="宋体"/>
          <w:color w:val="auto"/>
          <w:sz w:val="24"/>
          <w:szCs w:val="24"/>
          <w:highlight w:val="none"/>
        </w:rPr>
        <w:t>17.3工程进度付款</w:t>
      </w:r>
      <w:bookmarkEnd w:id="1489"/>
      <w:bookmarkEnd w:id="1490"/>
      <w:bookmarkEnd w:id="1491"/>
      <w:bookmarkEnd w:id="1492"/>
      <w:bookmarkEnd w:id="1493"/>
      <w:bookmarkEnd w:id="1494"/>
    </w:p>
    <w:p w14:paraId="18B8524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17.3.3进度付款证书和支付时间</w:t>
      </w:r>
    </w:p>
    <w:p w14:paraId="7C46F01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本项（1）目补充：</w:t>
      </w:r>
    </w:p>
    <w:p w14:paraId="491D7BC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7BEFB5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（2）</w:t>
      </w:r>
      <w:r>
        <w:rPr>
          <w:rFonts w:hint="eastAsia" w:ascii="宋体" w:hAnsi="宋体" w:cs="宋体"/>
          <w:color w:val="auto"/>
          <w:sz w:val="24"/>
          <w:highlight w:val="none"/>
          <w:lang w:val="zh-CN"/>
        </w:rPr>
        <w:t>目细化为：</w:t>
      </w:r>
    </w:p>
    <w:p w14:paraId="09A2B5F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发包人应在监理人收到进度付款申请单且承包人提交了合格的增值税专用发票 后的28天内，将进度应付款支付给承包人。</w:t>
      </w:r>
    </w:p>
    <w:p w14:paraId="1A2D83FF">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发包人不按期支付的，按项目专用合同条款数据表中约定的利率向承包人支付 逾期付款违约金。违约金计算基数为发包人的全部未付款额，时间从应付而未付该 款额之日算起（不计复利）。</w:t>
      </w:r>
    </w:p>
    <w:p w14:paraId="0BF46DB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本款补充第</w:t>
      </w:r>
      <w:r>
        <w:rPr>
          <w:rFonts w:hint="eastAsia" w:ascii="宋体" w:hAnsi="宋体" w:cs="宋体"/>
          <w:color w:val="auto"/>
          <w:sz w:val="24"/>
          <w:highlight w:val="none"/>
        </w:rPr>
        <w:t>17.3.5</w:t>
      </w:r>
      <w:r>
        <w:rPr>
          <w:rFonts w:hint="eastAsia" w:ascii="宋体" w:hAnsi="宋体" w:cs="宋体"/>
          <w:color w:val="auto"/>
          <w:sz w:val="24"/>
          <w:highlight w:val="none"/>
          <w:lang w:val="zh-CN"/>
        </w:rPr>
        <w:t>项：</w:t>
      </w:r>
    </w:p>
    <w:p w14:paraId="70DDFB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17.3.5</w:t>
      </w:r>
      <w:r>
        <w:rPr>
          <w:rFonts w:hint="eastAsia" w:ascii="宋体" w:hAnsi="宋体" w:cs="宋体"/>
          <w:color w:val="auto"/>
          <w:sz w:val="24"/>
          <w:highlight w:val="none"/>
          <w:lang w:val="zh-CN"/>
        </w:rPr>
        <w:t>农民工工资保证金</w:t>
      </w:r>
    </w:p>
    <w:p w14:paraId="780A710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为确保施工过程中农民工工资实时、足额发放到位，承包人应按照项目专 用合同条款约定的时间和金额缴存农民工工资保证金。</w:t>
      </w:r>
    </w:p>
    <w:p w14:paraId="0AD20B8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农民工工资保证金可采用银行保函或现金、支票形式。采用银行保函时，出具保函的银行须具有相应担保能力，且按照发包人批准的格式出具，所需费用由承包人承担。</w:t>
      </w:r>
    </w:p>
    <w:p w14:paraId="7885915C">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农民工工资保证金的扣留条件、返还时间按照项目专用合同条款的约定执 行。</w:t>
      </w:r>
    </w:p>
    <w:p w14:paraId="7FFAFF45">
      <w:pPr>
        <w:pStyle w:val="2"/>
        <w:spacing w:beforeLines="50" w:line="400" w:lineRule="exact"/>
        <w:rPr>
          <w:rFonts w:ascii="宋体" w:hAnsi="宋体" w:cs="宋体"/>
          <w:color w:val="auto"/>
          <w:sz w:val="24"/>
          <w:szCs w:val="24"/>
          <w:highlight w:val="none"/>
        </w:rPr>
      </w:pPr>
      <w:bookmarkStart w:id="1495" w:name="_Toc43475974"/>
      <w:bookmarkStart w:id="1496" w:name="_Toc386467244"/>
      <w:bookmarkStart w:id="1497" w:name="_Toc451261348"/>
      <w:bookmarkStart w:id="1498" w:name="_Toc330406439"/>
      <w:bookmarkStart w:id="1499" w:name="_Toc453057158"/>
      <w:bookmarkStart w:id="1500" w:name="_Toc393546498"/>
      <w:r>
        <w:rPr>
          <w:rFonts w:hint="eastAsia" w:ascii="宋体" w:hAnsi="宋体" w:cs="宋体"/>
          <w:color w:val="auto"/>
          <w:sz w:val="24"/>
          <w:szCs w:val="24"/>
          <w:highlight w:val="none"/>
        </w:rPr>
        <w:t>17.4质量保证金</w:t>
      </w:r>
      <w:bookmarkEnd w:id="1495"/>
      <w:bookmarkEnd w:id="1496"/>
      <w:bookmarkEnd w:id="1497"/>
      <w:bookmarkEnd w:id="1498"/>
      <w:bookmarkEnd w:id="1499"/>
      <w:bookmarkEnd w:id="1500"/>
    </w:p>
    <w:p w14:paraId="645653C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第17.4.1、</w:t>
      </w:r>
      <w:r>
        <w:rPr>
          <w:rFonts w:hint="eastAsia" w:ascii="宋体" w:hAnsi="宋体" w:cs="宋体"/>
          <w:color w:val="auto"/>
          <w:sz w:val="24"/>
          <w:highlight w:val="none"/>
        </w:rPr>
        <w:t>17.4.2</w:t>
      </w:r>
      <w:r>
        <w:rPr>
          <w:rFonts w:hint="eastAsia" w:ascii="宋体" w:hAnsi="宋体" w:cs="宋体"/>
          <w:color w:val="auto"/>
          <w:sz w:val="24"/>
          <w:highlight w:val="none"/>
          <w:lang w:val="zh-CN"/>
        </w:rPr>
        <w:t>项细化为：</w:t>
      </w:r>
    </w:p>
    <w:p w14:paraId="2722D9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17.4.1</w:t>
      </w:r>
      <w:r>
        <w:rPr>
          <w:rFonts w:hint="eastAsia" w:ascii="宋体" w:hAnsi="宋体" w:cs="宋体"/>
          <w:color w:val="auto"/>
          <w:sz w:val="24"/>
          <w:highlight w:val="none"/>
          <w:lang w:val="zh-CN"/>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14:paraId="23E095C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质量保证金采用现金、支票形式提交的，发包人应在项目专用合同条款数据表中明确是否计付利息以及利息的计算方式。</w:t>
      </w:r>
    </w:p>
    <w:p w14:paraId="11902F7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w:t>
      </w:r>
      <w:r>
        <w:rPr>
          <w:rFonts w:hint="eastAsia" w:ascii="宋体" w:hAnsi="宋体" w:cs="宋体"/>
          <w:color w:val="auto"/>
          <w:sz w:val="24"/>
          <w:highlight w:val="none"/>
          <w:lang w:val="zh-CN"/>
        </w:rPr>
        <w:t>在第</w:t>
      </w:r>
      <w:r>
        <w:rPr>
          <w:rFonts w:hint="eastAsia" w:ascii="宋体" w:hAnsi="宋体" w:cs="宋体"/>
          <w:color w:val="auto"/>
          <w:sz w:val="24"/>
          <w:highlight w:val="none"/>
        </w:rPr>
        <w:t>1.1.4.5</w:t>
      </w:r>
      <w:r>
        <w:rPr>
          <w:rFonts w:hint="eastAsia" w:ascii="宋体" w:hAnsi="宋体" w:cs="宋体"/>
          <w:color w:val="auto"/>
          <w:sz w:val="24"/>
          <w:highlight w:val="none"/>
          <w:lang w:val="zh-CN"/>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14:paraId="206497ED">
      <w:pPr>
        <w:pStyle w:val="2"/>
        <w:spacing w:beforeLines="50" w:line="400" w:lineRule="exact"/>
        <w:rPr>
          <w:rFonts w:ascii="宋体" w:hAnsi="宋体" w:cs="宋体"/>
          <w:color w:val="auto"/>
          <w:sz w:val="24"/>
          <w:szCs w:val="24"/>
          <w:highlight w:val="none"/>
        </w:rPr>
      </w:pPr>
      <w:bookmarkStart w:id="1501" w:name="_Toc43475975"/>
      <w:bookmarkStart w:id="1502" w:name="_Toc451261349"/>
      <w:bookmarkStart w:id="1503" w:name="_Toc386467245"/>
      <w:bookmarkStart w:id="1504" w:name="_Toc393546499"/>
      <w:bookmarkStart w:id="1505" w:name="_Toc453057159"/>
      <w:bookmarkStart w:id="1506" w:name="_Toc330406440"/>
      <w:r>
        <w:rPr>
          <w:rFonts w:hint="eastAsia" w:ascii="宋体" w:hAnsi="宋体" w:cs="宋体"/>
          <w:color w:val="auto"/>
          <w:sz w:val="24"/>
          <w:szCs w:val="24"/>
          <w:highlight w:val="none"/>
        </w:rPr>
        <w:t>17.5交工结算</w:t>
      </w:r>
      <w:bookmarkEnd w:id="1501"/>
      <w:bookmarkEnd w:id="1502"/>
      <w:bookmarkEnd w:id="1503"/>
      <w:bookmarkEnd w:id="1504"/>
      <w:bookmarkEnd w:id="1505"/>
      <w:bookmarkEnd w:id="1506"/>
    </w:p>
    <w:p w14:paraId="7B76969D">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17.5.l交工付款申请单</w:t>
      </w:r>
    </w:p>
    <w:p w14:paraId="2114FD8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本项（l）目约定为：</w:t>
      </w:r>
    </w:p>
    <w:p w14:paraId="5DF6113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承包人向监理人提交交工付款申请单（包括相关证明材料）的份数在项目专用合同条款数据表中约定；期限：交工验收证书签发后42天内。</w:t>
      </w:r>
    </w:p>
    <w:p w14:paraId="670970A8">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17.5.2</w:t>
      </w:r>
      <w:r>
        <w:rPr>
          <w:rFonts w:hint="eastAsia" w:ascii="宋体" w:hAnsi="宋体" w:cs="宋体"/>
          <w:b/>
          <w:bCs/>
          <w:color w:val="auto"/>
          <w:sz w:val="24"/>
          <w:highlight w:val="none"/>
          <w:lang w:val="zh-CN"/>
        </w:rPr>
        <w:t>交工付款证书及支付时间</w:t>
      </w:r>
    </w:p>
    <w:p w14:paraId="4917033A">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（2）</w:t>
      </w:r>
      <w:r>
        <w:rPr>
          <w:rFonts w:hint="eastAsia" w:ascii="宋体" w:hAnsi="宋体" w:cs="宋体"/>
          <w:color w:val="auto"/>
          <w:sz w:val="24"/>
          <w:highlight w:val="none"/>
          <w:lang w:val="zh-CN"/>
        </w:rPr>
        <w:t>目细化为：</w:t>
      </w:r>
    </w:p>
    <w:p w14:paraId="39CCE59F">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发包人应在监理人出具交工付款证书且承包人提交了合格的增值税专用发票后 的14天内，将应支付款支付给承包人。发包人不按期支付的，按第</w:t>
      </w:r>
      <w:r>
        <w:rPr>
          <w:rFonts w:hint="eastAsia" w:ascii="宋体" w:hAnsi="宋体" w:cs="宋体"/>
          <w:color w:val="auto"/>
          <w:sz w:val="24"/>
          <w:highlight w:val="none"/>
        </w:rPr>
        <w:t>17.3.3 （2）</w:t>
      </w:r>
      <w:r>
        <w:rPr>
          <w:rFonts w:hint="eastAsia" w:ascii="宋体" w:hAnsi="宋体" w:cs="宋体"/>
          <w:color w:val="auto"/>
          <w:sz w:val="24"/>
          <w:highlight w:val="none"/>
          <w:lang w:val="zh-CN"/>
        </w:rPr>
        <w:t>目 的约定，将逾期付款违约金支付给承包人。</w:t>
      </w:r>
    </w:p>
    <w:p w14:paraId="6A773226">
      <w:pPr>
        <w:pStyle w:val="2"/>
        <w:spacing w:beforeLines="50" w:line="400" w:lineRule="exact"/>
        <w:rPr>
          <w:rFonts w:ascii="宋体" w:hAnsi="宋体" w:cs="宋体"/>
          <w:color w:val="auto"/>
          <w:sz w:val="24"/>
          <w:szCs w:val="24"/>
          <w:highlight w:val="none"/>
        </w:rPr>
      </w:pPr>
      <w:bookmarkStart w:id="1507" w:name="_Toc453057160"/>
      <w:bookmarkStart w:id="1508" w:name="_Toc330406441"/>
      <w:bookmarkStart w:id="1509" w:name="_Toc451261350"/>
      <w:bookmarkStart w:id="1510" w:name="_Toc43475976"/>
      <w:bookmarkStart w:id="1511" w:name="_Toc393546500"/>
      <w:bookmarkStart w:id="1512" w:name="_Toc386467246"/>
      <w:r>
        <w:rPr>
          <w:rFonts w:hint="eastAsia" w:ascii="宋体" w:hAnsi="宋体" w:cs="宋体"/>
          <w:color w:val="auto"/>
          <w:sz w:val="24"/>
          <w:szCs w:val="24"/>
          <w:highlight w:val="none"/>
        </w:rPr>
        <w:t>17.6最终结清</w:t>
      </w:r>
      <w:bookmarkEnd w:id="1507"/>
      <w:bookmarkEnd w:id="1508"/>
      <w:bookmarkEnd w:id="1509"/>
      <w:bookmarkEnd w:id="1510"/>
      <w:bookmarkEnd w:id="1511"/>
      <w:bookmarkEnd w:id="1512"/>
    </w:p>
    <w:p w14:paraId="022EF29E">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17.6.1最终结清申请单</w:t>
      </w:r>
    </w:p>
    <w:p w14:paraId="00C8872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本项（1）目约定为：</w:t>
      </w:r>
    </w:p>
    <w:p w14:paraId="54B87B3A">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承包人向监理人提交最终结清申请单（包括相关证明材料）的份数在项目专用合同条款数据表中约定；期限：缺陷责任期终止证书签发后28天内。</w:t>
      </w:r>
    </w:p>
    <w:p w14:paraId="4B23C7A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最终结清申请单中的总金额应认为是代表了根据合同规定应付给承包人的全部款项的最后结算。</w:t>
      </w:r>
    </w:p>
    <w:p w14:paraId="26BC0853">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17.6.2</w:t>
      </w:r>
      <w:r>
        <w:rPr>
          <w:rFonts w:hint="eastAsia" w:ascii="宋体" w:hAnsi="宋体" w:cs="宋体"/>
          <w:b/>
          <w:bCs/>
          <w:color w:val="auto"/>
          <w:sz w:val="24"/>
          <w:highlight w:val="none"/>
          <w:lang w:val="zh-CN"/>
        </w:rPr>
        <w:t>最终结清证书和支付时间</w:t>
      </w:r>
    </w:p>
    <w:p w14:paraId="5BEB8CE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（2）</w:t>
      </w:r>
      <w:r>
        <w:rPr>
          <w:rFonts w:hint="eastAsia" w:ascii="宋体" w:hAnsi="宋体" w:cs="宋体"/>
          <w:color w:val="auto"/>
          <w:sz w:val="24"/>
          <w:highlight w:val="none"/>
          <w:lang w:val="zh-CN"/>
        </w:rPr>
        <w:t>目细化为：</w:t>
      </w:r>
    </w:p>
    <w:p w14:paraId="7979C29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发包人应在监理人出具最终结清证书且承包人提交了合格的增值税专用发 票后的14天内，将应支付款支付给承包人。发包人不按期支付的，按第</w:t>
      </w:r>
      <w:r>
        <w:rPr>
          <w:rFonts w:hint="eastAsia" w:ascii="宋体" w:hAnsi="宋体" w:cs="宋体"/>
          <w:color w:val="auto"/>
          <w:sz w:val="24"/>
          <w:highlight w:val="none"/>
        </w:rPr>
        <w:t xml:space="preserve">17.3.3 （2） </w:t>
      </w:r>
      <w:r>
        <w:rPr>
          <w:rFonts w:hint="eastAsia" w:ascii="宋体" w:hAnsi="宋体" w:cs="宋体"/>
          <w:color w:val="auto"/>
          <w:sz w:val="24"/>
          <w:highlight w:val="none"/>
          <w:lang w:val="zh-CN"/>
        </w:rPr>
        <w:t>目的约定，将逾期付款违约金支付给承包人。</w:t>
      </w:r>
    </w:p>
    <w:p w14:paraId="55C65688">
      <w:pPr>
        <w:tabs>
          <w:tab w:val="left" w:pos="3193"/>
        </w:tabs>
        <w:spacing w:line="400" w:lineRule="exact"/>
        <w:ind w:firstLine="480" w:firstLineChars="200"/>
        <w:rPr>
          <w:rFonts w:ascii="宋体" w:hAnsi="宋体" w:cs="宋体"/>
          <w:color w:val="auto"/>
          <w:sz w:val="24"/>
          <w:highlight w:val="none"/>
        </w:rPr>
      </w:pPr>
    </w:p>
    <w:p w14:paraId="2C819F4C">
      <w:pPr>
        <w:pStyle w:val="2"/>
        <w:spacing w:beforeLines="50" w:after="120" w:line="400" w:lineRule="exact"/>
        <w:rPr>
          <w:rFonts w:ascii="宋体" w:hAnsi="宋体" w:cs="宋体"/>
          <w:color w:val="auto"/>
          <w:sz w:val="28"/>
          <w:szCs w:val="28"/>
          <w:highlight w:val="none"/>
        </w:rPr>
      </w:pPr>
      <w:bookmarkStart w:id="1513" w:name="_Toc330406442"/>
      <w:bookmarkStart w:id="1514" w:name="_Toc386467247"/>
      <w:bookmarkStart w:id="1515" w:name="_Toc43475977"/>
      <w:bookmarkStart w:id="1516" w:name="_Toc393546501"/>
      <w:bookmarkStart w:id="1517" w:name="_Toc451261351"/>
      <w:bookmarkStart w:id="1518" w:name="_Toc453057161"/>
      <w:r>
        <w:rPr>
          <w:rFonts w:hint="eastAsia" w:ascii="宋体" w:hAnsi="宋体" w:cs="宋体"/>
          <w:color w:val="auto"/>
          <w:sz w:val="28"/>
          <w:szCs w:val="28"/>
          <w:highlight w:val="none"/>
        </w:rPr>
        <w:t>18.交工验收</w:t>
      </w:r>
      <w:bookmarkEnd w:id="1513"/>
      <w:bookmarkEnd w:id="1514"/>
      <w:bookmarkEnd w:id="1515"/>
      <w:bookmarkEnd w:id="1516"/>
      <w:bookmarkEnd w:id="1517"/>
      <w:bookmarkEnd w:id="1518"/>
    </w:p>
    <w:p w14:paraId="25565450">
      <w:pPr>
        <w:pStyle w:val="2"/>
        <w:spacing w:beforeLines="50" w:line="400" w:lineRule="exact"/>
        <w:rPr>
          <w:rFonts w:ascii="宋体" w:hAnsi="宋体" w:cs="宋体"/>
          <w:color w:val="auto"/>
          <w:sz w:val="24"/>
          <w:szCs w:val="24"/>
          <w:highlight w:val="none"/>
        </w:rPr>
      </w:pPr>
      <w:bookmarkStart w:id="1519" w:name="_Toc453057162"/>
      <w:bookmarkStart w:id="1520" w:name="_Toc43475978"/>
      <w:bookmarkStart w:id="1521" w:name="_Toc386467248"/>
      <w:bookmarkStart w:id="1522" w:name="_Toc451261352"/>
      <w:bookmarkStart w:id="1523" w:name="_Toc330406443"/>
      <w:bookmarkStart w:id="1524" w:name="_Toc393546502"/>
      <w:r>
        <w:rPr>
          <w:rFonts w:hint="eastAsia" w:ascii="宋体" w:hAnsi="宋体" w:cs="宋体"/>
          <w:color w:val="auto"/>
          <w:sz w:val="24"/>
          <w:szCs w:val="24"/>
          <w:highlight w:val="none"/>
        </w:rPr>
        <w:t>18.2交工验收申请报告</w:t>
      </w:r>
      <w:bookmarkEnd w:id="1519"/>
      <w:bookmarkEnd w:id="1520"/>
      <w:bookmarkEnd w:id="1521"/>
      <w:bookmarkEnd w:id="1522"/>
      <w:bookmarkEnd w:id="1523"/>
      <w:bookmarkEnd w:id="1524"/>
    </w:p>
    <w:p w14:paraId="39EFB05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本款第（2）项约定为：</w:t>
      </w:r>
    </w:p>
    <w:p w14:paraId="5312C7A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竣工资料的内容：承包人应按照《公路工程竣（交）工验收办法》和相关规定编制竣工资料。</w:t>
      </w:r>
    </w:p>
    <w:p w14:paraId="59A390B0">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竣工资料的份数在项目专用合同条款数据表中约定。</w:t>
      </w:r>
    </w:p>
    <w:p w14:paraId="6E74B776">
      <w:pPr>
        <w:pStyle w:val="2"/>
        <w:spacing w:beforeLines="50" w:line="400" w:lineRule="exact"/>
        <w:rPr>
          <w:rFonts w:ascii="宋体" w:hAnsi="宋体" w:cs="宋体"/>
          <w:color w:val="auto"/>
          <w:sz w:val="24"/>
          <w:szCs w:val="24"/>
          <w:highlight w:val="none"/>
        </w:rPr>
      </w:pPr>
      <w:bookmarkStart w:id="1525" w:name="_Toc386467249"/>
      <w:bookmarkStart w:id="1526" w:name="_Toc330406444"/>
      <w:bookmarkStart w:id="1527" w:name="_Toc451261353"/>
      <w:bookmarkStart w:id="1528" w:name="_Toc453057163"/>
      <w:bookmarkStart w:id="1529" w:name="_Toc43475979"/>
      <w:bookmarkStart w:id="1530" w:name="_Toc393546503"/>
      <w:r>
        <w:rPr>
          <w:rFonts w:hint="eastAsia" w:ascii="宋体" w:hAnsi="宋体" w:cs="宋体"/>
          <w:color w:val="auto"/>
          <w:sz w:val="24"/>
          <w:szCs w:val="24"/>
          <w:highlight w:val="none"/>
        </w:rPr>
        <w:t>18.3 验收</w:t>
      </w:r>
      <w:bookmarkEnd w:id="1525"/>
      <w:bookmarkEnd w:id="1526"/>
      <w:bookmarkEnd w:id="1527"/>
      <w:bookmarkEnd w:id="1528"/>
      <w:bookmarkEnd w:id="1529"/>
      <w:bookmarkEnd w:id="1530"/>
    </w:p>
    <w:p w14:paraId="5D520D2C">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第18.3.2项补充：</w:t>
      </w:r>
    </w:p>
    <w:p w14:paraId="1FBE8CE6">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6559989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第18.3.5项约定为：</w:t>
      </w:r>
    </w:p>
    <w:p w14:paraId="6CB3832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经验收合格工程的实际交工日期，以最终提交交工验收申请报告的日期为准，并在交工验收证书中写明。</w:t>
      </w:r>
    </w:p>
    <w:p w14:paraId="682C5396">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本款补充第18.3.7项：</w:t>
      </w:r>
    </w:p>
    <w:p w14:paraId="51F8EEB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组织办理交工验收和签发交工验收证书的费用由发包人承担。但按照第18.3.4项规定达不到合格标准的交工验收费用由承包人承担。</w:t>
      </w:r>
    </w:p>
    <w:p w14:paraId="5DBCBCE5">
      <w:pPr>
        <w:tabs>
          <w:tab w:val="left" w:pos="3193"/>
        </w:tabs>
        <w:spacing w:line="400" w:lineRule="exact"/>
        <w:ind w:firstLine="480" w:firstLineChars="200"/>
        <w:rPr>
          <w:rFonts w:ascii="宋体" w:hAnsi="宋体" w:cs="宋体"/>
          <w:color w:val="auto"/>
          <w:sz w:val="24"/>
          <w:highlight w:val="none"/>
        </w:rPr>
      </w:pPr>
    </w:p>
    <w:p w14:paraId="65ADCC6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本条补充第18.9款：</w:t>
      </w:r>
    </w:p>
    <w:p w14:paraId="142C88FA">
      <w:pPr>
        <w:pStyle w:val="2"/>
        <w:spacing w:beforeLines="50" w:line="400" w:lineRule="exact"/>
        <w:rPr>
          <w:rFonts w:ascii="宋体" w:hAnsi="宋体" w:cs="宋体"/>
          <w:color w:val="auto"/>
          <w:sz w:val="24"/>
          <w:szCs w:val="24"/>
          <w:highlight w:val="none"/>
        </w:rPr>
      </w:pPr>
      <w:bookmarkStart w:id="1531" w:name="_Toc386467250"/>
      <w:bookmarkStart w:id="1532" w:name="_Toc393546504"/>
      <w:bookmarkStart w:id="1533" w:name="_Toc453057164"/>
      <w:bookmarkStart w:id="1534" w:name="_Toc43475980"/>
      <w:bookmarkStart w:id="1535" w:name="_Toc451261354"/>
      <w:bookmarkStart w:id="1536" w:name="_Toc330406445"/>
      <w:r>
        <w:rPr>
          <w:rFonts w:hint="eastAsia" w:ascii="宋体" w:hAnsi="宋体" w:cs="宋体"/>
          <w:color w:val="auto"/>
          <w:sz w:val="24"/>
          <w:szCs w:val="24"/>
          <w:highlight w:val="none"/>
        </w:rPr>
        <w:t>18.9竣工文件</w:t>
      </w:r>
      <w:bookmarkEnd w:id="1531"/>
      <w:bookmarkEnd w:id="1532"/>
      <w:bookmarkEnd w:id="1533"/>
      <w:bookmarkEnd w:id="1534"/>
      <w:bookmarkEnd w:id="1535"/>
      <w:bookmarkEnd w:id="1536"/>
    </w:p>
    <w:p w14:paraId="7F6F69A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承包人应按照《公路工程竣（交）工验收办法》中的相关规定，在缺陷责任期内为竣工验收补充竣工资料，并在签发缺陷责任期终止证书之前提交。</w:t>
      </w:r>
    </w:p>
    <w:p w14:paraId="7DEA52FC">
      <w:pPr>
        <w:pStyle w:val="2"/>
        <w:spacing w:beforeLines="50" w:after="120" w:line="400" w:lineRule="exact"/>
        <w:rPr>
          <w:rFonts w:ascii="宋体" w:hAnsi="宋体" w:cs="宋体"/>
          <w:color w:val="auto"/>
          <w:sz w:val="28"/>
          <w:szCs w:val="28"/>
          <w:highlight w:val="none"/>
        </w:rPr>
      </w:pPr>
      <w:bookmarkStart w:id="1537" w:name="_Toc453057165"/>
      <w:bookmarkStart w:id="1538" w:name="_Toc393546505"/>
      <w:bookmarkStart w:id="1539" w:name="_Toc451261355"/>
      <w:bookmarkStart w:id="1540" w:name="_Toc43475981"/>
      <w:bookmarkStart w:id="1541" w:name="_Toc386467251"/>
      <w:bookmarkStart w:id="1542" w:name="_Toc330406446"/>
      <w:r>
        <w:rPr>
          <w:rFonts w:hint="eastAsia" w:ascii="宋体" w:hAnsi="宋体" w:cs="宋体"/>
          <w:color w:val="auto"/>
          <w:sz w:val="28"/>
          <w:szCs w:val="28"/>
          <w:highlight w:val="none"/>
        </w:rPr>
        <w:t>19.缺陷责任与保修责任</w:t>
      </w:r>
      <w:bookmarkEnd w:id="1537"/>
      <w:bookmarkEnd w:id="1538"/>
      <w:bookmarkEnd w:id="1539"/>
      <w:bookmarkEnd w:id="1540"/>
      <w:bookmarkEnd w:id="1541"/>
      <w:bookmarkEnd w:id="1542"/>
    </w:p>
    <w:p w14:paraId="76F43846">
      <w:pPr>
        <w:pStyle w:val="2"/>
        <w:spacing w:beforeLines="50" w:line="400" w:lineRule="exact"/>
        <w:rPr>
          <w:rFonts w:ascii="宋体" w:hAnsi="宋体" w:cs="宋体"/>
          <w:color w:val="auto"/>
          <w:sz w:val="24"/>
          <w:szCs w:val="24"/>
          <w:highlight w:val="none"/>
        </w:rPr>
      </w:pPr>
      <w:bookmarkStart w:id="1543" w:name="_Toc453057166"/>
      <w:bookmarkStart w:id="1544" w:name="_Toc43475982"/>
      <w:bookmarkStart w:id="1545" w:name="_Toc451261356"/>
      <w:bookmarkStart w:id="1546" w:name="_Toc393546506"/>
      <w:bookmarkStart w:id="1547" w:name="_Toc330406447"/>
      <w:bookmarkStart w:id="1548" w:name="_Toc386467252"/>
      <w:r>
        <w:rPr>
          <w:rFonts w:hint="eastAsia" w:ascii="宋体" w:hAnsi="宋体" w:cs="宋体"/>
          <w:color w:val="auto"/>
          <w:sz w:val="24"/>
          <w:szCs w:val="24"/>
          <w:highlight w:val="none"/>
        </w:rPr>
        <w:t>19.2缺陷责任</w:t>
      </w:r>
      <w:bookmarkEnd w:id="1543"/>
      <w:bookmarkEnd w:id="1544"/>
      <w:bookmarkEnd w:id="1545"/>
      <w:bookmarkEnd w:id="1546"/>
      <w:bookmarkEnd w:id="1547"/>
      <w:bookmarkEnd w:id="1548"/>
    </w:p>
    <w:p w14:paraId="003C33C8">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第19.2.2项补充：</w:t>
      </w:r>
    </w:p>
    <w:p w14:paraId="16E7D893">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在缺陷责任期内，承包人应尽快完成在交工验收证书中写明的未完成工作，并完成对本工程缺陷的修复或监理人指令的修补工作。</w:t>
      </w:r>
    </w:p>
    <w:p w14:paraId="70CEFDBC">
      <w:pPr>
        <w:pStyle w:val="2"/>
        <w:spacing w:beforeLines="50" w:line="400" w:lineRule="exact"/>
        <w:rPr>
          <w:rFonts w:ascii="宋体" w:hAnsi="宋体" w:cs="宋体"/>
          <w:color w:val="auto"/>
          <w:sz w:val="24"/>
          <w:szCs w:val="24"/>
          <w:highlight w:val="none"/>
        </w:rPr>
      </w:pPr>
      <w:bookmarkStart w:id="1549" w:name="_Toc451261357"/>
      <w:bookmarkStart w:id="1550" w:name="_Toc393546507"/>
      <w:bookmarkStart w:id="1551" w:name="_Toc43475983"/>
      <w:bookmarkStart w:id="1552" w:name="_Toc330406448"/>
      <w:bookmarkStart w:id="1553" w:name="_Toc386467253"/>
      <w:bookmarkStart w:id="1554" w:name="_Toc453057167"/>
      <w:r>
        <w:rPr>
          <w:rFonts w:hint="eastAsia" w:ascii="宋体" w:hAnsi="宋体" w:cs="宋体"/>
          <w:color w:val="auto"/>
          <w:sz w:val="24"/>
          <w:szCs w:val="24"/>
          <w:highlight w:val="none"/>
        </w:rPr>
        <w:t>19.5承包人的进入权</w:t>
      </w:r>
      <w:bookmarkEnd w:id="1549"/>
      <w:bookmarkEnd w:id="1550"/>
      <w:bookmarkEnd w:id="1551"/>
      <w:bookmarkEnd w:id="1552"/>
      <w:bookmarkEnd w:id="1553"/>
      <w:bookmarkEnd w:id="1554"/>
    </w:p>
    <w:p w14:paraId="536DF05C">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49AE3B3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承包人在缺陷修复施工过程中，应服从管养单位的有关安全管理规定，由于承包人自身原因造成的人员伤亡、设备和材料的损毁及罚款等责任由承包人自负。</w:t>
      </w:r>
    </w:p>
    <w:p w14:paraId="040BDF62">
      <w:pPr>
        <w:pStyle w:val="2"/>
        <w:spacing w:beforeLines="50" w:line="400" w:lineRule="exact"/>
        <w:rPr>
          <w:rFonts w:ascii="宋体" w:hAnsi="宋体" w:cs="宋体"/>
          <w:color w:val="auto"/>
          <w:sz w:val="24"/>
          <w:szCs w:val="24"/>
          <w:highlight w:val="none"/>
        </w:rPr>
      </w:pPr>
      <w:bookmarkStart w:id="1555" w:name="_Toc453057168"/>
      <w:bookmarkStart w:id="1556" w:name="_Toc393546508"/>
      <w:bookmarkStart w:id="1557" w:name="_Toc451261358"/>
      <w:bookmarkStart w:id="1558" w:name="_Toc386467254"/>
      <w:bookmarkStart w:id="1559" w:name="_Toc43475984"/>
      <w:bookmarkStart w:id="1560" w:name="_Toc330406449"/>
      <w:r>
        <w:rPr>
          <w:rFonts w:hint="eastAsia" w:ascii="宋体" w:hAnsi="宋体" w:cs="宋体"/>
          <w:color w:val="auto"/>
          <w:sz w:val="24"/>
          <w:szCs w:val="24"/>
          <w:highlight w:val="none"/>
        </w:rPr>
        <w:t>19.7保修责任</w:t>
      </w:r>
      <w:bookmarkEnd w:id="1555"/>
      <w:bookmarkEnd w:id="1556"/>
      <w:bookmarkEnd w:id="1557"/>
      <w:bookmarkEnd w:id="1558"/>
      <w:bookmarkEnd w:id="1559"/>
      <w:bookmarkEnd w:id="1560"/>
    </w:p>
    <w:p w14:paraId="79CD9AB8">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47C0DC0F">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0C9CAE5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（2）在全部工程交工验收前，已经发包人提前验收的单位工程，其保修期的起算日期相应提前。</w:t>
      </w:r>
    </w:p>
    <w:p w14:paraId="13033FCF">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（3）工程保修期终止后28天内，监理人签发保修期终止证书。</w:t>
      </w:r>
    </w:p>
    <w:p w14:paraId="52494B9F">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（4）若承包人不履行保修义务和责任，则承包人应承担由于违约造成的法律后果，并由发包人将其违约行为上报省级交通主管部门，作为不良记录纳入公路建设市场信用信息管理系统。</w:t>
      </w:r>
    </w:p>
    <w:p w14:paraId="723B0FB0">
      <w:pPr>
        <w:pStyle w:val="2"/>
        <w:spacing w:beforeLines="50" w:after="120" w:line="400" w:lineRule="exact"/>
        <w:rPr>
          <w:rFonts w:ascii="宋体" w:hAnsi="宋体" w:cs="宋体"/>
          <w:color w:val="auto"/>
          <w:sz w:val="28"/>
          <w:szCs w:val="28"/>
          <w:highlight w:val="none"/>
        </w:rPr>
      </w:pPr>
      <w:bookmarkStart w:id="1561" w:name="_Toc393546509"/>
      <w:bookmarkStart w:id="1562" w:name="_Toc43475985"/>
      <w:bookmarkStart w:id="1563" w:name="_Toc330406450"/>
      <w:bookmarkStart w:id="1564" w:name="_Toc453057169"/>
      <w:bookmarkStart w:id="1565" w:name="_Toc451261359"/>
      <w:bookmarkStart w:id="1566" w:name="_Toc386467255"/>
      <w:r>
        <w:rPr>
          <w:rFonts w:hint="eastAsia" w:ascii="宋体" w:hAnsi="宋体" w:cs="宋体"/>
          <w:color w:val="auto"/>
          <w:sz w:val="28"/>
          <w:szCs w:val="28"/>
          <w:highlight w:val="none"/>
        </w:rPr>
        <w:t>20.保险</w:t>
      </w:r>
      <w:bookmarkEnd w:id="1561"/>
      <w:bookmarkEnd w:id="1562"/>
      <w:bookmarkEnd w:id="1563"/>
      <w:bookmarkEnd w:id="1564"/>
      <w:bookmarkEnd w:id="1565"/>
      <w:bookmarkEnd w:id="1566"/>
    </w:p>
    <w:p w14:paraId="0DEB77D7">
      <w:pPr>
        <w:pStyle w:val="2"/>
        <w:spacing w:beforeLines="50" w:line="400" w:lineRule="exact"/>
        <w:rPr>
          <w:rFonts w:ascii="宋体" w:hAnsi="宋体" w:cs="宋体"/>
          <w:color w:val="auto"/>
          <w:sz w:val="24"/>
          <w:szCs w:val="24"/>
          <w:highlight w:val="none"/>
        </w:rPr>
      </w:pPr>
      <w:bookmarkStart w:id="1567" w:name="_Toc451261360"/>
      <w:bookmarkStart w:id="1568" w:name="_Toc330406451"/>
      <w:bookmarkStart w:id="1569" w:name="_Toc453057170"/>
      <w:bookmarkStart w:id="1570" w:name="_Toc393546510"/>
      <w:bookmarkStart w:id="1571" w:name="_Toc43475986"/>
      <w:bookmarkStart w:id="1572" w:name="_Toc386467256"/>
      <w:r>
        <w:rPr>
          <w:rFonts w:hint="eastAsia" w:ascii="宋体" w:hAnsi="宋体" w:cs="宋体"/>
          <w:color w:val="auto"/>
          <w:sz w:val="24"/>
          <w:szCs w:val="24"/>
          <w:highlight w:val="none"/>
        </w:rPr>
        <w:t>20.1工程保险</w:t>
      </w:r>
      <w:bookmarkEnd w:id="1567"/>
      <w:bookmarkEnd w:id="1568"/>
      <w:bookmarkEnd w:id="1569"/>
      <w:bookmarkEnd w:id="1570"/>
      <w:bookmarkEnd w:id="1571"/>
      <w:bookmarkEnd w:id="1572"/>
    </w:p>
    <w:p w14:paraId="393593B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1D8A682E">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建筑工程—切险的投保内容：为本合同工程的永久工程、临时工程和设备及已运至施工工地用于永久工程的材料和设备所投的保险。</w:t>
      </w:r>
    </w:p>
    <w:p w14:paraId="5DD41D2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保险金额：工程量清单第100章（不含建筑工程一切险及第三者责任险的保险费）至700章的合计金额。</w:t>
      </w:r>
    </w:p>
    <w:p w14:paraId="7289678F">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保险费率：在项目专用合同条款数据表中约定。</w:t>
      </w:r>
    </w:p>
    <w:p w14:paraId="11D34E4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保险期限：开工日起直至本合同工程签发缺陷责任期终止证书止（即合同工期＋缺陷责任期）</w:t>
      </w:r>
    </w:p>
    <w:p w14:paraId="33784A8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14:paraId="1D6F9A21">
      <w:pPr>
        <w:pStyle w:val="2"/>
        <w:spacing w:beforeLines="50" w:line="400" w:lineRule="exact"/>
        <w:rPr>
          <w:rFonts w:ascii="宋体" w:hAnsi="宋体" w:cs="宋体"/>
          <w:color w:val="auto"/>
          <w:sz w:val="24"/>
          <w:szCs w:val="24"/>
          <w:highlight w:val="none"/>
        </w:rPr>
      </w:pPr>
      <w:bookmarkStart w:id="1573" w:name="_Toc453057171"/>
      <w:bookmarkStart w:id="1574" w:name="_Toc43475987"/>
      <w:bookmarkStart w:id="1575" w:name="_Toc451261361"/>
      <w:bookmarkStart w:id="1576" w:name="_Toc386467257"/>
      <w:bookmarkStart w:id="1577" w:name="_Toc330406452"/>
      <w:bookmarkStart w:id="1578" w:name="_Toc393546511"/>
      <w:r>
        <w:rPr>
          <w:rFonts w:hint="eastAsia" w:ascii="宋体" w:hAnsi="宋体" w:cs="宋体"/>
          <w:color w:val="auto"/>
          <w:sz w:val="24"/>
          <w:szCs w:val="24"/>
          <w:highlight w:val="none"/>
        </w:rPr>
        <w:t>20.4第三者责任险</w:t>
      </w:r>
      <w:bookmarkEnd w:id="1573"/>
      <w:bookmarkEnd w:id="1574"/>
      <w:bookmarkEnd w:id="1575"/>
      <w:bookmarkEnd w:id="1576"/>
      <w:bookmarkEnd w:id="1577"/>
      <w:bookmarkEnd w:id="1578"/>
    </w:p>
    <w:p w14:paraId="389E659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第20.4.2项补充：</w:t>
      </w:r>
    </w:p>
    <w:p w14:paraId="4A5BEF6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第三者责任险的保险费由承包人报价时列入工程量清单100章内。发包人在接到保险单后，将按照保险单的费用直接向承包人支付。</w:t>
      </w:r>
    </w:p>
    <w:p w14:paraId="5906EB53">
      <w:pPr>
        <w:pStyle w:val="2"/>
        <w:spacing w:beforeLines="50" w:line="400" w:lineRule="exact"/>
        <w:rPr>
          <w:rFonts w:ascii="宋体" w:hAnsi="宋体" w:cs="宋体"/>
          <w:color w:val="auto"/>
          <w:sz w:val="24"/>
          <w:szCs w:val="24"/>
          <w:highlight w:val="none"/>
        </w:rPr>
      </w:pPr>
      <w:bookmarkStart w:id="1579" w:name="_Toc43475988"/>
      <w:bookmarkStart w:id="1580" w:name="_Toc330406453"/>
      <w:bookmarkStart w:id="1581" w:name="_Toc393546512"/>
      <w:bookmarkStart w:id="1582" w:name="_Toc451261362"/>
      <w:bookmarkStart w:id="1583" w:name="_Toc453057172"/>
      <w:bookmarkStart w:id="1584" w:name="_Toc386467258"/>
      <w:r>
        <w:rPr>
          <w:rFonts w:hint="eastAsia" w:ascii="宋体" w:hAnsi="宋体" w:cs="宋体"/>
          <w:color w:val="auto"/>
          <w:sz w:val="24"/>
          <w:szCs w:val="24"/>
          <w:highlight w:val="none"/>
        </w:rPr>
        <w:t>20.5其他保险</w:t>
      </w:r>
      <w:bookmarkEnd w:id="1579"/>
      <w:bookmarkEnd w:id="1580"/>
      <w:bookmarkEnd w:id="1581"/>
      <w:bookmarkEnd w:id="1582"/>
      <w:bookmarkEnd w:id="1583"/>
      <w:bookmarkEnd w:id="1584"/>
    </w:p>
    <w:p w14:paraId="00C38FE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01239F27">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承包人应为其施工设备等办理保险，其投保金额应足以现场重量。办理本款保险的一切费用均由承包人承担，并包括在工程量清单的单价及总额价中，发包人不单独支付。</w:t>
      </w:r>
    </w:p>
    <w:p w14:paraId="30B3E299">
      <w:pPr>
        <w:pStyle w:val="2"/>
        <w:spacing w:beforeLines="50" w:line="400" w:lineRule="exact"/>
        <w:rPr>
          <w:rFonts w:ascii="宋体" w:hAnsi="宋体" w:cs="宋体"/>
          <w:color w:val="auto"/>
          <w:sz w:val="24"/>
          <w:szCs w:val="24"/>
          <w:highlight w:val="none"/>
        </w:rPr>
      </w:pPr>
      <w:bookmarkStart w:id="1585" w:name="_Toc330406454"/>
      <w:bookmarkStart w:id="1586" w:name="_Toc453057173"/>
      <w:bookmarkStart w:id="1587" w:name="_Toc393546513"/>
      <w:bookmarkStart w:id="1588" w:name="_Toc386467259"/>
      <w:bookmarkStart w:id="1589" w:name="_Toc43475989"/>
      <w:bookmarkStart w:id="1590" w:name="_Toc451261363"/>
      <w:r>
        <w:rPr>
          <w:rFonts w:hint="eastAsia" w:ascii="宋体" w:hAnsi="宋体" w:cs="宋体"/>
          <w:color w:val="auto"/>
          <w:sz w:val="24"/>
          <w:szCs w:val="24"/>
          <w:highlight w:val="none"/>
        </w:rPr>
        <w:t>20.6对各项保险的一般要求</w:t>
      </w:r>
      <w:bookmarkEnd w:id="1585"/>
      <w:bookmarkEnd w:id="1586"/>
      <w:bookmarkEnd w:id="1587"/>
      <w:bookmarkEnd w:id="1588"/>
      <w:bookmarkEnd w:id="1589"/>
      <w:bookmarkEnd w:id="1590"/>
    </w:p>
    <w:p w14:paraId="6772997F">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20.6.1保险凭证</w:t>
      </w:r>
    </w:p>
    <w:p w14:paraId="4C122B40">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14:paraId="707A1E7F">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承包人向发包人提交各项保险生效的证据和保险单副本的期限：开工后56天内。</w:t>
      </w:r>
    </w:p>
    <w:p w14:paraId="0195CB00">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20.6.3 持续保险</w:t>
      </w:r>
    </w:p>
    <w:p w14:paraId="62C979EA">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1899B433">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在整个合同期内，承包人应按合同条款保证足够的保险额。</w:t>
      </w:r>
    </w:p>
    <w:p w14:paraId="173B0F5C">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20.6.4保险金不足的补偿</w:t>
      </w:r>
    </w:p>
    <w:p w14:paraId="34E74BB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240E98E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保险金不足以补偿损失的（包括免赔额和超过赔偿限额的部分），应由承包人和（或）发包人按合同约定负责补偿。</w:t>
      </w:r>
    </w:p>
    <w:p w14:paraId="4BEE1DD2">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20.6.5未按约定投保的补救</w:t>
      </w:r>
    </w:p>
    <w:p w14:paraId="0A8DC99E">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14:paraId="1D731ABC">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5A09D6F0">
      <w:pPr>
        <w:pStyle w:val="2"/>
        <w:spacing w:beforeLines="50" w:after="120" w:line="400" w:lineRule="exact"/>
        <w:rPr>
          <w:rFonts w:ascii="宋体" w:hAnsi="宋体" w:cs="宋体"/>
          <w:color w:val="auto"/>
          <w:sz w:val="28"/>
          <w:szCs w:val="28"/>
          <w:highlight w:val="none"/>
        </w:rPr>
      </w:pPr>
      <w:bookmarkStart w:id="1591" w:name="_Toc330406455"/>
      <w:bookmarkStart w:id="1592" w:name="_Toc393546514"/>
      <w:bookmarkStart w:id="1593" w:name="_Toc453057174"/>
      <w:bookmarkStart w:id="1594" w:name="_Toc451261364"/>
      <w:bookmarkStart w:id="1595" w:name="_Toc43475990"/>
      <w:bookmarkStart w:id="1596" w:name="_Toc386467260"/>
      <w:r>
        <w:rPr>
          <w:rFonts w:hint="eastAsia" w:ascii="宋体" w:hAnsi="宋体" w:cs="宋体"/>
          <w:color w:val="auto"/>
          <w:sz w:val="28"/>
          <w:szCs w:val="28"/>
          <w:highlight w:val="none"/>
        </w:rPr>
        <w:t>21.不可抗力</w:t>
      </w:r>
      <w:bookmarkEnd w:id="1591"/>
      <w:bookmarkEnd w:id="1592"/>
      <w:bookmarkEnd w:id="1593"/>
      <w:bookmarkEnd w:id="1594"/>
      <w:bookmarkEnd w:id="1595"/>
      <w:bookmarkEnd w:id="1596"/>
    </w:p>
    <w:p w14:paraId="162566A8">
      <w:pPr>
        <w:pStyle w:val="2"/>
        <w:spacing w:beforeLines="50" w:line="400" w:lineRule="exact"/>
        <w:rPr>
          <w:rFonts w:ascii="宋体" w:hAnsi="宋体" w:cs="宋体"/>
          <w:color w:val="auto"/>
          <w:sz w:val="24"/>
          <w:szCs w:val="24"/>
          <w:highlight w:val="none"/>
        </w:rPr>
      </w:pPr>
      <w:bookmarkStart w:id="1597" w:name="_Toc393546515"/>
      <w:bookmarkStart w:id="1598" w:name="_Toc453057175"/>
      <w:bookmarkStart w:id="1599" w:name="_Toc330406456"/>
      <w:bookmarkStart w:id="1600" w:name="_Toc386467261"/>
      <w:bookmarkStart w:id="1601" w:name="_Toc451261365"/>
      <w:bookmarkStart w:id="1602" w:name="_Toc43475991"/>
      <w:r>
        <w:rPr>
          <w:rFonts w:hint="eastAsia" w:ascii="宋体" w:hAnsi="宋体" w:cs="宋体"/>
          <w:color w:val="auto"/>
          <w:sz w:val="24"/>
          <w:szCs w:val="24"/>
          <w:highlight w:val="none"/>
        </w:rPr>
        <w:t>21.1不可抗力的确认</w:t>
      </w:r>
      <w:bookmarkEnd w:id="1597"/>
      <w:bookmarkEnd w:id="1598"/>
      <w:bookmarkEnd w:id="1599"/>
      <w:bookmarkEnd w:id="1600"/>
      <w:bookmarkEnd w:id="1601"/>
      <w:bookmarkEnd w:id="1602"/>
    </w:p>
    <w:p w14:paraId="5FBEC286">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21.1.1项细化为：</w:t>
      </w:r>
    </w:p>
    <w:p w14:paraId="3877C559">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不可抗力是指承包人和发包人在订立合同时不可预见，在工程施工过程中不可避免发生并不能克服的自然灾害和社会性突发事件。包括但不限于：</w:t>
      </w:r>
    </w:p>
    <w:p w14:paraId="364E939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（1）地震、海啸、火山爆发、泥石流、暴雨（雪）、台风、龙卷风、水灾等自然灾害；</w:t>
      </w:r>
    </w:p>
    <w:p w14:paraId="0259EE70">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（2）战争、骚乱、暴动，但纯属承包人或其分包人派遣与雇用的人员由于本合同工程施工原因引起者除外；</w:t>
      </w:r>
    </w:p>
    <w:p w14:paraId="26BBCA3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（3）核反应、辐射或放射性污染；</w:t>
      </w:r>
    </w:p>
    <w:p w14:paraId="3154BCAC">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（4）空中飞行物体附落或非发包人或承包人责任造成的爆炸、火灾；</w:t>
      </w:r>
    </w:p>
    <w:p w14:paraId="459B413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（5）瘟疫；</w:t>
      </w:r>
    </w:p>
    <w:p w14:paraId="5E2A5999">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（6）项目专用合同条款约定的其他情形。</w:t>
      </w:r>
    </w:p>
    <w:p w14:paraId="76D47C9F">
      <w:pPr>
        <w:pStyle w:val="2"/>
        <w:spacing w:beforeLines="50" w:line="400" w:lineRule="exact"/>
        <w:rPr>
          <w:rFonts w:ascii="宋体" w:hAnsi="宋体" w:cs="宋体"/>
          <w:color w:val="auto"/>
          <w:sz w:val="24"/>
          <w:szCs w:val="24"/>
          <w:highlight w:val="none"/>
        </w:rPr>
      </w:pPr>
      <w:bookmarkStart w:id="1603" w:name="_Toc393546516"/>
      <w:bookmarkStart w:id="1604" w:name="_Toc43475992"/>
      <w:bookmarkStart w:id="1605" w:name="_Toc453057176"/>
      <w:bookmarkStart w:id="1606" w:name="_Toc386467262"/>
      <w:bookmarkStart w:id="1607" w:name="_Toc451261366"/>
      <w:bookmarkStart w:id="1608" w:name="_Toc330406457"/>
      <w:r>
        <w:rPr>
          <w:rFonts w:hint="eastAsia" w:ascii="宋体" w:hAnsi="宋体" w:cs="宋体"/>
          <w:color w:val="auto"/>
          <w:sz w:val="24"/>
          <w:szCs w:val="24"/>
          <w:highlight w:val="none"/>
        </w:rPr>
        <w:t>21.3不可抗力后果及其处理</w:t>
      </w:r>
      <w:bookmarkEnd w:id="1603"/>
      <w:bookmarkEnd w:id="1604"/>
      <w:bookmarkEnd w:id="1605"/>
      <w:bookmarkEnd w:id="1606"/>
      <w:bookmarkEnd w:id="1607"/>
      <w:bookmarkEnd w:id="1608"/>
    </w:p>
    <w:p w14:paraId="73807CB3">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21.3.4因不可抗力解除合同</w:t>
      </w:r>
    </w:p>
    <w:p w14:paraId="73BBCC6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4D1D8D7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5169DDB7">
      <w:pPr>
        <w:pStyle w:val="2"/>
        <w:spacing w:beforeLines="50" w:after="120" w:line="400" w:lineRule="exact"/>
        <w:rPr>
          <w:rFonts w:ascii="宋体" w:hAnsi="宋体" w:cs="宋体"/>
          <w:color w:val="auto"/>
          <w:sz w:val="28"/>
          <w:szCs w:val="28"/>
          <w:highlight w:val="none"/>
        </w:rPr>
      </w:pPr>
      <w:bookmarkStart w:id="1609" w:name="_Toc43475993"/>
      <w:bookmarkStart w:id="1610" w:name="_Toc386467263"/>
      <w:bookmarkStart w:id="1611" w:name="_Toc393546517"/>
      <w:bookmarkStart w:id="1612" w:name="_Toc330406458"/>
      <w:bookmarkStart w:id="1613" w:name="_Toc453057177"/>
      <w:bookmarkStart w:id="1614" w:name="_Toc451261367"/>
      <w:r>
        <w:rPr>
          <w:rFonts w:hint="eastAsia" w:ascii="宋体" w:hAnsi="宋体" w:cs="宋体"/>
          <w:color w:val="auto"/>
          <w:sz w:val="28"/>
          <w:szCs w:val="28"/>
          <w:highlight w:val="none"/>
        </w:rPr>
        <w:t>22.违约</w:t>
      </w:r>
      <w:bookmarkEnd w:id="1609"/>
      <w:bookmarkEnd w:id="1610"/>
      <w:bookmarkEnd w:id="1611"/>
      <w:bookmarkEnd w:id="1612"/>
      <w:bookmarkEnd w:id="1613"/>
      <w:bookmarkEnd w:id="1614"/>
    </w:p>
    <w:p w14:paraId="54CFBA85">
      <w:pPr>
        <w:pStyle w:val="2"/>
        <w:spacing w:beforeLines="50" w:line="400" w:lineRule="exact"/>
        <w:rPr>
          <w:rFonts w:ascii="宋体" w:hAnsi="宋体" w:cs="宋体"/>
          <w:color w:val="auto"/>
          <w:sz w:val="24"/>
          <w:szCs w:val="24"/>
          <w:highlight w:val="none"/>
        </w:rPr>
      </w:pPr>
      <w:bookmarkStart w:id="1615" w:name="_Toc330406459"/>
      <w:bookmarkStart w:id="1616" w:name="_Toc43475994"/>
      <w:bookmarkStart w:id="1617" w:name="_Toc451261368"/>
      <w:bookmarkStart w:id="1618" w:name="_Toc393546518"/>
      <w:bookmarkStart w:id="1619" w:name="_Toc453057178"/>
      <w:bookmarkStart w:id="1620" w:name="_Toc386467264"/>
      <w:r>
        <w:rPr>
          <w:rFonts w:hint="eastAsia" w:ascii="宋体" w:hAnsi="宋体" w:cs="宋体"/>
          <w:color w:val="auto"/>
          <w:sz w:val="24"/>
          <w:szCs w:val="24"/>
          <w:highlight w:val="none"/>
        </w:rPr>
        <w:t>22.1承包人违约</w:t>
      </w:r>
      <w:bookmarkEnd w:id="1615"/>
      <w:bookmarkEnd w:id="1616"/>
      <w:bookmarkEnd w:id="1617"/>
      <w:bookmarkEnd w:id="1618"/>
      <w:bookmarkEnd w:id="1619"/>
      <w:bookmarkEnd w:id="1620"/>
    </w:p>
    <w:p w14:paraId="5292A1A6">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22.1.1承包人违约的情形</w:t>
      </w:r>
    </w:p>
    <w:p w14:paraId="19398C6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14:paraId="51F2C2D7">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（2）承包人违反第5.3款或第6.4款的约定，未经监理人批准，私自将已按合同约定进入施工场地的施工设备、临时设施、材料或工程设备撤离施工场地；</w:t>
      </w:r>
    </w:p>
    <w:p w14:paraId="6E1D4EAA">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本项（7）目细化为：</w:t>
      </w:r>
    </w:p>
    <w:p w14:paraId="4B90DA7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（7）承包人未能按期开工；</w:t>
      </w:r>
    </w:p>
    <w:p w14:paraId="6CF6508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（8）承包人违反第4.6款或6.3款的规定，未按承诺或未按监理人的要求及时配备称职的主要管理人员、技术骨干或关键施工设备；</w:t>
      </w:r>
    </w:p>
    <w:p w14:paraId="0F7B25C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（9）经监理人和发包人检查，发现承包人有安全问题或有违反安全管理规章制度的情况；</w:t>
      </w:r>
    </w:p>
    <w:p w14:paraId="08C36F2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（10）承包人不按合同约定履行义务的其他情况。</w:t>
      </w:r>
    </w:p>
    <w:p w14:paraId="002C2E3A">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22.1.2对承包人违约的处理</w:t>
      </w:r>
    </w:p>
    <w:p w14:paraId="2B9A50A6">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5F3363B6">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2B1599E4">
      <w:pPr>
        <w:pStyle w:val="2"/>
        <w:spacing w:beforeLines="50" w:line="400" w:lineRule="exact"/>
        <w:rPr>
          <w:rFonts w:ascii="宋体" w:hAnsi="宋体" w:cs="宋体"/>
          <w:color w:val="auto"/>
          <w:sz w:val="24"/>
          <w:szCs w:val="24"/>
          <w:highlight w:val="none"/>
        </w:rPr>
      </w:pPr>
      <w:bookmarkStart w:id="1621" w:name="_Toc386467265"/>
      <w:bookmarkStart w:id="1622" w:name="_Toc451261369"/>
      <w:bookmarkStart w:id="1623" w:name="_Toc393546519"/>
      <w:bookmarkStart w:id="1624" w:name="_Toc453057179"/>
      <w:bookmarkStart w:id="1625" w:name="_Toc43475995"/>
      <w:bookmarkStart w:id="1626" w:name="_Toc330406460"/>
      <w:r>
        <w:rPr>
          <w:rFonts w:hint="eastAsia" w:ascii="宋体" w:hAnsi="宋体" w:cs="宋体"/>
          <w:color w:val="auto"/>
          <w:sz w:val="24"/>
          <w:szCs w:val="24"/>
          <w:highlight w:val="none"/>
        </w:rPr>
        <w:t>22.2发包人违约</w:t>
      </w:r>
      <w:bookmarkEnd w:id="1621"/>
      <w:bookmarkEnd w:id="1622"/>
      <w:bookmarkEnd w:id="1623"/>
      <w:bookmarkEnd w:id="1624"/>
      <w:bookmarkEnd w:id="1625"/>
      <w:bookmarkEnd w:id="1626"/>
    </w:p>
    <w:p w14:paraId="22314B46">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22.2.1</w:t>
      </w:r>
      <w:r>
        <w:rPr>
          <w:rFonts w:hint="eastAsia" w:ascii="宋体" w:hAnsi="宋体" w:cs="宋体"/>
          <w:b/>
          <w:bCs/>
          <w:color w:val="auto"/>
          <w:sz w:val="24"/>
          <w:highlight w:val="none"/>
          <w:lang w:val="zh-CN"/>
        </w:rPr>
        <w:t>发包人违约的情形</w:t>
      </w:r>
    </w:p>
    <w:p w14:paraId="162511D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(5)</w:t>
      </w:r>
      <w:r>
        <w:rPr>
          <w:rFonts w:hint="eastAsia" w:ascii="宋体" w:hAnsi="宋体" w:cs="宋体"/>
          <w:color w:val="auto"/>
          <w:sz w:val="24"/>
          <w:highlight w:val="none"/>
          <w:lang w:val="zh-CN"/>
        </w:rPr>
        <w:t>目细化为：</w:t>
      </w:r>
    </w:p>
    <w:p w14:paraId="731CB540">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发包人无正当理由不按时返还履约保证金、质量保证金或农民工工资保证金的；</w:t>
      </w:r>
    </w:p>
    <w:p w14:paraId="560B0F7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发包人不履行合同约定其他义务的。</w:t>
      </w:r>
    </w:p>
    <w:p w14:paraId="2C794A88">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22.2.2</w:t>
      </w:r>
      <w:r>
        <w:rPr>
          <w:rFonts w:hint="eastAsia" w:ascii="宋体" w:hAnsi="宋体" w:cs="宋体"/>
          <w:b/>
          <w:bCs/>
          <w:color w:val="auto"/>
          <w:sz w:val="24"/>
          <w:highlight w:val="none"/>
          <w:lang w:val="zh-CN"/>
        </w:rPr>
        <w:t>承包人有权暂停施工</w:t>
      </w:r>
    </w:p>
    <w:p w14:paraId="33D048FB">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本项细化为：</w:t>
      </w:r>
    </w:p>
    <w:p w14:paraId="003B4BC4">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发包人发生除第</w:t>
      </w:r>
      <w:r>
        <w:rPr>
          <w:rFonts w:hint="eastAsia" w:ascii="宋体" w:hAnsi="宋体" w:cs="宋体"/>
          <w:color w:val="auto"/>
          <w:sz w:val="24"/>
          <w:highlight w:val="none"/>
        </w:rPr>
        <w:t xml:space="preserve">22.2.1 </w:t>
      </w:r>
      <w:r>
        <w:rPr>
          <w:rFonts w:hint="eastAsia" w:ascii="宋体" w:hAnsi="宋体" w:cs="宋体"/>
          <w:color w:val="auto"/>
          <w:sz w:val="24"/>
          <w:highlight w:val="none"/>
          <w:lang w:val="zh-CN"/>
        </w:rPr>
        <w:t>(4)、</w:t>
      </w:r>
      <w:r>
        <w:rPr>
          <w:rFonts w:hint="eastAsia" w:ascii="宋体" w:hAnsi="宋体" w:cs="宋体"/>
          <w:color w:val="auto"/>
          <w:sz w:val="24"/>
          <w:highlight w:val="none"/>
        </w:rPr>
        <w:t>(5)</w:t>
      </w:r>
      <w:r>
        <w:rPr>
          <w:rFonts w:hint="eastAsia" w:ascii="宋体" w:hAnsi="宋体" w:cs="宋体"/>
          <w:color w:val="auto"/>
          <w:sz w:val="24"/>
          <w:highlight w:val="none"/>
          <w:lang w:val="zh-CN"/>
        </w:rPr>
        <w:t>目以外的违约情况时，承包人可向发包人发</w:t>
      </w:r>
    </w:p>
    <w:p w14:paraId="1BC598DC">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14:paraId="76429F1D">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发包人发生第</w:t>
      </w:r>
      <w:r>
        <w:rPr>
          <w:rFonts w:hint="eastAsia" w:ascii="宋体" w:hAnsi="宋体" w:cs="宋体"/>
          <w:color w:val="auto"/>
          <w:sz w:val="24"/>
          <w:highlight w:val="none"/>
        </w:rPr>
        <w:t>22.2.1 （5）</w:t>
      </w:r>
      <w:r>
        <w:rPr>
          <w:rFonts w:hint="eastAsia" w:ascii="宋体" w:hAnsi="宋体" w:cs="宋体"/>
          <w:color w:val="auto"/>
          <w:sz w:val="24"/>
          <w:highlight w:val="none"/>
          <w:lang w:val="zh-CN"/>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14:paraId="5EC09595">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22.2.4 解除合同后的付款</w:t>
      </w:r>
    </w:p>
    <w:p w14:paraId="0B5C806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14:paraId="6232D9B8">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（2）承包人为该工程施工订购并已付款的材料、工程设备和其他物品的金额，发包人付款后，该材料、工程设备和其他物品归发包人所有；</w:t>
      </w:r>
    </w:p>
    <w:p w14:paraId="10131C85">
      <w:pPr>
        <w:pStyle w:val="2"/>
        <w:spacing w:before="120" w:line="400" w:lineRule="exact"/>
        <w:rPr>
          <w:rFonts w:ascii="宋体" w:hAnsi="宋体" w:cs="宋体"/>
          <w:color w:val="auto"/>
          <w:sz w:val="28"/>
          <w:szCs w:val="28"/>
          <w:highlight w:val="none"/>
        </w:rPr>
      </w:pPr>
      <w:bookmarkStart w:id="1627" w:name="_Toc393546520"/>
      <w:bookmarkStart w:id="1628" w:name="_Toc453057180"/>
      <w:bookmarkStart w:id="1629" w:name="_Toc330406461"/>
      <w:bookmarkStart w:id="1630" w:name="_Toc43475996"/>
      <w:bookmarkStart w:id="1631" w:name="_Toc386467266"/>
      <w:bookmarkStart w:id="1632" w:name="_Toc451261370"/>
      <w:r>
        <w:rPr>
          <w:rFonts w:hint="eastAsia" w:ascii="宋体" w:hAnsi="宋体" w:cs="宋体"/>
          <w:color w:val="auto"/>
          <w:sz w:val="28"/>
          <w:szCs w:val="28"/>
          <w:highlight w:val="none"/>
        </w:rPr>
        <w:t>23.索赔</w:t>
      </w:r>
      <w:bookmarkEnd w:id="1627"/>
      <w:bookmarkEnd w:id="1628"/>
      <w:bookmarkEnd w:id="1629"/>
      <w:bookmarkEnd w:id="1630"/>
      <w:bookmarkEnd w:id="1631"/>
      <w:bookmarkEnd w:id="1632"/>
    </w:p>
    <w:p w14:paraId="5F26F011">
      <w:pPr>
        <w:pStyle w:val="2"/>
        <w:spacing w:beforeLines="50" w:line="400" w:lineRule="exact"/>
        <w:rPr>
          <w:rFonts w:ascii="宋体" w:hAnsi="宋体" w:cs="宋体"/>
          <w:color w:val="auto"/>
          <w:sz w:val="24"/>
          <w:szCs w:val="24"/>
          <w:highlight w:val="none"/>
        </w:rPr>
      </w:pPr>
      <w:bookmarkStart w:id="1633" w:name="_Toc453057181"/>
      <w:bookmarkStart w:id="1634" w:name="_Toc386467267"/>
      <w:bookmarkStart w:id="1635" w:name="_Toc393546521"/>
      <w:bookmarkStart w:id="1636" w:name="_Toc451261371"/>
      <w:bookmarkStart w:id="1637" w:name="_Toc43475997"/>
      <w:bookmarkStart w:id="1638" w:name="_Toc330406462"/>
      <w:r>
        <w:rPr>
          <w:rFonts w:hint="eastAsia" w:ascii="宋体" w:hAnsi="宋体" w:cs="宋体"/>
          <w:color w:val="auto"/>
          <w:sz w:val="24"/>
          <w:szCs w:val="24"/>
          <w:highlight w:val="none"/>
        </w:rPr>
        <w:t>23.1承包人索赔的提出</w:t>
      </w:r>
      <w:bookmarkEnd w:id="1633"/>
      <w:bookmarkEnd w:id="1634"/>
      <w:bookmarkEnd w:id="1635"/>
      <w:bookmarkEnd w:id="1636"/>
      <w:bookmarkEnd w:id="1637"/>
      <w:bookmarkEnd w:id="1638"/>
    </w:p>
    <w:p w14:paraId="460FB58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本款第（4）项细化为：</w:t>
      </w:r>
    </w:p>
    <w:p w14:paraId="088C28CE">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（4）在索赔事件影响结束后的28天内，承包人应向监理人递交最终索赔通知书，说明最终要求索赔的追加付款金额和（或）延长的工期，并附必要的记录和证明材料。</w:t>
      </w:r>
    </w:p>
    <w:p w14:paraId="206948D7">
      <w:pPr>
        <w:pStyle w:val="2"/>
        <w:spacing w:beforeLines="50" w:line="400" w:lineRule="exact"/>
        <w:rPr>
          <w:rFonts w:ascii="宋体" w:hAnsi="宋体" w:cs="宋体"/>
          <w:color w:val="auto"/>
          <w:sz w:val="24"/>
          <w:szCs w:val="24"/>
          <w:highlight w:val="none"/>
        </w:rPr>
      </w:pPr>
      <w:bookmarkStart w:id="1639" w:name="_Toc393546522"/>
      <w:bookmarkStart w:id="1640" w:name="_Toc451261372"/>
      <w:bookmarkStart w:id="1641" w:name="_Toc330406463"/>
      <w:bookmarkStart w:id="1642" w:name="_Toc386467268"/>
      <w:bookmarkStart w:id="1643" w:name="_Toc43475998"/>
      <w:bookmarkStart w:id="1644" w:name="_Toc453057182"/>
      <w:r>
        <w:rPr>
          <w:rFonts w:hint="eastAsia" w:ascii="宋体" w:hAnsi="宋体" w:cs="宋体"/>
          <w:color w:val="auto"/>
          <w:sz w:val="24"/>
          <w:szCs w:val="24"/>
          <w:highlight w:val="none"/>
        </w:rPr>
        <w:t>23.2承包人索赔处理程序</w:t>
      </w:r>
      <w:bookmarkEnd w:id="1639"/>
      <w:bookmarkEnd w:id="1640"/>
      <w:bookmarkEnd w:id="1641"/>
      <w:bookmarkEnd w:id="1642"/>
      <w:bookmarkEnd w:id="1643"/>
      <w:bookmarkEnd w:id="1644"/>
    </w:p>
    <w:p w14:paraId="3015F55C">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本款第（2）项细化为：</w:t>
      </w:r>
    </w:p>
    <w:p w14:paraId="64281486">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3E7A9BE6">
      <w:pPr>
        <w:pStyle w:val="2"/>
        <w:spacing w:beforeLines="50" w:after="120" w:line="400" w:lineRule="exact"/>
        <w:rPr>
          <w:rFonts w:ascii="宋体" w:hAnsi="宋体" w:cs="宋体"/>
          <w:color w:val="auto"/>
          <w:sz w:val="28"/>
          <w:szCs w:val="28"/>
          <w:highlight w:val="none"/>
        </w:rPr>
      </w:pPr>
      <w:bookmarkStart w:id="1645" w:name="_Toc453057183"/>
      <w:bookmarkStart w:id="1646" w:name="_Toc43475999"/>
      <w:bookmarkStart w:id="1647" w:name="_Toc451261373"/>
      <w:bookmarkStart w:id="1648" w:name="_Toc330406464"/>
      <w:bookmarkStart w:id="1649" w:name="_Toc393546523"/>
      <w:bookmarkStart w:id="1650" w:name="_Toc386467269"/>
      <w:r>
        <w:rPr>
          <w:rFonts w:hint="eastAsia" w:ascii="宋体" w:hAnsi="宋体" w:cs="宋体"/>
          <w:color w:val="auto"/>
          <w:sz w:val="28"/>
          <w:szCs w:val="28"/>
          <w:highlight w:val="none"/>
        </w:rPr>
        <w:t>24.争议的解决</w:t>
      </w:r>
      <w:bookmarkEnd w:id="1645"/>
      <w:bookmarkEnd w:id="1646"/>
      <w:bookmarkEnd w:id="1647"/>
      <w:bookmarkEnd w:id="1648"/>
      <w:bookmarkEnd w:id="1649"/>
      <w:bookmarkEnd w:id="1650"/>
    </w:p>
    <w:p w14:paraId="5C4B597B">
      <w:pPr>
        <w:pStyle w:val="2"/>
        <w:spacing w:beforeLines="50" w:line="400" w:lineRule="exact"/>
        <w:rPr>
          <w:rFonts w:ascii="宋体" w:hAnsi="宋体" w:cs="宋体"/>
          <w:color w:val="auto"/>
          <w:sz w:val="24"/>
          <w:szCs w:val="24"/>
          <w:highlight w:val="none"/>
        </w:rPr>
      </w:pPr>
      <w:bookmarkStart w:id="1651" w:name="_Toc43476000"/>
      <w:bookmarkStart w:id="1652" w:name="_Toc393546524"/>
      <w:bookmarkStart w:id="1653" w:name="_Toc330406465"/>
      <w:bookmarkStart w:id="1654" w:name="_Toc451261374"/>
      <w:bookmarkStart w:id="1655" w:name="_Toc453057184"/>
      <w:bookmarkStart w:id="1656" w:name="_Toc386467270"/>
      <w:r>
        <w:rPr>
          <w:rFonts w:hint="eastAsia" w:ascii="宋体" w:hAnsi="宋体" w:cs="宋体"/>
          <w:color w:val="auto"/>
          <w:sz w:val="24"/>
          <w:szCs w:val="24"/>
          <w:highlight w:val="none"/>
        </w:rPr>
        <w:t>24.3争议评审</w:t>
      </w:r>
      <w:bookmarkEnd w:id="1651"/>
      <w:bookmarkEnd w:id="1652"/>
      <w:bookmarkEnd w:id="1653"/>
      <w:bookmarkEnd w:id="1654"/>
      <w:bookmarkEnd w:id="1655"/>
      <w:bookmarkEnd w:id="1656"/>
    </w:p>
    <w:p w14:paraId="3EAEF2EE">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第24.3.1项补充：</w:t>
      </w:r>
    </w:p>
    <w:p w14:paraId="4DAF93B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6D8EE30C">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本条补充第24.4、第24.5款（适用于采用仲裁方式最终解决争议的项目）：</w:t>
      </w:r>
    </w:p>
    <w:p w14:paraId="19B49E72">
      <w:pPr>
        <w:pStyle w:val="2"/>
        <w:spacing w:beforeLines="50" w:line="400" w:lineRule="exact"/>
        <w:rPr>
          <w:rFonts w:ascii="宋体" w:hAnsi="宋体" w:cs="宋体"/>
          <w:color w:val="auto"/>
          <w:sz w:val="24"/>
          <w:szCs w:val="24"/>
          <w:highlight w:val="none"/>
        </w:rPr>
      </w:pPr>
      <w:bookmarkStart w:id="1657" w:name="_Toc43476001"/>
      <w:bookmarkStart w:id="1658" w:name="_Toc330406466"/>
      <w:bookmarkStart w:id="1659" w:name="_Toc393546525"/>
      <w:bookmarkStart w:id="1660" w:name="_Toc451261375"/>
      <w:bookmarkStart w:id="1661" w:name="_Toc386467271"/>
      <w:bookmarkStart w:id="1662" w:name="_Toc453057185"/>
      <w:r>
        <w:rPr>
          <w:rFonts w:hint="eastAsia" w:ascii="宋体" w:hAnsi="宋体" w:cs="宋体"/>
          <w:color w:val="auto"/>
          <w:sz w:val="24"/>
          <w:szCs w:val="24"/>
          <w:highlight w:val="none"/>
        </w:rPr>
        <w:t>24.4仲裁</w:t>
      </w:r>
      <w:bookmarkEnd w:id="1657"/>
      <w:bookmarkEnd w:id="1658"/>
      <w:bookmarkEnd w:id="1659"/>
      <w:bookmarkEnd w:id="1660"/>
      <w:bookmarkEnd w:id="1661"/>
      <w:bookmarkEnd w:id="1662"/>
    </w:p>
    <w:p w14:paraId="08F1298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（1）对于未能友好解决或通过争议评审解决的争议，发包人或承包人任一方均有权提交给第24.1款约定的仲裁委员会仲裁。</w:t>
      </w:r>
    </w:p>
    <w:p w14:paraId="6C5D146A">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521A5E53">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（3）仲裁裁决是终局性的并对发包人和承包人双方具有约束力。</w:t>
      </w:r>
    </w:p>
    <w:p w14:paraId="112578A9">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（4）全部仲裁费用应由败诉方承担；或按仲裁员会裁决的比例分担。</w:t>
      </w:r>
    </w:p>
    <w:p w14:paraId="60E9B5E4">
      <w:pPr>
        <w:pStyle w:val="2"/>
        <w:spacing w:beforeLines="50" w:line="400" w:lineRule="exact"/>
        <w:rPr>
          <w:rFonts w:ascii="宋体" w:hAnsi="宋体" w:cs="宋体"/>
          <w:color w:val="auto"/>
          <w:sz w:val="24"/>
          <w:szCs w:val="24"/>
          <w:highlight w:val="none"/>
        </w:rPr>
      </w:pPr>
      <w:bookmarkStart w:id="1663" w:name="_Toc43476002"/>
      <w:bookmarkStart w:id="1664" w:name="_Toc330406467"/>
      <w:bookmarkStart w:id="1665" w:name="_Toc386467272"/>
      <w:bookmarkStart w:id="1666" w:name="_Toc453057186"/>
      <w:bookmarkStart w:id="1667" w:name="_Toc451261376"/>
      <w:bookmarkStart w:id="1668" w:name="_Toc393546526"/>
      <w:r>
        <w:rPr>
          <w:rFonts w:hint="eastAsia" w:ascii="宋体" w:hAnsi="宋体" w:cs="宋体"/>
          <w:color w:val="auto"/>
          <w:sz w:val="24"/>
          <w:szCs w:val="24"/>
          <w:highlight w:val="none"/>
        </w:rPr>
        <w:t>24.5仲裁的执行</w:t>
      </w:r>
      <w:bookmarkEnd w:id="1663"/>
      <w:bookmarkEnd w:id="1664"/>
      <w:bookmarkEnd w:id="1665"/>
      <w:bookmarkEnd w:id="1666"/>
      <w:bookmarkEnd w:id="1667"/>
      <w:bookmarkEnd w:id="1668"/>
    </w:p>
    <w:p w14:paraId="29918CC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（1）任何一方不履行仲裁机构的裁决的，对方可以向有管辖权的人民法院申请执行。</w:t>
      </w:r>
    </w:p>
    <w:p w14:paraId="7D24A2F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1821607F">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br w:type="page"/>
      </w:r>
    </w:p>
    <w:p w14:paraId="6A4951A6">
      <w:pPr>
        <w:pStyle w:val="3"/>
        <w:jc w:val="center"/>
        <w:rPr>
          <w:rFonts w:ascii="宋体" w:hAnsi="宋体"/>
          <w:color w:val="auto"/>
          <w:szCs w:val="36"/>
          <w:highlight w:val="none"/>
        </w:rPr>
      </w:pPr>
      <w:bookmarkStart w:id="1669" w:name="_Toc43476003"/>
      <w:r>
        <w:rPr>
          <w:rFonts w:hint="eastAsia"/>
          <w:color w:val="auto"/>
          <w:highlight w:val="none"/>
        </w:rPr>
        <w:t>B.项目专用合同条款</w:t>
      </w:r>
      <w:bookmarkEnd w:id="1669"/>
    </w:p>
    <w:p w14:paraId="0A99AC7B">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说明：</w:t>
      </w:r>
    </w:p>
    <w:p w14:paraId="15E3504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可作出不同约定外，补充和细化的内容不得与“通用合同条款”及“公路工程合同专用条款”强制性规定相抵触。同时，补充、细化或约定的不同内容，不得违反法律、行政法规的强制性规定和平等、自愿、公平和诚实信用原则。</w:t>
      </w:r>
    </w:p>
    <w:p w14:paraId="5DC82EC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2.项目专用合同条款的编号应与通用合同条款和公路工程专用合同条款一致。</w:t>
      </w:r>
    </w:p>
    <w:p w14:paraId="36282DC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3.项目专用合同条款可对下列内容进行补充和细化：</w:t>
      </w:r>
    </w:p>
    <w:p w14:paraId="56782DC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28D69ED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公路工程专用合同条款”中明确指出“项目专用合同条款”可对“公路工程专用合同条款”进行修改的内容（在“公路工程专用合同条款”中用“除项目专用合同条款里另有约定外”。“项目专用合同条款可能约定的”，“项目专用合同条款约定的其他情形”等多种文字形式表达）。</w:t>
      </w:r>
    </w:p>
    <w:p w14:paraId="79F1932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（3）其他需要补充、细化的内容。</w:t>
      </w:r>
    </w:p>
    <w:p w14:paraId="0EC64C5A">
      <w:pPr>
        <w:pStyle w:val="4"/>
        <w:jc w:val="center"/>
        <w:rPr>
          <w:color w:val="auto"/>
          <w:highlight w:val="none"/>
        </w:rPr>
      </w:pPr>
      <w:bookmarkStart w:id="1670" w:name="_Toc505844493"/>
      <w:r>
        <w:rPr>
          <w:rFonts w:hint="eastAsia"/>
          <w:color w:val="auto"/>
          <w:highlight w:val="none"/>
        </w:rPr>
        <w:br w:type="page"/>
      </w:r>
      <w:bookmarkStart w:id="1671" w:name="_Toc43476004"/>
      <w:r>
        <w:rPr>
          <w:rFonts w:hint="eastAsia"/>
          <w:color w:val="auto"/>
          <w:highlight w:val="none"/>
        </w:rPr>
        <w:t>项目专用条款数据表</w:t>
      </w:r>
      <w:bookmarkEnd w:id="1670"/>
      <w:bookmarkEnd w:id="1671"/>
    </w:p>
    <w:p w14:paraId="246FC0E8">
      <w:pPr>
        <w:rPr>
          <w:color w:val="auto"/>
          <w:highlight w:val="none"/>
        </w:rPr>
      </w:pPr>
    </w:p>
    <w:p w14:paraId="3AE23493">
      <w:pPr>
        <w:spacing w:line="360" w:lineRule="auto"/>
        <w:rPr>
          <w:rFonts w:ascii="宋体" w:hAnsi="宋体"/>
          <w:color w:val="auto"/>
          <w:sz w:val="24"/>
          <w:highlight w:val="none"/>
        </w:rPr>
      </w:pPr>
      <w:r>
        <w:rPr>
          <w:rFonts w:hint="eastAsia" w:ascii="宋体" w:hAnsi="宋体"/>
          <w:color w:val="auto"/>
          <w:sz w:val="24"/>
          <w:highlight w:val="none"/>
        </w:rPr>
        <w:t>说明：本数据表是项目专用合同条款中适用于本项目的信息和数据的归纳与提示，是项目专用合同条款的组成部分。第九章“招标文件格式”的投标函附录中的数据（供投标人确认）与本表所列有重复。编写招标文件的单位应仔细校核，不使数据出现差错或不一致。</w:t>
      </w:r>
    </w:p>
    <w:tbl>
      <w:tblPr>
        <w:tblStyle w:val="42"/>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742"/>
        <w:gridCol w:w="742"/>
        <w:gridCol w:w="7426"/>
      </w:tblGrid>
      <w:tr w14:paraId="19594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29" w:type="dxa"/>
            <w:vAlign w:val="center"/>
          </w:tcPr>
          <w:p w14:paraId="68C543A3">
            <w:pPr>
              <w:jc w:val="center"/>
              <w:rPr>
                <w:rFonts w:ascii="Calibri" w:hAnsi="Calibri"/>
                <w:b/>
                <w:color w:val="auto"/>
                <w:sz w:val="24"/>
                <w:szCs w:val="24"/>
                <w:highlight w:val="none"/>
              </w:rPr>
            </w:pPr>
            <w:r>
              <w:rPr>
                <w:rFonts w:hint="eastAsia" w:ascii="宋体" w:hAnsi="宋体"/>
                <w:b/>
                <w:color w:val="auto"/>
                <w:sz w:val="24"/>
                <w:szCs w:val="24"/>
                <w:highlight w:val="none"/>
              </w:rPr>
              <w:t>序号</w:t>
            </w:r>
          </w:p>
        </w:tc>
        <w:tc>
          <w:tcPr>
            <w:tcW w:w="1484" w:type="dxa"/>
            <w:gridSpan w:val="2"/>
            <w:vAlign w:val="center"/>
          </w:tcPr>
          <w:p w14:paraId="4F52439D">
            <w:pPr>
              <w:jc w:val="center"/>
              <w:rPr>
                <w:rFonts w:ascii="Calibri" w:hAnsi="Calibri"/>
                <w:b/>
                <w:color w:val="auto"/>
                <w:sz w:val="24"/>
                <w:szCs w:val="24"/>
                <w:highlight w:val="none"/>
              </w:rPr>
            </w:pPr>
            <w:r>
              <w:rPr>
                <w:rFonts w:hint="eastAsia" w:ascii="宋体" w:hAnsi="宋体"/>
                <w:b/>
                <w:color w:val="auto"/>
                <w:sz w:val="24"/>
                <w:szCs w:val="24"/>
                <w:highlight w:val="none"/>
              </w:rPr>
              <w:t>条款号</w:t>
            </w:r>
          </w:p>
        </w:tc>
        <w:tc>
          <w:tcPr>
            <w:tcW w:w="7426" w:type="dxa"/>
            <w:vAlign w:val="center"/>
          </w:tcPr>
          <w:p w14:paraId="56F0D94D">
            <w:pPr>
              <w:jc w:val="center"/>
              <w:rPr>
                <w:rFonts w:ascii="Calibri" w:hAnsi="Calibri"/>
                <w:b/>
                <w:color w:val="auto"/>
                <w:sz w:val="24"/>
                <w:szCs w:val="24"/>
                <w:highlight w:val="none"/>
              </w:rPr>
            </w:pPr>
            <w:r>
              <w:rPr>
                <w:rFonts w:hint="eastAsia" w:ascii="宋体" w:hAnsi="宋体"/>
                <w:b/>
                <w:color w:val="auto"/>
                <w:sz w:val="24"/>
                <w:szCs w:val="24"/>
                <w:highlight w:val="none"/>
              </w:rPr>
              <w:t>信息或数据</w:t>
            </w:r>
          </w:p>
        </w:tc>
      </w:tr>
      <w:tr w14:paraId="51640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7ED519B8">
            <w:pPr>
              <w:jc w:val="center"/>
              <w:rPr>
                <w:rFonts w:ascii="Calibri" w:hAnsi="Calibri"/>
                <w:color w:val="auto"/>
                <w:sz w:val="24"/>
                <w:szCs w:val="24"/>
                <w:highlight w:val="none"/>
              </w:rPr>
            </w:pPr>
            <w:r>
              <w:rPr>
                <w:rFonts w:hint="eastAsia" w:ascii="宋体" w:hAnsi="宋体"/>
                <w:color w:val="auto"/>
                <w:sz w:val="24"/>
                <w:szCs w:val="24"/>
                <w:highlight w:val="none"/>
              </w:rPr>
              <w:t>1</w:t>
            </w:r>
          </w:p>
        </w:tc>
        <w:tc>
          <w:tcPr>
            <w:tcW w:w="1484" w:type="dxa"/>
            <w:gridSpan w:val="2"/>
            <w:vAlign w:val="center"/>
          </w:tcPr>
          <w:p w14:paraId="6C7A81E0">
            <w:pPr>
              <w:rPr>
                <w:rFonts w:ascii="宋体" w:hAnsi="宋体"/>
                <w:color w:val="auto"/>
                <w:sz w:val="24"/>
                <w:szCs w:val="24"/>
                <w:highlight w:val="none"/>
              </w:rPr>
            </w:pPr>
            <w:r>
              <w:rPr>
                <w:rFonts w:hint="eastAsia" w:ascii="宋体" w:hAnsi="宋体"/>
                <w:color w:val="auto"/>
                <w:sz w:val="24"/>
                <w:szCs w:val="24"/>
                <w:highlight w:val="none"/>
              </w:rPr>
              <w:t xml:space="preserve">   1.1.2.2</w:t>
            </w:r>
          </w:p>
        </w:tc>
        <w:tc>
          <w:tcPr>
            <w:tcW w:w="7426" w:type="dxa"/>
            <w:vAlign w:val="center"/>
          </w:tcPr>
          <w:p w14:paraId="6BE5D26F">
            <w:pPr>
              <w:pStyle w:val="73"/>
              <w:widowControl/>
              <w:snapToGrid w:val="0"/>
              <w:spacing w:line="400" w:lineRule="exact"/>
              <w:jc w:val="left"/>
              <w:rPr>
                <w:rFonts w:hAnsi="宋体" w:cs="Tahoma"/>
                <w:color w:val="auto"/>
                <w:kern w:val="0"/>
                <w:sz w:val="24"/>
                <w:szCs w:val="24"/>
                <w:highlight w:val="none"/>
              </w:rPr>
            </w:pPr>
            <w:r>
              <w:rPr>
                <w:rFonts w:hAnsi="宋体" w:cs="Tahoma"/>
                <w:color w:val="auto"/>
                <w:kern w:val="0"/>
                <w:sz w:val="24"/>
                <w:szCs w:val="24"/>
                <w:highlight w:val="none"/>
              </w:rPr>
              <w:t>单位名称：</w:t>
            </w:r>
            <w:r>
              <w:rPr>
                <w:rFonts w:hint="eastAsia" w:hAnsi="宋体" w:cs="Tahoma"/>
                <w:color w:val="auto"/>
                <w:kern w:val="0"/>
                <w:sz w:val="24"/>
                <w:szCs w:val="24"/>
                <w:highlight w:val="none"/>
                <w:lang w:eastAsia="zh-CN"/>
              </w:rPr>
              <w:t>乐昌市两江镇人民政府</w:t>
            </w:r>
          </w:p>
          <w:p w14:paraId="512E275A">
            <w:pPr>
              <w:pStyle w:val="73"/>
              <w:widowControl/>
              <w:snapToGrid w:val="0"/>
              <w:spacing w:line="400" w:lineRule="exact"/>
              <w:jc w:val="left"/>
              <w:rPr>
                <w:rFonts w:hAnsi="宋体"/>
                <w:color w:val="auto"/>
                <w:sz w:val="24"/>
                <w:szCs w:val="24"/>
                <w:highlight w:val="none"/>
              </w:rPr>
            </w:pPr>
            <w:r>
              <w:rPr>
                <w:rFonts w:hAnsi="宋体" w:cs="Tahoma"/>
                <w:color w:val="auto"/>
                <w:kern w:val="0"/>
                <w:sz w:val="24"/>
                <w:szCs w:val="24"/>
                <w:highlight w:val="none"/>
              </w:rPr>
              <w:t>地址：</w:t>
            </w:r>
            <w:r>
              <w:rPr>
                <w:rFonts w:hint="eastAsia" w:hAnsi="宋体" w:cs="Tahoma"/>
                <w:color w:val="auto"/>
                <w:kern w:val="0"/>
                <w:sz w:val="24"/>
                <w:szCs w:val="24"/>
                <w:highlight w:val="none"/>
              </w:rPr>
              <w:t>乐昌市两江镇人民政府</w:t>
            </w:r>
            <w:r>
              <w:rPr>
                <w:rFonts w:hint="eastAsia" w:hAnsi="宋体" w:cs="宋体"/>
                <w:color w:val="auto"/>
                <w:sz w:val="24"/>
                <w:szCs w:val="24"/>
                <w:highlight w:val="none"/>
              </w:rPr>
              <w:t xml:space="preserve">          </w:t>
            </w:r>
          </w:p>
        </w:tc>
      </w:tr>
      <w:tr w14:paraId="5C63A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08A6A802">
            <w:pPr>
              <w:jc w:val="center"/>
              <w:rPr>
                <w:rFonts w:ascii="Calibri" w:hAnsi="Calibri"/>
                <w:color w:val="auto"/>
                <w:sz w:val="24"/>
                <w:szCs w:val="24"/>
                <w:highlight w:val="none"/>
              </w:rPr>
            </w:pPr>
            <w:r>
              <w:rPr>
                <w:rFonts w:hint="eastAsia" w:ascii="宋体" w:hAnsi="宋体"/>
                <w:color w:val="auto"/>
                <w:sz w:val="24"/>
                <w:szCs w:val="24"/>
                <w:highlight w:val="none"/>
              </w:rPr>
              <w:t>2</w:t>
            </w:r>
          </w:p>
        </w:tc>
        <w:tc>
          <w:tcPr>
            <w:tcW w:w="1484" w:type="dxa"/>
            <w:gridSpan w:val="2"/>
            <w:vAlign w:val="center"/>
          </w:tcPr>
          <w:p w14:paraId="692A60E4">
            <w:pPr>
              <w:jc w:val="center"/>
              <w:rPr>
                <w:rFonts w:ascii="Calibri" w:hAnsi="Calibri"/>
                <w:color w:val="auto"/>
                <w:sz w:val="24"/>
                <w:szCs w:val="24"/>
                <w:highlight w:val="none"/>
              </w:rPr>
            </w:pPr>
            <w:r>
              <w:rPr>
                <w:rFonts w:hint="eastAsia" w:ascii="宋体" w:hAnsi="宋体"/>
                <w:color w:val="auto"/>
                <w:sz w:val="24"/>
                <w:szCs w:val="24"/>
                <w:highlight w:val="none"/>
              </w:rPr>
              <w:t>1.1.2.6</w:t>
            </w:r>
          </w:p>
        </w:tc>
        <w:tc>
          <w:tcPr>
            <w:tcW w:w="7426" w:type="dxa"/>
            <w:vAlign w:val="center"/>
          </w:tcPr>
          <w:p w14:paraId="45C10879">
            <w:pPr>
              <w:rPr>
                <w:rFonts w:ascii="宋体" w:hAnsi="宋体"/>
                <w:color w:val="auto"/>
                <w:sz w:val="24"/>
                <w:szCs w:val="24"/>
                <w:highlight w:val="none"/>
              </w:rPr>
            </w:pPr>
            <w:r>
              <w:rPr>
                <w:rFonts w:hint="eastAsia" w:ascii="宋体" w:hAnsi="宋体"/>
                <w:color w:val="auto"/>
                <w:sz w:val="24"/>
                <w:szCs w:val="24"/>
                <w:highlight w:val="none"/>
              </w:rPr>
              <w:t>监 理 人：/</w:t>
            </w:r>
          </w:p>
          <w:p w14:paraId="3F5D024F">
            <w:pPr>
              <w:rPr>
                <w:rFonts w:ascii="Calibri" w:hAnsi="Calibri"/>
                <w:color w:val="auto"/>
                <w:sz w:val="24"/>
                <w:szCs w:val="24"/>
                <w:highlight w:val="none"/>
              </w:rPr>
            </w:pPr>
            <w:r>
              <w:rPr>
                <w:rFonts w:hint="eastAsia" w:ascii="宋体" w:hAnsi="宋体"/>
                <w:color w:val="auto"/>
                <w:sz w:val="24"/>
                <w:szCs w:val="24"/>
                <w:highlight w:val="none"/>
              </w:rPr>
              <w:t>地    址：/                       邮政编码：/</w:t>
            </w:r>
          </w:p>
        </w:tc>
      </w:tr>
      <w:tr w14:paraId="2AA85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2B2C0BDA">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484" w:type="dxa"/>
            <w:gridSpan w:val="2"/>
            <w:vAlign w:val="center"/>
          </w:tcPr>
          <w:p w14:paraId="62003DBD">
            <w:pPr>
              <w:jc w:val="center"/>
              <w:rPr>
                <w:rFonts w:hint="eastAsia" w:ascii="宋体" w:hAnsi="宋体"/>
                <w:color w:val="auto"/>
                <w:sz w:val="24"/>
                <w:szCs w:val="24"/>
                <w:highlight w:val="none"/>
              </w:rPr>
            </w:pPr>
            <w:r>
              <w:rPr>
                <w:rFonts w:hint="eastAsia" w:ascii="宋体" w:hAnsi="宋体"/>
                <w:color w:val="auto"/>
                <w:sz w:val="24"/>
                <w:szCs w:val="24"/>
                <w:highlight w:val="none"/>
              </w:rPr>
              <w:t>1.1.2.10</w:t>
            </w:r>
          </w:p>
        </w:tc>
        <w:tc>
          <w:tcPr>
            <w:tcW w:w="7426" w:type="dxa"/>
            <w:vAlign w:val="center"/>
          </w:tcPr>
          <w:p w14:paraId="727208DA">
            <w:pPr>
              <w:rPr>
                <w:color w:val="auto"/>
                <w:sz w:val="24"/>
                <w:szCs w:val="24"/>
                <w:highlight w:val="none"/>
              </w:rPr>
            </w:pPr>
            <w:r>
              <w:rPr>
                <w:rFonts w:hint="eastAsia"/>
                <w:color w:val="auto"/>
                <w:spacing w:val="-1"/>
                <w:sz w:val="24"/>
                <w:szCs w:val="24"/>
                <w:highlight w:val="none"/>
              </w:rPr>
              <w:t>试验人</w:t>
            </w:r>
            <w:r>
              <w:rPr>
                <w:color w:val="auto"/>
                <w:sz w:val="24"/>
                <w:szCs w:val="24"/>
                <w:highlight w:val="none"/>
              </w:rPr>
              <w:t>：</w:t>
            </w:r>
            <w:r>
              <w:rPr>
                <w:rFonts w:hint="eastAsia"/>
                <w:color w:val="auto"/>
                <w:sz w:val="24"/>
                <w:szCs w:val="24"/>
                <w:highlight w:val="none"/>
              </w:rPr>
              <w:t>/</w:t>
            </w:r>
          </w:p>
          <w:p w14:paraId="69817BF6">
            <w:pPr>
              <w:rPr>
                <w:color w:val="auto"/>
                <w:sz w:val="24"/>
                <w:szCs w:val="24"/>
                <w:highlight w:val="none"/>
              </w:rPr>
            </w:pPr>
            <w:r>
              <w:rPr>
                <w:color w:val="auto"/>
                <w:sz w:val="24"/>
                <w:szCs w:val="24"/>
                <w:highlight w:val="none"/>
              </w:rPr>
              <w:t>地址：</w:t>
            </w:r>
            <w:r>
              <w:rPr>
                <w:rFonts w:hint="eastAsia"/>
                <w:color w:val="auto"/>
                <w:sz w:val="24"/>
                <w:szCs w:val="24"/>
                <w:highlight w:val="none"/>
              </w:rPr>
              <w:t>/</w:t>
            </w:r>
            <w:r>
              <w:rPr>
                <w:color w:val="auto"/>
                <w:sz w:val="24"/>
                <w:szCs w:val="24"/>
                <w:highlight w:val="none"/>
              </w:rPr>
              <w:tab/>
            </w:r>
            <w:r>
              <w:rPr>
                <w:rFonts w:hint="eastAsia"/>
                <w:color w:val="auto"/>
                <w:sz w:val="24"/>
                <w:szCs w:val="24"/>
                <w:highlight w:val="none"/>
                <w:lang w:val="en-US" w:eastAsia="zh-CN"/>
              </w:rPr>
              <w:t xml:space="preserve">                          </w:t>
            </w:r>
            <w:r>
              <w:rPr>
                <w:color w:val="auto"/>
                <w:spacing w:val="-1"/>
                <w:sz w:val="24"/>
                <w:szCs w:val="24"/>
                <w:highlight w:val="none"/>
              </w:rPr>
              <w:t>邮政</w:t>
            </w:r>
            <w:r>
              <w:rPr>
                <w:color w:val="auto"/>
                <w:sz w:val="24"/>
                <w:szCs w:val="24"/>
                <w:highlight w:val="none"/>
              </w:rPr>
              <w:t>编码：</w:t>
            </w:r>
            <w:r>
              <w:rPr>
                <w:rFonts w:hint="eastAsia"/>
                <w:color w:val="auto"/>
                <w:sz w:val="24"/>
                <w:szCs w:val="24"/>
                <w:highlight w:val="none"/>
              </w:rPr>
              <w:t>/</w:t>
            </w:r>
          </w:p>
        </w:tc>
      </w:tr>
      <w:tr w14:paraId="3A78A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2A27648B">
            <w:pPr>
              <w:jc w:val="center"/>
              <w:rPr>
                <w:rFonts w:hint="eastAsia" w:ascii="Calibri" w:hAnsi="Calibri"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484" w:type="dxa"/>
            <w:gridSpan w:val="2"/>
            <w:vAlign w:val="center"/>
          </w:tcPr>
          <w:p w14:paraId="2BB4E48C">
            <w:pPr>
              <w:jc w:val="center"/>
              <w:rPr>
                <w:rFonts w:ascii="Calibri" w:hAnsi="Calibri"/>
                <w:color w:val="auto"/>
                <w:sz w:val="24"/>
                <w:szCs w:val="24"/>
                <w:highlight w:val="none"/>
              </w:rPr>
            </w:pPr>
            <w:r>
              <w:rPr>
                <w:rFonts w:hint="eastAsia" w:ascii="宋体" w:hAnsi="宋体"/>
                <w:color w:val="auto"/>
                <w:sz w:val="24"/>
                <w:szCs w:val="24"/>
                <w:highlight w:val="none"/>
              </w:rPr>
              <w:t>1.1.4.5</w:t>
            </w:r>
          </w:p>
        </w:tc>
        <w:tc>
          <w:tcPr>
            <w:tcW w:w="7426" w:type="dxa"/>
            <w:vAlign w:val="center"/>
          </w:tcPr>
          <w:p w14:paraId="6D290143">
            <w:pPr>
              <w:rPr>
                <w:rFonts w:ascii="Calibri" w:hAnsi="Calibri"/>
                <w:color w:val="auto"/>
                <w:sz w:val="24"/>
                <w:szCs w:val="24"/>
                <w:highlight w:val="none"/>
              </w:rPr>
            </w:pPr>
            <w:r>
              <w:rPr>
                <w:rFonts w:hint="eastAsia" w:ascii="宋体" w:hAnsi="宋体"/>
                <w:color w:val="auto"/>
                <w:sz w:val="24"/>
                <w:szCs w:val="24"/>
                <w:highlight w:val="none"/>
              </w:rPr>
              <w:t>缺陷责任期：自实际交工日期起计算</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rPr>
              <w:t>年，其中绿化工程自实际交工日期起计算</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个月。</w:t>
            </w:r>
          </w:p>
        </w:tc>
      </w:tr>
      <w:tr w14:paraId="43975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71167C4A">
            <w:pPr>
              <w:jc w:val="center"/>
              <w:rPr>
                <w:rFonts w:hint="eastAsia" w:ascii="Calibri" w:hAnsi="Calibri"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1484" w:type="dxa"/>
            <w:gridSpan w:val="2"/>
            <w:vAlign w:val="center"/>
          </w:tcPr>
          <w:p w14:paraId="2C9E786B">
            <w:pPr>
              <w:jc w:val="center"/>
              <w:rPr>
                <w:rFonts w:ascii="Calibri" w:hAnsi="Calibri"/>
                <w:color w:val="auto"/>
                <w:sz w:val="24"/>
                <w:szCs w:val="24"/>
                <w:highlight w:val="none"/>
              </w:rPr>
            </w:pPr>
            <w:r>
              <w:rPr>
                <w:rFonts w:hint="eastAsia" w:ascii="宋体" w:hAnsi="宋体"/>
                <w:color w:val="auto"/>
                <w:sz w:val="24"/>
                <w:szCs w:val="24"/>
                <w:highlight w:val="none"/>
              </w:rPr>
              <w:t>1.6.3</w:t>
            </w:r>
          </w:p>
        </w:tc>
        <w:tc>
          <w:tcPr>
            <w:tcW w:w="7426" w:type="dxa"/>
            <w:vAlign w:val="center"/>
          </w:tcPr>
          <w:p w14:paraId="45F3BB35">
            <w:pPr>
              <w:rPr>
                <w:rFonts w:ascii="Calibri" w:hAnsi="Calibri"/>
                <w:color w:val="auto"/>
                <w:sz w:val="24"/>
                <w:szCs w:val="24"/>
                <w:highlight w:val="none"/>
              </w:rPr>
            </w:pPr>
            <w:r>
              <w:rPr>
                <w:rFonts w:hint="eastAsia" w:ascii="宋体" w:hAnsi="宋体"/>
                <w:color w:val="auto"/>
                <w:sz w:val="24"/>
                <w:szCs w:val="24"/>
                <w:highlight w:val="none"/>
              </w:rPr>
              <w:t>图纸需要修改和补充的，应由监理人取得发包人同意后，在该项工程或工程相应部位施工前</w:t>
            </w:r>
            <w:r>
              <w:rPr>
                <w:rFonts w:hint="eastAsia" w:ascii="宋体" w:hAnsi="宋体"/>
                <w:color w:val="auto"/>
                <w:sz w:val="24"/>
                <w:szCs w:val="24"/>
                <w:highlight w:val="none"/>
                <w:u w:val="single"/>
              </w:rPr>
              <w:t xml:space="preserve"> 20 </w:t>
            </w:r>
            <w:r>
              <w:rPr>
                <w:rFonts w:hint="eastAsia" w:ascii="宋体" w:hAnsi="宋体"/>
                <w:color w:val="auto"/>
                <w:sz w:val="24"/>
                <w:szCs w:val="24"/>
                <w:highlight w:val="none"/>
              </w:rPr>
              <w:t>天签发图纸修改图给承包人。</w:t>
            </w:r>
          </w:p>
        </w:tc>
      </w:tr>
      <w:tr w14:paraId="5172C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37F59285">
            <w:pPr>
              <w:jc w:val="center"/>
              <w:rPr>
                <w:rFonts w:hint="eastAsia" w:ascii="Calibri" w:hAnsi="Calibri"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1484" w:type="dxa"/>
            <w:gridSpan w:val="2"/>
            <w:vAlign w:val="center"/>
          </w:tcPr>
          <w:p w14:paraId="7D7F8EC0">
            <w:pPr>
              <w:jc w:val="center"/>
              <w:rPr>
                <w:rFonts w:ascii="Calibri" w:hAnsi="Calibri"/>
                <w:color w:val="auto"/>
                <w:sz w:val="24"/>
                <w:szCs w:val="24"/>
                <w:highlight w:val="none"/>
              </w:rPr>
            </w:pPr>
            <w:r>
              <w:rPr>
                <w:rFonts w:hint="eastAsia" w:ascii="宋体" w:hAnsi="宋体"/>
                <w:color w:val="auto"/>
                <w:sz w:val="24"/>
                <w:szCs w:val="24"/>
                <w:highlight w:val="none"/>
              </w:rPr>
              <w:t>3.1.1</w:t>
            </w:r>
          </w:p>
        </w:tc>
        <w:tc>
          <w:tcPr>
            <w:tcW w:w="7426" w:type="dxa"/>
            <w:vAlign w:val="center"/>
          </w:tcPr>
          <w:p w14:paraId="68C07ACC">
            <w:pPr>
              <w:rPr>
                <w:rFonts w:ascii="Calibri" w:hAnsi="Calibri"/>
                <w:color w:val="auto"/>
                <w:sz w:val="24"/>
                <w:szCs w:val="24"/>
                <w:highlight w:val="none"/>
              </w:rPr>
            </w:pPr>
            <w:r>
              <w:rPr>
                <w:rFonts w:hint="eastAsia" w:ascii="宋体" w:hAnsi="宋体"/>
                <w:color w:val="auto"/>
                <w:sz w:val="24"/>
                <w:szCs w:val="24"/>
                <w:highlight w:val="none"/>
              </w:rPr>
              <w:t>监理人在行使下列权力前需要经发包人事先批准：</w:t>
            </w:r>
          </w:p>
          <w:p w14:paraId="708BE78C">
            <w:pPr>
              <w:rPr>
                <w:rFonts w:ascii="Calibri" w:hAnsi="Calibri"/>
                <w:color w:val="auto"/>
                <w:sz w:val="24"/>
                <w:szCs w:val="24"/>
                <w:highlight w:val="none"/>
              </w:rPr>
            </w:pPr>
            <w:r>
              <w:rPr>
                <w:rFonts w:hint="eastAsia" w:ascii="宋体" w:hAnsi="宋体"/>
                <w:color w:val="auto"/>
                <w:sz w:val="24"/>
                <w:szCs w:val="24"/>
                <w:highlight w:val="none"/>
              </w:rPr>
              <w:t>（6）根据第15.3款发出的变更指示，均需要经发包人事先批准。</w:t>
            </w:r>
          </w:p>
        </w:tc>
      </w:tr>
      <w:tr w14:paraId="201EA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22589F43">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1484" w:type="dxa"/>
            <w:gridSpan w:val="2"/>
            <w:vAlign w:val="center"/>
          </w:tcPr>
          <w:p w14:paraId="67C454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4.6.3（1）</w:t>
            </w:r>
          </w:p>
        </w:tc>
        <w:tc>
          <w:tcPr>
            <w:tcW w:w="7426" w:type="dxa"/>
            <w:vAlign w:val="center"/>
          </w:tcPr>
          <w:p w14:paraId="4DBF6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需缴纳违约金金额：项目经理</w:t>
            </w:r>
            <w:r>
              <w:rPr>
                <w:rFonts w:hint="eastAsia" w:ascii="宋体" w:hAnsi="宋体" w:cs="宋体"/>
                <w:color w:val="auto"/>
                <w:sz w:val="24"/>
                <w:szCs w:val="24"/>
                <w:highlight w:val="none"/>
                <w:u w:val="single"/>
                <w:lang w:val="en-US" w:eastAsia="zh-CN"/>
              </w:rPr>
              <w:t xml:space="preserve"> 0.6 </w:t>
            </w:r>
            <w:r>
              <w:rPr>
                <w:rFonts w:hint="eastAsia" w:ascii="宋体" w:hAnsi="宋体" w:cs="宋体"/>
                <w:color w:val="auto"/>
                <w:sz w:val="24"/>
                <w:szCs w:val="24"/>
                <w:highlight w:val="none"/>
              </w:rPr>
              <w:t>万元/人次，总工程师</w:t>
            </w:r>
            <w:r>
              <w:rPr>
                <w:rFonts w:hint="eastAsia" w:ascii="宋体" w:hAnsi="宋体" w:cs="宋体"/>
                <w:color w:val="auto"/>
                <w:sz w:val="24"/>
                <w:szCs w:val="24"/>
                <w:highlight w:val="none"/>
                <w:u w:val="single"/>
                <w:lang w:val="en-US" w:eastAsia="zh-CN"/>
              </w:rPr>
              <w:t xml:space="preserve"> 0.5 </w:t>
            </w:r>
            <w:r>
              <w:rPr>
                <w:rFonts w:hint="eastAsia" w:ascii="宋体" w:hAnsi="宋体" w:cs="宋体"/>
                <w:color w:val="auto"/>
                <w:sz w:val="24"/>
                <w:szCs w:val="24"/>
                <w:highlight w:val="none"/>
              </w:rPr>
              <w:t>万元/人次，其他主要管理人员</w:t>
            </w:r>
            <w:r>
              <w:rPr>
                <w:rFonts w:hint="eastAsia" w:ascii="宋体" w:hAnsi="宋体" w:cs="宋体"/>
                <w:color w:val="auto"/>
                <w:sz w:val="24"/>
                <w:szCs w:val="24"/>
                <w:highlight w:val="none"/>
                <w:u w:val="single"/>
                <w:lang w:val="en-US" w:eastAsia="zh-CN"/>
              </w:rPr>
              <w:t xml:space="preserve"> 0.3 </w:t>
            </w:r>
            <w:r>
              <w:rPr>
                <w:rFonts w:hint="eastAsia" w:ascii="宋体" w:hAnsi="宋体" w:cs="宋体"/>
                <w:color w:val="auto"/>
                <w:sz w:val="24"/>
                <w:szCs w:val="24"/>
                <w:highlight w:val="none"/>
              </w:rPr>
              <w:t>万元/人次。</w:t>
            </w:r>
          </w:p>
        </w:tc>
      </w:tr>
      <w:tr w14:paraId="44BF2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76BA56CE">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8</w:t>
            </w:r>
          </w:p>
        </w:tc>
        <w:tc>
          <w:tcPr>
            <w:tcW w:w="1484" w:type="dxa"/>
            <w:gridSpan w:val="2"/>
            <w:vAlign w:val="center"/>
          </w:tcPr>
          <w:p w14:paraId="1B8E709B">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5.2.1</w:t>
            </w:r>
          </w:p>
        </w:tc>
        <w:tc>
          <w:tcPr>
            <w:tcW w:w="7426" w:type="dxa"/>
            <w:vAlign w:val="center"/>
          </w:tcPr>
          <w:p w14:paraId="0CC11CBC">
            <w:pPr>
              <w:rPr>
                <w:rFonts w:ascii="Calibri" w:hAnsi="Calibri"/>
                <w:color w:val="auto"/>
                <w:sz w:val="24"/>
                <w:szCs w:val="24"/>
                <w:highlight w:val="none"/>
                <w:u w:val="single"/>
              </w:rPr>
            </w:pPr>
            <w:r>
              <w:rPr>
                <w:rFonts w:hint="eastAsia" w:ascii="宋体" w:hAnsi="宋体"/>
                <w:color w:val="auto"/>
                <w:sz w:val="24"/>
                <w:szCs w:val="24"/>
                <w:highlight w:val="none"/>
              </w:rPr>
              <w:t>发包人是否提供材料或工程设备：</w:t>
            </w:r>
            <w:r>
              <w:rPr>
                <w:rFonts w:hint="eastAsia" w:ascii="宋体" w:hAnsi="宋体"/>
                <w:color w:val="auto"/>
                <w:sz w:val="24"/>
                <w:szCs w:val="24"/>
                <w:highlight w:val="none"/>
                <w:u w:val="single"/>
              </w:rPr>
              <w:t>否</w:t>
            </w:r>
          </w:p>
          <w:p w14:paraId="2A26A8E4">
            <w:pP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如发包人负责提供部分材料或工程设备，相关规定如下：</w:t>
            </w:r>
            <w:r>
              <w:rPr>
                <w:rFonts w:hint="eastAsia" w:ascii="宋体" w:hAnsi="宋体"/>
                <w:color w:val="auto"/>
                <w:sz w:val="24"/>
                <w:szCs w:val="24"/>
                <w:highlight w:val="none"/>
                <w:u w:val="single"/>
              </w:rPr>
              <w:t xml:space="preserve">    /    </w:t>
            </w:r>
          </w:p>
        </w:tc>
      </w:tr>
      <w:tr w14:paraId="725FA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4E9F891C">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9</w:t>
            </w:r>
          </w:p>
        </w:tc>
        <w:tc>
          <w:tcPr>
            <w:tcW w:w="1484" w:type="dxa"/>
            <w:gridSpan w:val="2"/>
            <w:vAlign w:val="center"/>
          </w:tcPr>
          <w:p w14:paraId="7FC7032B">
            <w:pPr>
              <w:jc w:val="center"/>
              <w:rPr>
                <w:rFonts w:ascii="Calibri" w:hAnsi="Calibri"/>
                <w:color w:val="auto"/>
                <w:sz w:val="24"/>
                <w:szCs w:val="24"/>
                <w:highlight w:val="none"/>
              </w:rPr>
            </w:pPr>
            <w:r>
              <w:rPr>
                <w:rFonts w:hint="eastAsia" w:ascii="宋体" w:hAnsi="宋体"/>
                <w:color w:val="auto"/>
                <w:sz w:val="24"/>
                <w:szCs w:val="24"/>
                <w:highlight w:val="none"/>
              </w:rPr>
              <w:t>6.2</w:t>
            </w:r>
          </w:p>
        </w:tc>
        <w:tc>
          <w:tcPr>
            <w:tcW w:w="7426" w:type="dxa"/>
            <w:vAlign w:val="center"/>
          </w:tcPr>
          <w:p w14:paraId="0713C34C">
            <w:pPr>
              <w:rPr>
                <w:rFonts w:ascii="Calibri" w:hAnsi="Calibri"/>
                <w:color w:val="auto"/>
                <w:sz w:val="24"/>
                <w:szCs w:val="24"/>
                <w:highlight w:val="none"/>
              </w:rPr>
            </w:pPr>
            <w:r>
              <w:rPr>
                <w:rFonts w:hint="eastAsia" w:ascii="宋体" w:hAnsi="宋体"/>
                <w:color w:val="auto"/>
                <w:sz w:val="24"/>
                <w:szCs w:val="24"/>
                <w:highlight w:val="none"/>
              </w:rPr>
              <w:t>发包人是否提供施工设备和临时设施：</w:t>
            </w:r>
            <w:r>
              <w:rPr>
                <w:rFonts w:hint="eastAsia" w:ascii="宋体" w:hAnsi="宋体"/>
                <w:color w:val="auto"/>
                <w:sz w:val="24"/>
                <w:szCs w:val="24"/>
                <w:highlight w:val="none"/>
                <w:u w:val="single"/>
              </w:rPr>
              <w:t>否</w:t>
            </w:r>
          </w:p>
          <w:p w14:paraId="3E2EF5BD">
            <w:pPr>
              <w:rPr>
                <w:rFonts w:ascii="Calibri" w:hAnsi="Calibri"/>
                <w:color w:val="auto"/>
                <w:sz w:val="24"/>
                <w:szCs w:val="24"/>
                <w:highlight w:val="none"/>
              </w:rPr>
            </w:pPr>
            <w:r>
              <w:rPr>
                <w:rFonts w:hint="eastAsia" w:ascii="宋体" w:hAnsi="宋体"/>
                <w:color w:val="auto"/>
                <w:sz w:val="24"/>
                <w:szCs w:val="24"/>
                <w:highlight w:val="none"/>
              </w:rPr>
              <w:t>如发包人负责提供部分施工设备和临时设施，相关规定如下：</w:t>
            </w:r>
            <w:r>
              <w:rPr>
                <w:rFonts w:hint="eastAsia" w:ascii="宋体" w:hAnsi="宋体"/>
                <w:color w:val="auto"/>
                <w:sz w:val="24"/>
                <w:szCs w:val="24"/>
                <w:highlight w:val="none"/>
                <w:u w:val="single"/>
              </w:rPr>
              <w:t xml:space="preserve">    /    </w:t>
            </w:r>
          </w:p>
        </w:tc>
      </w:tr>
      <w:tr w14:paraId="5FA4A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0CA156DB">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10</w:t>
            </w:r>
          </w:p>
        </w:tc>
        <w:tc>
          <w:tcPr>
            <w:tcW w:w="1484" w:type="dxa"/>
            <w:gridSpan w:val="2"/>
            <w:vAlign w:val="center"/>
          </w:tcPr>
          <w:p w14:paraId="23E595AA">
            <w:pPr>
              <w:jc w:val="center"/>
              <w:rPr>
                <w:rFonts w:ascii="Calibri" w:hAnsi="Calibri"/>
                <w:color w:val="auto"/>
                <w:sz w:val="24"/>
                <w:szCs w:val="24"/>
                <w:highlight w:val="none"/>
              </w:rPr>
            </w:pPr>
            <w:r>
              <w:rPr>
                <w:rFonts w:hint="eastAsia" w:ascii="宋体" w:hAnsi="宋体"/>
                <w:color w:val="auto"/>
                <w:sz w:val="24"/>
                <w:szCs w:val="24"/>
                <w:highlight w:val="none"/>
              </w:rPr>
              <w:t>8.1.1</w:t>
            </w:r>
          </w:p>
        </w:tc>
        <w:tc>
          <w:tcPr>
            <w:tcW w:w="7426" w:type="dxa"/>
            <w:vAlign w:val="center"/>
          </w:tcPr>
          <w:p w14:paraId="344248C0">
            <w:pPr>
              <w:rPr>
                <w:rFonts w:ascii="Calibri" w:hAnsi="Calibri"/>
                <w:color w:val="auto"/>
                <w:sz w:val="24"/>
                <w:szCs w:val="24"/>
                <w:highlight w:val="none"/>
              </w:rPr>
            </w:pPr>
            <w:r>
              <w:rPr>
                <w:rFonts w:hint="eastAsia" w:ascii="宋体" w:hAnsi="宋体"/>
                <w:color w:val="auto"/>
                <w:sz w:val="24"/>
                <w:szCs w:val="24"/>
                <w:highlight w:val="none"/>
              </w:rPr>
              <w:t>发包人提供测量基准点、基准线和水准点及其书面资料的期限：</w:t>
            </w:r>
            <w:r>
              <w:rPr>
                <w:rFonts w:hint="eastAsia" w:ascii="宋体" w:hAnsi="宋体"/>
                <w:color w:val="auto"/>
                <w:sz w:val="24"/>
                <w:szCs w:val="24"/>
                <w:highlight w:val="none"/>
                <w:u w:val="single"/>
              </w:rPr>
              <w:t>在签订施工承包合同后一个月内；</w:t>
            </w:r>
          </w:p>
          <w:p w14:paraId="3F93D43C">
            <w:pPr>
              <w:rPr>
                <w:rFonts w:ascii="Calibri" w:hAnsi="Calibri"/>
                <w:color w:val="auto"/>
                <w:sz w:val="24"/>
                <w:szCs w:val="24"/>
                <w:highlight w:val="none"/>
              </w:rPr>
            </w:pPr>
            <w:r>
              <w:rPr>
                <w:rFonts w:hint="eastAsia" w:ascii="宋体" w:hAnsi="宋体"/>
                <w:color w:val="auto"/>
                <w:sz w:val="24"/>
                <w:szCs w:val="24"/>
                <w:highlight w:val="none"/>
              </w:rPr>
              <w:t>承包人将施工控制网资料报送监理人审批的期限：</w:t>
            </w:r>
            <w:r>
              <w:rPr>
                <w:rFonts w:hint="eastAsia" w:ascii="宋体" w:hAnsi="宋体"/>
                <w:color w:val="auto"/>
                <w:sz w:val="24"/>
                <w:szCs w:val="24"/>
                <w:highlight w:val="none"/>
                <w:u w:val="single"/>
              </w:rPr>
              <w:t>在收到发包人提供的上述资料一个月内。</w:t>
            </w:r>
          </w:p>
        </w:tc>
      </w:tr>
      <w:tr w14:paraId="5ECCA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7B264E1C">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p>
        </w:tc>
        <w:tc>
          <w:tcPr>
            <w:tcW w:w="1484" w:type="dxa"/>
            <w:gridSpan w:val="2"/>
            <w:vAlign w:val="center"/>
          </w:tcPr>
          <w:p w14:paraId="51722B6F">
            <w:pPr>
              <w:keepNext w:val="0"/>
              <w:keepLines w:val="0"/>
              <w:suppressLineNumbers w:val="0"/>
              <w:spacing w:before="0" w:beforeAutospacing="0" w:after="0" w:afterAutospacing="0"/>
              <w:ind w:left="0" w:leftChars="0" w:right="0" w:rightChars="0"/>
              <w:jc w:val="center"/>
              <w:rPr>
                <w:rFonts w:hint="eastAsia" w:ascii="宋体" w:hAnsi="宋体"/>
                <w:color w:val="auto"/>
                <w:sz w:val="24"/>
                <w:szCs w:val="24"/>
                <w:highlight w:val="none"/>
              </w:rPr>
            </w:pPr>
            <w:r>
              <w:rPr>
                <w:rFonts w:hint="eastAsia" w:ascii="宋体" w:hAnsi="宋体" w:cs="宋体"/>
                <w:color w:val="auto"/>
                <w:sz w:val="24"/>
                <w:highlight w:val="none"/>
              </w:rPr>
              <w:t>11.3 (2)</w:t>
            </w:r>
          </w:p>
        </w:tc>
        <w:tc>
          <w:tcPr>
            <w:tcW w:w="7426" w:type="dxa"/>
            <w:vAlign w:val="center"/>
          </w:tcPr>
          <w:p w14:paraId="7EE3DC89">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sz w:val="24"/>
                <w:highlight w:val="none"/>
              </w:rPr>
              <w:t>如顺延合同工期在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个月及以内的，发包人将不予增加费用；</w:t>
            </w:r>
          </w:p>
          <w:p w14:paraId="61CBE516">
            <w:pPr>
              <w:keepNext w:val="0"/>
              <w:keepLines w:val="0"/>
              <w:suppressLineNumbers w:val="0"/>
              <w:spacing w:before="0" w:beforeAutospacing="0" w:after="0" w:afterAutospacing="0"/>
              <w:ind w:left="0" w:leftChars="0" w:right="0" w:rightChars="0"/>
              <w:jc w:val="left"/>
              <w:rPr>
                <w:rFonts w:hint="eastAsia" w:ascii="宋体" w:hAnsi="宋体"/>
                <w:color w:val="auto"/>
                <w:sz w:val="24"/>
                <w:szCs w:val="24"/>
                <w:highlight w:val="none"/>
              </w:rPr>
            </w:pPr>
            <w:r>
              <w:rPr>
                <w:rFonts w:hint="eastAsia" w:ascii="宋体" w:hAnsi="宋体" w:cs="宋体"/>
                <w:color w:val="auto"/>
                <w:sz w:val="24"/>
                <w:highlight w:val="none"/>
              </w:rPr>
              <w:t>如顺延合同工期在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个月以上的，发包人将按如下原则给予补偿：</w:t>
            </w:r>
            <w:r>
              <w:rPr>
                <w:rFonts w:hint="eastAsia" w:ascii="宋体" w:hAnsi="宋体" w:cs="宋体"/>
                <w:color w:val="auto"/>
                <w:sz w:val="24"/>
                <w:highlight w:val="none"/>
                <w:u w:val="single"/>
              </w:rPr>
              <w:t>详见专用合同条款</w:t>
            </w:r>
            <w:r>
              <w:rPr>
                <w:rFonts w:hint="eastAsia" w:ascii="宋体" w:hAnsi="宋体" w:cs="宋体"/>
                <w:color w:val="auto"/>
                <w:sz w:val="24"/>
                <w:highlight w:val="none"/>
              </w:rPr>
              <w:t>。</w:t>
            </w:r>
          </w:p>
        </w:tc>
      </w:tr>
      <w:tr w14:paraId="3C849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29" w:type="dxa"/>
            <w:vAlign w:val="center"/>
          </w:tcPr>
          <w:p w14:paraId="5467E8E4">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p>
        </w:tc>
        <w:tc>
          <w:tcPr>
            <w:tcW w:w="1484" w:type="dxa"/>
            <w:gridSpan w:val="2"/>
            <w:vAlign w:val="center"/>
          </w:tcPr>
          <w:p w14:paraId="636A6B95">
            <w:pPr>
              <w:keepNext w:val="0"/>
              <w:keepLines w:val="0"/>
              <w:suppressLineNumbers w:val="0"/>
              <w:spacing w:before="0" w:beforeAutospacing="0" w:after="0" w:afterAutospacing="0"/>
              <w:ind w:left="0" w:leftChars="0" w:right="0" w:rightChars="0"/>
              <w:jc w:val="center"/>
              <w:rPr>
                <w:rFonts w:hint="eastAsia" w:ascii="宋体" w:hAnsi="宋体"/>
                <w:color w:val="auto"/>
                <w:sz w:val="24"/>
                <w:szCs w:val="24"/>
                <w:highlight w:val="none"/>
              </w:rPr>
            </w:pPr>
            <w:r>
              <w:rPr>
                <w:rFonts w:hint="eastAsia" w:ascii="宋体" w:hAnsi="宋体" w:cs="宋体"/>
                <w:color w:val="auto"/>
                <w:sz w:val="24"/>
                <w:highlight w:val="none"/>
              </w:rPr>
              <w:t>11.3 (2) 4)</w:t>
            </w:r>
          </w:p>
        </w:tc>
        <w:tc>
          <w:tcPr>
            <w:tcW w:w="7426" w:type="dxa"/>
            <w:vAlign w:val="center"/>
          </w:tcPr>
          <w:p w14:paraId="3A87A57C">
            <w:pPr>
              <w:keepNext w:val="0"/>
              <w:keepLines w:val="0"/>
              <w:suppressLineNumbers w:val="0"/>
              <w:spacing w:before="0" w:beforeAutospacing="0" w:after="0" w:afterAutospacing="0"/>
              <w:ind w:left="0" w:leftChars="0" w:right="0" w:rightChars="0"/>
              <w:jc w:val="left"/>
              <w:rPr>
                <w:rFonts w:hint="eastAsia" w:ascii="宋体" w:hAnsi="宋体"/>
                <w:color w:val="auto"/>
                <w:sz w:val="24"/>
                <w:szCs w:val="24"/>
                <w:highlight w:val="none"/>
              </w:rPr>
            </w:pPr>
            <w:r>
              <w:rPr>
                <w:rFonts w:hint="eastAsia" w:ascii="宋体" w:hAnsi="宋体" w:cs="宋体"/>
                <w:color w:val="auto"/>
                <w:sz w:val="24"/>
                <w:highlight w:val="none"/>
              </w:rPr>
              <w:t>仅对超出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个月以上部分进行补偿。</w:t>
            </w:r>
          </w:p>
        </w:tc>
      </w:tr>
      <w:tr w14:paraId="4A561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729" w:type="dxa"/>
            <w:vAlign w:val="center"/>
          </w:tcPr>
          <w:p w14:paraId="386D465A">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p>
        </w:tc>
        <w:tc>
          <w:tcPr>
            <w:tcW w:w="1484" w:type="dxa"/>
            <w:gridSpan w:val="2"/>
            <w:vAlign w:val="center"/>
          </w:tcPr>
          <w:p w14:paraId="3F3DFE05">
            <w:pPr>
              <w:jc w:val="center"/>
              <w:rPr>
                <w:rFonts w:ascii="Calibri" w:hAnsi="Calibri"/>
                <w:color w:val="auto"/>
                <w:sz w:val="24"/>
                <w:szCs w:val="24"/>
                <w:highlight w:val="none"/>
              </w:rPr>
            </w:pPr>
            <w:r>
              <w:rPr>
                <w:rFonts w:hint="eastAsia" w:ascii="宋体" w:hAnsi="宋体"/>
                <w:color w:val="auto"/>
                <w:sz w:val="24"/>
                <w:szCs w:val="24"/>
                <w:highlight w:val="none"/>
              </w:rPr>
              <w:t>11.5（3）</w:t>
            </w:r>
          </w:p>
        </w:tc>
        <w:tc>
          <w:tcPr>
            <w:tcW w:w="7426" w:type="dxa"/>
            <w:vAlign w:val="center"/>
          </w:tcPr>
          <w:p w14:paraId="7FCB8C74">
            <w:pPr>
              <w:rPr>
                <w:rFonts w:ascii="Calibri" w:hAnsi="Calibri"/>
                <w:color w:val="auto"/>
                <w:sz w:val="24"/>
                <w:szCs w:val="24"/>
                <w:highlight w:val="none"/>
              </w:rPr>
            </w:pPr>
            <w:r>
              <w:rPr>
                <w:rFonts w:hint="eastAsia" w:ascii="宋体" w:hAnsi="宋体"/>
                <w:color w:val="auto"/>
                <w:sz w:val="24"/>
                <w:szCs w:val="24"/>
                <w:highlight w:val="none"/>
              </w:rPr>
              <w:t>逾期交工违约金：</w:t>
            </w:r>
            <w:r>
              <w:rPr>
                <w:rFonts w:hint="eastAsia" w:ascii="宋体" w:hAnsi="宋体"/>
                <w:color w:val="auto"/>
                <w:sz w:val="24"/>
                <w:szCs w:val="24"/>
                <w:highlight w:val="none"/>
                <w:u w:val="single"/>
              </w:rPr>
              <w:t>5000元/天</w:t>
            </w:r>
          </w:p>
        </w:tc>
      </w:tr>
      <w:tr w14:paraId="64D38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29" w:type="dxa"/>
            <w:vAlign w:val="center"/>
          </w:tcPr>
          <w:p w14:paraId="550D87E7">
            <w:pPr>
              <w:jc w:val="center"/>
              <w:rPr>
                <w:rFonts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p>
        </w:tc>
        <w:tc>
          <w:tcPr>
            <w:tcW w:w="1484" w:type="dxa"/>
            <w:gridSpan w:val="2"/>
            <w:vAlign w:val="center"/>
          </w:tcPr>
          <w:p w14:paraId="50688C36">
            <w:pPr>
              <w:jc w:val="center"/>
              <w:rPr>
                <w:rFonts w:ascii="Calibri" w:hAnsi="Calibri"/>
                <w:color w:val="auto"/>
                <w:sz w:val="24"/>
                <w:szCs w:val="24"/>
                <w:highlight w:val="none"/>
              </w:rPr>
            </w:pPr>
            <w:r>
              <w:rPr>
                <w:rFonts w:hint="eastAsia" w:ascii="宋体" w:hAnsi="宋体"/>
                <w:color w:val="auto"/>
                <w:sz w:val="24"/>
                <w:szCs w:val="24"/>
                <w:highlight w:val="none"/>
              </w:rPr>
              <w:t>11.5（3）</w:t>
            </w:r>
          </w:p>
        </w:tc>
        <w:tc>
          <w:tcPr>
            <w:tcW w:w="7426" w:type="dxa"/>
            <w:vAlign w:val="center"/>
          </w:tcPr>
          <w:p w14:paraId="4616AE6C">
            <w:pPr>
              <w:rPr>
                <w:rFonts w:ascii="Calibri" w:hAnsi="Calibri"/>
                <w:color w:val="auto"/>
                <w:sz w:val="24"/>
                <w:szCs w:val="24"/>
                <w:highlight w:val="none"/>
              </w:rPr>
            </w:pPr>
            <w:r>
              <w:rPr>
                <w:rFonts w:hint="eastAsia" w:ascii="宋体" w:hAnsi="宋体"/>
                <w:color w:val="auto"/>
                <w:sz w:val="24"/>
                <w:szCs w:val="24"/>
                <w:highlight w:val="none"/>
              </w:rPr>
              <w:t>逾期交工违约金限额：</w:t>
            </w:r>
            <w:r>
              <w:rPr>
                <w:rFonts w:hint="eastAsia" w:ascii="宋体" w:hAnsi="宋体"/>
                <w:color w:val="auto"/>
                <w:sz w:val="24"/>
                <w:szCs w:val="24"/>
                <w:highlight w:val="none"/>
                <w:u w:val="single"/>
              </w:rPr>
              <w:t xml:space="preserve"> 10 </w:t>
            </w:r>
            <w:r>
              <w:rPr>
                <w:rFonts w:hint="eastAsia" w:ascii="宋体" w:hAnsi="宋体"/>
                <w:color w:val="auto"/>
                <w:sz w:val="24"/>
                <w:szCs w:val="24"/>
                <w:highlight w:val="none"/>
              </w:rPr>
              <w:t>%签约合同价</w:t>
            </w:r>
          </w:p>
        </w:tc>
      </w:tr>
      <w:tr w14:paraId="67DBA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729" w:type="dxa"/>
            <w:vAlign w:val="center"/>
          </w:tcPr>
          <w:p w14:paraId="3CED7CF9">
            <w:pPr>
              <w:jc w:val="center"/>
              <w:rPr>
                <w:rFonts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p>
        </w:tc>
        <w:tc>
          <w:tcPr>
            <w:tcW w:w="1484" w:type="dxa"/>
            <w:gridSpan w:val="2"/>
            <w:vAlign w:val="center"/>
          </w:tcPr>
          <w:p w14:paraId="555A8BE2">
            <w:pPr>
              <w:jc w:val="center"/>
              <w:rPr>
                <w:rFonts w:ascii="Calibri" w:hAnsi="Calibri"/>
                <w:color w:val="auto"/>
                <w:sz w:val="24"/>
                <w:szCs w:val="24"/>
                <w:highlight w:val="none"/>
              </w:rPr>
            </w:pPr>
            <w:r>
              <w:rPr>
                <w:rFonts w:hint="eastAsia" w:ascii="宋体" w:hAnsi="宋体"/>
                <w:color w:val="auto"/>
                <w:sz w:val="24"/>
                <w:szCs w:val="24"/>
                <w:highlight w:val="none"/>
              </w:rPr>
              <w:t>11.6</w:t>
            </w:r>
          </w:p>
        </w:tc>
        <w:tc>
          <w:tcPr>
            <w:tcW w:w="7426" w:type="dxa"/>
            <w:vAlign w:val="center"/>
          </w:tcPr>
          <w:p w14:paraId="12F0DFD7">
            <w:pPr>
              <w:rPr>
                <w:rFonts w:ascii="Calibri" w:hAnsi="Calibri"/>
                <w:color w:val="auto"/>
                <w:sz w:val="24"/>
                <w:szCs w:val="24"/>
                <w:highlight w:val="none"/>
              </w:rPr>
            </w:pPr>
            <w:r>
              <w:rPr>
                <w:rFonts w:hint="eastAsia" w:ascii="宋体" w:hAnsi="宋体"/>
                <w:color w:val="auto"/>
                <w:sz w:val="24"/>
                <w:szCs w:val="24"/>
                <w:highlight w:val="none"/>
              </w:rPr>
              <w:t>提前交工的奖金：</w:t>
            </w:r>
            <w:r>
              <w:rPr>
                <w:rFonts w:hint="eastAsia" w:ascii="宋体" w:hAnsi="宋体"/>
                <w:color w:val="auto"/>
                <w:sz w:val="24"/>
                <w:szCs w:val="24"/>
                <w:highlight w:val="none"/>
                <w:u w:val="single"/>
              </w:rPr>
              <w:t xml:space="preserve">  0  </w:t>
            </w:r>
            <w:r>
              <w:rPr>
                <w:rFonts w:hint="eastAsia" w:ascii="宋体" w:hAnsi="宋体"/>
                <w:color w:val="auto"/>
                <w:sz w:val="24"/>
                <w:szCs w:val="24"/>
                <w:highlight w:val="none"/>
              </w:rPr>
              <w:t>元/天</w:t>
            </w:r>
          </w:p>
        </w:tc>
      </w:tr>
      <w:tr w14:paraId="07EB0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29" w:type="dxa"/>
            <w:vAlign w:val="center"/>
          </w:tcPr>
          <w:p w14:paraId="1091B607">
            <w:pPr>
              <w:jc w:val="center"/>
              <w:rPr>
                <w:rFonts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p>
        </w:tc>
        <w:tc>
          <w:tcPr>
            <w:tcW w:w="1484" w:type="dxa"/>
            <w:gridSpan w:val="2"/>
            <w:vAlign w:val="center"/>
          </w:tcPr>
          <w:p w14:paraId="06E9F579">
            <w:pPr>
              <w:jc w:val="center"/>
              <w:rPr>
                <w:rFonts w:ascii="Calibri" w:hAnsi="Calibri"/>
                <w:color w:val="auto"/>
                <w:sz w:val="24"/>
                <w:szCs w:val="24"/>
                <w:highlight w:val="none"/>
              </w:rPr>
            </w:pPr>
            <w:r>
              <w:rPr>
                <w:rFonts w:hint="eastAsia" w:ascii="宋体" w:hAnsi="宋体"/>
                <w:color w:val="auto"/>
                <w:sz w:val="24"/>
                <w:szCs w:val="24"/>
                <w:highlight w:val="none"/>
              </w:rPr>
              <w:t>11.6</w:t>
            </w:r>
          </w:p>
        </w:tc>
        <w:tc>
          <w:tcPr>
            <w:tcW w:w="7426" w:type="dxa"/>
            <w:vAlign w:val="center"/>
          </w:tcPr>
          <w:p w14:paraId="2A36737C">
            <w:pPr>
              <w:rPr>
                <w:rFonts w:ascii="Calibri" w:hAnsi="Calibri"/>
                <w:color w:val="auto"/>
                <w:sz w:val="24"/>
                <w:szCs w:val="24"/>
                <w:highlight w:val="none"/>
              </w:rPr>
            </w:pPr>
            <w:r>
              <w:rPr>
                <w:rFonts w:hint="eastAsia" w:ascii="宋体" w:hAnsi="宋体"/>
                <w:color w:val="auto"/>
                <w:sz w:val="24"/>
                <w:szCs w:val="24"/>
                <w:highlight w:val="none"/>
              </w:rPr>
              <w:t>提前交工的奖金限额：</w:t>
            </w:r>
            <w:r>
              <w:rPr>
                <w:rFonts w:hint="eastAsia" w:ascii="宋体" w:hAnsi="宋体"/>
                <w:color w:val="auto"/>
                <w:sz w:val="24"/>
                <w:szCs w:val="24"/>
                <w:highlight w:val="none"/>
                <w:u w:val="single"/>
              </w:rPr>
              <w:t xml:space="preserve">  0  </w:t>
            </w:r>
            <w:r>
              <w:rPr>
                <w:rFonts w:hint="eastAsia" w:ascii="宋体" w:hAnsi="宋体"/>
                <w:color w:val="auto"/>
                <w:sz w:val="24"/>
                <w:szCs w:val="24"/>
                <w:highlight w:val="none"/>
              </w:rPr>
              <w:t>%签约合同价</w:t>
            </w:r>
          </w:p>
        </w:tc>
      </w:tr>
      <w:tr w14:paraId="56342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29" w:type="dxa"/>
            <w:vAlign w:val="center"/>
          </w:tcPr>
          <w:p w14:paraId="060B5DA4">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p>
        </w:tc>
        <w:tc>
          <w:tcPr>
            <w:tcW w:w="1484" w:type="dxa"/>
            <w:gridSpan w:val="2"/>
            <w:vAlign w:val="center"/>
          </w:tcPr>
          <w:p w14:paraId="67E9737A">
            <w:pPr>
              <w:keepNext w:val="0"/>
              <w:keepLines w:val="0"/>
              <w:suppressLineNumbers w:val="0"/>
              <w:spacing w:before="0" w:beforeAutospacing="0" w:after="0" w:afterAutospacing="0" w:line="192" w:lineRule="auto"/>
              <w:ind w:left="0" w:leftChars="0" w:right="0" w:rightChars="0"/>
              <w:jc w:val="center"/>
              <w:rPr>
                <w:rFonts w:hint="eastAsia" w:ascii="宋体" w:hAnsi="宋体"/>
                <w:color w:val="auto"/>
                <w:sz w:val="24"/>
                <w:szCs w:val="24"/>
                <w:highlight w:val="none"/>
              </w:rPr>
            </w:pPr>
            <w:r>
              <w:rPr>
                <w:rFonts w:hint="eastAsia" w:ascii="宋体" w:hAnsi="宋体" w:cs="宋体"/>
                <w:color w:val="auto"/>
                <w:sz w:val="24"/>
                <w:highlight w:val="none"/>
              </w:rPr>
              <w:t>13.11</w:t>
            </w:r>
          </w:p>
        </w:tc>
        <w:tc>
          <w:tcPr>
            <w:tcW w:w="7426" w:type="dxa"/>
            <w:vAlign w:val="center"/>
          </w:tcPr>
          <w:p w14:paraId="633636AA">
            <w:pPr>
              <w:keepNext w:val="0"/>
              <w:keepLines w:val="0"/>
              <w:suppressLineNumbers w:val="0"/>
              <w:spacing w:before="0" w:beforeAutospacing="0" w:after="0" w:afterAutospacing="0" w:line="243" w:lineRule="auto"/>
              <w:ind w:left="0" w:leftChars="0" w:right="0" w:rightChars="0"/>
              <w:rPr>
                <w:rFonts w:hint="eastAsia" w:ascii="宋体" w:hAnsi="宋体"/>
                <w:color w:val="auto"/>
                <w:sz w:val="24"/>
                <w:szCs w:val="24"/>
                <w:highlight w:val="none"/>
              </w:rPr>
            </w:pPr>
            <w:r>
              <w:rPr>
                <w:rFonts w:hint="eastAsia" w:ascii="宋体" w:hAnsi="宋体" w:cs="宋体"/>
                <w:color w:val="auto"/>
                <w:sz w:val="24"/>
                <w:highlight w:val="none"/>
              </w:rPr>
              <w:t>优质优价价款：合同工程量清单第200章</w:t>
            </w:r>
            <w:r>
              <w:rPr>
                <w:rFonts w:hint="eastAsia" w:ascii="宋体" w:hAnsi="宋体" w:eastAsia="宋体" w:cs="宋体"/>
                <w:color w:val="auto"/>
                <w:sz w:val="24"/>
                <w:highlight w:val="none"/>
              </w:rPr>
              <w:t>～</w:t>
            </w:r>
            <w:r>
              <w:rPr>
                <w:rFonts w:hint="eastAsia" w:ascii="宋体" w:hAnsi="宋体" w:cs="宋体"/>
                <w:color w:val="auto"/>
                <w:sz w:val="24"/>
                <w:highlight w:val="none"/>
              </w:rPr>
              <w:t>900章合计金额的</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 (含税金)</w:t>
            </w:r>
          </w:p>
        </w:tc>
      </w:tr>
      <w:tr w14:paraId="4D49E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29" w:type="dxa"/>
            <w:vAlign w:val="center"/>
          </w:tcPr>
          <w:p w14:paraId="360CFFA7">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8</w:t>
            </w:r>
          </w:p>
        </w:tc>
        <w:tc>
          <w:tcPr>
            <w:tcW w:w="1484" w:type="dxa"/>
            <w:gridSpan w:val="2"/>
            <w:vAlign w:val="center"/>
          </w:tcPr>
          <w:p w14:paraId="71CDD666">
            <w:pPr>
              <w:keepNext w:val="0"/>
              <w:keepLines w:val="0"/>
              <w:suppressLineNumbers w:val="0"/>
              <w:spacing w:before="0" w:beforeAutospacing="0" w:after="0" w:afterAutospacing="0"/>
              <w:ind w:left="0" w:leftChars="0" w:right="0" w:rightChars="0"/>
              <w:jc w:val="center"/>
              <w:rPr>
                <w:rFonts w:hint="eastAsia" w:ascii="宋体" w:hAnsi="宋体" w:cs="宋体"/>
                <w:color w:val="auto"/>
                <w:sz w:val="24"/>
                <w:highlight w:val="none"/>
              </w:rPr>
            </w:pPr>
            <w:r>
              <w:rPr>
                <w:rFonts w:hint="eastAsia" w:ascii="宋体" w:hAnsi="宋体" w:cs="宋体"/>
                <w:color w:val="auto"/>
                <w:sz w:val="24"/>
                <w:highlight w:val="none"/>
              </w:rPr>
              <w:t>15.4.4.2</w:t>
            </w:r>
          </w:p>
        </w:tc>
        <w:tc>
          <w:tcPr>
            <w:tcW w:w="7426" w:type="dxa"/>
            <w:vAlign w:val="top"/>
          </w:tcPr>
          <w:p w14:paraId="11ABD9B9">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应急抢险工程变更金额确定原则：</w:t>
            </w:r>
          </w:p>
          <w:p w14:paraId="5F049CF7">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□变更金额=审批的变更预算</w:t>
            </w:r>
          </w:p>
          <w:p w14:paraId="6AA1901D">
            <w:pPr>
              <w:keepNext w:val="0"/>
              <w:keepLines w:val="0"/>
              <w:suppressLineNumbers w:val="0"/>
              <w:spacing w:before="0" w:beforeAutospacing="0" w:after="0" w:afterAutospacing="0"/>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变更金额=审批的变更预算× (1-中标下浮率)</w:t>
            </w:r>
          </w:p>
        </w:tc>
      </w:tr>
      <w:tr w14:paraId="79924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29" w:type="dxa"/>
            <w:vAlign w:val="center"/>
          </w:tcPr>
          <w:p w14:paraId="1C9EB5FC">
            <w:pPr>
              <w:jc w:val="center"/>
              <w:rPr>
                <w:rFonts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9</w:t>
            </w:r>
          </w:p>
        </w:tc>
        <w:tc>
          <w:tcPr>
            <w:tcW w:w="1484" w:type="dxa"/>
            <w:gridSpan w:val="2"/>
            <w:vAlign w:val="center"/>
          </w:tcPr>
          <w:p w14:paraId="2FEF67C6">
            <w:pPr>
              <w:jc w:val="center"/>
              <w:rPr>
                <w:rFonts w:ascii="Calibri" w:hAnsi="Calibri"/>
                <w:color w:val="auto"/>
                <w:sz w:val="24"/>
                <w:szCs w:val="24"/>
                <w:highlight w:val="none"/>
              </w:rPr>
            </w:pPr>
            <w:r>
              <w:rPr>
                <w:rFonts w:hint="eastAsia" w:ascii="宋体" w:hAnsi="宋体"/>
                <w:color w:val="auto"/>
                <w:sz w:val="24"/>
                <w:szCs w:val="24"/>
                <w:highlight w:val="none"/>
              </w:rPr>
              <w:t>15.5.2</w:t>
            </w:r>
          </w:p>
        </w:tc>
        <w:tc>
          <w:tcPr>
            <w:tcW w:w="7426" w:type="dxa"/>
            <w:vAlign w:val="center"/>
          </w:tcPr>
          <w:p w14:paraId="3586B5B7">
            <w:pPr>
              <w:rPr>
                <w:rFonts w:ascii="Calibri" w:hAnsi="Calibri"/>
                <w:color w:val="auto"/>
                <w:sz w:val="24"/>
                <w:szCs w:val="24"/>
                <w:highlight w:val="none"/>
              </w:rPr>
            </w:pPr>
            <w:r>
              <w:rPr>
                <w:rFonts w:hint="eastAsia" w:ascii="宋体" w:hAnsi="宋体"/>
                <w:color w:val="auto"/>
                <w:sz w:val="24"/>
                <w:szCs w:val="24"/>
                <w:highlight w:val="none"/>
              </w:rPr>
              <w:t>承包人提出的合理化建议降低了合同价格或者提高了工程经济效益的，发包人按所节约成本的</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%或增加收益的</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%给予奖励</w:t>
            </w:r>
          </w:p>
        </w:tc>
      </w:tr>
      <w:tr w14:paraId="07DE6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11165838">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20</w:t>
            </w:r>
          </w:p>
        </w:tc>
        <w:tc>
          <w:tcPr>
            <w:tcW w:w="1484" w:type="dxa"/>
            <w:gridSpan w:val="2"/>
            <w:vAlign w:val="center"/>
          </w:tcPr>
          <w:p w14:paraId="21EE9E23">
            <w:pPr>
              <w:jc w:val="center"/>
              <w:rPr>
                <w:rFonts w:ascii="Calibri" w:hAnsi="Calibri"/>
                <w:color w:val="auto"/>
                <w:sz w:val="24"/>
                <w:szCs w:val="24"/>
                <w:highlight w:val="none"/>
              </w:rPr>
            </w:pPr>
            <w:r>
              <w:rPr>
                <w:rFonts w:hint="eastAsia" w:ascii="宋体" w:hAnsi="宋体"/>
                <w:color w:val="auto"/>
                <w:sz w:val="24"/>
                <w:szCs w:val="24"/>
                <w:highlight w:val="none"/>
              </w:rPr>
              <w:t>16.1</w:t>
            </w:r>
          </w:p>
        </w:tc>
        <w:tc>
          <w:tcPr>
            <w:tcW w:w="7426" w:type="dxa"/>
            <w:vAlign w:val="center"/>
          </w:tcPr>
          <w:p w14:paraId="461610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□因物价波动引起的价格调整按照</w:t>
            </w:r>
            <w:r>
              <w:rPr>
                <w:rFonts w:hint="eastAsia" w:ascii="宋体" w:hAnsi="宋体"/>
                <w:color w:val="auto"/>
                <w:sz w:val="24"/>
                <w:szCs w:val="24"/>
                <w:highlight w:val="none"/>
                <w:u w:val="single"/>
                <w:lang w:val="en-US" w:eastAsia="zh-CN"/>
              </w:rPr>
              <w:t xml:space="preserve"> / </w:t>
            </w:r>
            <w:r>
              <w:rPr>
                <w:rFonts w:hint="eastAsia" w:ascii="宋体" w:hAnsi="宋体"/>
                <w:color w:val="auto"/>
                <w:sz w:val="24"/>
                <w:szCs w:val="24"/>
                <w:highlight w:val="none"/>
              </w:rPr>
              <w:t>项约定的原则处理</w:t>
            </w:r>
          </w:p>
          <w:p w14:paraId="7D758B5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 w:val="24"/>
                <w:szCs w:val="24"/>
                <w:highlight w:val="none"/>
              </w:rPr>
            </w:pPr>
            <w:r>
              <w:rPr>
                <w:rFonts w:hint="eastAsia" w:ascii="宋体" w:hAnsi="宋体" w:cs="宋体"/>
                <w:color w:val="auto"/>
                <w:sz w:val="24"/>
                <w:highlight w:val="none"/>
              </w:rPr>
              <w:sym w:font="Wingdings 2" w:char="0052"/>
            </w:r>
            <w:r>
              <w:rPr>
                <w:rFonts w:hint="eastAsia" w:ascii="宋体" w:hAnsi="宋体"/>
                <w:color w:val="auto"/>
                <w:sz w:val="24"/>
                <w:szCs w:val="24"/>
                <w:highlight w:val="none"/>
              </w:rPr>
              <w:t>合同期内不调价</w:t>
            </w:r>
          </w:p>
        </w:tc>
      </w:tr>
      <w:tr w14:paraId="52B00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0ED23B3A">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1</w:t>
            </w:r>
          </w:p>
        </w:tc>
        <w:tc>
          <w:tcPr>
            <w:tcW w:w="1484" w:type="dxa"/>
            <w:gridSpan w:val="2"/>
            <w:vAlign w:val="center"/>
          </w:tcPr>
          <w:p w14:paraId="44849776">
            <w:pPr>
              <w:keepNext w:val="0"/>
              <w:keepLines w:val="0"/>
              <w:suppressLineNumbers w:val="0"/>
              <w:spacing w:before="0" w:beforeAutospacing="0" w:after="0" w:afterAutospacing="0" w:line="400" w:lineRule="exact"/>
              <w:ind w:left="0" w:leftChars="0" w:right="0" w:rightChars="0"/>
              <w:jc w:val="center"/>
              <w:rPr>
                <w:rFonts w:hint="eastAsia" w:ascii="宋体" w:hAnsi="宋体"/>
                <w:color w:val="auto"/>
                <w:sz w:val="24"/>
                <w:szCs w:val="24"/>
                <w:highlight w:val="none"/>
              </w:rPr>
            </w:pPr>
            <w:r>
              <w:rPr>
                <w:rFonts w:hint="eastAsia" w:ascii="宋体" w:hAnsi="宋体" w:cs="宋体"/>
                <w:color w:val="auto"/>
                <w:sz w:val="24"/>
                <w:highlight w:val="none"/>
              </w:rPr>
              <w:t>17.1.7</w:t>
            </w:r>
          </w:p>
        </w:tc>
        <w:tc>
          <w:tcPr>
            <w:tcW w:w="7426" w:type="dxa"/>
            <w:vAlign w:val="top"/>
          </w:tcPr>
          <w:p w14:paraId="0D52B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color w:val="auto"/>
                <w:sz w:val="24"/>
                <w:highlight w:val="none"/>
              </w:rPr>
            </w:pPr>
            <w:r>
              <w:rPr>
                <w:rFonts w:hint="eastAsia" w:ascii="宋体" w:hAnsi="宋体" w:cs="宋体"/>
                <w:color w:val="auto"/>
                <w:sz w:val="24"/>
                <w:highlight w:val="none"/>
              </w:rPr>
              <w:t>路面备料款的暂定计量和支付：</w:t>
            </w:r>
          </w:p>
          <w:p w14:paraId="15139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cs="宋体"/>
                <w:color w:val="auto"/>
                <w:sz w:val="24"/>
                <w:highlight w:val="none"/>
              </w:rPr>
            </w:pPr>
            <w:r>
              <w:rPr>
                <w:rFonts w:hint="eastAsia" w:ascii="宋体" w:hAnsi="宋体" w:cs="宋体"/>
                <w:color w:val="auto"/>
                <w:sz w:val="24"/>
                <w:highlight w:val="none"/>
              </w:rPr>
              <w:t>计量数量： 以承包人实际进场并经监理人和发包人代表验收确认数量的</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%计。</w:t>
            </w:r>
          </w:p>
        </w:tc>
      </w:tr>
      <w:tr w14:paraId="5DFDD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2ACCE003">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p>
        </w:tc>
        <w:tc>
          <w:tcPr>
            <w:tcW w:w="1484" w:type="dxa"/>
            <w:gridSpan w:val="2"/>
            <w:vAlign w:val="center"/>
          </w:tcPr>
          <w:p w14:paraId="0E8C87AF">
            <w:pPr>
              <w:jc w:val="center"/>
              <w:rPr>
                <w:rFonts w:ascii="Calibri" w:hAnsi="Calibri"/>
                <w:color w:val="auto"/>
                <w:sz w:val="24"/>
                <w:szCs w:val="24"/>
                <w:highlight w:val="none"/>
              </w:rPr>
            </w:pPr>
            <w:r>
              <w:rPr>
                <w:rFonts w:hint="eastAsia" w:ascii="宋体" w:hAnsi="宋体"/>
                <w:color w:val="auto"/>
                <w:sz w:val="24"/>
                <w:szCs w:val="24"/>
                <w:highlight w:val="none"/>
              </w:rPr>
              <w:t>17.2.1（1）</w:t>
            </w:r>
          </w:p>
        </w:tc>
        <w:tc>
          <w:tcPr>
            <w:tcW w:w="7426" w:type="dxa"/>
            <w:vAlign w:val="center"/>
          </w:tcPr>
          <w:p w14:paraId="3D98A0C1">
            <w:pPr>
              <w:rPr>
                <w:rFonts w:ascii="Calibri" w:hAnsi="Calibri"/>
                <w:color w:val="auto"/>
                <w:sz w:val="24"/>
                <w:szCs w:val="24"/>
                <w:highlight w:val="none"/>
              </w:rPr>
            </w:pPr>
            <w:r>
              <w:rPr>
                <w:rFonts w:hint="eastAsia" w:ascii="宋体" w:hAnsi="宋体"/>
                <w:color w:val="auto"/>
                <w:sz w:val="24"/>
                <w:szCs w:val="24"/>
                <w:highlight w:val="none"/>
              </w:rPr>
              <w:t>开工预付款金额：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 xml:space="preserve">0 </w:t>
            </w:r>
            <w:r>
              <w:rPr>
                <w:rFonts w:hint="eastAsia" w:ascii="宋体" w:hAnsi="宋体"/>
                <w:color w:val="auto"/>
                <w:sz w:val="24"/>
                <w:szCs w:val="24"/>
                <w:highlight w:val="none"/>
              </w:rPr>
              <w:t>%签约合同价</w:t>
            </w:r>
          </w:p>
        </w:tc>
      </w:tr>
      <w:tr w14:paraId="660A2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3DB056E3">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3</w:t>
            </w:r>
          </w:p>
        </w:tc>
        <w:tc>
          <w:tcPr>
            <w:tcW w:w="1484" w:type="dxa"/>
            <w:gridSpan w:val="2"/>
            <w:vAlign w:val="center"/>
          </w:tcPr>
          <w:p w14:paraId="0A8EE030">
            <w:pPr>
              <w:jc w:val="center"/>
              <w:rPr>
                <w:rFonts w:ascii="Calibri" w:hAnsi="Calibri"/>
                <w:color w:val="auto"/>
                <w:sz w:val="24"/>
                <w:szCs w:val="24"/>
                <w:highlight w:val="none"/>
              </w:rPr>
            </w:pPr>
            <w:r>
              <w:rPr>
                <w:rFonts w:hint="eastAsia" w:ascii="宋体" w:hAnsi="宋体"/>
                <w:color w:val="auto"/>
                <w:sz w:val="24"/>
                <w:szCs w:val="24"/>
                <w:highlight w:val="none"/>
              </w:rPr>
              <w:t>17.2.1（2）</w:t>
            </w:r>
          </w:p>
        </w:tc>
        <w:tc>
          <w:tcPr>
            <w:tcW w:w="7426" w:type="dxa"/>
            <w:vAlign w:val="center"/>
          </w:tcPr>
          <w:p w14:paraId="7F95CAA4">
            <w:pPr>
              <w:rPr>
                <w:rFonts w:ascii="Calibri" w:hAnsi="Calibri"/>
                <w:color w:val="auto"/>
                <w:sz w:val="24"/>
                <w:szCs w:val="24"/>
                <w:highlight w:val="none"/>
              </w:rPr>
            </w:pPr>
            <w:r>
              <w:rPr>
                <w:rFonts w:hint="eastAsia" w:ascii="宋体" w:hAnsi="宋体"/>
                <w:color w:val="auto"/>
                <w:sz w:val="24"/>
                <w:szCs w:val="24"/>
                <w:highlight w:val="none"/>
              </w:rPr>
              <w:t>材料、设备预付款比例：</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等主要材料、设备单据所列费用的</w:t>
            </w:r>
            <w:r>
              <w:rPr>
                <w:rFonts w:hint="eastAsia" w:ascii="宋体" w:hAnsi="宋体"/>
                <w:color w:val="auto"/>
                <w:sz w:val="24"/>
                <w:szCs w:val="24"/>
                <w:highlight w:val="none"/>
                <w:u w:val="single"/>
              </w:rPr>
              <w:t xml:space="preserve">  0  </w:t>
            </w:r>
            <w:r>
              <w:rPr>
                <w:rFonts w:hint="eastAsia" w:ascii="宋体" w:hAnsi="宋体"/>
                <w:color w:val="auto"/>
                <w:sz w:val="24"/>
                <w:szCs w:val="24"/>
                <w:highlight w:val="none"/>
              </w:rPr>
              <w:t>%</w:t>
            </w:r>
          </w:p>
        </w:tc>
      </w:tr>
      <w:tr w14:paraId="62D9C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7123D36C">
            <w:pPr>
              <w:jc w:val="center"/>
              <w:rPr>
                <w:rFonts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p>
        </w:tc>
        <w:tc>
          <w:tcPr>
            <w:tcW w:w="1484" w:type="dxa"/>
            <w:gridSpan w:val="2"/>
            <w:vAlign w:val="center"/>
          </w:tcPr>
          <w:p w14:paraId="2CF2B082">
            <w:pPr>
              <w:jc w:val="center"/>
              <w:rPr>
                <w:rFonts w:ascii="Calibri" w:hAnsi="Calibri"/>
                <w:color w:val="auto"/>
                <w:sz w:val="24"/>
                <w:szCs w:val="24"/>
                <w:highlight w:val="none"/>
              </w:rPr>
            </w:pPr>
            <w:r>
              <w:rPr>
                <w:rFonts w:hint="eastAsia" w:ascii="宋体" w:hAnsi="宋体"/>
                <w:color w:val="auto"/>
                <w:sz w:val="24"/>
                <w:szCs w:val="24"/>
                <w:highlight w:val="none"/>
              </w:rPr>
              <w:t>17.3.2</w:t>
            </w:r>
          </w:p>
        </w:tc>
        <w:tc>
          <w:tcPr>
            <w:tcW w:w="7426" w:type="dxa"/>
            <w:vAlign w:val="center"/>
          </w:tcPr>
          <w:p w14:paraId="5AF88864">
            <w:pPr>
              <w:rPr>
                <w:rFonts w:ascii="Calibri" w:hAnsi="Calibri"/>
                <w:color w:val="auto"/>
                <w:sz w:val="24"/>
                <w:szCs w:val="24"/>
                <w:highlight w:val="none"/>
              </w:rPr>
            </w:pPr>
            <w:r>
              <w:rPr>
                <w:rFonts w:hint="eastAsia" w:ascii="宋体" w:hAnsi="宋体"/>
                <w:color w:val="auto"/>
                <w:sz w:val="24"/>
                <w:szCs w:val="24"/>
                <w:highlight w:val="none"/>
              </w:rPr>
              <w:t>承包人在每个付款周期末向监理人提交进度付款申请单的份数：</w:t>
            </w:r>
            <w:r>
              <w:rPr>
                <w:rFonts w:hint="eastAsia" w:ascii="宋体" w:hAnsi="宋体"/>
                <w:color w:val="auto"/>
                <w:sz w:val="24"/>
                <w:szCs w:val="24"/>
                <w:highlight w:val="none"/>
                <w:u w:val="single"/>
              </w:rPr>
              <w:t xml:space="preserve">6 </w:t>
            </w:r>
            <w:r>
              <w:rPr>
                <w:rFonts w:hint="eastAsia" w:ascii="宋体" w:hAnsi="宋体"/>
                <w:color w:val="auto"/>
                <w:sz w:val="24"/>
                <w:szCs w:val="24"/>
                <w:highlight w:val="none"/>
              </w:rPr>
              <w:t>份</w:t>
            </w:r>
          </w:p>
        </w:tc>
      </w:tr>
      <w:tr w14:paraId="4FCA7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14929807">
            <w:pPr>
              <w:jc w:val="center"/>
              <w:rPr>
                <w:rFonts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p>
        </w:tc>
        <w:tc>
          <w:tcPr>
            <w:tcW w:w="1484" w:type="dxa"/>
            <w:gridSpan w:val="2"/>
            <w:vAlign w:val="center"/>
          </w:tcPr>
          <w:p w14:paraId="1A449075">
            <w:pPr>
              <w:jc w:val="center"/>
              <w:rPr>
                <w:rFonts w:ascii="Calibri" w:hAnsi="Calibri"/>
                <w:color w:val="auto"/>
                <w:sz w:val="24"/>
                <w:szCs w:val="24"/>
                <w:highlight w:val="none"/>
              </w:rPr>
            </w:pPr>
            <w:r>
              <w:rPr>
                <w:rFonts w:hint="eastAsia" w:ascii="宋体" w:hAnsi="宋体"/>
                <w:color w:val="auto"/>
                <w:sz w:val="24"/>
                <w:szCs w:val="24"/>
                <w:highlight w:val="none"/>
              </w:rPr>
              <w:t>17.3.3（1）</w:t>
            </w:r>
          </w:p>
        </w:tc>
        <w:tc>
          <w:tcPr>
            <w:tcW w:w="7426" w:type="dxa"/>
            <w:vAlign w:val="center"/>
          </w:tcPr>
          <w:p w14:paraId="6E02E825">
            <w:pPr>
              <w:rPr>
                <w:rFonts w:ascii="Calibri" w:hAnsi="Calibri"/>
                <w:color w:val="auto"/>
                <w:sz w:val="24"/>
                <w:szCs w:val="24"/>
                <w:highlight w:val="none"/>
              </w:rPr>
            </w:pPr>
            <w:r>
              <w:rPr>
                <w:rFonts w:hint="eastAsia" w:ascii="宋体" w:hAnsi="宋体"/>
                <w:color w:val="auto"/>
                <w:sz w:val="24"/>
                <w:szCs w:val="24"/>
                <w:highlight w:val="none"/>
              </w:rPr>
              <w:t>进度付款证书最低限额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w:t>
            </w:r>
          </w:p>
        </w:tc>
      </w:tr>
      <w:tr w14:paraId="65730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48AB1E6C">
            <w:pPr>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p>
        </w:tc>
        <w:tc>
          <w:tcPr>
            <w:tcW w:w="1484" w:type="dxa"/>
            <w:gridSpan w:val="2"/>
            <w:vAlign w:val="center"/>
          </w:tcPr>
          <w:p w14:paraId="4F8328C0">
            <w:pPr>
              <w:jc w:val="center"/>
              <w:rPr>
                <w:rFonts w:ascii="Calibri" w:hAnsi="Calibri"/>
                <w:color w:val="auto"/>
                <w:sz w:val="24"/>
                <w:szCs w:val="24"/>
                <w:highlight w:val="none"/>
              </w:rPr>
            </w:pPr>
            <w:r>
              <w:rPr>
                <w:rFonts w:hint="eastAsia" w:ascii="宋体" w:hAnsi="宋体"/>
                <w:color w:val="auto"/>
                <w:sz w:val="24"/>
                <w:szCs w:val="24"/>
                <w:highlight w:val="none"/>
              </w:rPr>
              <w:t>17.3.3（2）</w:t>
            </w:r>
          </w:p>
        </w:tc>
        <w:tc>
          <w:tcPr>
            <w:tcW w:w="7426" w:type="dxa"/>
            <w:vAlign w:val="center"/>
          </w:tcPr>
          <w:p w14:paraId="3CC32C4C">
            <w:pPr>
              <w:rPr>
                <w:rFonts w:ascii="Calibri" w:hAnsi="Calibri"/>
                <w:color w:val="auto"/>
                <w:sz w:val="24"/>
                <w:szCs w:val="24"/>
                <w:highlight w:val="none"/>
              </w:rPr>
            </w:pPr>
            <w:r>
              <w:rPr>
                <w:rFonts w:hint="eastAsia" w:ascii="宋体" w:hAnsi="宋体"/>
                <w:color w:val="auto"/>
                <w:sz w:val="24"/>
                <w:szCs w:val="24"/>
                <w:highlight w:val="none"/>
              </w:rPr>
              <w:t>逾期付款违约金的利率：</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rPr>
              <w:t>‰/天</w:t>
            </w:r>
          </w:p>
        </w:tc>
      </w:tr>
      <w:tr w14:paraId="613E6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34CA2F4D">
            <w:pPr>
              <w:jc w:val="center"/>
              <w:rPr>
                <w:rFonts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p>
        </w:tc>
        <w:tc>
          <w:tcPr>
            <w:tcW w:w="1484" w:type="dxa"/>
            <w:gridSpan w:val="2"/>
            <w:vAlign w:val="center"/>
          </w:tcPr>
          <w:p w14:paraId="05AC0533">
            <w:pPr>
              <w:jc w:val="center"/>
              <w:rPr>
                <w:rFonts w:ascii="Calibri" w:hAnsi="Calibri"/>
                <w:color w:val="auto"/>
                <w:sz w:val="24"/>
                <w:szCs w:val="24"/>
                <w:highlight w:val="none"/>
              </w:rPr>
            </w:pPr>
            <w:r>
              <w:rPr>
                <w:rFonts w:hint="eastAsia" w:ascii="宋体" w:hAnsi="宋体"/>
                <w:color w:val="auto"/>
                <w:sz w:val="24"/>
                <w:szCs w:val="24"/>
                <w:highlight w:val="none"/>
              </w:rPr>
              <w:t>17.4.1</w:t>
            </w:r>
          </w:p>
        </w:tc>
        <w:tc>
          <w:tcPr>
            <w:tcW w:w="7426" w:type="dxa"/>
            <w:vAlign w:val="center"/>
          </w:tcPr>
          <w:p w14:paraId="6916CACB">
            <w:pPr>
              <w:rPr>
                <w:rFonts w:ascii="宋体" w:hAnsi="宋体"/>
                <w:color w:val="auto"/>
                <w:sz w:val="24"/>
                <w:szCs w:val="24"/>
                <w:highlight w:val="none"/>
              </w:rPr>
            </w:pPr>
            <w:r>
              <w:rPr>
                <w:rFonts w:hint="eastAsia" w:ascii="宋体" w:hAnsi="宋体"/>
                <w:color w:val="auto"/>
                <w:sz w:val="24"/>
                <w:szCs w:val="24"/>
                <w:highlight w:val="none"/>
              </w:rPr>
              <w:t>质量保证金限额：</w:t>
            </w:r>
            <w:r>
              <w:rPr>
                <w:rFonts w:hint="eastAsia" w:ascii="宋体" w:hAnsi="宋体"/>
                <w:color w:val="auto"/>
                <w:sz w:val="24"/>
                <w:szCs w:val="24"/>
                <w:highlight w:val="none"/>
                <w:u w:val="single"/>
              </w:rPr>
              <w:t xml:space="preserve"> 3 </w:t>
            </w:r>
            <w:r>
              <w:rPr>
                <w:rFonts w:hint="eastAsia" w:ascii="宋体" w:hAnsi="宋体"/>
                <w:color w:val="auto"/>
                <w:sz w:val="24"/>
                <w:szCs w:val="24"/>
                <w:highlight w:val="none"/>
              </w:rPr>
              <w:t>%合同价格，若交工验收时承包人具备被招标项目所在地省级交通运输主管部门评定的最高信用等级，发包人给予</w:t>
            </w:r>
            <w:r>
              <w:rPr>
                <w:rFonts w:hint="eastAsia" w:ascii="宋体" w:hAnsi="宋体"/>
                <w:color w:val="auto"/>
                <w:sz w:val="24"/>
                <w:szCs w:val="24"/>
                <w:highlight w:val="none"/>
                <w:u w:val="single"/>
              </w:rPr>
              <w:t xml:space="preserve"> 0 </w:t>
            </w:r>
            <w:r>
              <w:rPr>
                <w:rFonts w:hint="eastAsia" w:ascii="宋体" w:hAnsi="宋体"/>
                <w:color w:val="auto"/>
                <w:sz w:val="24"/>
                <w:szCs w:val="24"/>
                <w:highlight w:val="none"/>
              </w:rPr>
              <w:t>%合同价格质量保证金的优惠。</w:t>
            </w:r>
          </w:p>
          <w:p w14:paraId="1B19136C">
            <w:pPr>
              <w:rPr>
                <w:rFonts w:ascii="宋体" w:hAnsi="宋体"/>
                <w:color w:val="auto"/>
                <w:sz w:val="24"/>
                <w:szCs w:val="24"/>
                <w:highlight w:val="none"/>
              </w:rPr>
            </w:pPr>
            <w:r>
              <w:rPr>
                <w:rFonts w:hint="eastAsia" w:ascii="宋体" w:hAnsi="宋体"/>
                <w:color w:val="auto"/>
                <w:sz w:val="24"/>
                <w:szCs w:val="24"/>
                <w:highlight w:val="none"/>
              </w:rPr>
              <w:t>质量保证金是否计付利息：</w:t>
            </w:r>
          </w:p>
          <w:p w14:paraId="4BE23712">
            <w:pPr>
              <w:rPr>
                <w:rFonts w:ascii="宋体" w:hAnsi="宋体"/>
                <w:color w:val="auto"/>
                <w:sz w:val="24"/>
                <w:szCs w:val="24"/>
                <w:highlight w:val="none"/>
                <w:u w:val="single"/>
              </w:rPr>
            </w:pPr>
            <w:r>
              <w:rPr>
                <w:rFonts w:hint="eastAsia" w:ascii="宋体" w:hAnsi="宋体"/>
                <w:color w:val="auto"/>
                <w:sz w:val="24"/>
                <w:szCs w:val="24"/>
                <w:highlight w:val="none"/>
              </w:rPr>
              <w:t>□是，利息的计算方式：</w:t>
            </w:r>
          </w:p>
          <w:p w14:paraId="3EF4F6C2">
            <w:pPr>
              <w:rPr>
                <w:rFonts w:ascii="Calibri" w:hAnsi="Calibri"/>
                <w:color w:val="auto"/>
                <w:sz w:val="24"/>
                <w:szCs w:val="24"/>
                <w:highlight w:val="none"/>
              </w:rPr>
            </w:pPr>
            <w:r>
              <w:rPr>
                <w:rFonts w:hint="eastAsia" w:ascii="宋体" w:hAnsi="宋体" w:cs="宋体"/>
                <w:color w:val="auto"/>
                <w:sz w:val="24"/>
                <w:highlight w:val="none"/>
              </w:rPr>
              <w:sym w:font="Wingdings 2" w:char="0052"/>
            </w:r>
            <w:r>
              <w:rPr>
                <w:rFonts w:hint="eastAsia" w:ascii="宋体" w:hAnsi="宋体"/>
                <w:color w:val="auto"/>
                <w:sz w:val="24"/>
                <w:szCs w:val="24"/>
                <w:highlight w:val="none"/>
              </w:rPr>
              <w:t>否</w:t>
            </w:r>
          </w:p>
        </w:tc>
      </w:tr>
      <w:tr w14:paraId="04BC6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29" w:type="dxa"/>
            <w:vAlign w:val="center"/>
          </w:tcPr>
          <w:p w14:paraId="2009190D">
            <w:pPr>
              <w:jc w:val="center"/>
              <w:rPr>
                <w:rFonts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8</w:t>
            </w:r>
          </w:p>
        </w:tc>
        <w:tc>
          <w:tcPr>
            <w:tcW w:w="1484" w:type="dxa"/>
            <w:gridSpan w:val="2"/>
            <w:vAlign w:val="center"/>
          </w:tcPr>
          <w:p w14:paraId="4D8E8955">
            <w:pPr>
              <w:jc w:val="center"/>
              <w:rPr>
                <w:rFonts w:ascii="Calibri" w:hAnsi="Calibri"/>
                <w:color w:val="auto"/>
                <w:sz w:val="24"/>
                <w:szCs w:val="24"/>
                <w:highlight w:val="none"/>
              </w:rPr>
            </w:pPr>
            <w:r>
              <w:rPr>
                <w:rFonts w:hint="eastAsia" w:ascii="宋体" w:hAnsi="宋体"/>
                <w:color w:val="auto"/>
                <w:sz w:val="24"/>
                <w:szCs w:val="24"/>
                <w:highlight w:val="none"/>
              </w:rPr>
              <w:t>17.5.1（1）</w:t>
            </w:r>
          </w:p>
        </w:tc>
        <w:tc>
          <w:tcPr>
            <w:tcW w:w="7426" w:type="dxa"/>
            <w:vAlign w:val="center"/>
          </w:tcPr>
          <w:p w14:paraId="7BA3B99F">
            <w:pPr>
              <w:rPr>
                <w:rFonts w:ascii="Calibri" w:hAnsi="Calibri"/>
                <w:color w:val="auto"/>
                <w:sz w:val="24"/>
                <w:szCs w:val="24"/>
                <w:highlight w:val="none"/>
              </w:rPr>
            </w:pPr>
            <w:r>
              <w:rPr>
                <w:rFonts w:hint="eastAsia" w:ascii="宋体" w:hAnsi="宋体"/>
                <w:color w:val="auto"/>
                <w:sz w:val="24"/>
                <w:szCs w:val="24"/>
                <w:highlight w:val="none"/>
              </w:rPr>
              <w:t>承包人向监理人提交交工付款申请单</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包括相关证明材料</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的份数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u w:val="single"/>
              </w:rPr>
              <w:t xml:space="preserve">6  </w:t>
            </w:r>
            <w:r>
              <w:rPr>
                <w:rFonts w:hint="eastAsia" w:ascii="宋体" w:hAnsi="宋体"/>
                <w:color w:val="auto"/>
                <w:sz w:val="24"/>
                <w:szCs w:val="24"/>
                <w:highlight w:val="none"/>
              </w:rPr>
              <w:t>份</w:t>
            </w:r>
          </w:p>
        </w:tc>
      </w:tr>
      <w:tr w14:paraId="14E6F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9" w:type="dxa"/>
            <w:vAlign w:val="center"/>
          </w:tcPr>
          <w:p w14:paraId="43BA6210">
            <w:pPr>
              <w:jc w:val="center"/>
              <w:rPr>
                <w:rFonts w:ascii="Calibri" w:hAnsi="Calibri"/>
                <w:color w:val="auto"/>
                <w:sz w:val="24"/>
                <w:szCs w:val="24"/>
                <w:highlight w:val="none"/>
              </w:rPr>
            </w:pPr>
            <w:r>
              <w:rPr>
                <w:rFonts w:hint="eastAsia" w:ascii="宋体" w:hAnsi="宋体"/>
                <w:color w:val="auto"/>
                <w:sz w:val="24"/>
                <w:szCs w:val="24"/>
                <w:highlight w:val="none"/>
                <w:lang w:val="en-US" w:eastAsia="zh-CN"/>
              </w:rPr>
              <w:t>29</w:t>
            </w:r>
          </w:p>
        </w:tc>
        <w:tc>
          <w:tcPr>
            <w:tcW w:w="1484" w:type="dxa"/>
            <w:gridSpan w:val="2"/>
            <w:vAlign w:val="center"/>
          </w:tcPr>
          <w:p w14:paraId="4BD968B3">
            <w:pPr>
              <w:jc w:val="center"/>
              <w:rPr>
                <w:rFonts w:ascii="Calibri" w:hAnsi="Calibri"/>
                <w:color w:val="auto"/>
                <w:sz w:val="24"/>
                <w:szCs w:val="24"/>
                <w:highlight w:val="none"/>
              </w:rPr>
            </w:pPr>
            <w:r>
              <w:rPr>
                <w:rFonts w:hint="eastAsia" w:ascii="宋体" w:hAnsi="宋体"/>
                <w:color w:val="auto"/>
                <w:sz w:val="24"/>
                <w:szCs w:val="24"/>
                <w:highlight w:val="none"/>
              </w:rPr>
              <w:t>17.6.1（1）</w:t>
            </w:r>
          </w:p>
        </w:tc>
        <w:tc>
          <w:tcPr>
            <w:tcW w:w="7426" w:type="dxa"/>
            <w:vAlign w:val="center"/>
          </w:tcPr>
          <w:p w14:paraId="3B2E9003">
            <w:pPr>
              <w:rPr>
                <w:rFonts w:ascii="Calibri" w:hAnsi="Calibri"/>
                <w:color w:val="auto"/>
                <w:sz w:val="24"/>
                <w:szCs w:val="24"/>
                <w:highlight w:val="none"/>
              </w:rPr>
            </w:pPr>
            <w:r>
              <w:rPr>
                <w:rFonts w:hint="eastAsia" w:ascii="宋体" w:hAnsi="宋体"/>
                <w:color w:val="auto"/>
                <w:sz w:val="24"/>
                <w:szCs w:val="24"/>
                <w:highlight w:val="none"/>
              </w:rPr>
              <w:t>承包人向监理人提交最终结清申请单</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包括相关证明材料</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的份数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u w:val="single"/>
              </w:rPr>
              <w:t xml:space="preserve">6  </w:t>
            </w:r>
            <w:r>
              <w:rPr>
                <w:rFonts w:hint="eastAsia" w:ascii="宋体" w:hAnsi="宋体"/>
                <w:color w:val="auto"/>
                <w:sz w:val="24"/>
                <w:szCs w:val="24"/>
                <w:highlight w:val="none"/>
              </w:rPr>
              <w:t>份</w:t>
            </w:r>
          </w:p>
        </w:tc>
      </w:tr>
      <w:tr w14:paraId="54519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3F3C6A33">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w:t>
            </w:r>
          </w:p>
        </w:tc>
        <w:tc>
          <w:tcPr>
            <w:tcW w:w="1484" w:type="dxa"/>
            <w:gridSpan w:val="2"/>
            <w:vAlign w:val="center"/>
          </w:tcPr>
          <w:p w14:paraId="72DBC3D9">
            <w:pPr>
              <w:jc w:val="center"/>
              <w:rPr>
                <w:rFonts w:ascii="Calibri" w:hAnsi="Calibri"/>
                <w:color w:val="auto"/>
                <w:sz w:val="24"/>
                <w:szCs w:val="24"/>
                <w:highlight w:val="none"/>
              </w:rPr>
            </w:pPr>
            <w:r>
              <w:rPr>
                <w:rFonts w:hint="eastAsia" w:ascii="宋体" w:hAnsi="宋体"/>
                <w:color w:val="auto"/>
                <w:sz w:val="24"/>
                <w:szCs w:val="24"/>
                <w:highlight w:val="none"/>
              </w:rPr>
              <w:t>18.2（2）</w:t>
            </w:r>
          </w:p>
        </w:tc>
        <w:tc>
          <w:tcPr>
            <w:tcW w:w="7426" w:type="dxa"/>
            <w:vAlign w:val="center"/>
          </w:tcPr>
          <w:p w14:paraId="6B87EFBF">
            <w:pPr>
              <w:rPr>
                <w:rFonts w:ascii="Calibri" w:hAnsi="Calibri"/>
                <w:color w:val="auto"/>
                <w:sz w:val="24"/>
                <w:szCs w:val="24"/>
                <w:highlight w:val="none"/>
              </w:rPr>
            </w:pPr>
            <w:r>
              <w:rPr>
                <w:rFonts w:hint="eastAsia" w:ascii="宋体" w:hAnsi="宋体"/>
                <w:color w:val="auto"/>
                <w:sz w:val="24"/>
                <w:szCs w:val="24"/>
                <w:highlight w:val="none"/>
              </w:rPr>
              <w:t>竣工资料的份数：</w:t>
            </w:r>
            <w:r>
              <w:rPr>
                <w:rFonts w:hint="eastAsia" w:ascii="宋体" w:hAnsi="宋体"/>
                <w:color w:val="auto"/>
                <w:sz w:val="24"/>
                <w:szCs w:val="24"/>
                <w:highlight w:val="none"/>
                <w:u w:val="single"/>
              </w:rPr>
              <w:t xml:space="preserve">  6  </w:t>
            </w:r>
            <w:r>
              <w:rPr>
                <w:rFonts w:hint="eastAsia" w:ascii="宋体" w:hAnsi="宋体"/>
                <w:color w:val="auto"/>
                <w:sz w:val="24"/>
                <w:szCs w:val="24"/>
                <w:highlight w:val="none"/>
              </w:rPr>
              <w:t>份。</w:t>
            </w:r>
          </w:p>
        </w:tc>
      </w:tr>
      <w:tr w14:paraId="0C950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4E787895">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31</w:t>
            </w:r>
          </w:p>
        </w:tc>
        <w:tc>
          <w:tcPr>
            <w:tcW w:w="1484" w:type="dxa"/>
            <w:gridSpan w:val="2"/>
            <w:vAlign w:val="center"/>
          </w:tcPr>
          <w:p w14:paraId="797284A3">
            <w:pPr>
              <w:jc w:val="center"/>
              <w:rPr>
                <w:rFonts w:ascii="Calibri" w:hAnsi="Calibri"/>
                <w:color w:val="auto"/>
                <w:sz w:val="24"/>
                <w:szCs w:val="24"/>
                <w:highlight w:val="none"/>
              </w:rPr>
            </w:pPr>
            <w:r>
              <w:rPr>
                <w:rFonts w:hint="eastAsia" w:ascii="宋体" w:hAnsi="宋体"/>
                <w:color w:val="auto"/>
                <w:sz w:val="24"/>
                <w:szCs w:val="24"/>
                <w:highlight w:val="none"/>
              </w:rPr>
              <w:t>18.5.1</w:t>
            </w:r>
          </w:p>
        </w:tc>
        <w:tc>
          <w:tcPr>
            <w:tcW w:w="7426" w:type="dxa"/>
            <w:vAlign w:val="center"/>
          </w:tcPr>
          <w:p w14:paraId="667AD5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单位工程或工程设备是否需投入施工期运行：</w:t>
            </w:r>
            <w:r>
              <w:rPr>
                <w:rFonts w:hint="eastAsia" w:ascii="宋体" w:hAnsi="宋体" w:cs="宋体"/>
                <w:color w:val="auto"/>
                <w:sz w:val="24"/>
                <w:highlight w:val="none"/>
                <w:u w:val="single"/>
              </w:rPr>
              <w:t>否</w:t>
            </w:r>
          </w:p>
          <w:p w14:paraId="1E3B2F57">
            <w:pPr>
              <w:rPr>
                <w:rFonts w:ascii="Calibri" w:hAnsi="Calibri"/>
                <w:color w:val="auto"/>
                <w:sz w:val="24"/>
                <w:szCs w:val="24"/>
                <w:highlight w:val="none"/>
                <w:u w:val="single"/>
              </w:rPr>
            </w:pPr>
            <w:r>
              <w:rPr>
                <w:rFonts w:hint="eastAsia" w:ascii="宋体" w:hAnsi="宋体" w:cs="宋体"/>
                <w:color w:val="auto"/>
                <w:sz w:val="24"/>
                <w:highlight w:val="none"/>
              </w:rPr>
              <w:t>如单位工程或工程设备需要进行施工期运行，需要施工期运行的单位工程或工程设备规定如下：</w:t>
            </w:r>
            <w:r>
              <w:rPr>
                <w:rFonts w:hint="eastAsia" w:ascii="宋体" w:hAnsi="宋体" w:cs="宋体"/>
                <w:color w:val="auto"/>
                <w:sz w:val="24"/>
                <w:highlight w:val="none"/>
                <w:u w:val="single"/>
              </w:rPr>
              <w:t xml:space="preserve">  /    </w:t>
            </w:r>
          </w:p>
        </w:tc>
      </w:tr>
      <w:tr w14:paraId="0251A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4960C6D7">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32</w:t>
            </w:r>
          </w:p>
        </w:tc>
        <w:tc>
          <w:tcPr>
            <w:tcW w:w="1484" w:type="dxa"/>
            <w:gridSpan w:val="2"/>
            <w:vAlign w:val="center"/>
          </w:tcPr>
          <w:p w14:paraId="3D848936">
            <w:pPr>
              <w:jc w:val="center"/>
              <w:rPr>
                <w:rFonts w:ascii="Calibri" w:hAnsi="Calibri"/>
                <w:color w:val="auto"/>
                <w:sz w:val="24"/>
                <w:szCs w:val="24"/>
                <w:highlight w:val="none"/>
              </w:rPr>
            </w:pPr>
            <w:r>
              <w:rPr>
                <w:rFonts w:hint="eastAsia" w:ascii="宋体" w:hAnsi="宋体"/>
                <w:color w:val="auto"/>
                <w:sz w:val="24"/>
                <w:szCs w:val="24"/>
                <w:highlight w:val="none"/>
              </w:rPr>
              <w:t>18.6.1</w:t>
            </w:r>
          </w:p>
        </w:tc>
        <w:tc>
          <w:tcPr>
            <w:tcW w:w="7426" w:type="dxa"/>
            <w:vAlign w:val="center"/>
          </w:tcPr>
          <w:p w14:paraId="398B5E73">
            <w:pPr>
              <w:rPr>
                <w:rFonts w:ascii="Calibri" w:hAnsi="Calibri"/>
                <w:color w:val="auto"/>
                <w:sz w:val="24"/>
                <w:szCs w:val="24"/>
                <w:highlight w:val="none"/>
                <w:u w:val="single"/>
              </w:rPr>
            </w:pPr>
            <w:r>
              <w:rPr>
                <w:rFonts w:hint="eastAsia" w:ascii="宋体" w:hAnsi="宋体"/>
                <w:color w:val="auto"/>
                <w:sz w:val="24"/>
                <w:szCs w:val="24"/>
                <w:highlight w:val="none"/>
              </w:rPr>
              <w:t>本工程及工程设备是否进行试运行：</w:t>
            </w:r>
            <w:r>
              <w:rPr>
                <w:rFonts w:hint="eastAsia" w:ascii="宋体" w:hAnsi="宋体"/>
                <w:color w:val="auto"/>
                <w:sz w:val="24"/>
                <w:szCs w:val="24"/>
                <w:highlight w:val="none"/>
                <w:u w:val="single"/>
              </w:rPr>
              <w:t>否</w:t>
            </w:r>
          </w:p>
          <w:p w14:paraId="572E0359">
            <w:pPr>
              <w:rPr>
                <w:rFonts w:ascii="Calibri" w:hAnsi="Calibri"/>
                <w:color w:val="auto"/>
                <w:sz w:val="24"/>
                <w:szCs w:val="24"/>
                <w:highlight w:val="none"/>
                <w:u w:val="single"/>
              </w:rPr>
            </w:pPr>
            <w:r>
              <w:rPr>
                <w:rFonts w:hint="eastAsia" w:ascii="宋体" w:hAnsi="宋体"/>
                <w:color w:val="auto"/>
                <w:sz w:val="24"/>
                <w:szCs w:val="24"/>
                <w:highlight w:val="none"/>
              </w:rPr>
              <w:t>如本工程及工程设备需要进行试运行，试运行的具体规定如下：</w:t>
            </w:r>
            <w:r>
              <w:rPr>
                <w:rFonts w:hint="eastAsia" w:ascii="宋体" w:hAnsi="宋体"/>
                <w:color w:val="auto"/>
                <w:sz w:val="24"/>
                <w:szCs w:val="24"/>
                <w:highlight w:val="none"/>
                <w:u w:val="single"/>
              </w:rPr>
              <w:t xml:space="preserve">  /      </w:t>
            </w:r>
          </w:p>
        </w:tc>
      </w:tr>
      <w:tr w14:paraId="61B66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35658662">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33</w:t>
            </w:r>
          </w:p>
        </w:tc>
        <w:tc>
          <w:tcPr>
            <w:tcW w:w="1484" w:type="dxa"/>
            <w:gridSpan w:val="2"/>
            <w:vAlign w:val="center"/>
          </w:tcPr>
          <w:p w14:paraId="7E387857">
            <w:pPr>
              <w:jc w:val="center"/>
              <w:rPr>
                <w:rFonts w:ascii="Calibri" w:hAnsi="Calibri"/>
                <w:color w:val="auto"/>
                <w:sz w:val="24"/>
                <w:szCs w:val="24"/>
                <w:highlight w:val="none"/>
              </w:rPr>
            </w:pPr>
            <w:r>
              <w:rPr>
                <w:rFonts w:hint="eastAsia" w:ascii="宋体" w:hAnsi="宋体"/>
                <w:color w:val="auto"/>
                <w:sz w:val="24"/>
                <w:szCs w:val="24"/>
                <w:highlight w:val="none"/>
              </w:rPr>
              <w:t>19.7（1）</w:t>
            </w:r>
          </w:p>
        </w:tc>
        <w:tc>
          <w:tcPr>
            <w:tcW w:w="7426" w:type="dxa"/>
            <w:vAlign w:val="center"/>
          </w:tcPr>
          <w:p w14:paraId="53A7E959">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保修期：</w:t>
            </w:r>
          </w:p>
          <w:p w14:paraId="6624CF3B">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自本项目实际交工日期之日起计算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 (绿化工程、房建工程除外) ；</w:t>
            </w:r>
          </w:p>
          <w:p w14:paraId="245B383E">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绿化工程：自本项目实际交工日期之日起计算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个月后，移交发包人或发包人委托的养护单位进行后续的管理养护工作；</w:t>
            </w:r>
          </w:p>
          <w:p w14:paraId="411ED5DC">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房建工程：自该房建工程竣工验收合格之日起计算，其中：</w:t>
            </w:r>
          </w:p>
          <w:p w14:paraId="3455DB00">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(1) 地基基础工程和主体结构工程，为设计文件规定的该工程的合理使用年限；</w:t>
            </w:r>
          </w:p>
          <w:p w14:paraId="107D9F85">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(2) 屋面防水工程、有防水要求的卫生间、房间和外墙面的防渗漏，为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172C1F85">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(3) 装修工程为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445D817C">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(4) 电气管线、给排水管道、设备安装工程为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61B6BEFF">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(5) 供热与供冷系统，为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个采暖期、供冷期；</w:t>
            </w:r>
          </w:p>
          <w:p w14:paraId="551F9A83">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(6) 住宅小区内的给排水设施、道路、电力等配套工程为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6EE1DA70">
            <w:pPr>
              <w:rPr>
                <w:rFonts w:ascii="Calibri" w:hAnsi="Calibri"/>
                <w:color w:val="auto"/>
                <w:sz w:val="24"/>
                <w:szCs w:val="24"/>
                <w:highlight w:val="none"/>
              </w:rPr>
            </w:pPr>
            <w:r>
              <w:rPr>
                <w:rFonts w:hint="eastAsia" w:ascii="宋体" w:hAnsi="宋体" w:cs="宋体"/>
                <w:color w:val="auto"/>
                <w:sz w:val="24"/>
                <w:highlight w:val="none"/>
              </w:rPr>
              <w:t>(7) 其他约定如下：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c>
      </w:tr>
      <w:tr w14:paraId="2E0D6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34000D07">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34</w:t>
            </w:r>
          </w:p>
        </w:tc>
        <w:tc>
          <w:tcPr>
            <w:tcW w:w="1484" w:type="dxa"/>
            <w:gridSpan w:val="2"/>
            <w:vAlign w:val="center"/>
          </w:tcPr>
          <w:p w14:paraId="77438556">
            <w:pPr>
              <w:jc w:val="center"/>
              <w:rPr>
                <w:color w:val="auto"/>
                <w:sz w:val="24"/>
                <w:szCs w:val="24"/>
                <w:highlight w:val="none"/>
              </w:rPr>
            </w:pPr>
            <w:r>
              <w:rPr>
                <w:rFonts w:hint="eastAsia" w:ascii="宋体" w:hAnsi="宋体"/>
                <w:color w:val="auto"/>
                <w:sz w:val="24"/>
                <w:szCs w:val="24"/>
                <w:highlight w:val="none"/>
              </w:rPr>
              <w:t>20.1</w:t>
            </w:r>
          </w:p>
        </w:tc>
        <w:tc>
          <w:tcPr>
            <w:tcW w:w="7426" w:type="dxa"/>
            <w:vAlign w:val="center"/>
          </w:tcPr>
          <w:p w14:paraId="696FAB1A">
            <w:pPr>
              <w:rPr>
                <w:color w:val="auto"/>
                <w:sz w:val="24"/>
                <w:szCs w:val="24"/>
                <w:highlight w:val="none"/>
              </w:rPr>
            </w:pPr>
            <w:r>
              <w:rPr>
                <w:rFonts w:hint="eastAsia"/>
                <w:color w:val="auto"/>
                <w:sz w:val="24"/>
                <w:szCs w:val="24"/>
                <w:highlight w:val="none"/>
              </w:rPr>
              <w:t>建筑工程一切险及第三者责任险的保险费率：</w:t>
            </w:r>
            <w:r>
              <w:rPr>
                <w:rFonts w:hint="eastAsia"/>
                <w:color w:val="auto"/>
                <w:sz w:val="24"/>
                <w:szCs w:val="24"/>
                <w:highlight w:val="none"/>
                <w:u w:val="single"/>
              </w:rPr>
              <w:t xml:space="preserve">4.5‰ </w:t>
            </w:r>
          </w:p>
        </w:tc>
      </w:tr>
      <w:tr w14:paraId="42F4D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110A0CD9">
            <w:pPr>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35</w:t>
            </w:r>
          </w:p>
        </w:tc>
        <w:tc>
          <w:tcPr>
            <w:tcW w:w="1484" w:type="dxa"/>
            <w:gridSpan w:val="2"/>
            <w:vAlign w:val="center"/>
          </w:tcPr>
          <w:p w14:paraId="4A8FA808">
            <w:pPr>
              <w:jc w:val="center"/>
              <w:rPr>
                <w:rFonts w:hint="eastAsia" w:ascii="宋体" w:hAnsi="宋体"/>
                <w:color w:val="auto"/>
                <w:sz w:val="24"/>
                <w:szCs w:val="24"/>
                <w:highlight w:val="none"/>
              </w:rPr>
            </w:pPr>
            <w:r>
              <w:rPr>
                <w:rFonts w:hint="eastAsia" w:ascii="宋体" w:hAnsi="宋体"/>
                <w:color w:val="auto"/>
                <w:sz w:val="24"/>
                <w:szCs w:val="24"/>
                <w:highlight w:val="none"/>
              </w:rPr>
              <w:t>20.4.2</w:t>
            </w:r>
          </w:p>
        </w:tc>
        <w:tc>
          <w:tcPr>
            <w:tcW w:w="7426" w:type="dxa"/>
            <w:vAlign w:val="center"/>
          </w:tcPr>
          <w:p w14:paraId="5D34FEBB">
            <w:pPr>
              <w:rPr>
                <w:rFonts w:hint="eastAsia" w:ascii="宋体" w:hAnsi="宋体"/>
                <w:color w:val="auto"/>
                <w:sz w:val="24"/>
                <w:szCs w:val="24"/>
                <w:highlight w:val="none"/>
              </w:rPr>
            </w:pPr>
            <w:r>
              <w:rPr>
                <w:rFonts w:hint="eastAsia" w:ascii="宋体" w:hAnsi="宋体"/>
                <w:color w:val="auto"/>
                <w:sz w:val="24"/>
                <w:szCs w:val="24"/>
                <w:highlight w:val="none"/>
              </w:rPr>
              <w:t>第三者责任险的最低投保金额：</w:t>
            </w:r>
            <w:r>
              <w:rPr>
                <w:rFonts w:hint="eastAsia" w:ascii="宋体" w:hAnsi="宋体"/>
                <w:color w:val="auto"/>
                <w:sz w:val="24"/>
                <w:szCs w:val="24"/>
                <w:highlight w:val="none"/>
                <w:u w:val="single"/>
              </w:rPr>
              <w:t xml:space="preserve"> 500 </w:t>
            </w:r>
            <w:r>
              <w:rPr>
                <w:rFonts w:hint="eastAsia" w:ascii="宋体" w:hAnsi="宋体"/>
                <w:color w:val="auto"/>
                <w:sz w:val="24"/>
                <w:szCs w:val="24"/>
                <w:highlight w:val="none"/>
              </w:rPr>
              <w:t>万元，事故次数不限（不计免赔额）</w:t>
            </w:r>
          </w:p>
        </w:tc>
      </w:tr>
      <w:tr w14:paraId="72538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7B73E591">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sz w:val="24"/>
                <w:szCs w:val="24"/>
                <w:highlight w:val="none"/>
                <w:lang w:val="en-US" w:eastAsia="zh-CN"/>
              </w:rPr>
            </w:pPr>
            <w:r>
              <w:rPr>
                <w:rFonts w:hint="eastAsia" w:ascii="宋体" w:hAnsi="宋体" w:cs="宋体"/>
                <w:color w:val="auto"/>
                <w:sz w:val="24"/>
                <w:highlight w:val="none"/>
              </w:rPr>
              <w:t>36</w:t>
            </w:r>
          </w:p>
        </w:tc>
        <w:tc>
          <w:tcPr>
            <w:tcW w:w="1484" w:type="dxa"/>
            <w:gridSpan w:val="2"/>
            <w:vAlign w:val="center"/>
          </w:tcPr>
          <w:p w14:paraId="0E0DE83A">
            <w:pPr>
              <w:keepNext w:val="0"/>
              <w:keepLines w:val="0"/>
              <w:suppressLineNumbers w:val="0"/>
              <w:spacing w:before="65" w:beforeAutospacing="0" w:after="0" w:afterAutospacing="0" w:line="193" w:lineRule="auto"/>
              <w:ind w:left="0" w:leftChars="0" w:right="0" w:rightChars="0"/>
              <w:jc w:val="center"/>
              <w:rPr>
                <w:rFonts w:hint="eastAsia" w:ascii="宋体" w:hAnsi="宋体"/>
                <w:color w:val="auto"/>
                <w:sz w:val="24"/>
                <w:szCs w:val="24"/>
                <w:highlight w:val="none"/>
              </w:rPr>
            </w:pPr>
            <w:r>
              <w:rPr>
                <w:rFonts w:hint="eastAsia" w:ascii="宋体" w:hAnsi="宋体" w:cs="宋体"/>
                <w:color w:val="auto"/>
                <w:sz w:val="24"/>
                <w:highlight w:val="none"/>
              </w:rPr>
              <w:t>21.1.1</w:t>
            </w:r>
          </w:p>
        </w:tc>
        <w:tc>
          <w:tcPr>
            <w:tcW w:w="7426" w:type="dxa"/>
            <w:vAlign w:val="center"/>
          </w:tcPr>
          <w:p w14:paraId="31CC2B1A">
            <w:pPr>
              <w:keepNext w:val="0"/>
              <w:keepLines w:val="0"/>
              <w:suppressLineNumbers w:val="0"/>
              <w:spacing w:before="0" w:beforeAutospacing="0" w:after="0" w:afterAutospacing="0" w:line="228" w:lineRule="auto"/>
              <w:ind w:left="0" w:leftChars="0" w:right="0" w:rightChars="0"/>
              <w:rPr>
                <w:rFonts w:hint="eastAsia" w:ascii="宋体" w:hAnsi="宋体"/>
                <w:color w:val="auto"/>
                <w:sz w:val="24"/>
                <w:szCs w:val="24"/>
                <w:highlight w:val="none"/>
              </w:rPr>
            </w:pPr>
            <w:r>
              <w:rPr>
                <w:rFonts w:hint="eastAsia" w:ascii="宋体" w:hAnsi="宋体" w:cs="宋体"/>
                <w:color w:val="auto"/>
                <w:sz w:val="24"/>
                <w:highlight w:val="none"/>
              </w:rPr>
              <w:t>21.1.1 (6)不可抗力的其他情形：</w:t>
            </w:r>
            <w:r>
              <w:rPr>
                <w:rFonts w:hint="eastAsia" w:ascii="宋体" w:hAnsi="宋体" w:cs="宋体"/>
                <w:color w:val="auto"/>
                <w:sz w:val="24"/>
                <w:highlight w:val="none"/>
                <w:u w:val="single"/>
              </w:rPr>
              <w:t xml:space="preserve"> /</w:t>
            </w:r>
            <w:r>
              <w:rPr>
                <w:rFonts w:hint="default" w:ascii="宋体" w:hAnsi="宋体" w:cs="宋体"/>
                <w:color w:val="auto"/>
                <w:sz w:val="20"/>
                <w:szCs w:val="20"/>
                <w:highlight w:val="none"/>
                <w:u w:val="single"/>
              </w:rPr>
              <w:t xml:space="preserve">   </w:t>
            </w:r>
          </w:p>
        </w:tc>
      </w:tr>
      <w:tr w14:paraId="2E68C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40F8652C">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sz w:val="24"/>
                <w:szCs w:val="24"/>
                <w:highlight w:val="none"/>
                <w:lang w:val="en-US" w:eastAsia="zh-CN"/>
              </w:rPr>
            </w:pPr>
            <w:r>
              <w:rPr>
                <w:rFonts w:hint="eastAsia" w:ascii="宋体" w:hAnsi="宋体" w:cs="宋体"/>
                <w:color w:val="auto"/>
                <w:sz w:val="24"/>
                <w:highlight w:val="none"/>
              </w:rPr>
              <w:t>37</w:t>
            </w:r>
          </w:p>
        </w:tc>
        <w:tc>
          <w:tcPr>
            <w:tcW w:w="1484" w:type="dxa"/>
            <w:gridSpan w:val="2"/>
            <w:vAlign w:val="center"/>
          </w:tcPr>
          <w:p w14:paraId="3B93B339">
            <w:pPr>
              <w:keepNext w:val="0"/>
              <w:keepLines w:val="0"/>
              <w:suppressLineNumbers w:val="0"/>
              <w:spacing w:before="0" w:beforeAutospacing="0" w:after="0" w:afterAutospacing="0"/>
              <w:ind w:left="0" w:leftChars="0" w:right="0" w:rightChars="0"/>
              <w:jc w:val="center"/>
              <w:rPr>
                <w:rFonts w:hint="eastAsia" w:ascii="宋体" w:hAnsi="宋体"/>
                <w:color w:val="auto"/>
                <w:sz w:val="24"/>
                <w:szCs w:val="24"/>
                <w:highlight w:val="none"/>
              </w:rPr>
            </w:pPr>
            <w:r>
              <w:rPr>
                <w:rFonts w:hint="eastAsia" w:ascii="宋体" w:hAnsi="宋体" w:cs="宋体"/>
                <w:color w:val="auto"/>
                <w:sz w:val="24"/>
                <w:highlight w:val="none"/>
              </w:rPr>
              <w:t>24.1</w:t>
            </w:r>
          </w:p>
        </w:tc>
        <w:tc>
          <w:tcPr>
            <w:tcW w:w="7426" w:type="dxa"/>
            <w:vAlign w:val="center"/>
          </w:tcPr>
          <w:p w14:paraId="176B9139">
            <w:pPr>
              <w:keepNext w:val="0"/>
              <w:keepLines w:val="0"/>
              <w:suppressLineNumbers w:val="0"/>
              <w:spacing w:before="0" w:beforeAutospacing="0" w:after="0" w:afterAutospacing="0"/>
              <w:ind w:left="0" w:right="0"/>
              <w:rPr>
                <w:rFonts w:hint="eastAsia" w:ascii="宋体" w:hAnsi="宋体" w:cs="宋体"/>
                <w:color w:val="auto"/>
                <w:sz w:val="24"/>
                <w:highlight w:val="none"/>
                <w:u w:val="single"/>
              </w:rPr>
            </w:pPr>
            <w:r>
              <w:rPr>
                <w:rFonts w:hint="eastAsia" w:ascii="宋体" w:hAnsi="宋体" w:cs="宋体"/>
                <w:color w:val="auto"/>
                <w:sz w:val="24"/>
                <w:highlight w:val="none"/>
              </w:rPr>
              <w:t>争议的最终解决方式：向</w:t>
            </w:r>
            <w:r>
              <w:rPr>
                <w:rFonts w:hint="eastAsia" w:ascii="宋体" w:hAnsi="宋体" w:cs="宋体"/>
                <w:color w:val="auto"/>
                <w:sz w:val="24"/>
                <w:highlight w:val="none"/>
                <w:u w:val="single"/>
              </w:rPr>
              <w:t>项目所在地</w:t>
            </w:r>
            <w:r>
              <w:rPr>
                <w:rFonts w:hint="eastAsia" w:ascii="宋体" w:hAnsi="宋体" w:cs="宋体"/>
                <w:color w:val="auto"/>
                <w:sz w:val="24"/>
                <w:highlight w:val="none"/>
              </w:rPr>
              <w:t>人民法院提起诉讼。</w:t>
            </w:r>
          </w:p>
          <w:p w14:paraId="26B56743">
            <w:pPr>
              <w:keepNext w:val="0"/>
              <w:keepLines w:val="0"/>
              <w:suppressLineNumbers w:val="0"/>
              <w:spacing w:before="0" w:beforeAutospacing="0" w:after="0" w:afterAutospacing="0"/>
              <w:ind w:left="0" w:leftChars="0" w:right="0" w:rightChars="0"/>
              <w:rPr>
                <w:rFonts w:hint="eastAsia" w:ascii="宋体" w:hAnsi="宋体"/>
                <w:color w:val="auto"/>
                <w:sz w:val="24"/>
                <w:szCs w:val="24"/>
                <w:highlight w:val="none"/>
              </w:rPr>
            </w:pPr>
            <w:r>
              <w:rPr>
                <w:rFonts w:hint="eastAsia" w:ascii="宋体" w:hAnsi="宋体" w:cs="宋体"/>
                <w:color w:val="auto"/>
                <w:sz w:val="24"/>
                <w:highlight w:val="none"/>
              </w:rPr>
              <w:t>如采用仲裁，仲裁委员会名称：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tc>
      </w:tr>
      <w:tr w14:paraId="10ACE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14:paraId="7CD57B6B">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sz w:val="24"/>
                <w:szCs w:val="24"/>
                <w:highlight w:val="none"/>
                <w:lang w:val="en-US" w:eastAsia="zh-CN"/>
              </w:rPr>
            </w:pPr>
            <w:r>
              <w:rPr>
                <w:rFonts w:hint="eastAsia" w:ascii="宋体" w:hAnsi="宋体" w:cs="宋体"/>
                <w:color w:val="auto"/>
                <w:sz w:val="24"/>
                <w:highlight w:val="none"/>
              </w:rPr>
              <w:t>38</w:t>
            </w:r>
          </w:p>
        </w:tc>
        <w:tc>
          <w:tcPr>
            <w:tcW w:w="1484" w:type="dxa"/>
            <w:gridSpan w:val="2"/>
            <w:vAlign w:val="top"/>
          </w:tcPr>
          <w:p w14:paraId="336F0808">
            <w:pPr>
              <w:keepNext w:val="0"/>
              <w:keepLines w:val="0"/>
              <w:suppressLineNumbers w:val="0"/>
              <w:spacing w:before="0" w:beforeAutospacing="0" w:after="0" w:afterAutospacing="0"/>
              <w:ind w:left="0" w:right="0"/>
              <w:rPr>
                <w:rFonts w:hint="eastAsia" w:ascii="宋体" w:hAnsi="宋体" w:cs="宋体"/>
                <w:color w:val="auto"/>
                <w:sz w:val="24"/>
                <w:highlight w:val="none"/>
              </w:rPr>
            </w:pPr>
          </w:p>
          <w:p w14:paraId="57900FB1">
            <w:pPr>
              <w:keepNext w:val="0"/>
              <w:keepLines w:val="0"/>
              <w:suppressLineNumbers w:val="0"/>
              <w:spacing w:before="0" w:beforeAutospacing="0" w:after="0" w:afterAutospacing="0"/>
              <w:ind w:left="0" w:right="0"/>
              <w:rPr>
                <w:rFonts w:hint="eastAsia" w:ascii="宋体" w:hAnsi="宋体" w:cs="宋体"/>
                <w:color w:val="auto"/>
                <w:sz w:val="24"/>
                <w:highlight w:val="none"/>
              </w:rPr>
            </w:pPr>
          </w:p>
          <w:p w14:paraId="77F6ABC0">
            <w:pPr>
              <w:keepNext w:val="0"/>
              <w:keepLines w:val="0"/>
              <w:suppressLineNumbers w:val="0"/>
              <w:spacing w:before="0" w:beforeAutospacing="0" w:after="0" w:afterAutospacing="0"/>
              <w:ind w:left="0" w:leftChars="0" w:right="0" w:rightChars="0"/>
              <w:jc w:val="center"/>
              <w:rPr>
                <w:rFonts w:ascii="Calibri" w:hAnsi="Calibri"/>
                <w:color w:val="auto"/>
                <w:sz w:val="24"/>
                <w:szCs w:val="24"/>
                <w:highlight w:val="none"/>
              </w:rPr>
            </w:pPr>
            <w:r>
              <w:rPr>
                <w:rFonts w:hint="eastAsia" w:ascii="宋体" w:hAnsi="宋体" w:cs="宋体"/>
                <w:color w:val="auto"/>
                <w:sz w:val="24"/>
                <w:highlight w:val="none"/>
              </w:rPr>
              <w:t>25.4</w:t>
            </w:r>
          </w:p>
        </w:tc>
        <w:tc>
          <w:tcPr>
            <w:tcW w:w="7426" w:type="dxa"/>
            <w:vAlign w:val="top"/>
          </w:tcPr>
          <w:p w14:paraId="063D010E">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结算单元按合同约定完成并通过质量中间验收，原则上</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个月内完成过程结算文件的编制、审核、签认工作。</w:t>
            </w:r>
          </w:p>
          <w:p w14:paraId="18DC1CDB">
            <w:pPr>
              <w:keepNext w:val="0"/>
              <w:keepLines w:val="0"/>
              <w:suppressLineNumbers w:val="0"/>
              <w:spacing w:before="0" w:beforeAutospacing="0" w:after="0" w:afterAutospacing="0"/>
              <w:ind w:left="0" w:leftChars="0" w:right="0" w:rightChars="0"/>
              <w:rPr>
                <w:rFonts w:ascii="Calibri" w:hAnsi="Calibri"/>
                <w:color w:val="auto"/>
                <w:sz w:val="24"/>
                <w:szCs w:val="24"/>
                <w:highlight w:val="none"/>
                <w:u w:val="single"/>
              </w:rPr>
            </w:pPr>
            <w:r>
              <w:rPr>
                <w:rFonts w:hint="eastAsia" w:ascii="宋体" w:hAnsi="宋体" w:cs="宋体"/>
                <w:color w:val="auto"/>
                <w:sz w:val="24"/>
                <w:highlight w:val="none"/>
              </w:rPr>
              <w:t>未按要求完成过程结算的费用项, 最高支付金额不宜超过发包人审核确认的</w:t>
            </w:r>
            <w:r>
              <w:rPr>
                <w:rFonts w:hint="eastAsia" w:ascii="宋体" w:hAnsi="宋体" w:cs="宋体"/>
                <w:color w:val="auto"/>
                <w:sz w:val="24"/>
                <w:highlight w:val="none"/>
                <w:u w:val="single"/>
              </w:rPr>
              <w:t>97</w:t>
            </w:r>
            <w:r>
              <w:rPr>
                <w:rFonts w:hint="eastAsia" w:ascii="宋体" w:hAnsi="宋体" w:cs="宋体"/>
                <w:color w:val="auto"/>
                <w:sz w:val="24"/>
                <w:highlight w:val="none"/>
              </w:rPr>
              <w:t>%, 过程结算后方可支付剩余金额。完工结算率低于30%的合同段, 在后续计量支付中可暂扣</w:t>
            </w:r>
            <w:r>
              <w:rPr>
                <w:rFonts w:hint="eastAsia" w:ascii="宋体" w:hAnsi="宋体" w:cs="宋体"/>
                <w:color w:val="auto"/>
                <w:sz w:val="24"/>
                <w:highlight w:val="none"/>
                <w:u w:val="single"/>
              </w:rPr>
              <w:t>10</w:t>
            </w:r>
            <w:r>
              <w:rPr>
                <w:rFonts w:hint="eastAsia" w:ascii="宋体" w:hAnsi="宋体" w:cs="宋体"/>
                <w:color w:val="auto"/>
                <w:sz w:val="24"/>
                <w:highlight w:val="none"/>
              </w:rPr>
              <w:t>%的工程进度款。</w:t>
            </w:r>
          </w:p>
        </w:tc>
      </w:tr>
      <w:tr w14:paraId="612F2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39" w:type="dxa"/>
            <w:gridSpan w:val="4"/>
            <w:vAlign w:val="center"/>
          </w:tcPr>
          <w:p w14:paraId="34B4619C">
            <w:pPr>
              <w:spacing w:line="276" w:lineRule="auto"/>
              <w:rPr>
                <w:rFonts w:ascii="宋体" w:hAnsi="宋体"/>
                <w:color w:val="auto"/>
                <w:sz w:val="24"/>
                <w:szCs w:val="24"/>
                <w:highlight w:val="none"/>
              </w:rPr>
            </w:pPr>
            <w:r>
              <w:rPr>
                <w:rFonts w:hint="eastAsia" w:ascii="宋体" w:hAnsi="宋体"/>
                <w:color w:val="auto"/>
                <w:sz w:val="24"/>
                <w:szCs w:val="24"/>
                <w:highlight w:val="none"/>
              </w:rPr>
              <w:t>需补充的其他内容</w:t>
            </w:r>
          </w:p>
        </w:tc>
      </w:tr>
      <w:tr w14:paraId="15829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14:paraId="7DC1E15C">
            <w:pPr>
              <w:spacing w:line="276" w:lineRule="auto"/>
              <w:jc w:val="center"/>
              <w:rPr>
                <w:rFonts w:ascii="宋体" w:hAnsi="宋体"/>
                <w:color w:val="auto"/>
                <w:sz w:val="24"/>
                <w:szCs w:val="24"/>
                <w:highlight w:val="none"/>
              </w:rPr>
            </w:pPr>
            <w:r>
              <w:rPr>
                <w:rFonts w:hint="eastAsia" w:ascii="宋体" w:hAnsi="宋体" w:cs="宋体"/>
                <w:color w:val="auto"/>
                <w:sz w:val="24"/>
                <w:szCs w:val="24"/>
                <w:highlight w:val="none"/>
              </w:rPr>
              <w:t>4.6.6</w:t>
            </w:r>
          </w:p>
        </w:tc>
        <w:tc>
          <w:tcPr>
            <w:tcW w:w="8168" w:type="dxa"/>
            <w:gridSpan w:val="2"/>
            <w:vAlign w:val="center"/>
          </w:tcPr>
          <w:p w14:paraId="60102091">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4.6.6 在本款后增加（6）项如下：</w:t>
            </w:r>
          </w:p>
          <w:p w14:paraId="7E934210">
            <w:pPr>
              <w:spacing w:line="320" w:lineRule="exact"/>
              <w:ind w:firstLine="480" w:firstLineChars="200"/>
              <w:rPr>
                <w:rFonts w:ascii="宋体" w:hAnsi="宋体"/>
                <w:color w:val="auto"/>
                <w:sz w:val="24"/>
                <w:szCs w:val="24"/>
                <w:highlight w:val="none"/>
              </w:rPr>
            </w:pPr>
            <w:r>
              <w:rPr>
                <w:rFonts w:hint="eastAsia" w:ascii="宋体" w:hAnsi="宋体" w:cs="宋体"/>
                <w:color w:val="auto"/>
                <w:sz w:val="24"/>
                <w:highlight w:val="none"/>
              </w:rPr>
              <w:t>为进一步规范本项目的工人工资支付行为，承包人在施工承包合同签订后，需按《转发</w:t>
            </w:r>
            <w:r>
              <w:rPr>
                <w:rFonts w:hint="eastAsia" w:ascii="宋体" w:hAnsi="宋体" w:eastAsia="宋体" w:cs="宋体"/>
                <w:color w:val="auto"/>
                <w:sz w:val="24"/>
                <w:highlight w:val="none"/>
                <w:lang w:eastAsia="zh-CN"/>
              </w:rPr>
              <w:t>&lt;</w:t>
            </w:r>
            <w:r>
              <w:rPr>
                <w:rFonts w:hint="eastAsia" w:ascii="宋体" w:hAnsi="宋体" w:cs="宋体"/>
                <w:color w:val="auto"/>
                <w:sz w:val="24"/>
                <w:highlight w:val="none"/>
              </w:rPr>
              <w:t>广东省人力资源和社会保障厅广东省住房和城乡建设厅广东省交通运输厅广东省水利厅关于建设工程领域农民工工资支付保证金管理办法</w:t>
            </w:r>
            <w:r>
              <w:rPr>
                <w:rFonts w:hint="eastAsia" w:ascii="宋体" w:hAnsi="宋体" w:eastAsia="宋体" w:cs="宋体"/>
                <w:color w:val="auto"/>
                <w:sz w:val="24"/>
                <w:highlight w:val="none"/>
              </w:rPr>
              <w:t>&gt;</w:t>
            </w:r>
            <w:r>
              <w:rPr>
                <w:rFonts w:hint="eastAsia" w:ascii="宋体" w:hAnsi="宋体" w:cs="宋体"/>
                <w:color w:val="auto"/>
                <w:sz w:val="24"/>
                <w:highlight w:val="none"/>
              </w:rPr>
              <w:t>的通知》（韶人社〔2020〕3号）</w:t>
            </w:r>
            <w:r>
              <w:rPr>
                <w:rFonts w:hint="eastAsia" w:ascii="宋体" w:hAnsi="宋体" w:cs="宋体"/>
                <w:color w:val="auto"/>
                <w:sz w:val="24"/>
                <w:highlight w:val="none"/>
                <w:lang w:val="en-US" w:eastAsia="zh-CN"/>
              </w:rPr>
              <w:t>、人力资源社会保障部等十部门印发的《工程建设领域农民工工资专用账户管理暂行办法》（人社部发〔2021〕53号）等相关最新规定</w:t>
            </w:r>
            <w:r>
              <w:rPr>
                <w:rFonts w:hint="eastAsia" w:ascii="宋体" w:hAnsi="宋体" w:cs="宋体"/>
                <w:color w:val="auto"/>
                <w:sz w:val="24"/>
                <w:highlight w:val="none"/>
              </w:rPr>
              <w:t>办理工人工资缴存和登记手续。</w:t>
            </w:r>
          </w:p>
        </w:tc>
      </w:tr>
      <w:tr w14:paraId="69551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14:paraId="41FB555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4.15</w:t>
            </w:r>
          </w:p>
        </w:tc>
        <w:tc>
          <w:tcPr>
            <w:tcW w:w="8168" w:type="dxa"/>
            <w:gridSpan w:val="2"/>
            <w:vAlign w:val="center"/>
          </w:tcPr>
          <w:p w14:paraId="50524B44">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增加第4.15款 </w:t>
            </w:r>
          </w:p>
          <w:p w14:paraId="7960B152">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4.15 </w:t>
            </w:r>
            <w:r>
              <w:rPr>
                <w:rFonts w:ascii="宋体" w:hAnsi="宋体" w:cs="宋体"/>
                <w:color w:val="auto"/>
                <w:sz w:val="24"/>
                <w:szCs w:val="24"/>
                <w:highlight w:val="none"/>
              </w:rPr>
              <w:t>建设路域环境保护工作</w:t>
            </w:r>
          </w:p>
          <w:p w14:paraId="347D3F2A">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承包人在工程施工阶段和工程验收阶段必须执行以下要求：</w:t>
            </w:r>
          </w:p>
          <w:p w14:paraId="18593542">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4.15.1工程施工阶段</w:t>
            </w:r>
          </w:p>
          <w:p w14:paraId="01C9C175">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混合料应集中场站搅拌，拌和设备应做好密封，或配备防尘设备。各种料场、预制场要根据工程进度统筹考虑，施工过程中要采取有效措施防止污染周边环境，项目完工后应将临时占地恢复到临时占地使用前的状况或按设计达到设计要求。</w:t>
            </w:r>
          </w:p>
          <w:p w14:paraId="0B6B3220">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对于公路施工中路用粉状材料宜采用罐装方式运输，施工通道、混合料拌和站应经常进行洒水降尘，路面施工应注意保持水分，避免扬尘，隧道出渣和桥梁钻孔灌注桩施工时应设置沉降池，排出的泥浆要进行妥善处理，严禁向河流或农田排放。</w:t>
            </w:r>
          </w:p>
          <w:p w14:paraId="7134B954">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3.在施工期间，应随时保持现场整洁，施工设备和工程材料、工程设备整齐规范存放和储存，废料与垃圾及不再需要的临时设施应及时从现场清除、拆除并运走。</w:t>
            </w:r>
          </w:p>
          <w:p w14:paraId="3E0AF140">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4.路基施工时要完善施工中的临时排水系统，加强施工便道的管理。取（弃）土场必须先挡后弃，按设计复垦施工，严禁在制定的取（弃）土场以外的地方乱挖乱弃。</w:t>
            </w:r>
          </w:p>
          <w:p w14:paraId="77476FC2">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（三）工程验收阶段</w:t>
            </w:r>
          </w:p>
          <w:p w14:paraId="68AE3BE1">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公路建设路域环境验收范围包括公路及公路用地（公路两侧边沟外缘起不少于1米的土地）和公路建筑控制区（从公路两侧边沟外缘起算的间距：国道不少于20米，省道不少于15米，县道不少于10米，乡道不少于5米）。验收应达到以下标准：</w:t>
            </w:r>
          </w:p>
          <w:p w14:paraId="4DCD88E1">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1.公路及公路用地范围内，路面干净整洁，边坡稳定，排水系统顺畅，绿色植物合理覆盖公路两侧边坡、分隔带等，交通标志清晰无污染，无违法跨越和穿越公路的施工临时构筑物。</w:t>
            </w:r>
          </w:p>
          <w:p w14:paraId="201990F2">
            <w:pPr>
              <w:spacing w:line="3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2.公路建筑控制区不得留有施工建筑垃圾，公路视线范围内不得有因公路施工导致的乱挖乱弃。</w:t>
            </w:r>
          </w:p>
          <w:p w14:paraId="748A4279">
            <w:pPr>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3.取（弃）土场严格执行施工图设计，临时占地须恢复到临时占地使用前的状况或按设计复绿复垦。</w:t>
            </w:r>
          </w:p>
        </w:tc>
      </w:tr>
      <w:tr w14:paraId="17DC8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1471" w:type="dxa"/>
            <w:gridSpan w:val="2"/>
            <w:vAlign w:val="center"/>
          </w:tcPr>
          <w:p w14:paraId="6541558B">
            <w:pPr>
              <w:spacing w:line="276" w:lineRule="auto"/>
              <w:jc w:val="center"/>
              <w:rPr>
                <w:rFonts w:ascii="宋体" w:hAnsi="宋体"/>
                <w:color w:val="auto"/>
                <w:sz w:val="24"/>
                <w:szCs w:val="24"/>
                <w:highlight w:val="none"/>
              </w:rPr>
            </w:pPr>
            <w:r>
              <w:rPr>
                <w:rFonts w:hint="eastAsia" w:ascii="宋体" w:hAnsi="宋体" w:cs="宋体"/>
                <w:color w:val="auto"/>
                <w:sz w:val="24"/>
                <w:szCs w:val="24"/>
                <w:highlight w:val="none"/>
              </w:rPr>
              <w:t>6.5</w:t>
            </w:r>
          </w:p>
        </w:tc>
        <w:tc>
          <w:tcPr>
            <w:tcW w:w="8168" w:type="dxa"/>
            <w:gridSpan w:val="2"/>
            <w:vAlign w:val="center"/>
          </w:tcPr>
          <w:p w14:paraId="620A9F80">
            <w:pPr>
              <w:spacing w:line="276"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删除“6.5计算机系统配置”条款</w:t>
            </w:r>
          </w:p>
        </w:tc>
      </w:tr>
      <w:tr w14:paraId="066E0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14:paraId="2FAF3406">
            <w:pPr>
              <w:spacing w:line="276" w:lineRule="auto"/>
              <w:jc w:val="center"/>
              <w:rPr>
                <w:rFonts w:ascii="宋体" w:hAnsi="宋体"/>
                <w:color w:val="auto"/>
                <w:sz w:val="24"/>
                <w:szCs w:val="24"/>
                <w:highlight w:val="none"/>
              </w:rPr>
            </w:pPr>
            <w:r>
              <w:rPr>
                <w:rFonts w:hint="eastAsia" w:ascii="宋体" w:hAnsi="宋体" w:cs="宋体"/>
                <w:color w:val="auto"/>
                <w:sz w:val="24"/>
                <w:szCs w:val="24"/>
                <w:highlight w:val="none"/>
              </w:rPr>
              <w:t>12.1</w:t>
            </w:r>
          </w:p>
        </w:tc>
        <w:tc>
          <w:tcPr>
            <w:tcW w:w="8168" w:type="dxa"/>
            <w:gridSpan w:val="2"/>
            <w:vAlign w:val="center"/>
          </w:tcPr>
          <w:p w14:paraId="61E237B6">
            <w:pPr>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将本款“12.1承包人暂停施工的责任” 项修改如下：</w:t>
            </w:r>
          </w:p>
          <w:p w14:paraId="1F8D7BCC">
            <w:pPr>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12.1承包人暂停施工的责任</w:t>
            </w:r>
          </w:p>
          <w:p w14:paraId="2425D080">
            <w:pPr>
              <w:spacing w:line="276"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12.1（6）由承包人承担的其他暂停施工：</w:t>
            </w:r>
            <w:r>
              <w:rPr>
                <w:rFonts w:hint="eastAsia" w:ascii="宋体" w:hAnsi="宋体" w:cs="宋体"/>
                <w:color w:val="auto"/>
                <w:sz w:val="24"/>
                <w:szCs w:val="24"/>
                <w:highlight w:val="none"/>
                <w:u w:val="single"/>
              </w:rPr>
              <w:t xml:space="preserve">无   </w:t>
            </w:r>
          </w:p>
        </w:tc>
      </w:tr>
      <w:tr w14:paraId="75A82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14:paraId="0C471A6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13.11</w:t>
            </w:r>
          </w:p>
        </w:tc>
        <w:tc>
          <w:tcPr>
            <w:tcW w:w="8168" w:type="dxa"/>
            <w:gridSpan w:val="2"/>
            <w:vAlign w:val="center"/>
          </w:tcPr>
          <w:p w14:paraId="67F121A4">
            <w:pPr>
              <w:spacing w:line="276"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删除“13.11优质优价价款”条款</w:t>
            </w:r>
          </w:p>
        </w:tc>
      </w:tr>
      <w:tr w14:paraId="29422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14:paraId="7BB87DA8">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3.13</w:t>
            </w:r>
          </w:p>
        </w:tc>
        <w:tc>
          <w:tcPr>
            <w:tcW w:w="8168" w:type="dxa"/>
            <w:gridSpan w:val="2"/>
            <w:vAlign w:val="center"/>
          </w:tcPr>
          <w:p w14:paraId="1BC5590A">
            <w:pPr>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增加13.13条款：</w:t>
            </w:r>
          </w:p>
          <w:p w14:paraId="1765818D">
            <w:pPr>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如上级部门、主管部门、质量监督部门在检查时发现工程质量问题，提出批评和整改要求，发包人有权视问题严重程度给予承包人2-5万元/次的违约处理。</w:t>
            </w:r>
          </w:p>
        </w:tc>
      </w:tr>
      <w:tr w14:paraId="7E0BB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14:paraId="45D8FC6F">
            <w:pPr>
              <w:spacing w:line="273" w:lineRule="auto"/>
              <w:jc w:val="center"/>
              <w:rPr>
                <w:rFonts w:ascii="宋体" w:hAnsi="宋体"/>
                <w:color w:val="auto"/>
                <w:sz w:val="24"/>
                <w:szCs w:val="24"/>
                <w:highlight w:val="none"/>
              </w:rPr>
            </w:pPr>
            <w:r>
              <w:rPr>
                <w:rFonts w:hint="eastAsia" w:ascii="宋体" w:hAnsi="宋体" w:cs="宋体"/>
                <w:color w:val="auto"/>
                <w:sz w:val="24"/>
                <w:szCs w:val="24"/>
                <w:highlight w:val="none"/>
              </w:rPr>
              <w:t>17.3</w:t>
            </w:r>
          </w:p>
        </w:tc>
        <w:tc>
          <w:tcPr>
            <w:tcW w:w="8168" w:type="dxa"/>
            <w:gridSpan w:val="2"/>
            <w:vAlign w:val="center"/>
          </w:tcPr>
          <w:p w14:paraId="51C8CA80">
            <w:pPr>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第17.3.3 增加以下内容：</w:t>
            </w:r>
          </w:p>
          <w:p w14:paraId="25D1A64B">
            <w:pPr>
              <w:spacing w:line="276"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（5）进度应付款还需经发包人上级主管部门审批确认后方能支付，承包人必须无条件接受。</w:t>
            </w:r>
          </w:p>
          <w:p w14:paraId="2642A416">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增加“17.3.7”条款</w:t>
            </w:r>
          </w:p>
          <w:p w14:paraId="522CF678">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17.3.7进度款的支付比例：月支付额的</w:t>
            </w:r>
            <w:r>
              <w:rPr>
                <w:rFonts w:hint="eastAsia" w:ascii="宋体" w:hAnsi="宋体" w:cs="宋体"/>
                <w:color w:val="auto"/>
                <w:sz w:val="24"/>
                <w:szCs w:val="24"/>
                <w:highlight w:val="none"/>
                <w:u w:val="single"/>
              </w:rPr>
              <w:t xml:space="preserve">90 </w:t>
            </w:r>
            <w:r>
              <w:rPr>
                <w:rFonts w:hint="eastAsia" w:ascii="宋体" w:hAnsi="宋体" w:cs="宋体"/>
                <w:color w:val="auto"/>
                <w:sz w:val="24"/>
                <w:szCs w:val="24"/>
                <w:highlight w:val="none"/>
              </w:rPr>
              <w:t>%。</w:t>
            </w:r>
          </w:p>
          <w:p w14:paraId="765955C9">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增加“17.3.8”条款</w:t>
            </w:r>
          </w:p>
          <w:p w14:paraId="3CD71B1E">
            <w:pPr>
              <w:spacing w:line="276" w:lineRule="auto"/>
              <w:ind w:firstLine="480" w:firstLineChars="200"/>
              <w:rPr>
                <w:color w:val="auto"/>
                <w:sz w:val="24"/>
                <w:szCs w:val="24"/>
                <w:highlight w:val="none"/>
              </w:rPr>
            </w:pPr>
            <w:r>
              <w:rPr>
                <w:rFonts w:hint="eastAsia" w:ascii="宋体" w:hAnsi="宋体" w:cs="宋体"/>
                <w:color w:val="auto"/>
                <w:sz w:val="24"/>
                <w:szCs w:val="24"/>
                <w:highlight w:val="none"/>
              </w:rPr>
              <w:t xml:space="preserve"> 17.3.8待工程交工验收完成后，进度款总额支付至结算价的</w:t>
            </w:r>
            <w:r>
              <w:rPr>
                <w:rFonts w:hint="eastAsia" w:ascii="宋体" w:hAnsi="宋体" w:cs="宋体"/>
                <w:color w:val="auto"/>
                <w:sz w:val="24"/>
                <w:szCs w:val="24"/>
                <w:highlight w:val="none"/>
                <w:u w:val="single"/>
              </w:rPr>
              <w:t xml:space="preserve"> 97 </w:t>
            </w:r>
            <w:r>
              <w:rPr>
                <w:rFonts w:hint="eastAsia" w:ascii="宋体" w:hAnsi="宋体" w:cs="宋体"/>
                <w:color w:val="auto"/>
                <w:sz w:val="24"/>
                <w:szCs w:val="24"/>
                <w:highlight w:val="none"/>
              </w:rPr>
              <w:t>%。</w:t>
            </w:r>
          </w:p>
        </w:tc>
      </w:tr>
      <w:tr w14:paraId="6578B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14:paraId="17857641">
            <w:pPr>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8168" w:type="dxa"/>
            <w:gridSpan w:val="2"/>
            <w:vAlign w:val="center"/>
          </w:tcPr>
          <w:p w14:paraId="138DCAE8">
            <w:pPr>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第“21.1不可抗力的确认” 项修改如下：</w:t>
            </w:r>
          </w:p>
          <w:p w14:paraId="5C6931EC">
            <w:pPr>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21.1不可抗力的确认</w:t>
            </w:r>
          </w:p>
          <w:p w14:paraId="1694A4B6">
            <w:pPr>
              <w:pStyle w:val="61"/>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21.1（6）不可抗力的其他情形：</w:t>
            </w:r>
            <w:r>
              <w:rPr>
                <w:rFonts w:hint="eastAsia" w:ascii="宋体" w:hAnsi="宋体" w:cs="宋体"/>
                <w:color w:val="auto"/>
                <w:sz w:val="24"/>
                <w:szCs w:val="24"/>
                <w:highlight w:val="none"/>
                <w:u w:val="single"/>
              </w:rPr>
              <w:t xml:space="preserve">无   </w:t>
            </w:r>
          </w:p>
        </w:tc>
      </w:tr>
      <w:tr w14:paraId="70441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14:paraId="612B705E">
            <w:pPr>
              <w:spacing w:line="273" w:lineRule="auto"/>
              <w:jc w:val="center"/>
              <w:rPr>
                <w:rFonts w:ascii="宋体" w:hAnsi="宋体"/>
                <w:color w:val="auto"/>
                <w:sz w:val="24"/>
                <w:szCs w:val="24"/>
                <w:highlight w:val="none"/>
              </w:rPr>
            </w:pPr>
            <w:r>
              <w:rPr>
                <w:rFonts w:hint="eastAsia" w:ascii="宋体" w:hAnsi="宋体" w:cs="宋体"/>
                <w:color w:val="auto"/>
                <w:sz w:val="24"/>
                <w:szCs w:val="24"/>
                <w:highlight w:val="none"/>
              </w:rPr>
              <w:t>25.1</w:t>
            </w:r>
          </w:p>
        </w:tc>
        <w:tc>
          <w:tcPr>
            <w:tcW w:w="8168" w:type="dxa"/>
            <w:gridSpan w:val="2"/>
            <w:vAlign w:val="center"/>
          </w:tcPr>
          <w:p w14:paraId="25983B3A">
            <w:pPr>
              <w:spacing w:line="276"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删除“25.1质量、进度奖励”条款</w:t>
            </w:r>
          </w:p>
        </w:tc>
      </w:tr>
    </w:tbl>
    <w:p w14:paraId="79625045">
      <w:pPr>
        <w:spacing w:before="240" w:after="240"/>
        <w:jc w:val="center"/>
        <w:rPr>
          <w:rFonts w:ascii="宋体" w:hAnsi="宋体" w:cs="宋体"/>
          <w:b/>
          <w:color w:val="auto"/>
          <w:sz w:val="32"/>
          <w:szCs w:val="32"/>
          <w:highlight w:val="none"/>
        </w:rPr>
      </w:pPr>
      <w:bookmarkStart w:id="1672" w:name="_Toc505844494"/>
      <w:r>
        <w:rPr>
          <w:rFonts w:hint="eastAsia"/>
          <w:color w:val="auto"/>
          <w:highlight w:val="none"/>
        </w:rPr>
        <w:br w:type="page"/>
      </w:r>
      <w:bookmarkEnd w:id="1672"/>
      <w:bookmarkStart w:id="1673" w:name="_Toc16186"/>
      <w:bookmarkStart w:id="1674" w:name="_Toc505844504"/>
      <w:r>
        <w:rPr>
          <w:rFonts w:hint="eastAsia" w:ascii="宋体" w:hAnsi="宋体" w:cs="宋体"/>
          <w:b/>
          <w:color w:val="auto"/>
          <w:sz w:val="32"/>
          <w:szCs w:val="32"/>
          <w:highlight w:val="none"/>
        </w:rPr>
        <w:t>项目专用合同条款</w:t>
      </w:r>
    </w:p>
    <w:p w14:paraId="580CAFDA">
      <w:pPr>
        <w:spacing w:line="400" w:lineRule="exact"/>
        <w:jc w:val="left"/>
        <w:rPr>
          <w:rFonts w:ascii="宋体" w:hAnsi="宋体" w:cs="宋体"/>
          <w:color w:val="auto"/>
          <w:sz w:val="24"/>
          <w:highlight w:val="none"/>
        </w:rPr>
      </w:pPr>
      <w:r>
        <w:rPr>
          <w:rFonts w:hint="eastAsia" w:ascii="宋体" w:hAnsi="宋体" w:cs="宋体"/>
          <w:color w:val="auto"/>
          <w:sz w:val="24"/>
          <w:highlight w:val="none"/>
        </w:rPr>
        <w:t>说明：本部分所列的项目专用合同条款是对“公路工程专用合同条款”中规定必须在项目专用合同条款中明确的内容的集中，招标人编制的“项目专用合同条款”不限于本部分所列内容。合同条款中如果国家或有关部门颁布了新的技术标准或规范，则应采用新的标准或规范进行执行。</w:t>
      </w:r>
    </w:p>
    <w:p w14:paraId="0943EE1C">
      <w:pPr>
        <w:ind w:firstLine="480" w:firstLineChars="200"/>
        <w:rPr>
          <w:rFonts w:ascii="宋体" w:hAnsi="宋体" w:cs="宋体"/>
          <w:color w:val="auto"/>
          <w:sz w:val="24"/>
          <w:highlight w:val="none"/>
        </w:rPr>
      </w:pPr>
    </w:p>
    <w:p w14:paraId="4E0AD6FF">
      <w:pPr>
        <w:ind w:firstLine="480" w:firstLineChars="200"/>
        <w:rPr>
          <w:rFonts w:ascii="宋体" w:hAnsi="宋体" w:cs="宋体"/>
          <w:color w:val="auto"/>
          <w:sz w:val="24"/>
          <w:highlight w:val="none"/>
        </w:rPr>
      </w:pPr>
    </w:p>
    <w:p w14:paraId="5CF48E1F">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1、一般约定</w:t>
      </w:r>
    </w:p>
    <w:p w14:paraId="0805CAC5">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 词语定义</w:t>
      </w:r>
    </w:p>
    <w:p w14:paraId="148A1223">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 1.1.2 款细化为：</w:t>
      </w:r>
    </w:p>
    <w:p w14:paraId="21DF83A0">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合同当事人和人员</w:t>
      </w:r>
    </w:p>
    <w:p w14:paraId="6B9784A5">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本项补充第 1.1.2.9 目～第 1.1.2.11 目：</w:t>
      </w:r>
    </w:p>
    <w:p w14:paraId="00375D7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1.1.2.9 发包人代表：</w:t>
      </w:r>
    </w:p>
    <w:p w14:paraId="49A3811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发包人代表（或称发包人驻地代表）是发包人派出到合同段执行发包人授予的一定权力及职责的现场管理人员。</w:t>
      </w:r>
    </w:p>
    <w:p w14:paraId="7B2E2C0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1.1.2.10 试验检测中心承包人（试验人）：</w:t>
      </w:r>
    </w:p>
    <w:p w14:paraId="18836489">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受发包人委托实施本合同工程试验检测工作管理的法人或其他组织，代表发包人对本合同工程进行抽检，以及对承包人的试验检测工作进行现场管理。</w:t>
      </w:r>
    </w:p>
    <w:p w14:paraId="718D4BF8">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1.1.2.11 第三方监测、风险管理及科研单位：</w:t>
      </w:r>
    </w:p>
    <w:p w14:paraId="4696D3A0">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受发包人委托实施本合同工程监测、风险管理及科研任务的法人或其他组织。</w:t>
      </w:r>
    </w:p>
    <w:p w14:paraId="3F1FE26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1.1.6 其他</w:t>
      </w:r>
    </w:p>
    <w:p w14:paraId="309D1C14">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本项补充第 1.1.6.10 目：</w:t>
      </w:r>
    </w:p>
    <w:p w14:paraId="5D829E40">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1.1.6.10 首件工程认可制：</w:t>
      </w:r>
    </w:p>
    <w:p w14:paraId="49D1E110">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简称首件制，指每一个分项工程开工前，承包人先按施工组织设计中的工艺技术要求完成样品工程，随后对样品的各项质量指标进行检测，并对检测结果进行分析、对比，再对施工组织设计进行修改完善。承包人从满足要求的试件中确定一个优良的首件，从程序报建、技术培训、技术交底、材料进场、施工方案和施工工艺、材料试验、现场管理和质量控制等方面，整理出一套标准样本，获得更科学、更合理的施工参数、质量保证措施和安全保证措施，并作为施工（批量生产）的依据，使施工（批量生产）过程中整个工程质量和外观效果处于可控范围内，杜绝施工（批量生产）后可能产生的各种质量隐患。凡未经首件工程认可的工艺过程，一律不得批量应用。</w:t>
      </w:r>
    </w:p>
    <w:p w14:paraId="24B1B203">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 图纸和承包人文件</w:t>
      </w:r>
    </w:p>
    <w:p w14:paraId="694A7CB9">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图纸的提供</w:t>
      </w:r>
    </w:p>
    <w:p w14:paraId="19790077">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本项细化为：</w:t>
      </w:r>
    </w:p>
    <w:p w14:paraId="2A83C42C">
      <w:pPr>
        <w:spacing w:line="400" w:lineRule="exact"/>
        <w:ind w:firstLine="480" w:firstLineChars="200"/>
        <w:rPr>
          <w:rFonts w:hint="eastAsia" w:ascii="宋体" w:hAnsi="宋体" w:cs="宋体"/>
          <w:color w:val="auto"/>
          <w:sz w:val="24"/>
          <w:highlight w:val="none"/>
        </w:rPr>
      </w:pPr>
    </w:p>
    <w:p w14:paraId="36D0CC35">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发包人应在发出中标通知书之后 42 天内，向承包人免费提供由发包人或其委托的设计单位设计的施工图纸、技术规范和其他技术资料 2 份，并向承包人进行技术交底。承包人需要更多份数时，应自费复制。上述图纸、技术规范和其他技术资料，未经发包人同意，承包人不得提供给与本工程无关的第三方。</w:t>
      </w:r>
    </w:p>
    <w:p w14:paraId="0D98C110">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图纸的修改</w:t>
      </w:r>
    </w:p>
    <w:p w14:paraId="6BDB8EE2">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本项补充：</w:t>
      </w:r>
    </w:p>
    <w:p w14:paraId="35CE717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承包人不得对施工图的任何部分进行修改，所有设计修改必须经设计单位认可及发包人同意，否则视为承包人违约并按 22.1 款处理。</w:t>
      </w:r>
    </w:p>
    <w:p w14:paraId="0468AE2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图纸的错误</w:t>
      </w:r>
    </w:p>
    <w:p w14:paraId="60B7CFEF">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本项细化为：</w:t>
      </w:r>
    </w:p>
    <w:p w14:paraId="4E1AA9D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须组织相关技术工作人员对有关的工程设计、技术规范、图纸或其他资料进行复核，发现资料中的任何差错、遗漏或缺陷后，应及时通知监理人。承包人未能在合同规定的时间内将发现的有关工程设计、技术规范、图纸或其他资料中的差错、遗漏或缺陷通知监理人的，由此造成的一切损失和责任均由承包人承担。</w:t>
      </w:r>
    </w:p>
    <w:p w14:paraId="294E351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针对图纸与工程量清单的差、错、漏等问题，承包人应在合同签订后 3 个月内提出，合同签订后 6 个月内完成设计工程量核查，统一作为一次变更处理。</w:t>
      </w:r>
    </w:p>
    <w:p w14:paraId="0B87A51F">
      <w:pPr>
        <w:spacing w:line="400" w:lineRule="exact"/>
        <w:ind w:firstLine="480" w:firstLineChars="200"/>
        <w:rPr>
          <w:rFonts w:ascii="宋体" w:hAnsi="宋体" w:cs="宋体"/>
          <w:color w:val="auto"/>
          <w:sz w:val="24"/>
          <w:highlight w:val="none"/>
        </w:rPr>
      </w:pPr>
    </w:p>
    <w:p w14:paraId="5681D5F5">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2. 发包人义务</w:t>
      </w:r>
    </w:p>
    <w:p w14:paraId="27955B82">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提供施工场地</w:t>
      </w:r>
    </w:p>
    <w:p w14:paraId="440A1CF2">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本款补充：</w:t>
      </w:r>
    </w:p>
    <w:p w14:paraId="098387A4">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主动协助发包人做好本合同段范围内土地征收、房屋拆迁及管线迁改工作。如果由于发包人未能按照本款规定办妥永久占地征用手续，影响承包人工程施工的，承包人须及时调整工程施工组织安排，合理组织和安排工程施工。</w:t>
      </w:r>
    </w:p>
    <w:p w14:paraId="1E5BC574">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但如果由于承包人未能按照本款规定提交占地计划，因而影响发包人办理永久工程占地征用手续而导致延误工期或增加费用，则由承包人自行负责。</w:t>
      </w:r>
    </w:p>
    <w:p w14:paraId="4DD2B37B">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 其他义务</w:t>
      </w:r>
    </w:p>
    <w:p w14:paraId="3A8A875B">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本款补充：</w:t>
      </w:r>
    </w:p>
    <w:p w14:paraId="31F3753B">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发包人不提供进出施工现场的水、陆交通通道，不提供水、电、通讯的接入点及施工船舶临时停泊水域及停靠码头，由承包人自行落实解决，相关费用已包含在合同价格中，发包人不另行支付（除合同另有约定外）。</w:t>
      </w:r>
    </w:p>
    <w:p w14:paraId="51F7957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施工过程中的淤泥、弃方、建筑垃圾等抛弃地点（倾倒区）由承包人自行解决，并负责办理相关许可手续，承担因申请和使用倾倒区的一切费用（含环境监测、渔业资源补偿等），相关费用已包含在合同价格中（除合同另有约定外）。如承包人不按要求倾倒淤泥、弃方、建筑垃圾等引起的一切责任（包括违约金、赔偿等）均由承包人负责。</w:t>
      </w:r>
    </w:p>
    <w:p w14:paraId="75586A6D">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（3）发包人应在合同签订前向承包人提供工程款支付担保。</w:t>
      </w:r>
    </w:p>
    <w:p w14:paraId="61647441">
      <w:pPr>
        <w:spacing w:line="400" w:lineRule="exact"/>
        <w:ind w:firstLine="480" w:firstLineChars="200"/>
        <w:rPr>
          <w:rFonts w:ascii="宋体" w:hAnsi="宋体" w:cs="宋体"/>
          <w:color w:val="auto"/>
          <w:sz w:val="24"/>
          <w:highlight w:val="none"/>
        </w:rPr>
      </w:pPr>
    </w:p>
    <w:p w14:paraId="28BD73CA">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3.监理人</w:t>
      </w:r>
    </w:p>
    <w:p w14:paraId="5E7C85C6">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监理人的职责和权力</w:t>
      </w:r>
    </w:p>
    <w:p w14:paraId="7CD64879">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 3.1.1 项补充：</w:t>
      </w:r>
    </w:p>
    <w:p w14:paraId="07633961">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3.1.1（6）本项细化为：</w:t>
      </w:r>
    </w:p>
    <w:p w14:paraId="058D90FB">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（6）根据第 15.3 款发出的变更指示，均需要经发包人事先批准。</w:t>
      </w:r>
    </w:p>
    <w:p w14:paraId="5E80959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增加以下内容：监理人关于本合同段工程的有关决定，都必须抄送发包人。发包人和承包人双方对工程施工的有关协议或决定，必须抄送监理人。监理人涉及工程变更、工程量增减、议价、索赔、改变工期、改变技术标准、改变重大施工技术方案，以及与费用有关的指令，均需事先与发包人协商，发包人书面认可后方能生效。</w:t>
      </w:r>
    </w:p>
    <w:p w14:paraId="3DC52F7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 3.1.2 项补充：</w:t>
      </w:r>
    </w:p>
    <w:p w14:paraId="1711C8E6">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14:paraId="144914E4">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本条增加第 3.6 款和第 3.7 款：</w:t>
      </w:r>
    </w:p>
    <w:p w14:paraId="74A036E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 发包人、监理人、试验人、承包人、风险管理等单位的关系</w:t>
      </w:r>
    </w:p>
    <w:p w14:paraId="0048E40B">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3.6.1 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同意计量。承包人应服从发包人的统一协调，积极配合发包人委托的单位开展工作，相关费用已包含在合同总价中。</w:t>
      </w:r>
    </w:p>
    <w:p w14:paraId="1064D639">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3.6.2 本项目工程实行承包人自检、社会监理（含试验人）、发包人管理和政府监督的质量保证体系。对工程质量出现问题而降低质量标准或返工而造成的一切经济和工期损失，由承包人承担，并视为承包人违约；监理人根据监理合同规定负监理不周的责任。监理人对某一分部或分项工程的认可不影响政府机构或发包人在事后的否定。</w:t>
      </w:r>
    </w:p>
    <w:p w14:paraId="2EA243C8">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 发包人代表（或称发包人驻地代表）</w:t>
      </w:r>
    </w:p>
    <w:p w14:paraId="7251DC4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3.7.1 发包人代表根据发包人的授权，代表发包人履行项目管理和控制职责，具体职责和权限由发包人另行明确。</w:t>
      </w:r>
    </w:p>
    <w:p w14:paraId="30A9455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3.7.2 发包人代表对承包人的现场工程质量、进度、安全、文明环保等进行检查和督导，并有权要求承包人对存在问题进行整改。</w:t>
      </w:r>
    </w:p>
    <w:p w14:paraId="1054D866">
      <w:pPr>
        <w:spacing w:line="400" w:lineRule="exact"/>
        <w:ind w:firstLine="480" w:firstLineChars="200"/>
        <w:rPr>
          <w:rFonts w:ascii="宋体" w:hAnsi="宋体" w:cs="宋体"/>
          <w:color w:val="auto"/>
          <w:sz w:val="24"/>
          <w:highlight w:val="none"/>
        </w:rPr>
      </w:pPr>
    </w:p>
    <w:p w14:paraId="71D9CB17">
      <w:pPr>
        <w:pStyle w:val="61"/>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4、承包人</w:t>
      </w:r>
    </w:p>
    <w:p w14:paraId="12A987A6">
      <w:pPr>
        <w:pStyle w:val="61"/>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4.1承包人的一般义务</w:t>
      </w:r>
    </w:p>
    <w:p w14:paraId="3A9CCE37">
      <w:pPr>
        <w:pStyle w:val="61"/>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4.1.2 依法纳税</w:t>
      </w:r>
    </w:p>
    <w:p w14:paraId="26005A9F">
      <w:pPr>
        <w:pStyle w:val="61"/>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本项补充：</w:t>
      </w:r>
    </w:p>
    <w:p w14:paraId="36A5DFC6">
      <w:pPr>
        <w:pStyle w:val="61"/>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省、市和地方有关单位要收取的税费和规费（包括但不限于按交通运输部公布的《公路工程建设项目概算预算编制办法》(JTG 3830-2018)规定的建筑安装工程造价内的增值税、城市维护建设税、教育费附加和地方教育附加税、堤围防护费等），已包含在工程量清单单价及总价中，由承包人负责缴纳并承担所需费用。</w:t>
      </w:r>
    </w:p>
    <w:p w14:paraId="39A891D3">
      <w:pPr>
        <w:pStyle w:val="61"/>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4.1.4 对施工作业和施工方法的完备性负责</w:t>
      </w:r>
    </w:p>
    <w:p w14:paraId="64292F8E">
      <w:pPr>
        <w:pStyle w:val="61"/>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本项细化为：</w:t>
      </w:r>
    </w:p>
    <w:p w14:paraId="64F0C94C">
      <w:pPr>
        <w:pStyle w:val="61"/>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承包人应按合同约定的工作内容和施工进度要求，根据《广东省高速公路工程施工组织设计和施工方案标准化管理指南》编制施工组织设计和施工方案，并对所有施工作业和施工方案的完备性和安全可靠性负责。承包人应对施工组织设计和施工方案开展内部审查、专家论证（必要时）和报批工作。</w:t>
      </w:r>
    </w:p>
    <w:p w14:paraId="62CBED66">
      <w:pPr>
        <w:pStyle w:val="61"/>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4.1.5 保证工程施工和人员的安全</w:t>
      </w:r>
    </w:p>
    <w:p w14:paraId="4B62A624">
      <w:pPr>
        <w:pStyle w:val="61"/>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本项补充：</w:t>
      </w:r>
    </w:p>
    <w:p w14:paraId="4C702CA3">
      <w:pPr>
        <w:pStyle w:val="61"/>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承包人在施工中必须按相关规定和标准设置安全标志、标牌等必要的安全设施，否则发包人将委托其他单位制作或设置，发生的费用从安全生产费中扣除，不足部分从工程款中扣除。</w:t>
      </w:r>
    </w:p>
    <w:p w14:paraId="7D7E5154">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4.1.7 避免施工对公众与他人的利益造成损害</w:t>
      </w:r>
    </w:p>
    <w:p w14:paraId="2AC4A8ED">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本款细化为：</w:t>
      </w:r>
    </w:p>
    <w:p w14:paraId="4F36A71E">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AE83D32">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14:paraId="06449D2B">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（3）承包人在实施和完成本合同工程及缺陷修复工作中的一切施工作业，在经过原地貌为鱼塘时，须在征地红线处筑设围堰分界，围堰需坚固且堰顶标高应高出原塘基至少 0.5 米，以保证施工作业不污染、不影响征地红线外鱼塘的养殖与正常使用，不对群众的财产造成损失，施工过程也不干扰群众的生产。如因承包人责任（如施工考虑不周或措施不当等）而造成征地红线外鱼塘污染的，承包人应负责对涉及的鱼塘进行清淤处理，并由此导致施工受阻、停工、索赔、赔偿、诉讼费用及其他开支时，应由承包人自行处理并承担一切责任及费用，同时发包人有权要求承包人采取措施进行补救。若承包人拒不接受或在限期内未采取必要措施的，发包人有权委托其他承包人或分包人进行补救，产生费用由承包人承担。承包人在报价和组织施工时应充分考虑这一因素。</w:t>
      </w:r>
    </w:p>
    <w:p w14:paraId="75FC48DE">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（4）承包人未经河道管理部门许可，不得擅自改变河岸现水边线、采用推填方式占用河道解决施工作业面不足或施工便道问题，否则引起的一切后果由承包人承担。</w:t>
      </w:r>
    </w:p>
    <w:p w14:paraId="0BB3387B">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（5）如桥梁桩基位于水域等地基软弱地段，承包人应采取相应的施工辅助措施，发生费用已包含在合同总价中。</w:t>
      </w:r>
    </w:p>
    <w:p w14:paraId="19C321E3">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（6）承包人应按交警、交通、铁路、航道、海事、国土、市政园林、水务、管道等管理部门的规定办理施工方案报批等相关手续，相关费用已包含在合同总价中（除合同另有约定外）。</w:t>
      </w:r>
    </w:p>
    <w:p w14:paraId="35F2F341">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承包人利用现有道路作为施工便道的，需对道路采取一定的保护措施，施工完成后应以不低于现有标准对施工损坏的道路进行修复（具体标准须满足权属单位的要求），由此产生的一切费用均由承包人承担。</w:t>
      </w:r>
    </w:p>
    <w:p w14:paraId="5A3B7100">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7）承包人在实施和完成本合同工程及缺陷修复工作中的一切施工作业应保证发包人免于承担因承包人借用、占用或使用当地道路、铁路、航道、市政、水利或其他公共设施所引发的补偿费、诉讼费、损害赔偿、指控费及其他开支。一旦发生，发包人有权在承包人的工程进度款或结算款中扣回。</w:t>
      </w:r>
    </w:p>
    <w:p w14:paraId="0F76CD51">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8）承包人应按有关环境保护、水土保持、文物保护、通航安全、防洪安全、放射性环境评价、压覆矿床等专项评价报告以及相关审批部门批复意见的要求进行施工，在施工过程中采用的施工工艺和施工措施所需费用已包含在合同总价中(除合同另有约定外)。</w:t>
      </w:r>
    </w:p>
    <w:p w14:paraId="266A93B9">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（9）承包人由于未切实履行以上条款的约定，导致发生工程阻工、停工，造成项目工期延误，视为承包人违约，按 22.1 条处理。</w:t>
      </w:r>
    </w:p>
    <w:p w14:paraId="5A36BF8E">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4.1.8 为他人提供方便</w:t>
      </w:r>
    </w:p>
    <w:p w14:paraId="313E3800">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本款细化为：</w:t>
      </w:r>
    </w:p>
    <w:p w14:paraId="3510ED50">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1）承包人应免费提供临时道路、便桥给本项目其他参建单位使用，并提供方便。承包人在施工期内，必须密切配合其他承包人在本合同段范围内的施工作业。如发生冲突，承包人应无条件接受发包人的协调及安排。</w:t>
      </w:r>
    </w:p>
    <w:p w14:paraId="02C8D393">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2）如果本项目的预制构件由预制合同段统一预制，无论运输安装由预制合同段负责还是使用单位自行负责，承包人应积极配合，免费提供临时道路、便桥供预制构件运输使用，并做好便道便桥的维护，确保安全畅通。</w:t>
      </w:r>
    </w:p>
    <w:p w14:paraId="56509876">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（3）承包人应按照监理人或发包人的要求负责安装其他工程所需的预埋件。由于承包人未按相关设计图纸施工预埋件，造成的损失（包括拆除、重新预埋所需费用）由承包人承担。</w:t>
      </w:r>
    </w:p>
    <w:p w14:paraId="39B51842">
      <w:pPr>
        <w:pStyle w:val="61"/>
        <w:spacing w:line="360" w:lineRule="auto"/>
        <w:ind w:firstLine="480" w:firstLineChars="200"/>
        <w:rPr>
          <w:rFonts w:ascii="宋体" w:hAnsi="宋体" w:cs="宋体"/>
          <w:b w:val="0"/>
          <w:bCs/>
          <w:color w:val="auto"/>
          <w:sz w:val="24"/>
          <w:szCs w:val="21"/>
          <w:highlight w:val="none"/>
        </w:rPr>
      </w:pPr>
      <w:r>
        <w:rPr>
          <w:rFonts w:hint="eastAsia" w:ascii="宋体" w:hAnsi="宋体" w:cs="宋体"/>
          <w:b w:val="0"/>
          <w:bCs/>
          <w:color w:val="auto"/>
          <w:sz w:val="24"/>
          <w:szCs w:val="21"/>
          <w:highlight w:val="none"/>
        </w:rPr>
        <w:t>（4）承包人应配合试验、检测单位完成相应的试验或检测工作，包括桩基检测、地质钻孔等，所需配合费用已包含在合同总价中（桩基静载、梁板荷载试验除外）。</w:t>
      </w:r>
    </w:p>
    <w:p w14:paraId="59CD95D8">
      <w:pPr>
        <w:pStyle w:val="61"/>
        <w:spacing w:line="360" w:lineRule="auto"/>
        <w:ind w:firstLine="480" w:firstLineChars="200"/>
        <w:rPr>
          <w:rFonts w:ascii="宋体" w:hAnsi="宋体" w:cs="宋体"/>
          <w:b w:val="0"/>
          <w:bCs/>
          <w:color w:val="auto"/>
          <w:sz w:val="24"/>
          <w:szCs w:val="21"/>
          <w:highlight w:val="none"/>
        </w:rPr>
      </w:pPr>
      <w:r>
        <w:rPr>
          <w:rFonts w:hint="eastAsia" w:ascii="宋体" w:hAnsi="宋体" w:cs="宋体"/>
          <w:b w:val="0"/>
          <w:bCs/>
          <w:color w:val="auto"/>
          <w:sz w:val="24"/>
          <w:szCs w:val="21"/>
          <w:highlight w:val="none"/>
        </w:rPr>
        <w:t>4.1.10其他义务</w:t>
      </w:r>
    </w:p>
    <w:p w14:paraId="01949358">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第 4.1.10（1）目补充：</w:t>
      </w:r>
    </w:p>
    <w:p w14:paraId="38662D43">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临时用地的面积和使用期应满足工程需要和《广东省公路工程施工标准化指南》的要求，因临时占地发生的协调、租用、复耕、验收等相关费用由承包人承担。临时用地中如有地面附着物（包括但不限于电力、电信、房屋、坟墓等），其拆迁补偿费用已计入合同总价中。临时用地必须按规定办理相关手续，且不得对周边环境、公众及他人造成损害。</w:t>
      </w:r>
    </w:p>
    <w:p w14:paraId="5E5F796C">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将本款第 4.1.10(2)目细化为：</w:t>
      </w:r>
    </w:p>
    <w:p w14:paraId="74843F3B">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除合同另有规定外，承包人应承担并支付为获得本合同工程所需的石料、砂、砾石、黏土或其他当地材料等所发生的料场使用费及其他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14:paraId="431A3541">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将本款第 4.1.10(3)目细化为：</w:t>
      </w:r>
    </w:p>
    <w:p w14:paraId="5A60A65C">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28DF420B">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承包人要加强对分包企业劳动用工和工资发放的监督管理，不得以工程款未到位等为由克扣或拖欠民工工资，不得将合同应收工程款等经营风险转嫁给民工；因承包人将工程转包或违法分包致使拖欠民工工资的，由承包人依法承担清偿责任。承包人项目部应当配备劳资专管员，对民工实行实名制管理，通过登录广东省交通运输厅工程建设管养平台（实名制管理系统）为每一位进场工人建立实名制档案，记录施工人员进出场情况和施工现场作业民工的身份信息、劳动考勤与计量，建立劳动计酬手册、工资结算与支付等管理台账，实时掌握施工现场用工及其工资支付情况，不得以包代管。</w:t>
      </w:r>
    </w:p>
    <w:p w14:paraId="2B1E4CA1">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工资支付表应如实记录支付单位、支付时间、支付对象、支付数额、支付对象的身份证号和签字等信息。承包人应签订劳务合同，必须明确上述主要条款，并对主要条款进行细化，防止恶意讨薪者恶意上访，民工花名册和工资支付表应报监理人备查。</w:t>
      </w:r>
    </w:p>
    <w:p w14:paraId="0576F41D">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将本款第 4.1.10(4)目细化为：</w:t>
      </w:r>
    </w:p>
    <w:p w14:paraId="025991DA">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应分解工程价款中的人工费用，在工程项目所在地银行开设民工工资（劳务费）专用账户，专项用于支付民工工资。项目实行分包人农民工工资委托承包人代发制度，分包人负责按月计算每位民工当月或上月应得工资额，承包人核查分包人提交的经民工签字确认的工资支付表，承包人的开户银行应根据承包人提供的经民工本人签字确认工资支付表，通过承包人设立的民工工资（劳务费）专用账户直接将工资划入民工个人工资账户。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7D1C6761">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将本款第 4.1.10(6)目细化为：</w:t>
      </w:r>
    </w:p>
    <w:p w14:paraId="1450D89C">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承包人应履行的其他义务：</w:t>
      </w:r>
    </w:p>
    <w:p w14:paraId="7D293B29">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①工序衔接与协调</w:t>
      </w:r>
    </w:p>
    <w:p w14:paraId="0808B169">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多个承包人在同一区域施工时，发包人和监理人有权协调工程的实施并对工程的衔接发出指示，承包人应在发包人和监理人的统一协调下工作，承包人由此增加的费用已包含在合同总价中。</w:t>
      </w:r>
    </w:p>
    <w:p w14:paraId="72C391E7">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施工用地和临时用地交付承包人后，承包人应采取有效的措施进行管控，包括必要的围蔽和安保措施，防止与本项目无关的人员或单位进入、借用、占用或侵占（发包人同意的除外），否则由此引起的施工干扰、工程方案变更、工期延后、费用增加等一切后果由承包人承担。</w:t>
      </w:r>
    </w:p>
    <w:p w14:paraId="75AD2FC1">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交工验收前，承包人应将测量控制点、高边坡、软基、桥梁等观测点的资料移交给养护单位使用。</w:t>
      </w:r>
    </w:p>
    <w:p w14:paraId="301BD743">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②施工工艺要求</w:t>
      </w:r>
    </w:p>
    <w:p w14:paraId="104F6C1F">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应采取一切必要的措施，严格执行《广东省公路工程施工标准化指南》、《广东省高速公路公路施工安全标准化指南》和施工过程中发包人下发的工程管理手册（或创新工艺工法要求）、标准化和标杆管理、技术规范的各项规定，以及在建设过程中发包人提出的工艺工法要求，以保证达到合同规定的质量标准。在工程竣工质量要求较招标文件技术规范未发生改变的情况下，发包人或监理人对施工工艺提出的合理要求，原则上承包人不得就此要求发包人给予额外费用补偿，由此发生的一切费用视为已计入合同总价中。发包人提出或受施工条件限制需改变原施工工艺（工法）的，按 16.5 款约定执行。发包人推广先进工艺工法，如钢筋部品工艺、高温蒸养环形生产线预制场等，原则上承包人不得就此要求发包人给予额外费用补偿，由此发生的一切费用视为已计入合同总价中。</w:t>
      </w:r>
    </w:p>
    <w:p w14:paraId="7FAAB470">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③卫生与供水</w:t>
      </w:r>
    </w:p>
    <w:p w14:paraId="0DEFDE8E">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应自费采取应有的卫生防护措施，经常保持现场及其驻地整洁和卫生，为其雇用的员工供应清洁的饮用水和合格的生活用水，以保护职员和工人的健康。在炎热的高温条件下施工时，承包人应注意采取防暑降温措施。</w:t>
      </w:r>
    </w:p>
    <w:p w14:paraId="3E6FA212">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在组织人员进驻工程现场时，应切实采取预防疫情的有效措施，配备必要的医疗用品、以及消毒、测温、通风等设施、设备，加强疫情防控工作。承包人应至少设一名专职的、具有一定卫生常识及传染病防治知识的卫生督查员，负责承包人所在施工现场的传染病检查、控制和报告工作。供餐 50 人以上食堂必须向当地县级市场监管部门申办食品经营许可证。</w:t>
      </w:r>
    </w:p>
    <w:p w14:paraId="171F8118">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并及时报告当地卫生防疫部门及发包人。</w:t>
      </w:r>
    </w:p>
    <w:p w14:paraId="6C4E348A">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应将其采取上述措施而可能发生的全部费用计入投标报价中，发包人将不另行支付。如发生属不可抗力的公共卫生事件，承包人采取防控措施而发生的费用，参照政府部门的相关规定，予以合理补偿。因承包人采取措施不力所造成的一切后果，均由承包人自行负责。</w:t>
      </w:r>
    </w:p>
    <w:p w14:paraId="33FDEEF1">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④项目审计、稽查和检查等的配合</w:t>
      </w:r>
    </w:p>
    <w:p w14:paraId="27F2E493">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A、与本工程项目相关的审计和稽查，承包人应高度重视并委派专人积极予以配合，对审计和稽查的有关意见承包人应无条件地及时整改。</w:t>
      </w:r>
    </w:p>
    <w:p w14:paraId="0E04AABB">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B、有关单位对本项目的各种检查和视察等活动，承包人和监理人有义务积极配合开展各项工作。</w:t>
      </w:r>
    </w:p>
    <w:p w14:paraId="62C13C7C">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C、本工程项目有关的各类统计报表和汇报材料包括项目后评价报告，承包人和监理人有义务配合发包人做好编制工作并提供相应的资料。</w:t>
      </w:r>
    </w:p>
    <w:p w14:paraId="7B123229">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D、承包人应按监理人和发包人的有关要求，建立相应的计量、支付、变更和造价等台帐，同时承包人和监理人应配合发包人建立相应的台帐，三方各自的台帐应动态更新，并确保一致，直至工程结算完成。承包人应按省级公路工程造价管理信息化平台的要求，及时上传造价文件。</w:t>
      </w:r>
    </w:p>
    <w:p w14:paraId="669A66D5">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⑤双标管理（标杆管理、标准化管理）</w:t>
      </w:r>
    </w:p>
    <w:p w14:paraId="637C7B7B">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须贯彻落实交通运输部和广东省交通运输厅“平安百年品质工程”建设有关要求，进一步深化标准化管理和标杆管理，推进精品建造和精细管理；严格遵守和执行交通运输部、广东省交通运输厅有关高速公路建设标准化管理（含发包人下发的标准化管理指南，如有），高速公路建设样板（标杆）工程，高速公路施工优质优价，安全生产标准化，平安工地建设活动以及发包人制定的工程管理手册等规定。</w:t>
      </w:r>
    </w:p>
    <w:p w14:paraId="3449CE3A">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⑥工程质量和施工档案</w:t>
      </w:r>
    </w:p>
    <w:p w14:paraId="0121C21E">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在施工过程中，如果工程质量不符合设计和规范要求以及优质工程有关管理规定，监理人或发包人要求停工和返工的，承包人必须立即执行，由此产生的各种费用由承包人承担，工期不予顺延。</w:t>
      </w:r>
    </w:p>
    <w:p w14:paraId="07783573">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承包人对已完工程必须进行严格的质量自检，只有自检合格的工程才能向监理人、发包人提出验收和计量的申请。监理人在收到验收申请后的 48 小时内对工程进行抽检和验收，对检验不合格的工程由承包人自费修复或返工。如果工程不合格是由于承包人的原因所致，则对承包人按项目专用合同条款及发包人下发的工程质量管理办法的规定进行处罚。</w:t>
      </w:r>
    </w:p>
    <w:p w14:paraId="540BA837">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必须设置专职档案员（资料员），专职档案员应具有高速公路项目的竣工资料编制经验。承包人应将项目竣工文件材料的收集、整理、立卷、归档，纳入项目的日常管理工作中，落实档案材料管理领导责任人制，专人负责竣工文件材料立卷归档工作，确保项目竣工文件材料的完整、准确与系统。工程结束后需按时、按质、按量提交符合发包人要求的竣工文件纸质档案及电子档案。</w:t>
      </w:r>
    </w:p>
    <w:p w14:paraId="1F68423A">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⑦施工补勘</w:t>
      </w:r>
    </w:p>
    <w:p w14:paraId="034BA24C">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在工程施工期间，如果监理人要求承包人进行补钻孔或勘探性的开挖工作，须事先征得发包人同意。如果此项费用未包含在工程量清单项目中，则按变更处理。</w:t>
      </w:r>
    </w:p>
    <w:p w14:paraId="26040588">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⑧遗留问题的处理</w:t>
      </w:r>
    </w:p>
    <w:p w14:paraId="5DCCE90D">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在施工过程中应与相关单位或部门多协调、多沟通，妥善处理因施工引起的对地方所产生的影响。承包人在施工过程中应自觉缴纳地方政府及相关单位要求的各类押金、保证金、租金或补偿及使用费用等。如承包人未能妥善处理与地方政府及相关单位的关系而影响施工的，发包人有权不需经承包人同意，代付上述各类款项，并从承包人计量款中扣回，最终从承包人结算款中予以如数扣回，承包人应无条件接受。</w:t>
      </w:r>
    </w:p>
    <w:p w14:paraId="57E61429">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工程交工后竣工验收前，承包人所在合同段遗留的问题，承包人应积极主动地进行处理和解决并承担所有费用。如上述问题特别是与地方有关的遗留问题，承包人在发包人规定的期限内不能妥善处理的，发包人有权另行委托其他单位进行处理，发生的全部费用从应付给承包人的任何款项中扣回，承包人须无条件接受。</w:t>
      </w:r>
    </w:p>
    <w:p w14:paraId="6B9D9742">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⑨验收及其他</w:t>
      </w:r>
    </w:p>
    <w:p w14:paraId="2C6187F6">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根据《广东省交通运输厅关于进一步加强公路水路建设工程防雷工作的通知》要求，本项目将防雷减灾工作纳入安全生产日常管理，发包人将根据上级要求及相关技术规范统筹安排，在本项目中落实防雷装置与主体工程同时设计、同时施工、同时验收，承包人必须承担相应防雷工作的主体责任，严格按本项目防雷设计与相关要求组织实施防雷工程施工，必须采购满足设计文件技术指标和功能参数的材料设备，材料设备必须提供质量检验报告并接受质量监督，相关设备需报监理人批准，确保项目防雷工程验收合格。</w:t>
      </w:r>
    </w:p>
    <w:p w14:paraId="79ED245E">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⑩应履行的其他义务</w:t>
      </w:r>
    </w:p>
    <w:p w14:paraId="4C9E057A">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A、承包人因非本合同项目的诉讼、仲裁或行政处罚，导致法院或其他有权机关依法到发包人或发包人开户银行执行扣除承包人已完成工程量结算款项的，承包人须无条件接受该项执行扣款事实，承认已经收到发包人应付的该项工程进度款。此外，承包人还须对因该事件构成对发包人的负面影响与经济损失承担全额赔偿责任，同时视为承包人违反工程价款专款专用的约定，按 4.9 款约定进行处理。</w:t>
      </w:r>
    </w:p>
    <w:p w14:paraId="4669DC5E">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B、承包人应根据发包人的要求和施工现场实际情况开展施工作业，必须按发包人的指令开展施工，必要时必须借助地方道路或收费公路作为运输通道。</w:t>
      </w:r>
    </w:p>
    <w:p w14:paraId="597F45C5">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C、海事、海洋、航道、环保、边防、公安、渔政、港口、交通维护、治安协调等有关事宜费用。</w:t>
      </w:r>
    </w:p>
    <w:p w14:paraId="30DC79CC">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对渔业资源、电力电缆、通信电缆（包括国防电缆等）、供水排水管道等影响补偿：承包人须就施工对渔业资源、电力电缆、通信电缆（包括国防电缆等）、供水排水管道等的影响与相关部门协商，并承担相应的补偿费用。因承包人施工给渔业资源、电力电缆、通信电缆（包括国防电缆等）、供水排水管道等造成损害的，承包人应承担一切责任和赔偿费用。</w:t>
      </w:r>
    </w:p>
    <w:p w14:paraId="5DF79743">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现有航道的占用、改移和恢复：如本项目施工对现有航道造成直接影响，为保证施工期间各类船舶的正常通行和行驶安全，承包人须对现有航道进行临时改移和维护，待相关工程完成施工、现有航道具备恢复通航条件时再按原通航标准及时予以恢复，工作内容包括但不限于勘察、设计、办理各种报批、施工许可手续、施工、临时航道验收、航道维护、既有航道恢复以及验收等，相关费用已包含在合同总价中（除合同另有约定外）。</w:t>
      </w:r>
    </w:p>
    <w:p w14:paraId="62738155">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现有道路、市政设施及绿化、青苗的占用和恢复：如本项目施工需临时占用现有道路、路灯照明、人行设施、绿化、青苗等，承包人应在施工前编制占用恢复计划，及时向公路、交警、市政园林等部门办理有关手续，并承担相应的修复和补偿费用。</w:t>
      </w:r>
    </w:p>
    <w:p w14:paraId="4F894C02">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D、承担因违反有关部门规定造成的损失和违约金</w:t>
      </w:r>
    </w:p>
    <w:p w14:paraId="2F7EB6D7">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必须严格按照有关部门的规定和要求组织施工，如有违反，应承担相应的损失及违约金。同时，应充分考虑相关行业主管部门的监测保护要求和受影响单位的管制要求，以及可能对作业点的控制或作业强度、作业时间等限制，对合同工期产生的影响，发包人不因此延长工期和增加费用（除合同另有约定外）。</w:t>
      </w:r>
    </w:p>
    <w:p w14:paraId="00B6812C">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E、承包人应根据工程施工情况及监理人的指令，及时向监理人提交开工报告、测量报告、试验检验报告、隐蔽工程验收通知、工程质量自检报告、交工验收申请报告及工程事故报告等。</w:t>
      </w:r>
    </w:p>
    <w:p w14:paraId="4B40CBB7">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F、承包人在进场后 1 个月内对用地红线进行全面复核，如有误，必须立即书面通知发包人。</w:t>
      </w:r>
    </w:p>
    <w:p w14:paraId="1299BE1D">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G、承包人进场后应对施工位置进行复核，对管线（包括但不限于电力电缆、通信电缆、国防电缆、供水排水管道等）进行复核排查，对影响施工的管线等及时摸排清楚并通知监理人及发包人。如承包人未及时复查管线，施工造成管线破坏的，一切责任和损失由承包人承担。</w:t>
      </w:r>
    </w:p>
    <w:p w14:paraId="41F1AD89">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4.2 履约担保</w:t>
      </w:r>
    </w:p>
    <w:p w14:paraId="1EC7BD1F">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本款细化为：</w:t>
      </w:r>
    </w:p>
    <w:p w14:paraId="540B2DCC">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承包人在收到中标通知书后 28 天之内并在签订合同协议书之前，应按投标人须知第 7.7.1 款规定的金额和形式提交履约担保，由此所发生的费用由承包人承担。</w:t>
      </w:r>
    </w:p>
    <w:p w14:paraId="6679D577">
      <w:pPr>
        <w:pStyle w:val="61"/>
        <w:spacing w:line="360" w:lineRule="auto"/>
        <w:rPr>
          <w:rFonts w:ascii="宋体" w:hAnsi="宋体" w:cs="宋体"/>
          <w:b w:val="0"/>
          <w:bCs w:val="0"/>
          <w:color w:val="auto"/>
          <w:sz w:val="24"/>
          <w:szCs w:val="21"/>
          <w:highlight w:val="none"/>
        </w:rPr>
      </w:pPr>
      <w:r>
        <w:rPr>
          <w:rFonts w:hint="eastAsia" w:ascii="宋体" w:hAnsi="宋体" w:cs="宋体"/>
          <w:b w:val="0"/>
          <w:bCs w:val="0"/>
          <w:color w:val="auto"/>
          <w:sz w:val="24"/>
          <w:szCs w:val="21"/>
          <w:highlight w:val="none"/>
          <w:lang w:val="en-US" w:eastAsia="zh-CN"/>
        </w:rPr>
        <w:t xml:space="preserve">    </w:t>
      </w:r>
      <w:r>
        <w:rPr>
          <w:rFonts w:hint="eastAsia" w:ascii="宋体" w:hAnsi="宋体" w:cs="宋体"/>
          <w:b w:val="0"/>
          <w:bCs w:val="0"/>
          <w:color w:val="auto"/>
          <w:sz w:val="24"/>
          <w:szCs w:val="21"/>
          <w:highlight w:val="none"/>
        </w:rPr>
        <w:t>4.3 分包</w:t>
      </w:r>
    </w:p>
    <w:p w14:paraId="67E0270B">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第 4.3.2 项补充：</w:t>
      </w:r>
    </w:p>
    <w:p w14:paraId="60CBD3B4">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承包人如有分包计划，所有的分包必须符合交通运输部现行《公路工程施工分包管理办法》及《广东省交通运输厅关于公路工程施工分包管理实施细则》关于施工分包和劳务合作的有关规定。</w:t>
      </w:r>
    </w:p>
    <w:p w14:paraId="7D402347">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如实际的分包单价（或总额价）超出承包人与发包人签定的承包合同对应的清单单价（或总额价），视为承包人的风险，承包人应从合同总价中进行调配，发包人不因此向承包人增加支付任何费用。</w:t>
      </w:r>
    </w:p>
    <w:p w14:paraId="5E72E978">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承包人应无条件提供本合同段的临时工程和设施（包括但不限于便道、便桥、电力线路等）供分包人使用，不得向分包人收取临时工程和设施费用。</w:t>
      </w:r>
    </w:p>
    <w:p w14:paraId="0F5B3FED">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01F907C2">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拟分包的专项工程的范围和规模，应当在投标文件和承包合同中明确。中标人进场后，如对拟分包项目情况表中的内容进行增减调整，必须报经监理人或发包人的同意。投标文件未列入或承包合同未明确的专项工程，承包人不得分包。但因工程变更等原因，增加有特殊性技术要求、特殊工艺或者涉及专利保护等的专项工程，且按照规定无须再进行招标的，以及工程实施中承包人和发包人一致认为对专项工程实行专项分包，有利于项目工程进度、质量和安全管理的，由承包人提出书面申请，报监理人审查，经发包人书面同意，可以分包。</w:t>
      </w:r>
    </w:p>
    <w:p w14:paraId="6652A3B5">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本款补充第 4.3.8、4.3.9 项：</w:t>
      </w:r>
    </w:p>
    <w:p w14:paraId="0EF17B3D">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4.3.8 特殊的分包人或供货人</w:t>
      </w:r>
    </w:p>
    <w:p w14:paraId="09DC9B12">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分包合同须符合《广东省交通运输厅关于公路工程施工分包管理实施细则》的有关规定。</w:t>
      </w:r>
    </w:p>
    <w:p w14:paraId="7D004118">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他开支。承包人对于特殊分包人（或供货人）及其职工的过失而造成的损失不承担任何责任。如果特殊分包合同中含有与上述规定有悖的条款，承包人有权拒绝与此特殊分包人（或供货人）签订合同。</w:t>
      </w:r>
    </w:p>
    <w:p w14:paraId="6B7F1FCE">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特殊分包人（或供货人）承担部分的计量由承包人负责统一上报，承包人应将属特殊分包人（或供货人）的计量支付款项，及时向特殊分包人（或供货人）支付。</w:t>
      </w:r>
    </w:p>
    <w:p w14:paraId="74F6D694">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特殊分包人（或供货人）承担部分的原始资料存档和竣工资料编制等工作，由所在合同段的承包人负责。</w:t>
      </w:r>
    </w:p>
    <w:p w14:paraId="6EB95DBA">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应无偿为特殊供货人的供料运输提供满足使用要求的便道便桥和码头，承包人负责卸料并负责将卸下的材料搬运至工地仓库或特定地点，由此所需的设备、人力和费用由承包人自行负责，承包人的仓库容量应满足相关要求。</w:t>
      </w:r>
    </w:p>
    <w:p w14:paraId="422C3C31">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如发生第 11.5 款约定的承包人工程进度严重滞后，发包人有权对承包人部分工程进行特殊分包，承包人应无条件接受，并按第 11.5 款约定处理。</w:t>
      </w:r>
    </w:p>
    <w:p w14:paraId="7BC699A5">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4.3.9 发包人的强制分包</w:t>
      </w:r>
    </w:p>
    <w:p w14:paraId="7B43BA34">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因承包人违约或发生重大的质量、安全事故以及出现进度严重滞后的情况和工程专业化施工等的需要，发包人有权对承包人部分工程进行切割，做分包处理，因此而增加的一切费用由承包人承担。</w:t>
      </w:r>
    </w:p>
    <w:p w14:paraId="6105D3E0">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14:paraId="34AD5A9E">
      <w:pPr>
        <w:pStyle w:val="61"/>
        <w:spacing w:line="360" w:lineRule="auto"/>
        <w:ind w:firstLine="480" w:firstLineChars="200"/>
        <w:rPr>
          <w:rFonts w:hint="eastAsia" w:ascii="宋体" w:hAnsi="宋体" w:cs="宋体"/>
          <w:i w:val="0"/>
          <w:iCs w:val="0"/>
          <w:color w:val="auto"/>
          <w:sz w:val="24"/>
          <w:szCs w:val="21"/>
          <w:highlight w:val="none"/>
        </w:rPr>
      </w:pPr>
      <w:r>
        <w:rPr>
          <w:rFonts w:hint="eastAsia" w:ascii="宋体" w:hAnsi="宋体" w:cs="宋体"/>
          <w:color w:val="auto"/>
          <w:sz w:val="24"/>
          <w:szCs w:val="21"/>
          <w:highlight w:val="none"/>
        </w:rPr>
        <w:t>A、</w:t>
      </w:r>
      <w:r>
        <w:rPr>
          <w:rFonts w:hint="eastAsia" w:ascii="宋体" w:hAnsi="宋体" w:cs="宋体"/>
          <w:i w:val="0"/>
          <w:iCs w:val="0"/>
          <w:color w:val="auto"/>
          <w:sz w:val="24"/>
          <w:szCs w:val="21"/>
          <w:highlight w:val="none"/>
          <w:u w:val="single"/>
          <w:lang w:val="en-US" w:eastAsia="zh-CN"/>
        </w:rPr>
        <w:t xml:space="preserve">分包部分的造价计算原则由发包人按项目特点，根据分包的内容约定相应费用的扣除方式 </w:t>
      </w:r>
      <w:r>
        <w:rPr>
          <w:rFonts w:hint="eastAsia" w:ascii="宋体" w:hAnsi="宋体" w:cs="宋体"/>
          <w:i w:val="0"/>
          <w:iCs w:val="0"/>
          <w:color w:val="auto"/>
          <w:sz w:val="24"/>
          <w:szCs w:val="21"/>
          <w:highlight w:val="none"/>
        </w:rPr>
        <w:t>；</w:t>
      </w:r>
    </w:p>
    <w:p w14:paraId="334E986A">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B、发包人委托政府主管部门或发包人选取的第三方机构按 15.4.4 款约定的原则重新编制切割工程的预算，并按预算金额（不下浮）从承包人的合同总价中扣除。</w:t>
      </w:r>
    </w:p>
    <w:p w14:paraId="79906A81">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发包人有权从以上两种方式中进行选择，承包人必须无条件服从。</w:t>
      </w:r>
    </w:p>
    <w:p w14:paraId="41FBD11D">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发包人有权按上述确定的造价要求承包人、分包人与发包人签订三方分包协议,或由发包人与分包人签订协议。工程款根据签订的协议,由发包人对分包人按时计量支付。工程实施后，确定分包工程计量支付金额后,发包人可直接在承包人任意一期计量中扣减相应分包费用。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74840E9F">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14:paraId="25DEC946">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4.6 承包人人员的管理</w:t>
      </w:r>
    </w:p>
    <w:p w14:paraId="3D1E3489">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第 4.6.1 项补充：</w:t>
      </w:r>
    </w:p>
    <w:p w14:paraId="05172BCA">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承包人应按监理人批准的人员安排报告及时安排相关人员进场，如果承包人在接到监理人要求人员进场的通知 5 天后仍未安排相关人员进场，视为承包人违约。</w:t>
      </w:r>
    </w:p>
    <w:p w14:paraId="142BDF3C">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第 4.6.3 项细化为：</w:t>
      </w:r>
    </w:p>
    <w:p w14:paraId="40481F12">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承包人安排在施工场地的项目经理及项目总工（总工程师）应与承包人投标填报名单一致；其他主要管理人员和技术人员的资格和经历应不低于招标文件《附录 6 资格审查条件（其他主要管理人员和技术人员最低要求）》的规定，报监理人审核后并报发包人批准，上述人员经发包人批准后不得随意更换。</w:t>
      </w:r>
    </w:p>
    <w:p w14:paraId="0AD6F0C5">
      <w:pPr>
        <w:pStyle w:val="61"/>
        <w:numPr>
          <w:ilvl w:val="0"/>
          <w:numId w:val="0"/>
        </w:num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lang w:val="en-US" w:eastAsia="zh-CN"/>
        </w:rPr>
        <w:t>1</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rPr>
        <w:t>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用备选人替换首选人的调整不受此限）需缴纳违约金金额详见项目专用合同条款数据表，其他主要管理人员（质检工程师、计划工程师、道路工程师、桥梁工程师、隧道工程师、地质工程师、测量工程师、试验工程师、专职安全生产管理人员、财务负责人等）的调整部分需缴纳违约金金额详见项目专用合同条款数据表。因不可抗力、退休、职务晋升或离职等（需提供相关证明材料）无法继续履行合同责任和义务，承包人报监理人审核并报发包人批准后可进行替换，替换人员的资质和经历不得低于原批复人员，承包人无须承担违约责任。发包人可随着工程的进度情况，动态增减管理人员要求。</w:t>
      </w:r>
    </w:p>
    <w:p w14:paraId="3B45E73C">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（2）为保证承包人的档案资料整理工作具有连续性、稳定性，要求承包人的档案资料整理负责人在本项目连续工作 1 年及以上，否则视为承包人违约。</w:t>
      </w:r>
    </w:p>
    <w:p w14:paraId="2328FB19">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（3）项目经理不能在两个或两个以上项目同时任职，且必须保证每月有 22 天以上驻守现场；项目总工（总工程师）必须保证每月有 22 天以上驻守现场，否则视为承包人违约。以上两位主要人员因主管部门或发包人检查，被认定存在“挂名”现象的，视为承包人违约。</w:t>
      </w:r>
    </w:p>
    <w:p w14:paraId="76829248">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（4）承包人应按《公路水运工程安全生产监督管理办法》和《广东省高速公路工程施工安全标准化指南》等相关规定，设置独立的安全管理机构，配置专职安全生产管理人员：</w:t>
      </w:r>
    </w:p>
    <w:p w14:paraId="4B0B6B04">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a.项目部及专业分包单位按照年度施工产值计划配备专职安全生产管理人员，不足5000 万元的至少配备 2 名；5000 万元以上不足 2 亿元的按每 5000 万元不少于 1 名的比例配备；2 亿元以上的不少于 5 名；专职安全生产管理人员中安全、路桥、隧道、机械、地质、机电等专业人员比例不少于 80%。</w:t>
      </w:r>
    </w:p>
    <w:p w14:paraId="66B06F82">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b.施工单位（含专业分包单位）项目经理、项目总工程师、项目副经理和专职安全生产管理人员应持有公路水运工程施工企业安全生产“三类人员”安全生产考核合格证书或注册安全工程师证书，证书有效并与对应岗位人员身份相符，进场“三类人员”资格、实际岗位与合同文件或变更文件对应。</w:t>
      </w:r>
    </w:p>
    <w:p w14:paraId="6E2D7C87">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（5）项目经理和项目总工必须按要求出席发包人组织的各种会议，包括监理人主持的重要会议。特殊情况无法出席的，必须取得发包人或监理人批准，任何迟到或早退按缺席处理。</w:t>
      </w:r>
    </w:p>
    <w:p w14:paraId="2C5C6399">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（6）承包人应严格按照环境保护的有关规定，明确环境保护的主要负责人，并按监理人的要求做好防御措施以及实施记录。</w:t>
      </w:r>
    </w:p>
    <w:p w14:paraId="1F4966A3">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（7）承包人应严格按照水土保持的有关规定，明确水土保持的主要负责人，并按监理人的要求做好防御措施以及实施记录。</w:t>
      </w:r>
    </w:p>
    <w:p w14:paraId="32A44DB5">
      <w:pPr>
        <w:pStyle w:val="61"/>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（8）承包人应配合发包人采用信息化管理手段对主要施工管理人员进行考核的措施。</w:t>
      </w:r>
    </w:p>
    <w:p w14:paraId="02E25E83">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在本款后增加 4.6.6～4.6.7 项如下：</w:t>
      </w:r>
    </w:p>
    <w:p w14:paraId="56D49BBE">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4.6.6 劳务聘用</w:t>
      </w:r>
    </w:p>
    <w:p w14:paraId="55F06DCB">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1）承包人可以直接雇用农民工或将劳务作业分包给具有劳务分包资质的劳务分包人，但承包人或分包人必须依法签订劳动合同，并将民工花名册、劳动合同和民工签收的工资支付表报监理人备案。承包人须根据《广东省交通运输厅关于加强交通建设工程从业人员实名制管理和作业工人工资支付管理的通知》和《广东省交通运输厅关于在全省公路水运工程建设项目部署应用从业人员实名制管理系统的通知》等文件要求，规范和加强项目农民工实名制管理及工资支付管理。承包人和劳务分包人必须按照有关法律、法规和劳务合同按时支付劳务工资及相关费用，落实各项劳动保护措施。</w:t>
      </w:r>
    </w:p>
    <w:p w14:paraId="276E020F">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22.1款约定对承包人进行处理。</w:t>
      </w:r>
    </w:p>
    <w:p w14:paraId="520B56D6">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（3）承包人应为农民工办理工伤保险。</w:t>
      </w:r>
    </w:p>
    <w:p w14:paraId="1482B1EC">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（4）发包人制定的农民工工资监管办法及有关规定，承包人须积极配合并无条件的接受。</w:t>
      </w:r>
    </w:p>
    <w:p w14:paraId="3F90EEAA">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劳务合作须符合《广东省交通运输厅关于公路工程施工分包管理的实施细则》的通知有关规定；劳务合作单位须按照《广东省高速公路工程施工安全标准化指南》相关要求配备安全生产管理人员：施工作业人员在30人及以下时，应配备1名兼职安全生产管理人员；施工作业人员在31～50人时，应配备1名专职安全生产管理人员；施工作业人员在51人～200人时，应配备2名专职安全生产管理人员；施工作业人员在201人及以上时，每增加100人，应增加1名专职安全生产管理人员，并根据所承担工程的施工危险程度予以增加。</w:t>
      </w:r>
    </w:p>
    <w:p w14:paraId="283ED84D">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（6）推广以工代赈方式促进沿线群众就业。</w:t>
      </w:r>
    </w:p>
    <w:p w14:paraId="3D2619AD">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4.6.7 施工班组及施工员登记制度</w:t>
      </w:r>
    </w:p>
    <w:p w14:paraId="58B7AC03">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签定合同后，承包人应组建施工班组，施工班组应符合《广东省公路工程施工标准化指南》及《广东省高速公路施工安全标准化指南（班组建设篇）》的相关规定。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14:paraId="1B27BECA">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视为承包人违约并按 22.1 款约定进行处理。</w:t>
      </w:r>
    </w:p>
    <w:p w14:paraId="43D5FFC3">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在施工过程中，监理人只要有充分的理由，可以随时取消不能令其满意的施工员的资格，收回项目施工员证。</w:t>
      </w:r>
    </w:p>
    <w:p w14:paraId="1DF34119">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4.7 撤换承包人项目经理和其他人员</w:t>
      </w:r>
    </w:p>
    <w:p w14:paraId="38851798">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本款细化为：</w:t>
      </w:r>
    </w:p>
    <w:p w14:paraId="7608956D">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承包人应对其项目经理和其他人员进行有效管理。发包人或监理人在征得发包人同意后要求撤换不能胜任本职工作、行为不端或玩忽职守的项目经理和其他人员，承包人应予以撤换，同时委派经发包人与监理人同意的新的项目经理和其他人员，并按 4.6.3款约定处以违约金。被撤换人员未经发包人同意不得重新回到本合同段工作。</w:t>
      </w:r>
    </w:p>
    <w:p w14:paraId="73BDEBB6">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4.11 不利物质条件</w:t>
      </w:r>
    </w:p>
    <w:p w14:paraId="7AF60D80">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第4.11.2项细化为：</w:t>
      </w:r>
    </w:p>
    <w:p w14:paraId="2F631C67">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承包人遇到不可预见的不利物质条件时，应采取适应不利物质条件的合理措施继续施工，并及时通知监理人和发包人。监理人应当及时发出指示，指示构成变更的，按第15条约定办理。监理人没有发出指示的，承包人应将情况及时上报发包人，如发包人3天内仍未发出指示的，因承包人采取合理措施而增加的费用和(或)工期延误，由发包人承担。</w:t>
      </w:r>
    </w:p>
    <w:p w14:paraId="768C0D2E">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4.11.3可预见的不利物质条件</w:t>
      </w:r>
    </w:p>
    <w:p w14:paraId="581C035D">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第4.11.3（1）目补充：</w:t>
      </w:r>
    </w:p>
    <w:p w14:paraId="624285D9">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对于一个有经验的承包人可合理预见的不利物质条件，无论承包人是否有其经历和经验均视为承包人在接受合同时已预见其影响，并已在签约合同价中计入因其影响而可能发生的一切费用（除合同另有约定外）。</w:t>
      </w:r>
    </w:p>
    <w:p w14:paraId="6DFBA602">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5.材料和工程设备</w:t>
      </w:r>
    </w:p>
    <w:p w14:paraId="0DEA1F1B">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第 5.1.2 项补充：</w:t>
      </w:r>
    </w:p>
    <w:p w14:paraId="3490F120">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1）承包人选定的材料和工程设备必须满足本合同工程要求和《广东省公路工程施工标准化指南》管理规定。凡任何技术指标达不到发包人要求或被发包人禁止进入本合同工程的材料、设备（或材料供应商），承包人不得采购用于本项目。</w:t>
      </w:r>
    </w:p>
    <w:p w14:paraId="59540FED">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（2）统一供应材料的采购</w:t>
      </w:r>
    </w:p>
    <w:p w14:paraId="422FE620">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统一供应材料的品种详见附件十《统一采购供应材料一览表》，具体采购必须严格执行发包人的管理要求。</w:t>
      </w:r>
    </w:p>
    <w:p w14:paraId="72C49935">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统一采购供应的材料，若采用发包人统一招标方式的，在发包人经招标确定统一供货品牌后，由承包人(材料使用方)与发包人、供货人（卖方）共同签订供货合同。承包人与卖方为实际的买卖双方，卖方根据承包人实际需求按计划供应材料并提供发票给承包人；发包人负责监督合同各方严格履行供货合同，由承包人按供货合同规定支付材料款给卖方或由由承包人委托发包人按供货合同规定代承包人支付材料款给卖方，统一采购供应的材料款由发包人按上述方式与承包人进行结算。</w:t>
      </w:r>
    </w:p>
    <w:p w14:paraId="411BEAE1">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对于此类材料的供货，还应满足以下规定：</w:t>
      </w:r>
    </w:p>
    <w:p w14:paraId="33CE46CC">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①材料使用前，由承包人负责检验或试验，品种、规格、型号或质量与一览表不符的，承包人应及时报监理人及发包人处理；品种、规格或型号与一览表不符但质量经检验合格的，经监理人同意，可调剂串换使用。若上述不符是属于承包人责任造成的，则因此而增加的相应费用由承包人承担。</w:t>
      </w:r>
    </w:p>
    <w:p w14:paraId="0B2AA55B">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②为恰当和正确地使用、安装和实施这些材料和工程设备所必需的但一览表中未列明的其他任何辅助性材料以及人工费均已经包含在承包人的合同价款中。</w:t>
      </w:r>
    </w:p>
    <w:p w14:paraId="018BDD94">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③当月的材料款根据合同附表中的统一采购供应材料单价和承包人与供应商当月签认的材料签收数量进行计算，原则上当月的材料款应在下个月的计量支付中扣除。根据实际情况，在确保工程款不超付的情况下允许推迟不超过三个月扣回材料款。</w:t>
      </w:r>
    </w:p>
    <w:p w14:paraId="6A4C5740">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④承包人承担工程全部完工后，如统一供应材料实际用量与按设计图纸（包括变更）计算的理论用量（含合理损耗）偏差超过 5%（石油沥青、改性沥青为 2%）而无法提供合理解释的，发包人有权对承包人处以偏差部分100％价值的违约金。</w:t>
      </w:r>
    </w:p>
    <w:p w14:paraId="1F32CA59">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（3）其他主材的采购</w:t>
      </w:r>
    </w:p>
    <w:p w14:paraId="6F9DA7D9">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除统一供应材料以外的主材，承包人可自行决定采购方式。在开始采购前至少 28天，承包人应将采购方案报监理人审批，并严格执行发包人有关材料管理的各项要求。</w:t>
      </w:r>
    </w:p>
    <w:p w14:paraId="34080B4D">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（4）工程地材的采购</w:t>
      </w:r>
    </w:p>
    <w:p w14:paraId="70A4AAAE">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对于工程施工所需地材（碎石、砂等），承包人可自行决定采购方式。在主要地材开始采购前至少 28 天，承包人应将采购方案（包括采购地材的品种和数量、供应商的名单、选择该供应商的理由、质量证明文件、供货计划等）报监理人审批。</w:t>
      </w:r>
    </w:p>
    <w:p w14:paraId="71C16EC9">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承包人必须通过合法的方式获取石源和砂源，应确保材料的合法来源及品质要求，对材料的运输方式、供应强度及运距等自行测算并承担风险。</w:t>
      </w:r>
    </w:p>
    <w:p w14:paraId="3D26D7A0">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（5）其他材料和工程设备的采购</w:t>
      </w:r>
    </w:p>
    <w:p w14:paraId="67C79CD3">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除以上（1）～（5）条之外的其他材料和工程设备，承包人应将选定的各项材料和工程设备的供应商及品种、规格、质量证明文件、数量和供货计划等报送监理人和发包人核备。</w:t>
      </w:r>
    </w:p>
    <w:p w14:paraId="1E743D39">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（6）监理人和发包人对承包人采购材料和工程设备的审批、核备、监督等并不免除承包人的责任。</w:t>
      </w:r>
    </w:p>
    <w:p w14:paraId="4C5A7491">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7）如果承包人采购的材料或设备是进口的，则承包人应向监理人提供由中华人民共和国进出口商品检验检疫部门出具的检验证书，证明该材料或设备的质量、规格及其他指标符合设计及技术规范要求，否则发包人有权向承包人提出索赔。</w:t>
      </w:r>
    </w:p>
    <w:p w14:paraId="2282C69E">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8）为最大限度确保本合同工程的施工质量，满足工程施工机械化、自动化的要求，在合同履行过程中，发包人将结合国内桥梁、隧道等工程施工现状，以及工程实际需要，对部分施工流程或工艺等提出特殊的设备要求，由此所增加的设备购置费或租赁费用已包含在合同总价中，发包人不另行支付（除合同另有约定外）。</w:t>
      </w:r>
    </w:p>
    <w:p w14:paraId="14594D75">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增加 5.1.3 项</w:t>
      </w:r>
    </w:p>
    <w:p w14:paraId="58E7F648">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承包人采购的材料应得到发包人和监理人的同意，经检验合格后方可使用。</w:t>
      </w:r>
    </w:p>
    <w:p w14:paraId="711E2074">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监理人征得发包人同意后，有权要求承包人更换不符合要求的料场，承包人必须无条件接受。承包人采购的材料设备与设计或标准要求不符时，承包人应按监理人要求的时间运出施工场地，重新采购符合要求的产品，由此发生的费用均由承包人承担，引起的工期延误不予顺延工期。</w:t>
      </w:r>
    </w:p>
    <w:p w14:paraId="1AA6A3F5">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本款补充第 5.1.4 项、第 5.1.5 项：</w:t>
      </w:r>
    </w:p>
    <w:p w14:paraId="62856136">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5.1.4 项目的部分材料或设备如采用甲控乙购方式管理的，承包人应按照发包人明确的甲控乙购材料或设备品种（详见《甲控乙购材料一览表》）、技术指标及质量要求、采购方式和管理要求进行采购。</w:t>
      </w:r>
    </w:p>
    <w:p w14:paraId="2914C5B3">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5.1.5 材料的防护、标识和可追溯性</w:t>
      </w:r>
    </w:p>
    <w:p w14:paraId="2707523C">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承包人应根据材料特性对材料的运输、储存和保管的方法予以规定和执行，防止材料发生损坏、混淆、变质和受到污染。各种原材料、半成品的储存方式及所用的仓库、储罐、场地等应提前得到监理人的同意和确认。</w:t>
      </w:r>
    </w:p>
    <w:p w14:paraId="38C2F96F">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承包人应对材料的种类、特性和检验状态进行标识，确保每批材料保持良好状态并能追溯到采购日期、供应商和相关的质量证明文件。</w:t>
      </w:r>
    </w:p>
    <w:p w14:paraId="24DAA9EC">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承包人在施工现场应建立原材料的进出场台帐、质量检验和质量跟踪台帐。其内容应包括进货日期、材料名称、品种、规格、数量、生产单位、供货单位、质量证明书编号、复试检验报告编号、检验结果和所用的工程部位等。</w:t>
      </w:r>
    </w:p>
    <w:p w14:paraId="32C46035">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5.2 发包人提供的材料和工程设备</w:t>
      </w:r>
    </w:p>
    <w:p w14:paraId="7A3775FB">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5.2.1 项细化为：</w:t>
      </w:r>
    </w:p>
    <w:p w14:paraId="25C2E424">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5.2.1 为确保本项目的建设质量，发包人将按 4.3.8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14:paraId="38458A13">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(1) 发包人按一览表约定的内容提供材料设备，并负责向承包人提供产品合格证明，对其真实性负责。但此项规定并不表明免除承包人检验材料设备质量的责任。</w:t>
      </w:r>
    </w:p>
    <w:p w14:paraId="244407D4">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(2) 工程开工后，承包人应根据进度计划向发包人提出本款规定的材料设备使用计划，由发包人按计划提供材料。</w:t>
      </w:r>
    </w:p>
    <w:p w14:paraId="780097F3">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(3) 发包人在所供材料设备到货前 24 小时，以书面形式通知承包人；到货时，由承包人派人清点，必要时，发包人可派人参加。</w:t>
      </w:r>
    </w:p>
    <w:p w14:paraId="18A0E756">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(4) 材料设备办理清点交接手续后，承包人承担产品的储存、保管责任。(5) 一览表约定的数量为暂定数量，发包人按承包人实际接收材料设备数量进行结算。</w:t>
      </w:r>
    </w:p>
    <w:p w14:paraId="08393935">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(6) 一览表约定的到货地点不一致时，发包人负责运达一览表指定地点；发包人采购单价与一览表材料设备单价不符，发包人仅承担价差（含税）。</w:t>
      </w:r>
    </w:p>
    <w:p w14:paraId="39B178F5">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(7) 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14:paraId="4CC22C8F">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(8) 为恰当和正确地使用、安装和实施这些材料和工程设备所必需的但一览表中未列明的其他任何辅助性材料以及人工费应已经包含在承包人的合同总价中。</w:t>
      </w:r>
    </w:p>
    <w:p w14:paraId="0408D7AF">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(9) 发包人供应的材料设备款，发包人将在供应后一个至两个月内从承包人工程进度款中扣回。但为保证材料设备款在交工验收时得到全额扣回，发包人有权调整扣回时间及比例。</w:t>
      </w:r>
    </w:p>
    <w:p w14:paraId="661B9D0B">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(10) 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依据第 11.3 款规定承包人是否可以延长工期，承包人由此而发生的额外费用是否增加到合同价中。</w:t>
      </w:r>
    </w:p>
    <w:p w14:paraId="08DB7FC9">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没有发包人的书面同意，承包人不得自行采购 5.2.1 款规定的材料和工程设备，否则监理人、发包人将拒绝使用这些材料和工程设备，承包人应赔偿由此带来的一切损失。无论出现任何情况，承包人均不得售卖发包人供应的材料和工程设备，否则一经查实，发包人有权对承包人处以售卖材料或工程设备金额两倍的违约金。</w:t>
      </w:r>
    </w:p>
    <w:p w14:paraId="3AE9685B">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5.4 禁止使用不合格的材料和工程设备</w:t>
      </w:r>
    </w:p>
    <w:p w14:paraId="7A350B49">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在 5.4.2 项末尾增加：承包人还应承担由此带来的一切损失。</w:t>
      </w:r>
    </w:p>
    <w:p w14:paraId="72455428">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本条补充第 5.5 款、第 5.6 款、第 5.7 款、第 5.8 款：</w:t>
      </w:r>
    </w:p>
    <w:p w14:paraId="6C46166B">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5.5 代用材料的使用</w:t>
      </w:r>
    </w:p>
    <w:p w14:paraId="2E119DD1">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5.5.1 承包人需要使用代用材料时，应经监理人认可并由发包人同意后才能使用，由此增减的合同价款双方以书面形式议定。承包人申请使用代用材料，仅限于出现下列情况时：</w:t>
      </w:r>
    </w:p>
    <w:p w14:paraId="549C30D9">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(1)市场上无供应或在一定时间内突然供应短缺；</w:t>
      </w:r>
    </w:p>
    <w:p w14:paraId="707BFF86">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(2)政府或有关管理机构的后继规章、规定禁止使用；</w:t>
      </w:r>
    </w:p>
    <w:p w14:paraId="13F4632C">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(3)发包人或监理人要求使用其他替代品；或者承包人提出，发包人和监理人批准使用其他替代品；</w:t>
      </w:r>
    </w:p>
    <w:p w14:paraId="4B27888D">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(4)其他原因导致使用替代品成为必要的。</w:t>
      </w:r>
    </w:p>
    <w:p w14:paraId="2F74C90F">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如果使用代用材料，承包人应在使用前至少 14 天，以书面形式通知监理人并提交下列文件：</w:t>
      </w:r>
    </w:p>
    <w:p w14:paraId="246D8AFF">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(1)拟采用的替代品的名称、数量、规格、型号、品牌、性能、价格及其他必要的详细资料；</w:t>
      </w:r>
    </w:p>
    <w:p w14:paraId="4C6635A7">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(2)替代品使用的工程部位；</w:t>
      </w:r>
    </w:p>
    <w:p w14:paraId="675AF3FC">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(3)采用替代品的理由和原因申述；</w:t>
      </w:r>
    </w:p>
    <w:p w14:paraId="4A8057FD">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(4)替代品与合同中约定的产品之间的差异以及使用替代品后可能对工程产生任何方面的影响；</w:t>
      </w:r>
    </w:p>
    <w:p w14:paraId="40495D55">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(5)价格上的差异；</w:t>
      </w:r>
    </w:p>
    <w:p w14:paraId="5BBE011C">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(6)监理人为作出适当的决定而随时要求承包人提供的任何其他文件。</w:t>
      </w:r>
    </w:p>
    <w:p w14:paraId="7BD8984F">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监理人在收到此类通知及上述文件后，应在 14 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14:paraId="6AB38ACE">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5.5.2 机制砂的使用</w:t>
      </w:r>
    </w:p>
    <w:p w14:paraId="249C8835">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机制砂应满足设计文件和技术规范的要求，并按照国家、省有关文件的规定使用。</w:t>
      </w:r>
    </w:p>
    <w:p w14:paraId="16DF8113">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5.6 材料、工程设备和工程的试验和检验</w:t>
      </w:r>
    </w:p>
    <w:p w14:paraId="78BA5C20">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5.6.1承包人应按合同约定和技术标准，以及试验人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14:paraId="051B30F8">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5.6.2承包人应于工程开工前完成工地试验室建设和资质认证工作，工地试验室建设、相关配置及管理应满足标准化要求，并按发包人发布的项目管理制度执行。</w:t>
      </w:r>
    </w:p>
    <w:p w14:paraId="48629FE0">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5.6.3承包人工地试验室资质范围以外的试验和检验项目，经监理人和发包人同意可对外委托具有相应资质的检测试验机构进行试验，但承包人应将检测试验机构有关资料报备监理人和试验人。</w:t>
      </w:r>
    </w:p>
    <w:p w14:paraId="6561F4C3">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5.6.4 承包人根据合同约定或监理人指示进行的现场材料试验，应由承包人提供试验场所、试验人员、试验设备器材以及其他必要的试验条件。</w:t>
      </w:r>
    </w:p>
    <w:p w14:paraId="307D8C69">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5.6.5 如有必要，发包人、监理人、试验人可以免费使用承包人的试验场所、试验设备器材以及其他试验条件，进行以工程质量检查为目的的复核性材料试验，承包人应予以协助。</w:t>
      </w:r>
    </w:p>
    <w:p w14:paraId="420F535B">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5.6.6 承包人的试验和检验和外委试验应严格执行专用项目管理制度的相关规定和要求。 由承包人、监理人、试验人三方共同委外的检查项目的检测费用由承包人承担。</w:t>
      </w:r>
    </w:p>
    <w:p w14:paraId="22043B93">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5.6.7 承包人应根据材料、工程设备进场计划和工程施工计划，制订相应试验和检验计划，按计划开展试验检测工作，并将上述计划报送监理人和和试验人。</w:t>
      </w:r>
    </w:p>
    <w:p w14:paraId="3038B36C">
      <w:pPr>
        <w:pStyle w:val="61"/>
        <w:spacing w:line="360" w:lineRule="auto"/>
        <w:ind w:firstLine="480" w:firstLineChars="200"/>
        <w:rPr>
          <w:rFonts w:hint="eastAsia" w:ascii="宋体" w:hAnsi="宋体" w:cs="宋体"/>
          <w:b w:val="0"/>
          <w:bCs/>
          <w:color w:val="auto"/>
          <w:sz w:val="24"/>
          <w:szCs w:val="21"/>
          <w:highlight w:val="none"/>
        </w:rPr>
      </w:pPr>
      <w:r>
        <w:rPr>
          <w:rFonts w:hint="eastAsia" w:ascii="宋体" w:hAnsi="宋体" w:cs="宋体"/>
          <w:b w:val="0"/>
          <w:bCs/>
          <w:color w:val="auto"/>
          <w:sz w:val="24"/>
          <w:szCs w:val="21"/>
          <w:highlight w:val="none"/>
        </w:rPr>
        <w:t>5.6.8 承包人的试验和检验过程须接受监理人的旁站监督；承包人应接受试验检测中心的监督指导，并按试验检测中心制定的管理制度开展试验检测工作。</w:t>
      </w:r>
    </w:p>
    <w:p w14:paraId="37EFBBD1">
      <w:pPr>
        <w:pStyle w:val="61"/>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5.6.9 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 </w:t>
      </w:r>
    </w:p>
    <w:p w14:paraId="05654E7B">
      <w:pPr>
        <w:pStyle w:val="61"/>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5.6.10</w:t>
      </w:r>
      <w:r>
        <w:rPr>
          <w:rFonts w:hint="eastAsia" w:ascii="宋体" w:hAnsi="宋体" w:cs="宋体"/>
          <w:color w:val="auto"/>
          <w:sz w:val="24"/>
          <w:szCs w:val="24"/>
          <w:highlight w:val="none"/>
          <w:lang w:val="en-US" w:eastAsia="zh-CN"/>
        </w:rPr>
        <w:t xml:space="preserve"> </w:t>
      </w:r>
      <w:r>
        <w:rPr>
          <w:rFonts w:ascii="宋体" w:hAnsi="宋体" w:eastAsia="宋体" w:cs="宋体"/>
          <w:color w:val="auto"/>
          <w:sz w:val="24"/>
          <w:szCs w:val="24"/>
          <w:highlight w:val="none"/>
        </w:rPr>
        <w:t>发包人、监理人和相关政府部门或发包人认可的其他第三方机构有权对工程的所有部位及其施工工艺、工程设备和材料进行检查和检验。承包人应为上述人员的检查和检验提供方便，包括到施工现场，或制造、加工地点，或其他地方进行察看和查阅施工原始记录。承包人还应按发包人、监理人、试验人和发包人认可的人员指示，进行施工现场取样试验、工程复核测量和设备性能检测，提供试验样品，提交试验报告和测量成果，完成上述人员要求进行的其他检查和检验工作。</w:t>
      </w:r>
    </w:p>
    <w:p w14:paraId="6BA26B34">
      <w:pPr>
        <w:pStyle w:val="61"/>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发包人、监理人、试验人和发包人认可的相关政府部门或其他第三方机构的检查和检验，不免除承包人合同约定的责任。 </w:t>
      </w:r>
    </w:p>
    <w:p w14:paraId="5549F0B2">
      <w:pPr>
        <w:pStyle w:val="61"/>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5.7标准试验</w:t>
      </w:r>
    </w:p>
    <w:p w14:paraId="22D1917C">
      <w:pPr>
        <w:pStyle w:val="61"/>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5.7.1对于混凝土配合比、标准干密度等标准试验，承包人应于相应分项工程开工前完成上述试验，并将试验结果报监理人，同时由试验检测中心进行相应的平行试验检验，履行审批程序后方可用于工程施工控制。 </w:t>
      </w:r>
    </w:p>
    <w:p w14:paraId="4F5EAB99">
      <w:pPr>
        <w:pStyle w:val="61"/>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5.7.2 当用于工程施工的原材料发生变化时，承包人应重新进行上述标准试验，并履行平行试验和审批程序。 </w:t>
      </w:r>
    </w:p>
    <w:p w14:paraId="2639137F">
      <w:pPr>
        <w:pStyle w:val="61"/>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5.8 工艺试验 </w:t>
      </w:r>
    </w:p>
    <w:p w14:paraId="43E46202">
      <w:pPr>
        <w:pStyle w:val="61"/>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5.8.1 承包人应按合同约定或监理人指示进行现场工艺试验。对大型的现场工艺试验，应编制工艺试验方案和计划，报送监理人审批后实施。 </w:t>
      </w:r>
    </w:p>
    <w:p w14:paraId="1E73834B">
      <w:pPr>
        <w:pStyle w:val="61"/>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5.8.2 对于特殊工艺质量检验，承包人应制定相应的检验方案和工艺，经评委评审和发包人审核确认后应用于现场工程质量控制和检验。</w:t>
      </w:r>
    </w:p>
    <w:p w14:paraId="14F58E6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施工设备和临时设施</w:t>
      </w:r>
    </w:p>
    <w:p w14:paraId="58BF83F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承包人提供的施工设备和临时设施</w:t>
      </w:r>
    </w:p>
    <w:p w14:paraId="4E4A99E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6.1.1 项补充：</w:t>
      </w:r>
    </w:p>
    <w:p w14:paraId="2AA4F61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投标文件承诺的主要机械设备（含检验、试验设备）必须按现场施工需要到位；承包人不管何种原因需推迟设备到位时间或改变到位设备的数量、型号等，均须事先经发包人和监理人的同意并将变更情况书面报监理人备案，违反上述规定视为承包人违约并按 22.1 款约定处理。</w:t>
      </w:r>
    </w:p>
    <w:p w14:paraId="34AF28C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本款补充第 6.1.3 项：</w:t>
      </w:r>
    </w:p>
    <w:p w14:paraId="1CD43B8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进场后，根据施工需要配备龙门吊、塔吊、架桥机等特种设备的，须提供厂家生产许可证、产品出厂合格证、设计计算书、使用说明书及图纸等资料；对于架桥机还应提供设备出厂到拟投入使用前的使用履历，包括有无发生过设备事故、有无改装以及有无经过大修；架桥机应明确其使用人及权属人。承包人在特种设备使用前应制定安装拆除方案及生产安全事故应急预案，由具有安装（拆除）资质的单位进行安装（拆除），并向特种设备所在地质量技术监督部门办理告知等一系列手续，提供验收合格证、当地使用登记证等资料。加强特种设备日常维护保养和自行检查制度，对作业人员进行相应的教育培训、安全技术交底。特种作业人员必须持证上岗。</w:t>
      </w:r>
    </w:p>
    <w:p w14:paraId="06BAA09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要求承包人增加或更换施工设备</w:t>
      </w:r>
    </w:p>
    <w:p w14:paraId="424D11B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在本款后补充：</w:t>
      </w:r>
    </w:p>
    <w:p w14:paraId="5CF6BD2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承包人在接到上述指令 14 天内未按要求执行，将按第 22.1 款视为承包人违约。</w:t>
      </w:r>
    </w:p>
    <w:p w14:paraId="1320EFD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本条补充第 6.5 款：</w:t>
      </w:r>
    </w:p>
    <w:p w14:paraId="1F553B0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信息化管理</w:t>
      </w:r>
    </w:p>
    <w:p w14:paraId="2F8A3A4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6.5.1 计算机系统配置</w:t>
      </w:r>
    </w:p>
    <w:p w14:paraId="419ABF5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发包人采用信息化手段对本项目进行管理。承包人的计算机及网络配置应满足项目信息化管理和发包人的有关要求。</w:t>
      </w:r>
    </w:p>
    <w:p w14:paraId="7AB8A57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承包人应确保有专用计算机和一条专用网络连接线，同时应充分考虑可视化管理的手段，网络速度不小于 100Mbps。</w:t>
      </w:r>
    </w:p>
    <w:p w14:paraId="166872A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项目管理系统专用计算机的管理要求：</w:t>
      </w:r>
    </w:p>
    <w:p w14:paraId="5D2B42A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(1)项目管理系统专用的计算机应由熟悉计算机操作的管理人员专人管理，管理人员必须参加发包人举办的培训班。</w:t>
      </w:r>
    </w:p>
    <w:p w14:paraId="1373CB8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(2)严禁在专用的计算机上安装软驱、光驱或进行登录 Internet 网及其局域网的操作。</w:t>
      </w:r>
    </w:p>
    <w:p w14:paraId="1560C4F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(3)严禁在专用计算机上安装或卸载软件。</w:t>
      </w:r>
    </w:p>
    <w:p w14:paraId="34D6E91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(4)本网络系统对操作者进行了权限设置，任何操作员的违规操作将按照有关规定处理。</w:t>
      </w:r>
    </w:p>
    <w:p w14:paraId="6C0196A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14:paraId="200F331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(6)承包人应安排专人配合发包人将项目信息管理系统与广东省交通运输厅建设管养平台进行对接，保证网络畅通。</w:t>
      </w:r>
    </w:p>
    <w:p w14:paraId="3F34872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7.交通运输</w:t>
      </w:r>
    </w:p>
    <w:p w14:paraId="486EC63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场内施工道路</w:t>
      </w:r>
    </w:p>
    <w:p w14:paraId="2E8E146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本款补充第 7.2.3 项：</w:t>
      </w:r>
    </w:p>
    <w:p w14:paraId="635424D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负责对本标段内施工便道进行建设和维护，包括便道硬化及便桥加固等，并无条件允许发包人、监理人、试验人、本工程其他承包人及供应商使用。如该便道因各种原因损坏而未能及时修复，影响使用的，若发包人与承包人协调无果时，发包人有权委托第三方进行修复，所发生的费用从承包人工程款中扣回，承包人应无条件接受。</w:t>
      </w:r>
    </w:p>
    <w:p w14:paraId="2245ED5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本款补充第 7.2.4 项：</w:t>
      </w:r>
    </w:p>
    <w:p w14:paraId="19AEDF2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7.2.4 施工便道要求：</w:t>
      </w:r>
    </w:p>
    <w:p w14:paraId="6F61284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无条件按发包人要求的时间节点拉通施工便道，在实施便道工程前，应做好现场调查，结合工点施工组织方案，编制施工便道专项方案。承包人在取弃土前，应对取弃土场的位置、容量等进行勘测复查，编制取弃土场专项方案。具体方案需符合《广东省交通运输厅关于进一步加强公路施工便道取弃土场的设计和施工管理工作的通知》、《广东省高速公路工程施工安全标准化指南》和《广东省公路工程施工标准化指南》的要求。</w:t>
      </w:r>
    </w:p>
    <w:p w14:paraId="4EAD81F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场外交通</w:t>
      </w:r>
    </w:p>
    <w:p w14:paraId="19C40CD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本款补充第 7.3.3 项：</w:t>
      </w:r>
    </w:p>
    <w:p w14:paraId="5E8B018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为保证道路交通安全及运输畅通，承包人应采取以下措施：</w:t>
      </w:r>
    </w:p>
    <w:p w14:paraId="66FA2F3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（a）承包人必须在与市政、交通和交警等部门的协商下采取足够的交通引导措施，以防止施工期间出现道路堵塞；</w:t>
      </w:r>
    </w:p>
    <w:p w14:paraId="2A45226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（b）承包人制定施工材料运输计划时，应尽量避开现有道路交通高峰时的运输活动。</w:t>
      </w:r>
    </w:p>
    <w:p w14:paraId="20F903A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（c）承包人须编制交通组织方案，报相关部门审查批复，必要时组织评审，费用由承包人负责（合同另有约定除外）。</w:t>
      </w:r>
    </w:p>
    <w:p w14:paraId="2DE7DD8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8．测量放线</w:t>
      </w:r>
    </w:p>
    <w:p w14:paraId="76F72B1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施工测量</w:t>
      </w:r>
    </w:p>
    <w:p w14:paraId="7A46D9D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本款补充第 8.2.3 项：</w:t>
      </w:r>
    </w:p>
    <w:p w14:paraId="36C2900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地面线定测误差引起土石方数量变化原则上不予调整。</w:t>
      </w:r>
    </w:p>
    <w:p w14:paraId="11C12E9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施工安全、治安保卫和环境保护</w:t>
      </w:r>
    </w:p>
    <w:p w14:paraId="222F280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承包人的施工安全责任</w:t>
      </w:r>
    </w:p>
    <w:p w14:paraId="39ED4E2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9.2.1 项补充：</w:t>
      </w:r>
    </w:p>
    <w:p w14:paraId="286AEFA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承包人应按《广东省高速公路工程施工安全标准化指南》的规定履行安全职责。本项目需要编制专项施工方案的工程包括但不限于以下内容补充第（11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（14）目：</w:t>
      </w:r>
    </w:p>
    <w:p w14:paraId="6251181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（11）旧桥涵（含分离立交、匝道桥、现浇、连续梁）的拆除与加固；</w:t>
      </w:r>
    </w:p>
    <w:p w14:paraId="123233C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（12）纵断面调整路段的路基路面施工；</w:t>
      </w:r>
    </w:p>
    <w:p w14:paraId="4A2119A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（13）旧收费雨棚及收费岛拆除，旧门架式监控或标志设施拆除；</w:t>
      </w:r>
    </w:p>
    <w:p w14:paraId="041088E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（14）其他危险性较大的工程。</w:t>
      </w:r>
    </w:p>
    <w:p w14:paraId="526EBF7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9.2.2 项补充：</w:t>
      </w:r>
    </w:p>
    <w:p w14:paraId="47F76E0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14:paraId="3C6C51E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9.2.3 项补充：</w:t>
      </w:r>
    </w:p>
    <w:p w14:paraId="37D8151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9.2.3.1 承包人应贯彻执行国家有关安全生产、职业健康与环境保护的法律、法规、工程建设强制性标准及项目所在地的有关规定，以及发包人制定的管理制度，建立有效的安全生产、职业健康、环境保护管理体系，用于规范项目的安全生产、职业健康和环境保护管理工作。</w:t>
      </w:r>
    </w:p>
    <w:p w14:paraId="238ECAF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9.2.3.2 项目的安全生产、职业健康和环境保护管理，应接受政府主管部门及其授权委托机构、发包人及其所委托的监理机构的监督、检查、协调与指导。</w:t>
      </w:r>
    </w:p>
    <w:p w14:paraId="00D3435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9.2.3.3 承包人应建立健全并落实安全生产“一岗双责”责任制和全员安全生产责任制，确保管生产同时管安全，实现全员全过程安全管理。</w:t>
      </w:r>
    </w:p>
    <w:p w14:paraId="47F5003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9.2.3.4 承包人应深入开展以岗位达标、专业达标和项目达标为内容的安全生产标准化建设。重点开展公路水运工程“平安工地”建设管理活动，按照《广东省交通运输厅关于公路水运工程平安工地建设的管理办法》，开展平安工地建设，经常性的开展安全生产自查和安全隐患排查，每月至少组织一次全面的自我考核评价，并将考核评价结果向监理人和发包人备案。</w:t>
      </w:r>
    </w:p>
    <w:p w14:paraId="7F8C66E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9.2.4 项补充：</w:t>
      </w:r>
    </w:p>
    <w:p w14:paraId="0365CA0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承包人必须重视应急管理，在应急管理方面要做好但不限于以下工作：</w:t>
      </w:r>
    </w:p>
    <w:p w14:paraId="3563BEE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（1）建立和完善应急组织体系。</w:t>
      </w:r>
    </w:p>
    <w:p w14:paraId="0001FF3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14:paraId="4A377DA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（3）承包人应经常组织应急预案演练，不断完善应急预案，提升应急管理水平。发生突发事件时，迅速启动应急预案，开展各项应急处置工作。</w:t>
      </w:r>
    </w:p>
    <w:p w14:paraId="2CE3AFC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w:t>
      </w:r>
    </w:p>
    <w:p w14:paraId="47E5BCB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第9.2.5项细化为：</w:t>
      </w:r>
    </w:p>
    <w:p w14:paraId="6EC21E5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根据国家、省和广东省交通运输厅关于印发《广东省交通运输厅关于公路水运建设工程安全生产费用的管理办法》的通知等相关规定要求，本合同设立安全生产费。安全生产费按计费基数（</w:t>
      </w:r>
      <w:r>
        <w:rPr>
          <w:rFonts w:hint="eastAsia" w:ascii="宋体" w:hAnsi="宋体" w:eastAsia="宋体" w:cs="宋体"/>
          <w:color w:val="auto"/>
          <w:sz w:val="24"/>
          <w:szCs w:val="24"/>
          <w:highlight w:val="none"/>
          <w:u w:val="single"/>
        </w:rPr>
        <w:t>工程量清单第100章至第900章费用之和，并扣除安全生产费本身和机电工程设备购置费</w:t>
      </w:r>
      <w:r>
        <w:rPr>
          <w:rFonts w:hint="eastAsia" w:ascii="宋体" w:hAnsi="宋体" w:eastAsia="宋体" w:cs="宋体"/>
          <w:color w:val="auto"/>
          <w:sz w:val="24"/>
          <w:szCs w:val="24"/>
          <w:highlight w:val="none"/>
        </w:rPr>
        <w:t>）的1.5%（不含新建、改建、扩建以及拆除、加固等建设工程专项交通安全维护费）（房建工程按</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%）以固定金额的形式计入工程量清单支付子目102-3中。</w:t>
      </w:r>
    </w:p>
    <w:p w14:paraId="08F8DB1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（1）安全生产费用预付款比例及扣回方式</w:t>
      </w:r>
      <w:r>
        <w:rPr>
          <w:rFonts w:hint="eastAsia" w:ascii="宋体" w:hAnsi="宋体" w:eastAsia="宋体" w:cs="宋体"/>
          <w:color w:val="auto"/>
          <w:sz w:val="24"/>
          <w:szCs w:val="24"/>
          <w:highlight w:val="none"/>
          <w:u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i/>
          <w:iCs/>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14:paraId="02A6213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准备阶段，承包人应根据安全生产费总额及广东省交通运输厅关于印发《广东省交通运输厅关于公路水运建设工程安全生产费用的管理办法》的通知规定的安全生产费用清单附录申报子目、价格及数量（包括购买安全生产责任保险），由监理单位审核后报发包人批准（或备案）。</w:t>
      </w:r>
    </w:p>
    <w:p w14:paraId="74016DB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（3）承包人应根据每一计量周期安全生产投入情况及安全生产费用清单按实计量支付， 经发包人同意， 安全生产经费各子项经费可相互调剂使用， 但最终支付总额不超过安全生产费总额（发生设计变更的，以按合同约定调整后的总额为准）。</w:t>
      </w:r>
    </w:p>
    <w:p w14:paraId="5FE8838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（4）安全生产费用应专门用于完善和改进工程项目安全作业环境、安全施工措施和条件，严禁挪用。</w:t>
      </w:r>
    </w:p>
    <w:p w14:paraId="5520D56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（5）承包人应根据实际需要使用安全生产费用，因设计变更造成承包人安全生产费用实际投入总额与合同约定不一致的，差额部分的安全生产费用按照批复变更金额和规定提取比例同时调整。</w:t>
      </w:r>
    </w:p>
    <w:p w14:paraId="7B178E5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（6）非因设计变更造成承包人安全生产费用实际投入总额与合同约定不一致的，承包人安全生产费用实际支出超过合同约定安全生产费用总额的，发包人不再另行支付，超出部分由承包人自行承担。</w:t>
      </w:r>
    </w:p>
    <w:p w14:paraId="5BF1D1D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未按照合同约定落实安全生产措施的，发包人可以责令其暂停施工或暂停支付安全生产费用，并要求监理人督促整改，直至承包人完成整改。若承包人未能在规定期限内完成对施工现场事故隐患整改的，发包人可以直接委托其他单位代为整改，相关费用在支付给承包人的费用中扣除，并由发包人直接支付给受委托单位。</w:t>
      </w:r>
    </w:p>
    <w:p w14:paraId="42C4301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（8）工程交工验收后，安全生产费用实际投入总额少于工程量清单中安全生产费用总额的，经监理人核实后，未计量部分（除变更费用外）原则上不再支付。</w:t>
      </w:r>
    </w:p>
    <w:p w14:paraId="74A12BB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9.2.6 项细化为:</w:t>
      </w:r>
    </w:p>
    <w:p w14:paraId="447B9F0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其分包施工现场的安全生产负总责。分包合同中应当明确各自的安全生产方面的权利、义务，承包人和分包人对分包工程的安全生产承担连带责任。分包单位安全生产条件和措施投入不足的应当由承包人负责配足，其费用由承包人承担。</w:t>
      </w:r>
    </w:p>
    <w:p w14:paraId="244820D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9.2.8（4）目细化为：</w:t>
      </w:r>
    </w:p>
    <w:p w14:paraId="418DF0D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14:paraId="3C51DBF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在本款补充第 9.2.12 项～第 9.2.16 项：</w:t>
      </w:r>
    </w:p>
    <w:p w14:paraId="5FD557A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9.2.12 涉水及船舶安全管理</w:t>
      </w:r>
    </w:p>
    <w:p w14:paraId="78DA3FE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根据《中华人民共和国水上水下作业和活动通航安全管理规定》的规定及《中华人民共和国安全生产法》的要求，建立健全涉水工程水上交通安全制度和管理体系，严格履行工程建设期水上交通安全有关职责。</w:t>
      </w:r>
    </w:p>
    <w:p w14:paraId="7C86ABA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遵守属地政府和行业主管部门对作业船舶、作业噪音以及环境保护和安全生产文明施工等的管理规定，所有进入作业区域的船只必须满足航区要求，并按规定办理有关手续，因手续不全引起的一切责任均由承包人负责。有关要求包括但不限于：</w:t>
      </w:r>
    </w:p>
    <w:p w14:paraId="0626F7A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①船舶必须持有效的船舶检验证书（包括但不限于船舶国籍证书、船舶登记证书等）；</w:t>
      </w:r>
    </w:p>
    <w:p w14:paraId="6259185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②船舶配备的有关航行安全设施设备必须具有船舶检验部门签发的有效技术证书，并在有效期内；</w:t>
      </w:r>
    </w:p>
    <w:p w14:paraId="6D4BE54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③船舶应配备不低于船舶证书上要求的最低配员数量的合格船员；</w:t>
      </w:r>
    </w:p>
    <w:p w14:paraId="5ED4F85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④交通船应具有载客证书或临时载客证书；</w:t>
      </w:r>
    </w:p>
    <w:p w14:paraId="58B81BF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⑤所有船舶必须配备 AIS、VHF 等设备；</w:t>
      </w:r>
    </w:p>
    <w:p w14:paraId="4AC3E39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⑥承包人应采取有效措施维护施工现场通航安全及现有航道的航行安全；</w:t>
      </w:r>
    </w:p>
    <w:p w14:paraId="5AA18C1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⑦为钢结构及大型预制构件运输而设置的临时航道的设计必须取得有关行业主管部门的批准，并在完善相关许可手续后，方可实施；</w:t>
      </w:r>
    </w:p>
    <w:p w14:paraId="3ACD73D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⑧承包人须与船舶所有人签订安全协议；</w:t>
      </w:r>
    </w:p>
    <w:p w14:paraId="447272E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承包人应承担因此产生的一切费用，并保障发包人免于承担相关责任。</w:t>
      </w:r>
    </w:p>
    <w:p w14:paraId="21761A0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9.2.13 施工安全风险评估</w:t>
      </w:r>
    </w:p>
    <w:p w14:paraId="536C0D7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必须加强对重大危险源的管理，施工阶段风险源辨识与评价依据《公路桥梁和隧道工程施工安全风险评估指南》（试行）及《交通运输部关于发布高速公路路堑高边坡工程施工安全风险评估指南（试行）的通知》操作。承包人在工程开工前，必须进行重大危险源识别，建立危险源清单，对重大危险源建立管理方案和档案，过程中对危险源实行动态管理。</w:t>
      </w:r>
    </w:p>
    <w:p w14:paraId="4C35EE5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严格按照交通运输部《关于开展公路桥梁和隧道工程施工安全风险评估试行工作的通知》及《交通运输部关于发布高速公路路堑高边坡工程施工安全风险评估指南（试行）的通知》的要求，在施工期间开展安全风险评估工作，相关费用按照《广东省交通运输厅关于公路水运建设工程安全生产费用的管理办法》中安全生产费用使用范围的规定，公路桥梁和隧道工程、高速公路路堑高边坡施工安全风险评估工作费用在项目安全生产费用中列支，发包人不另行支付。</w:t>
      </w:r>
    </w:p>
    <w:p w14:paraId="56D8728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中华人民共和国水上水下作业和活动通航安全管理规定》的规定及按照中华人民共和国海事局《中华人民共和国海事局水上水下活动通航安全影响论证与评估管理办法》的规定，在申请海事管理机构水上水下活动许可之前，开展涉水工程通航安全评估，并通过海事管理机构的审核。</w:t>
      </w:r>
    </w:p>
    <w:p w14:paraId="7A1BF2D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9.2.14 施工作业人员的安全教育培训</w:t>
      </w:r>
    </w:p>
    <w:p w14:paraId="1EF740D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4D6A828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9.2.15施工防护标准化</w:t>
      </w:r>
    </w:p>
    <w:p w14:paraId="55E1F74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公路工程施工安全防护设施技术指南》要求推进施工防护设施标准化管理，积极运用模块化、装配化、专业化的防护设施，着力提升防护设施的本质安全水平和使用效能，加强安全防护设施的验收、使用、维护等管理，提升现场施工安全防护保障能力。</w:t>
      </w:r>
    </w:p>
    <w:p w14:paraId="58B3B2D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9.2.16 加强路堑边坡管理</w:t>
      </w:r>
    </w:p>
    <w:p w14:paraId="5F00515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执行路堑边坡开工报告审查制度。对纳入项目重点管理的路堑边坡，应严格执行开工报告审查制度，重点审查地质资料是否满足相关规范和设计要求、设计方案是否合理可行、施工准备工作（施工机械、材料、队伍等）是否到位等。对具备开工条件的边坡，施工单位应上报开工报告，经监理单位审查同意后方可施工。</w:t>
      </w:r>
    </w:p>
    <w:p w14:paraId="590C0D0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强化施工技术交底与质量控制。边坡施工前必须开展各工序施工工艺与质量控制的技术交底；严格按照设计的坡形、坡率开挖边坡，杜绝坡面超挖或欠挖现象；严控锚杆、锚索等工程的压浆工艺，确保压浆质量和锚固力。</w:t>
      </w:r>
    </w:p>
    <w:p w14:paraId="2369DA6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实行边坡首件验收制。路堑边坡首件验收由项目监理单位组织，业主参与，选取先行施工、有代表性的土质和石质两类边坡分别进行首件验收，明确有关管理程序、质量标准、监管措施等，经验收合格后方可开展大面积施工。</w:t>
      </w:r>
    </w:p>
    <w:p w14:paraId="1D91F2C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（4）加强边坡施工过程管理及其他具体要求按《广东省交通运输厅关于切实加强我省高速公路路堑边坡管理的通知》执行。</w:t>
      </w:r>
    </w:p>
    <w:p w14:paraId="2C8FFDA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环境保护</w:t>
      </w:r>
    </w:p>
    <w:p w14:paraId="2A07778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9.4.7（1）目补充：</w:t>
      </w:r>
    </w:p>
    <w:p w14:paraId="1178799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施工噪声和施工时间应满足国家及地方环境保护法律法规的规定和要求，不得影响周边单位和居民正常的生产生活。施工单位应使用经环保主管部门信息编码登记且符合排放标准的非道路移动机械。</w:t>
      </w:r>
    </w:p>
    <w:p w14:paraId="356C07A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9.4.7（2）目补充：</w:t>
      </w:r>
    </w:p>
    <w:p w14:paraId="6EE7B19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e.隧道出渣、钻孔灌注桩施工时排出的泥浆等施工废弃物要妥善处理，弃置形式及地点须经相关主管部门的批准，严禁向海洋、河流、荒地或市政管道等排放。</w:t>
      </w:r>
    </w:p>
    <w:p w14:paraId="3808D49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f.承包人必须依照《广东省交通运输厅关于加强公路水运建设项目施工现场扬尘管理的通知》，加强施工现场管理，防止工程周边扬尘污染，运输车辆经冲洗干净后方可驶出建设工地。</w:t>
      </w:r>
    </w:p>
    <w:p w14:paraId="6A1364E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g.承包人应严格执行《广东省重污染天气交通建设工程施工扬尘控制应急工作方案》有关规定，城市区域内交通建设工程要切实做到“六个 100%”：施工现场 100%围蔽，工地砂土 100%覆盖，工地路面 100%硬地化，拆除工程 100%洒水压尘，出工地车辆100%冲净车轮车身，暂不开发的场地 100%绿化。</w:t>
      </w:r>
    </w:p>
    <w:p w14:paraId="6AA6273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9.4.10 项末补充：</w:t>
      </w:r>
    </w:p>
    <w:p w14:paraId="37C3EE3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广东省国土资源厅关于印发《非农建设占用水田耕作层剥离再利用工作指引》的通知的要求，本项目按照《耕作层土壤剥离利用技术规范》（TD/T1048---2016）对占用水田耕作层进行剥离再利用，承包人应积极配合。发包人将根据相关政策及地方政府制定的实施方案，推进本项目占用水田耕作层剥离工作，相关费用由发包人承担。</w:t>
      </w:r>
    </w:p>
    <w:p w14:paraId="1CE824F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 9.4 款下增加 9.4.12～9.4.17 项：</w:t>
      </w:r>
    </w:p>
    <w:p w14:paraId="44B033C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9.4.12 承包人应落实环境保护及水土保持的责任人，严格按照《广东省水利厅广东省交通运输厅关于进一步加强交通建设项目水土保持工作的通知》的要求开展水土保持工作。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各类废弃物统一收集处理，施工临时弃渣堆放应做好水土保持措施。</w:t>
      </w:r>
    </w:p>
    <w:p w14:paraId="09A0991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9.4.13 承包人依法取得砍伐许可后方可按照砍伐许可的面积、株数、树种进行砍伐，并注意保护野生动植物；施工结束后，对施工期占用的施工便道、料场、拌和场及施工场地等临时用地，按“破坏一处，恢复一处”的原则，进行全面恢复。施工便道、各种料场、预制场等的临时占地应充分利用荒地、废弃地、低覆盖草地和裸地，不应占压高覆盖草地、林地、基本农田，并采取有效措施防止污染。</w:t>
      </w:r>
    </w:p>
    <w:p w14:paraId="4A1D058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9.4.14 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14:paraId="1DB74DA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9.4.15 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均由承包人负责。</w:t>
      </w:r>
    </w:p>
    <w:p w14:paraId="3FE5B23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9.4.16 承包人应严格执行《广东省公路工程施工标准化指南》关于环境保护的相关要求。</w:t>
      </w:r>
    </w:p>
    <w:p w14:paraId="2E960AA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9.4.17 文明环保施工价款</w:t>
      </w:r>
    </w:p>
    <w:p w14:paraId="0C3026E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14:paraId="2386EF0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进度计划</w:t>
      </w:r>
    </w:p>
    <w:p w14:paraId="1130FC2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合同进度计划</w:t>
      </w:r>
    </w:p>
    <w:p w14:paraId="2A2584D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14:paraId="39487EB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年度施工计划</w:t>
      </w:r>
    </w:p>
    <w:p w14:paraId="35CF365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在本款末增加以下内容：</w:t>
      </w:r>
    </w:p>
    <w:p w14:paraId="080E702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在年度施工计划的基础上，承包人应根据发包人及监理人的具体安排编制和落实其他阶段性施工计划。</w:t>
      </w:r>
    </w:p>
    <w:p w14:paraId="29ECB5F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本条补充第 10.5 款、第 10.6 款、第 10.7 款：</w:t>
      </w:r>
    </w:p>
    <w:p w14:paraId="4448877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 工程进度记录</w:t>
      </w:r>
    </w:p>
    <w:p w14:paraId="5599100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承包人应保持每日、每月和其他定期的工程进度记录和报告，这些记录和报告包括下列有关资料：</w:t>
      </w:r>
    </w:p>
    <w:p w14:paraId="4D85820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(a)气象条件；</w:t>
      </w:r>
    </w:p>
    <w:p w14:paraId="0BC44C2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(b)施工记录；</w:t>
      </w:r>
    </w:p>
    <w:p w14:paraId="23B4971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(c)施工设施和设备状况；</w:t>
      </w:r>
    </w:p>
    <w:p w14:paraId="45781E6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(d)承包人人员统计；</w:t>
      </w:r>
    </w:p>
    <w:p w14:paraId="1839020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(e)现场材料，材料搬移记录、交货期、发票及有关资料；</w:t>
      </w:r>
    </w:p>
    <w:p w14:paraId="3ED0ADC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(f)环境保护、水土保持实施记录；</w:t>
      </w:r>
    </w:p>
    <w:p w14:paraId="48CE38E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(g)安全生产实施记录；</w:t>
      </w:r>
    </w:p>
    <w:p w14:paraId="7C57FE9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(h)所有在施工过程中发生的其他事项。</w:t>
      </w:r>
    </w:p>
    <w:p w14:paraId="4055B3F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 工程的进度奖罚</w:t>
      </w:r>
    </w:p>
    <w:p w14:paraId="24F52FA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激励承包人加快工程进度，确保合同工期，本合同设立工程进度奖金，用于承包人提前或确保进度的奖励。该金额由发包人统一掌握使用。承包人获得支付的额度取决于其完成进度的情况及在评比中的名次。有关评比方案发包人将在承包人进场后予以制定。</w:t>
      </w:r>
    </w:p>
    <w:p w14:paraId="159D5EF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11.开工和竣工</w:t>
      </w:r>
    </w:p>
    <w:p w14:paraId="5686E0A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发包人的工期延误</w:t>
      </w:r>
    </w:p>
    <w:p w14:paraId="2566095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本款细化为：</w:t>
      </w:r>
    </w:p>
    <w:p w14:paraId="475FB34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在履行合同过程中，由于发包人的下列原因造成工期延误的，承包人在满足发包人的项目总体工期目标前提下，有权要求发包人顺延工期，需要修订合同进度计划的，按照第 10.2 款的约定办理。</w:t>
      </w:r>
    </w:p>
    <w:p w14:paraId="3F9084E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由于征地拆迁的原因造成关键线路上的工程暂停施工；</w:t>
      </w:r>
    </w:p>
    <w:p w14:paraId="43702EB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未按合同约定及时支付预付款、进度款；</w:t>
      </w:r>
    </w:p>
    <w:p w14:paraId="4A1554B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如顺延合同工期在项目专用合同条款数据表的时间以内的，发包人将不予增加费用；</w:t>
      </w:r>
    </w:p>
    <w:p w14:paraId="73F1886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如顺延合同工期在项目专用合同条款数据表的时间以上的，发包人将按如下原则给予补偿：</w:t>
      </w:r>
    </w:p>
    <w:p w14:paraId="6ED2F93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驻地建设场地租金；</w:t>
      </w:r>
    </w:p>
    <w:p w14:paraId="59871FE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合同承诺投入且已进场的机械设备停置费，停置费按以下两种情况计算：</w:t>
      </w:r>
    </w:p>
    <w:p w14:paraId="128F8D9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a.《公路工程机械台班费用定额》包含的机械设备停置费按如下公式计算：</w:t>
      </w:r>
    </w:p>
    <w:p w14:paraId="2928862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停置费=（折旧费+检修费+维护费）*50%+人工费+机上人员管理费+养路费及车船使用税</w:t>
      </w:r>
    </w:p>
    <w:p w14:paraId="11BB94F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其中：机上人员管理费按人工费的 10%计算；车船使用税按规定的广东省车船使用税标准计算。</w:t>
      </w:r>
    </w:p>
    <w:p w14:paraId="019FCC1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《公路工程机械台班费用定额》未包含的机械设备停置费按如下公式计算：</w:t>
      </w:r>
    </w:p>
    <w:p w14:paraId="4C6A563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按照年限平均法直线计提折旧，折旧年限为 10 年，年折旧额=固定资产原值×（1-残值率）/折旧年限，残值率为 4%；月折旧额=年折旧额/12，末月的天数≥16 时，按 1个月计算，否则末月不计。</w:t>
      </w:r>
    </w:p>
    <w:p w14:paraId="100621DA">
      <w:pPr>
        <w:pStyle w:val="61"/>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rPr>
        <w:t>已进场的主要管理人员的工资费用。补偿的人员数量不得超过合同承诺投入的相应数量；补偿单价以统计局公布的项目所在地上一年度平均月收入为基数，具有高级职称的人员工资按 3 倍计算，具有中级职称的人员工资按 2 倍计算，其他管理人员工资按 1 倍计算；</w:t>
      </w:r>
    </w:p>
    <w:p w14:paraId="66DC1CB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rPr>
        <w:t>仅对超出</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个月</w:t>
      </w:r>
      <w:r>
        <w:rPr>
          <w:rFonts w:hint="eastAsia" w:ascii="宋体" w:hAnsi="宋体" w:eastAsia="宋体" w:cs="宋体"/>
          <w:color w:val="auto"/>
          <w:sz w:val="24"/>
          <w:szCs w:val="24"/>
          <w:highlight w:val="none"/>
        </w:rPr>
        <w:t>以上部分进行补偿；</w:t>
      </w:r>
    </w:p>
    <w:p w14:paraId="31E6C70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除上述规定的补偿项目之外，其余由于工期顺延增加的费用由承包人承担。</w:t>
      </w:r>
    </w:p>
    <w:p w14:paraId="377D77F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（3）由于重大设计方案调整造成关键线路上的工程暂停施工；</w:t>
      </w:r>
    </w:p>
    <w:p w14:paraId="40A0FC7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（4）甲供材料断供或供应不及时。</w:t>
      </w:r>
    </w:p>
    <w:p w14:paraId="514ADF2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异常恶劣的气候条件</w:t>
      </w:r>
    </w:p>
    <w:p w14:paraId="6E02228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异常恶劣的气候条件是指十级以上强风暴、龙卷风或五十年一遇以上洪水造成重大破坏等情况无法施工持续 30 天以上者。</w:t>
      </w:r>
    </w:p>
    <w:p w14:paraId="4A9F7C2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承包人的工期延误</w:t>
      </w:r>
    </w:p>
    <w:p w14:paraId="02D1560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在本款后增加第(6)项：</w:t>
      </w:r>
    </w:p>
    <w:p w14:paraId="2DC9D2E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（6）承包人连续三个月未能完成发包人下发（批复）的月计划任务的 80%或累计未能完成发包人下发（批复）的季度计划任务的 80%，发包人和监理人认为承包人无法在合同工期内完成任务的，发包人有权按第 4.3.8 款、第 4.3.9 款进行处理。</w:t>
      </w:r>
    </w:p>
    <w:p w14:paraId="43F3BD1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暂停施工</w:t>
      </w:r>
    </w:p>
    <w:p w14:paraId="628A45E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承包人暂停施工的责任</w:t>
      </w:r>
    </w:p>
    <w:p w14:paraId="0FD239D2">
      <w:pPr>
        <w:pStyle w:val="61"/>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12.1 (6)由承包人承担的其他暂停施工：</w:t>
      </w:r>
      <w:r>
        <w:rPr>
          <w:rFonts w:hint="eastAsia" w:ascii="宋体" w:hAnsi="宋体" w:cs="宋体"/>
          <w:color w:val="auto"/>
          <w:sz w:val="24"/>
          <w:szCs w:val="24"/>
          <w:highlight w:val="none"/>
          <w:u w:val="single"/>
          <w:lang w:val="en-US" w:eastAsia="zh-CN"/>
        </w:rPr>
        <w:t xml:space="preserve"> 无</w:t>
      </w:r>
    </w:p>
    <w:p w14:paraId="582C962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发包人暂停施工的责任</w:t>
      </w:r>
    </w:p>
    <w:p w14:paraId="36199D6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本款细化为：</w:t>
      </w:r>
    </w:p>
    <w:p w14:paraId="424BEA0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由于发包人原因引起的暂停施工造成工期延误的，按第 11.3 款的约定执行。</w:t>
      </w:r>
    </w:p>
    <w:p w14:paraId="7B11C6D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工程质量</w:t>
      </w:r>
    </w:p>
    <w:p w14:paraId="0EF07B2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工程质量要求</w:t>
      </w:r>
    </w:p>
    <w:p w14:paraId="2A5FB45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在本款第 13.1.2 项后增加以下内容：</w:t>
      </w:r>
    </w:p>
    <w:p w14:paraId="0754F64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经过验收并计量之后的任何时候，因任何方式（包括政府质量监督部门、发包人或监理人组织的各类检查）发现的关键工程质量不合格、工序不规范造成质量隐患，承包人应负责自费返工。发包人将根据本合同《工程质量、安全及文明施工违约项目一览表》对承包人进行处理。该处理不免除承包人自费进行返工或修复的责任。</w:t>
      </w:r>
    </w:p>
    <w:p w14:paraId="5DA5FE3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增加第 13.7～13.12 款：</w:t>
      </w:r>
    </w:p>
    <w:p w14:paraId="5ED954C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 承包人偷工减料</w:t>
      </w:r>
    </w:p>
    <w:p w14:paraId="017AE7A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14:paraId="4A24DE9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 承包人质量自检</w:t>
      </w:r>
    </w:p>
    <w:p w14:paraId="54A7DF2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承包人必须建立完善的质量自检体系，对已完工程进行严格的质量自检，只有自检合格的工程才能向监理人、发包人提出验收和计量的申请。监理人在收到验收申请后的48 小时内对工程进行抽检和验收，对抽检不合格的工程由承包人自费修复或返工。</w:t>
      </w:r>
    </w:p>
    <w:p w14:paraId="5736E67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 不定期现场检查</w:t>
      </w:r>
    </w:p>
    <w:p w14:paraId="448652B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发包人和监理人将不定期进行现场检查，对检查结果按本合同《工程质量、安全及文明施工违约项目一览表》进行处理，承包人必须接受。</w:t>
      </w:r>
    </w:p>
    <w:p w14:paraId="1F98A59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13.10 施工误差</w:t>
      </w:r>
    </w:p>
    <w:p w14:paraId="48AB0E7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施工质量不满足要求的，承包人须承担一切返工费用。其中：</w:t>
      </w:r>
    </w:p>
    <w:p w14:paraId="4DFB2DA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（1）路基交工时，如有部分路基高出设计 1cm，则由路基桥涵承包人修整。如有部分路基低于设计 1.5cm(土质)或 2.0 cm(石质)，则由路面承包人用规定的填料回填，超过偏差的处理费用由路基桥涵承包人负责。如路槽开挖由路面承包人负责施工的，则超过偏差的处理由路面承包人负责并承担费用。</w:t>
      </w:r>
    </w:p>
    <w:p w14:paraId="6FF7ECA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现浇或预制梁板的上拱度造成的桥面铺装（调平层、沥青面层）工程量变化，当引起的调坡所增加的费用，由梁板预制承包人和该合同段路基桥涵承包人各承担50%；不需调坡时，桥面铺装（调平层、沥青面层）工程量的偏差的风险由该合同段路基桥涵承包人承担。</w:t>
      </w:r>
    </w:p>
    <w:p w14:paraId="2C8BE82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13.11 优质优价价款</w:t>
      </w:r>
    </w:p>
    <w:p w14:paraId="2E3EC69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等文件制订的实施细则执行。</w:t>
      </w:r>
    </w:p>
    <w:p w14:paraId="4CABA86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发包人将根据工程实际开展各项工程的质量评比和奖罚，项目（如项目采用分段管理，则按项目段计列）用于奖励的金额比例详见项目专用合同条款数据表的约定，由项目统筹使用。</w:t>
      </w:r>
    </w:p>
    <w:p w14:paraId="0465F6F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 未解除承包人的义务和责任</w:t>
      </w:r>
    </w:p>
    <w:p w14:paraId="295D596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14:paraId="631E8DA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变更</w:t>
      </w:r>
    </w:p>
    <w:p w14:paraId="33FC403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变更程序</w:t>
      </w:r>
    </w:p>
    <w:p w14:paraId="3C7B466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在本款第 15.3.4 项后增加以下内容：</w:t>
      </w:r>
    </w:p>
    <w:p w14:paraId="3E68C9A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同时工程变更还应执行广东省交通运输厅及发包人颁布的相关变更管理办法规定。</w:t>
      </w:r>
    </w:p>
    <w:p w14:paraId="67FF7EF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变更的估价原则</w:t>
      </w:r>
    </w:p>
    <w:p w14:paraId="61984BA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将本款第 15.4.1～15.4.5 项删除，并用以下内容代替：</w:t>
      </w:r>
    </w:p>
    <w:p w14:paraId="7FDEC9E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因变更引起的价格调整，应按以下优先顺序所列原则进行处理：</w:t>
      </w:r>
    </w:p>
    <w:p w14:paraId="0758678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如果取消某项工作，则该项工作的总额价不予支付；</w:t>
      </w:r>
    </w:p>
    <w:p w14:paraId="0D91DA4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15.4.2 本合同段工程量清单中有相同或相似工程细目单价的，经发包人与承包人协商一致同意可直接套用该单价。本合同段内没有相同或适用合同单价的，原则上应套用同类合同段相应单价的算术平均值/加权平均值；但监理人认为受施工现场自然环境影响大的工程项目单价，报发包人同意后可套用自然环境相近似的合同段相应细目；</w:t>
      </w:r>
    </w:p>
    <w:p w14:paraId="4640B42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以综合单价报价的计量项目，如果只是由于使用材料或局部尺寸调整，则原支付单价不变，而只在原合同单价基础上，调整相应的材料价差和合理的工效增减费用。对于机电设备，如发包人未提高技术标准或参数指标，任何品牌或型号的调整，其性能指标不得低于技术规范及设计文件要求，且发包人不予价格调整。</w:t>
      </w:r>
    </w:p>
    <w:p w14:paraId="4BC7E5F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 如上述价格调整原则不适用或按上述原则计算的单价不合理，经发包人同意，按以下原则执行。</w:t>
      </w:r>
    </w:p>
    <w:p w14:paraId="2A1710D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15.4.4.1 参照招标人公布的最高投标限价编制时选用的有关定额及补充的定额，人工、材料、机械单价按最高投标限价采用的月份（</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信息价编制预算，并在上述预算价的基础上按本合同段投标人中标总价较最高投标限价之下浮比例下浮确定变更工程价格。上述“信息价”指由广东省交通运输工程造价事务中心发布的“广东省交通建设工程主要外购材料信息价”中的项目施工所在地区材料信息价（如无相应信息价，由发包人另行确定）。</w:t>
      </w:r>
    </w:p>
    <w:p w14:paraId="29A08D5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下浮率=（本合同段最高投标限价-中标总价）/本合同段最高投标限价*100%</w:t>
      </w:r>
    </w:p>
    <w:p w14:paraId="2C9E57C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15.4.4.2 按变更程序办理的应急抢险工程，经变更预算对应审批权限单位同意后，可根据实际情况编制预算，变更金额确定原则在项目专用合同条款数据表中约定。</w:t>
      </w:r>
    </w:p>
    <w:p w14:paraId="79A3776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15.4.4.3 新增机电设备的变更作价，按以下优先顺序所列原则进行处理：</w:t>
      </w:r>
    </w:p>
    <w:p w14:paraId="0725B14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（1）参考省内近 1 年内通车的高速公路项目合同单价（或总额价）进行确定；</w:t>
      </w:r>
    </w:p>
    <w:p w14:paraId="535CECE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（2）变更预算按发包人核定的市场价格加上采保费、税金及合理利润进行计算，变更单价或费用=变更预算×（1-中标下浮率）</w:t>
      </w:r>
    </w:p>
    <w:p w14:paraId="23A8D24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15.4.5 如果双方对变更工程价款有争议，则请政府主管部门或发包人和承包人双方认可的机构按 15.4.4 款要求编制预算，由发包人委托，委托费用由发包人和承包人各负责一半，变更工程造价或单价按本合同段投标人中标价较招标时最高投标限价之下浮比例下浮确定。</w:t>
      </w:r>
    </w:p>
    <w:p w14:paraId="3ECDF3F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发包人与承包人如按上述原则协商未果，发包人有权根据实际情况按上述某一原则进行处理，承包人必须无条件接受。</w:t>
      </w:r>
    </w:p>
    <w:p w14:paraId="315B883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所有的变更设计都必须按发包人及其上级主管部门颁布的变更设计管理办法进行审批。</w:t>
      </w:r>
    </w:p>
    <w:p w14:paraId="7F34FA5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价格调整</w:t>
      </w:r>
    </w:p>
    <w:p w14:paraId="7580206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物价波动引起的价格调整</w:t>
      </w:r>
    </w:p>
    <w:p w14:paraId="334E28F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 采用造价信息调整价格差额</w:t>
      </w:r>
    </w:p>
    <w:p w14:paraId="18483DB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本项细化为：</w:t>
      </w:r>
    </w:p>
    <w:p w14:paraId="24BFF36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发包人参照《广东省交通运输厅关于于印发我省交通建设项目材料价差调整指导性意见的通知》，对项目允许调整价格差额的材料进行价差调整。材料价差调整费用系指材料价格（包含材料采购增值税）变化产生的综合调整费用，不再计算材料采购及保管费、管理费等费用。除本款约定允许调整价格差额的材料以外，其他材料、设备等不进行价差调整，承包人应将上述风险考虑在投标报价中。</w:t>
      </w:r>
    </w:p>
    <w:p w14:paraId="11A384E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16.1.2.1 统一采购供应材料、甲控乙购材料价差调整</w:t>
      </w:r>
    </w:p>
    <w:p w14:paraId="715DA48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发包人招标文件规定的统一采购供应材料、甲控乙购材料按以下办法进行价差调整：</w:t>
      </w:r>
    </w:p>
    <w:p w14:paraId="16DE041D">
      <w:pPr>
        <w:pStyle w:val="61"/>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（1）材料范围：详见招标文件中《统一采购供应材料一览表》、《甲控乙购材料一览表》</w:t>
      </w:r>
      <w:r>
        <w:rPr>
          <w:rFonts w:hint="eastAsia" w:ascii="宋体" w:hAnsi="宋体" w:cs="宋体"/>
          <w:color w:val="auto"/>
          <w:sz w:val="24"/>
          <w:szCs w:val="24"/>
          <w:highlight w:val="none"/>
          <w:lang w:val="en-US" w:eastAsia="zh-CN"/>
        </w:rPr>
        <w:t>；</w:t>
      </w:r>
    </w:p>
    <w:p w14:paraId="0E017FC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（2）材料价差计算方法：</w:t>
      </w:r>
    </w:p>
    <w:p w14:paraId="2D26D1B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按月调整材料价差，具体如下：</w:t>
      </w:r>
    </w:p>
    <w:p w14:paraId="722878E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以广东省交通运输工程造价事务中心每月公布的广东省交通建设工程主要外购材料信息价为依据，每个月 15 日（不含当天）后供应的货物纳入下个月进行价格调整。</w:t>
      </w:r>
    </w:p>
    <w:p w14:paraId="4E76141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A=(B-C)(1+D)</w:t>
      </w:r>
    </w:p>
    <w:p w14:paraId="5514B83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A:实际调整价差，A 为正值时，由发包人补给承包人该价差，A 为负值时，由发包人从承包人承包价中扣回该价差。</w:t>
      </w:r>
    </w:p>
    <w:p w14:paraId="252960A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B:实际采购供应价，该价格为实际支付给供应商（卖方）的价格，该价格按与供应商签定的采购供应合同（含补充合同/协议）确定。</w:t>
      </w:r>
    </w:p>
    <w:p w14:paraId="535432B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C:材料基准价格，由招标人在招标文件（或补遗书）中统一规定。</w:t>
      </w:r>
    </w:p>
    <w:p w14:paraId="125341F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D:销售货物增值税税率。增值税税率应采用材料发票开具的税率。材料供应商根据结算价格提交增值税发票给承包人。</w:t>
      </w:r>
    </w:p>
    <w:p w14:paraId="767EE3A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16.1.2.2 承包人自行采购材料价差调整</w:t>
      </w:r>
    </w:p>
    <w:p w14:paraId="4AE91F4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16.1.2.2.1 工程范围</w:t>
      </w:r>
    </w:p>
    <w:p w14:paraId="60DEC50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建设项目的实体工程所消耗的主要材料（含构成永久性结构的水中钢护筒、溶洞处理钢护筒等），以及特大桥梁、特长隧道、大型船闸等有专项设计的大型临时工程所消耗的主要材料纳入材料调差调整范围。一般性临时工程、临时设施所消耗的材料以及属于水运工程范围的材料均不纳入材料调差调整范围。</w:t>
      </w:r>
    </w:p>
    <w:p w14:paraId="60E3911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16.1.2.1.2 材料范围</w:t>
      </w:r>
    </w:p>
    <w:p w14:paraId="0A81E51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可调差主要材料范围如下：</w:t>
      </w:r>
    </w:p>
    <w:p w14:paraId="427BCB49">
      <w:pPr>
        <w:pStyle w:val="61"/>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可调差材料一览表</w:t>
      </w:r>
    </w:p>
    <w:tbl>
      <w:tblPr>
        <w:tblStyle w:val="43"/>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222"/>
        <w:gridCol w:w="1222"/>
        <w:gridCol w:w="1223"/>
        <w:gridCol w:w="1223"/>
        <w:gridCol w:w="1223"/>
        <w:gridCol w:w="1223"/>
      </w:tblGrid>
      <w:tr w14:paraId="0C12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2" w:type="dxa"/>
          </w:tcPr>
          <w:p w14:paraId="66480720">
            <w:pPr>
              <w:spacing w:line="24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1222" w:type="dxa"/>
          </w:tcPr>
          <w:p w14:paraId="2059CFB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材料名称</w:t>
            </w:r>
          </w:p>
        </w:tc>
        <w:tc>
          <w:tcPr>
            <w:tcW w:w="1222" w:type="dxa"/>
          </w:tcPr>
          <w:p w14:paraId="152A114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代号</w:t>
            </w:r>
          </w:p>
        </w:tc>
        <w:tc>
          <w:tcPr>
            <w:tcW w:w="1222" w:type="dxa"/>
          </w:tcPr>
          <w:p w14:paraId="5428DC0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223" w:type="dxa"/>
          </w:tcPr>
          <w:p w14:paraId="7A37084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23" w:type="dxa"/>
          </w:tcPr>
          <w:p w14:paraId="2CA3BA8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材料名称</w:t>
            </w:r>
          </w:p>
        </w:tc>
        <w:tc>
          <w:tcPr>
            <w:tcW w:w="1223" w:type="dxa"/>
          </w:tcPr>
          <w:p w14:paraId="420CEE4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代号</w:t>
            </w:r>
          </w:p>
        </w:tc>
        <w:tc>
          <w:tcPr>
            <w:tcW w:w="1223" w:type="dxa"/>
          </w:tcPr>
          <w:p w14:paraId="458953F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r>
      <w:tr w14:paraId="13D8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642CCA86">
            <w:pPr>
              <w:pStyle w:val="61"/>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222" w:type="dxa"/>
          </w:tcPr>
          <w:p w14:paraId="6558884E">
            <w:pPr>
              <w:pStyle w:val="61"/>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222" w:type="dxa"/>
          </w:tcPr>
          <w:p w14:paraId="285C0948">
            <w:pPr>
              <w:pStyle w:val="61"/>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222" w:type="dxa"/>
          </w:tcPr>
          <w:p w14:paraId="741B70DB">
            <w:pPr>
              <w:pStyle w:val="61"/>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223" w:type="dxa"/>
            <w:vAlign w:val="top"/>
          </w:tcPr>
          <w:p w14:paraId="08C6964D">
            <w:pPr>
              <w:pStyle w:val="61"/>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223" w:type="dxa"/>
            <w:vAlign w:val="top"/>
          </w:tcPr>
          <w:p w14:paraId="3B33FFF8">
            <w:pPr>
              <w:pStyle w:val="61"/>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223" w:type="dxa"/>
            <w:vAlign w:val="top"/>
          </w:tcPr>
          <w:p w14:paraId="594E6C3B">
            <w:pPr>
              <w:pStyle w:val="61"/>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223" w:type="dxa"/>
            <w:vAlign w:val="top"/>
          </w:tcPr>
          <w:p w14:paraId="267B2B0B">
            <w:pPr>
              <w:pStyle w:val="61"/>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r>
      <w:tr w14:paraId="31C7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1BDCCAAE">
            <w:pPr>
              <w:pStyle w:val="61"/>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w:t>
            </w:r>
          </w:p>
        </w:tc>
        <w:tc>
          <w:tcPr>
            <w:tcW w:w="1222" w:type="dxa"/>
          </w:tcPr>
          <w:p w14:paraId="515C6B09">
            <w:pPr>
              <w:pStyle w:val="61"/>
              <w:spacing w:line="24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钢材</w:t>
            </w:r>
          </w:p>
        </w:tc>
        <w:tc>
          <w:tcPr>
            <w:tcW w:w="1222" w:type="dxa"/>
          </w:tcPr>
          <w:p w14:paraId="028C7B6F">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7F964E66">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5D44D5B1">
            <w:pPr>
              <w:pStyle w:val="61"/>
              <w:spacing w:line="24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二</w:t>
            </w:r>
          </w:p>
        </w:tc>
        <w:tc>
          <w:tcPr>
            <w:tcW w:w="1223" w:type="dxa"/>
          </w:tcPr>
          <w:p w14:paraId="35ED200B">
            <w:pPr>
              <w:pStyle w:val="61"/>
              <w:spacing w:line="24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水泥</w:t>
            </w:r>
          </w:p>
        </w:tc>
        <w:tc>
          <w:tcPr>
            <w:tcW w:w="1223" w:type="dxa"/>
          </w:tcPr>
          <w:p w14:paraId="0A226FBE">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6891A853">
            <w:pPr>
              <w:pStyle w:val="61"/>
              <w:spacing w:line="240" w:lineRule="auto"/>
              <w:jc w:val="center"/>
              <w:rPr>
                <w:rFonts w:hint="eastAsia" w:ascii="宋体" w:hAnsi="宋体" w:eastAsia="宋体" w:cs="宋体"/>
                <w:color w:val="auto"/>
                <w:sz w:val="21"/>
                <w:szCs w:val="21"/>
                <w:highlight w:val="none"/>
                <w:vertAlign w:val="baseline"/>
              </w:rPr>
            </w:pPr>
          </w:p>
        </w:tc>
      </w:tr>
      <w:tr w14:paraId="364A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73C3454F">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6453944C">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7D50E413">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77B4E6AB">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4839FAA8">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03C5A768">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0E3056F4">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79BEF01F">
            <w:pPr>
              <w:pStyle w:val="61"/>
              <w:spacing w:line="240" w:lineRule="auto"/>
              <w:jc w:val="center"/>
              <w:rPr>
                <w:rFonts w:hint="eastAsia" w:ascii="宋体" w:hAnsi="宋体" w:eastAsia="宋体" w:cs="宋体"/>
                <w:color w:val="auto"/>
                <w:sz w:val="21"/>
                <w:szCs w:val="21"/>
                <w:highlight w:val="none"/>
                <w:vertAlign w:val="baseline"/>
              </w:rPr>
            </w:pPr>
          </w:p>
        </w:tc>
      </w:tr>
      <w:tr w14:paraId="4154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505FFDFB">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175221E5">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16400656">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383466E4">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26C529AF">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34F9D27C">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08000BCB">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655730A1">
            <w:pPr>
              <w:pStyle w:val="61"/>
              <w:spacing w:line="240" w:lineRule="auto"/>
              <w:jc w:val="center"/>
              <w:rPr>
                <w:rFonts w:hint="eastAsia" w:ascii="宋体" w:hAnsi="宋体" w:eastAsia="宋体" w:cs="宋体"/>
                <w:color w:val="auto"/>
                <w:sz w:val="21"/>
                <w:szCs w:val="21"/>
                <w:highlight w:val="none"/>
                <w:vertAlign w:val="baseline"/>
              </w:rPr>
            </w:pPr>
          </w:p>
        </w:tc>
      </w:tr>
      <w:tr w14:paraId="5751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5D3E7CBF">
            <w:pPr>
              <w:pStyle w:val="61"/>
              <w:spacing w:line="24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三</w:t>
            </w:r>
          </w:p>
        </w:tc>
        <w:tc>
          <w:tcPr>
            <w:tcW w:w="1222" w:type="dxa"/>
          </w:tcPr>
          <w:p w14:paraId="49D46828">
            <w:pPr>
              <w:pStyle w:val="61"/>
              <w:spacing w:line="24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砂石料</w:t>
            </w:r>
          </w:p>
        </w:tc>
        <w:tc>
          <w:tcPr>
            <w:tcW w:w="1222" w:type="dxa"/>
          </w:tcPr>
          <w:p w14:paraId="0E0E41E7">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3BDAABF1">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64F953B5">
            <w:pPr>
              <w:pStyle w:val="61"/>
              <w:spacing w:line="24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四</w:t>
            </w:r>
          </w:p>
        </w:tc>
        <w:tc>
          <w:tcPr>
            <w:tcW w:w="1223" w:type="dxa"/>
          </w:tcPr>
          <w:p w14:paraId="14AA687B">
            <w:pPr>
              <w:pStyle w:val="61"/>
              <w:spacing w:line="24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油料</w:t>
            </w:r>
          </w:p>
        </w:tc>
        <w:tc>
          <w:tcPr>
            <w:tcW w:w="1223" w:type="dxa"/>
          </w:tcPr>
          <w:p w14:paraId="70C56C50">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31A7D481">
            <w:pPr>
              <w:pStyle w:val="61"/>
              <w:spacing w:line="240" w:lineRule="auto"/>
              <w:jc w:val="center"/>
              <w:rPr>
                <w:rFonts w:hint="eastAsia" w:ascii="宋体" w:hAnsi="宋体" w:eastAsia="宋体" w:cs="宋体"/>
                <w:color w:val="auto"/>
                <w:sz w:val="21"/>
                <w:szCs w:val="21"/>
                <w:highlight w:val="none"/>
                <w:vertAlign w:val="baseline"/>
              </w:rPr>
            </w:pPr>
          </w:p>
        </w:tc>
      </w:tr>
      <w:tr w14:paraId="7B0B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18B61716">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3E3142C0">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5AD338CB">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7615730A">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3F3EF95A">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19EE3485">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1A73C3F7">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35BA61E0">
            <w:pPr>
              <w:pStyle w:val="61"/>
              <w:spacing w:line="240" w:lineRule="auto"/>
              <w:jc w:val="center"/>
              <w:rPr>
                <w:rFonts w:hint="eastAsia" w:ascii="宋体" w:hAnsi="宋体" w:eastAsia="宋体" w:cs="宋体"/>
                <w:color w:val="auto"/>
                <w:sz w:val="21"/>
                <w:szCs w:val="21"/>
                <w:highlight w:val="none"/>
                <w:vertAlign w:val="baseline"/>
              </w:rPr>
            </w:pPr>
          </w:p>
        </w:tc>
      </w:tr>
      <w:tr w14:paraId="4B7E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6EF79657">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0615FBB0">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43C26CEC">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38602BB8">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0169BD4C">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2261016E">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02957F54">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27F0760B">
            <w:pPr>
              <w:pStyle w:val="61"/>
              <w:spacing w:line="240" w:lineRule="auto"/>
              <w:jc w:val="center"/>
              <w:rPr>
                <w:rFonts w:hint="eastAsia" w:ascii="宋体" w:hAnsi="宋体" w:eastAsia="宋体" w:cs="宋体"/>
                <w:color w:val="auto"/>
                <w:sz w:val="21"/>
                <w:szCs w:val="21"/>
                <w:highlight w:val="none"/>
                <w:vertAlign w:val="baseline"/>
              </w:rPr>
            </w:pPr>
          </w:p>
        </w:tc>
      </w:tr>
      <w:tr w14:paraId="31B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793D8E4C">
            <w:pPr>
              <w:pStyle w:val="61"/>
              <w:spacing w:line="24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五</w:t>
            </w:r>
          </w:p>
        </w:tc>
        <w:tc>
          <w:tcPr>
            <w:tcW w:w="1222" w:type="dxa"/>
          </w:tcPr>
          <w:p w14:paraId="0EE4BDD8">
            <w:pPr>
              <w:pStyle w:val="61"/>
              <w:spacing w:line="24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其他</w:t>
            </w:r>
          </w:p>
        </w:tc>
        <w:tc>
          <w:tcPr>
            <w:tcW w:w="1222" w:type="dxa"/>
          </w:tcPr>
          <w:p w14:paraId="7B23DC72">
            <w:pPr>
              <w:pStyle w:val="61"/>
              <w:spacing w:line="240" w:lineRule="auto"/>
              <w:jc w:val="center"/>
              <w:rPr>
                <w:rFonts w:hint="eastAsia" w:ascii="宋体" w:hAnsi="宋体" w:eastAsia="宋体" w:cs="宋体"/>
                <w:color w:val="auto"/>
                <w:sz w:val="21"/>
                <w:szCs w:val="21"/>
                <w:highlight w:val="none"/>
                <w:vertAlign w:val="baseline"/>
              </w:rPr>
            </w:pPr>
          </w:p>
        </w:tc>
        <w:tc>
          <w:tcPr>
            <w:tcW w:w="1222" w:type="dxa"/>
          </w:tcPr>
          <w:p w14:paraId="71303D6C">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0505DFD6">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00C3BAE3">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541B4CF2">
            <w:pPr>
              <w:pStyle w:val="61"/>
              <w:spacing w:line="240" w:lineRule="auto"/>
              <w:jc w:val="center"/>
              <w:rPr>
                <w:rFonts w:hint="eastAsia" w:ascii="宋体" w:hAnsi="宋体" w:eastAsia="宋体" w:cs="宋体"/>
                <w:color w:val="auto"/>
                <w:sz w:val="21"/>
                <w:szCs w:val="21"/>
                <w:highlight w:val="none"/>
                <w:vertAlign w:val="baseline"/>
              </w:rPr>
            </w:pPr>
          </w:p>
        </w:tc>
        <w:tc>
          <w:tcPr>
            <w:tcW w:w="1223" w:type="dxa"/>
          </w:tcPr>
          <w:p w14:paraId="6ABC2E24">
            <w:pPr>
              <w:pStyle w:val="61"/>
              <w:spacing w:line="240" w:lineRule="auto"/>
              <w:jc w:val="center"/>
              <w:rPr>
                <w:rFonts w:hint="eastAsia" w:ascii="宋体" w:hAnsi="宋体" w:eastAsia="宋体" w:cs="宋体"/>
                <w:color w:val="auto"/>
                <w:sz w:val="21"/>
                <w:szCs w:val="21"/>
                <w:highlight w:val="none"/>
                <w:vertAlign w:val="baseline"/>
              </w:rPr>
            </w:pPr>
          </w:p>
        </w:tc>
      </w:tr>
      <w:tr w14:paraId="7AA7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780" w:type="dxa"/>
            <w:gridSpan w:val="8"/>
          </w:tcPr>
          <w:p w14:paraId="12B374AD">
            <w:pPr>
              <w:pStyle w:val="61"/>
              <w:spacing w:line="360" w:lineRule="auto"/>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说明：1.当采用商品水泥混凝土、商品沥青混凝土、混凝土构件、钢筋混凝土构件、钢构件等半成品时：若有对应的地区发布的半成品信息价，则按信息价调差；若没有该信息价，则按照交通运输部颁布的《公路工程预算定额》附录中的配合比表，将半成品换算成对应的组成材料后进行调差。</w:t>
            </w:r>
          </w:p>
          <w:p w14:paraId="43D37A6A">
            <w:pPr>
              <w:pStyle w:val="61"/>
              <w:spacing w:line="360" w:lineRule="auto"/>
              <w:ind w:firstLine="630" w:firstLineChars="3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2.表中材料代号按交通运输部颁布的《公路工程预算定额》（JTG/T3832-2018）编制。</w:t>
            </w:r>
          </w:p>
        </w:tc>
      </w:tr>
    </w:tbl>
    <w:p w14:paraId="17640D81">
      <w:pPr>
        <w:pStyle w:val="61"/>
        <w:spacing w:line="360" w:lineRule="auto"/>
        <w:ind w:firstLine="480" w:firstLineChars="200"/>
        <w:jc w:val="center"/>
        <w:rPr>
          <w:rFonts w:hint="eastAsia" w:ascii="宋体" w:hAnsi="宋体" w:eastAsia="宋体" w:cs="宋体"/>
          <w:color w:val="auto"/>
          <w:sz w:val="24"/>
          <w:szCs w:val="24"/>
          <w:highlight w:val="none"/>
        </w:rPr>
      </w:pPr>
    </w:p>
    <w:p w14:paraId="1C68E0F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16.1.2.2.3风险幅度（r）</w:t>
      </w:r>
    </w:p>
    <w:p w14:paraId="4CCA5A5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风险幅度是指交通建设项目合同双方各自应承担的材料价格涨跌风险比例大小。风险幅度范围内的价差应作为建设单位（项目法人）、承包人的风险，不予调差。各类材料幅度系数如下：</w:t>
      </w:r>
    </w:p>
    <w:p w14:paraId="5A67892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砂石料，r＝</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%；(幅度系数范围为（-5～+5）%)</w:t>
      </w:r>
    </w:p>
    <w:p w14:paraId="56A67C2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水泥、半成品，r＝</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%；(幅度系数范围为（-4～+4）%)</w:t>
      </w:r>
    </w:p>
    <w:p w14:paraId="0D11A64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钢材、油料及其他，r＝</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%；(幅度系数范围为（-3～+3）%)</w:t>
      </w:r>
    </w:p>
    <w:p w14:paraId="5D797A9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16.1.2.2.4计算方法</w:t>
      </w:r>
    </w:p>
    <w:p w14:paraId="68F1E28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ΔC=（ΔP-Po×r）×Q×（1+D），其中：</w:t>
      </w:r>
    </w:p>
    <w:p w14:paraId="068E092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｜ΔP｜＞｜Po×r｜ ΔP＝Pi（i=1,…,n）－Po，i指计量申报时间。</w:t>
      </w:r>
    </w:p>
    <w:p w14:paraId="7BE9B06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式中：</w:t>
      </w:r>
    </w:p>
    <w:p w14:paraId="0CB1D43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ΔC—价差调整费用，系按调价周期计算的当次费用。</w:t>
      </w:r>
    </w:p>
    <w:p w14:paraId="20EDDE3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ΔP—材料价格差。</w:t>
      </w:r>
    </w:p>
    <w:p w14:paraId="12DE60F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Po—基准价（不含税），指建设单位（项目法人）确定最高投标限价时所采用的交通建设项目所在地地级市及以上工程造价专业机构发布的</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月（或季度）</w:t>
      </w:r>
      <w:r>
        <w:rPr>
          <w:rFonts w:hint="eastAsia" w:ascii="宋体" w:hAnsi="宋体" w:eastAsia="宋体" w:cs="宋体"/>
          <w:color w:val="auto"/>
          <w:sz w:val="24"/>
          <w:szCs w:val="24"/>
          <w:highlight w:val="none"/>
        </w:rPr>
        <w:t>信息价，如项目或合同段跨两个以上地级市的，按权重取平均值计算。</w:t>
      </w:r>
    </w:p>
    <w:p w14:paraId="6C0151E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Pi—信息价（不含税），指采购材料时交通建设项目所在地级市及以上工程造价专业机构发布的上季（月）度信息价，如项目或合同段跨两个以上地级市的，按权重取平均值计算。</w:t>
      </w:r>
    </w:p>
    <w:p w14:paraId="778B0C9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调整材料数量，指工程实际使用的可调差的材料数量。《调价材料单位用量指标表》中所列材料以承包人当月计量的实体工程量为基础，按照表中的单位用量指标计算调整材料数量。通车后计量部分统一按通车时点计算工程量。</w:t>
      </w:r>
    </w:p>
    <w:p w14:paraId="03EF8B0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r—风险幅度系数。当ΔP&gt;0时，r为正值，当ΔP&lt;0 时，r为负值。</w:t>
      </w:r>
    </w:p>
    <w:p w14:paraId="01D7B59A">
      <w:pPr>
        <w:pStyle w:val="61"/>
        <w:spacing w:line="269" w:lineRule="auto"/>
        <w:ind w:firstLine="480" w:firstLineChars="200"/>
        <w:jc w:val="center"/>
        <w:rPr>
          <w:rFonts w:ascii="宋体" w:hAnsi="宋体" w:cs="宋体"/>
          <w:color w:val="auto"/>
          <w:sz w:val="24"/>
          <w:szCs w:val="21"/>
          <w:highlight w:val="none"/>
        </w:rPr>
      </w:pPr>
      <w:r>
        <w:rPr>
          <w:rFonts w:hint="eastAsia" w:ascii="宋体" w:hAnsi="宋体" w:cs="宋体"/>
          <w:color w:val="auto"/>
          <w:sz w:val="24"/>
          <w:szCs w:val="21"/>
          <w:highlight w:val="none"/>
        </w:rPr>
        <w:t>调价材料单位用量指标表</w:t>
      </w:r>
    </w:p>
    <w:tbl>
      <w:tblPr>
        <w:tblStyle w:val="4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71"/>
        <w:gridCol w:w="2172"/>
        <w:gridCol w:w="3273"/>
      </w:tblGrid>
      <w:tr w14:paraId="02CA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562EA766">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调价的材料名称</w:t>
            </w:r>
          </w:p>
        </w:tc>
        <w:tc>
          <w:tcPr>
            <w:tcW w:w="2271" w:type="dxa"/>
            <w:vAlign w:val="center"/>
          </w:tcPr>
          <w:p w14:paraId="7613F7AE">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调价的清单</w:t>
            </w:r>
          </w:p>
          <w:p w14:paraId="7498B0D1">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子目编号</w:t>
            </w:r>
          </w:p>
        </w:tc>
        <w:tc>
          <w:tcPr>
            <w:tcW w:w="2172" w:type="dxa"/>
            <w:vAlign w:val="center"/>
          </w:tcPr>
          <w:p w14:paraId="77E72622">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调价的项目名称</w:t>
            </w:r>
          </w:p>
        </w:tc>
        <w:tc>
          <w:tcPr>
            <w:tcW w:w="3273" w:type="dxa"/>
            <w:vAlign w:val="center"/>
          </w:tcPr>
          <w:p w14:paraId="506C268C">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计算调价材料数量的单位</w:t>
            </w:r>
          </w:p>
          <w:p w14:paraId="5BCA4D24">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用量指标</w:t>
            </w:r>
          </w:p>
        </w:tc>
      </w:tr>
      <w:tr w14:paraId="7DB6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777B24A8">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碎石</w:t>
            </w:r>
          </w:p>
        </w:tc>
        <w:tc>
          <w:tcPr>
            <w:tcW w:w="2271" w:type="dxa"/>
            <w:vAlign w:val="center"/>
          </w:tcPr>
          <w:p w14:paraId="646A36C3">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具体清单子目编号</w:t>
            </w:r>
          </w:p>
        </w:tc>
        <w:tc>
          <w:tcPr>
            <w:tcW w:w="2172" w:type="dxa"/>
            <w:vAlign w:val="center"/>
          </w:tcPr>
          <w:p w14:paraId="1378FE5E">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具体清单项目名称</w:t>
            </w:r>
          </w:p>
        </w:tc>
        <w:tc>
          <w:tcPr>
            <w:tcW w:w="3273" w:type="dxa"/>
            <w:vAlign w:val="center"/>
          </w:tcPr>
          <w:p w14:paraId="0DC6A06B">
            <w:pPr>
              <w:pStyle w:val="61"/>
              <w:spacing w:line="269" w:lineRule="auto"/>
              <w:jc w:val="center"/>
              <w:rPr>
                <w:rFonts w:hint="default" w:ascii="宋体" w:hAnsi="宋体" w:eastAsia="宋体" w:cs="宋体"/>
                <w:color w:val="auto"/>
                <w:sz w:val="22"/>
                <w:szCs w:val="20"/>
                <w:highlight w:val="none"/>
                <w:lang w:val="en-US" w:eastAsia="zh-CN"/>
              </w:rPr>
            </w:pPr>
            <w:r>
              <w:rPr>
                <w:rFonts w:hint="eastAsia" w:ascii="宋体" w:hAnsi="宋体" w:cs="宋体"/>
                <w:color w:val="auto"/>
                <w:sz w:val="22"/>
                <w:szCs w:val="20"/>
                <w:highlight w:val="none"/>
                <w:u w:val="single"/>
                <w:lang w:val="en-US" w:eastAsia="zh-CN"/>
              </w:rPr>
              <w:t xml:space="preserve">    </w:t>
            </w:r>
            <w:r>
              <w:rPr>
                <w:rFonts w:hint="eastAsia" w:ascii="宋体" w:hAnsi="宋体" w:cs="宋体"/>
                <w:color w:val="auto"/>
                <w:sz w:val="22"/>
                <w:szCs w:val="20"/>
                <w:highlight w:val="none"/>
                <w:lang w:val="en-US" w:eastAsia="zh-CN"/>
              </w:rPr>
              <w:t>m³/m³</w:t>
            </w:r>
          </w:p>
        </w:tc>
      </w:tr>
      <w:tr w14:paraId="272E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4AB873F3">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砂</w:t>
            </w:r>
          </w:p>
        </w:tc>
        <w:tc>
          <w:tcPr>
            <w:tcW w:w="2271" w:type="dxa"/>
            <w:vAlign w:val="center"/>
          </w:tcPr>
          <w:p w14:paraId="4E18598E">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具体清单子目编号</w:t>
            </w:r>
          </w:p>
        </w:tc>
        <w:tc>
          <w:tcPr>
            <w:tcW w:w="2172" w:type="dxa"/>
            <w:vAlign w:val="center"/>
          </w:tcPr>
          <w:p w14:paraId="57D3B870">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具体清单项目名称</w:t>
            </w:r>
          </w:p>
        </w:tc>
        <w:tc>
          <w:tcPr>
            <w:tcW w:w="3273" w:type="dxa"/>
            <w:vAlign w:val="center"/>
          </w:tcPr>
          <w:p w14:paraId="144EA4C4">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u w:val="single"/>
                <w:lang w:val="en-US" w:eastAsia="zh-CN"/>
              </w:rPr>
              <w:t xml:space="preserve">    </w:t>
            </w:r>
            <w:r>
              <w:rPr>
                <w:rFonts w:hint="eastAsia" w:ascii="宋体" w:hAnsi="宋体" w:cs="宋体"/>
                <w:color w:val="auto"/>
                <w:sz w:val="22"/>
                <w:szCs w:val="20"/>
                <w:highlight w:val="none"/>
                <w:lang w:val="en-US" w:eastAsia="zh-CN"/>
              </w:rPr>
              <w:t>m³/m³</w:t>
            </w:r>
          </w:p>
        </w:tc>
      </w:tr>
      <w:tr w14:paraId="3274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53CB5A0C">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水泥</w:t>
            </w:r>
          </w:p>
        </w:tc>
        <w:tc>
          <w:tcPr>
            <w:tcW w:w="2271" w:type="dxa"/>
            <w:vAlign w:val="center"/>
          </w:tcPr>
          <w:p w14:paraId="487DD40E">
            <w:pPr>
              <w:pStyle w:val="61"/>
              <w:spacing w:line="269" w:lineRule="auto"/>
              <w:rPr>
                <w:rFonts w:hint="eastAsia" w:ascii="宋体" w:hAnsi="宋体" w:cs="宋体"/>
                <w:color w:val="auto"/>
                <w:sz w:val="22"/>
                <w:szCs w:val="20"/>
                <w:highlight w:val="none"/>
              </w:rPr>
            </w:pPr>
            <w:r>
              <w:rPr>
                <w:rFonts w:hint="eastAsia" w:ascii="宋体" w:hAnsi="宋体" w:cs="宋体"/>
                <w:color w:val="auto"/>
                <w:sz w:val="22"/>
                <w:szCs w:val="20"/>
                <w:highlight w:val="none"/>
              </w:rPr>
              <w:t>清单的200-900章中所有含轻质土、水泥稳定层、水泥混凝土的清单子目</w:t>
            </w:r>
          </w:p>
        </w:tc>
        <w:tc>
          <w:tcPr>
            <w:tcW w:w="2172" w:type="dxa"/>
            <w:vAlign w:val="center"/>
          </w:tcPr>
          <w:p w14:paraId="18291C35">
            <w:pPr>
              <w:pStyle w:val="61"/>
              <w:spacing w:line="269" w:lineRule="auto"/>
              <w:rPr>
                <w:rFonts w:hint="eastAsia" w:ascii="宋体" w:hAnsi="宋体" w:cs="宋体"/>
                <w:color w:val="auto"/>
                <w:sz w:val="22"/>
                <w:szCs w:val="20"/>
                <w:highlight w:val="none"/>
              </w:rPr>
            </w:pPr>
            <w:r>
              <w:rPr>
                <w:rFonts w:hint="eastAsia" w:ascii="宋体" w:hAnsi="宋体" w:cs="宋体"/>
                <w:color w:val="auto"/>
                <w:sz w:val="22"/>
                <w:szCs w:val="20"/>
                <w:highlight w:val="none"/>
              </w:rPr>
              <w:t>轻质土、水泥稳定层、水泥混凝土中的水泥</w:t>
            </w:r>
          </w:p>
        </w:tc>
        <w:tc>
          <w:tcPr>
            <w:tcW w:w="3273" w:type="dxa"/>
            <w:vAlign w:val="center"/>
          </w:tcPr>
          <w:p w14:paraId="0A9D903F">
            <w:pPr>
              <w:pStyle w:val="61"/>
              <w:spacing w:line="269" w:lineRule="auto"/>
              <w:rPr>
                <w:rFonts w:hint="eastAsia" w:ascii="宋体" w:hAnsi="宋体" w:cs="宋体"/>
                <w:color w:val="auto"/>
                <w:sz w:val="22"/>
                <w:szCs w:val="20"/>
                <w:highlight w:val="none"/>
              </w:rPr>
            </w:pPr>
            <w:r>
              <w:rPr>
                <w:rFonts w:hint="eastAsia" w:ascii="宋体" w:hAnsi="宋体" w:cs="宋体"/>
                <w:color w:val="auto"/>
                <w:sz w:val="22"/>
                <w:szCs w:val="20"/>
                <w:highlight w:val="none"/>
              </w:rPr>
              <w:t>1、轻质土：按批准的施工配合比计算水泥用量。</w:t>
            </w:r>
          </w:p>
          <w:p w14:paraId="36CA0EE4">
            <w:pPr>
              <w:pStyle w:val="61"/>
              <w:spacing w:line="269" w:lineRule="auto"/>
              <w:rPr>
                <w:rFonts w:hint="eastAsia" w:ascii="宋体" w:hAnsi="宋体" w:cs="宋体"/>
                <w:color w:val="auto"/>
                <w:sz w:val="22"/>
                <w:szCs w:val="20"/>
                <w:highlight w:val="none"/>
              </w:rPr>
            </w:pPr>
            <w:r>
              <w:rPr>
                <w:rFonts w:hint="eastAsia" w:ascii="宋体" w:hAnsi="宋体" w:cs="宋体"/>
                <w:color w:val="auto"/>
                <w:sz w:val="22"/>
                <w:szCs w:val="20"/>
                <w:highlight w:val="none"/>
              </w:rPr>
              <w:t>2、水泥稳定层：按批准的施工配合比计算水泥用量。</w:t>
            </w:r>
          </w:p>
          <w:p w14:paraId="6921D4D7">
            <w:pPr>
              <w:pStyle w:val="61"/>
              <w:spacing w:line="269" w:lineRule="auto"/>
              <w:rPr>
                <w:rFonts w:hint="eastAsia" w:ascii="宋体" w:hAnsi="宋体" w:cs="宋体"/>
                <w:color w:val="auto"/>
                <w:sz w:val="22"/>
                <w:szCs w:val="20"/>
                <w:highlight w:val="none"/>
              </w:rPr>
            </w:pPr>
            <w:r>
              <w:rPr>
                <w:rFonts w:hint="eastAsia" w:ascii="宋体" w:hAnsi="宋体" w:cs="宋体"/>
                <w:color w:val="auto"/>
                <w:sz w:val="22"/>
                <w:szCs w:val="20"/>
                <w:highlight w:val="none"/>
              </w:rPr>
              <w:t>3、桥梁桩基础混凝土（按m计量的须换算为</w:t>
            </w:r>
            <w:r>
              <w:rPr>
                <w:rFonts w:hint="eastAsia" w:ascii="宋体" w:hAnsi="宋体" w:cs="宋体"/>
                <w:color w:val="auto"/>
                <w:sz w:val="22"/>
                <w:szCs w:val="20"/>
                <w:highlight w:val="none"/>
                <w:lang w:val="en-US" w:eastAsia="zh-CN"/>
              </w:rPr>
              <w:t>m³</w:t>
            </w:r>
            <w:r>
              <w:rPr>
                <w:rFonts w:hint="eastAsia" w:ascii="宋体" w:hAnsi="宋体" w:cs="宋体"/>
                <w:color w:val="auto"/>
                <w:sz w:val="22"/>
                <w:szCs w:val="20"/>
                <w:highlight w:val="none"/>
              </w:rPr>
              <w:t>）：</w:t>
            </w:r>
            <w:r>
              <w:rPr>
                <w:rFonts w:hint="eastAsia" w:ascii="宋体" w:hAnsi="宋体" w:cs="宋体"/>
                <w:color w:val="auto"/>
                <w:sz w:val="22"/>
                <w:szCs w:val="20"/>
                <w:highlight w:val="none"/>
                <w:u w:val="single"/>
                <w:lang w:val="en-US" w:eastAsia="zh-CN"/>
              </w:rPr>
              <w:t xml:space="preserve">    </w:t>
            </w:r>
            <w:r>
              <w:rPr>
                <w:rFonts w:hint="eastAsia" w:ascii="宋体" w:hAnsi="宋体" w:cs="宋体"/>
                <w:color w:val="auto"/>
                <w:sz w:val="22"/>
                <w:szCs w:val="20"/>
                <w:highlight w:val="none"/>
                <w:u w:val="single"/>
              </w:rPr>
              <w:t>t/</w:t>
            </w:r>
            <w:r>
              <w:rPr>
                <w:rFonts w:hint="eastAsia" w:ascii="宋体" w:hAnsi="宋体" w:cs="宋体"/>
                <w:color w:val="auto"/>
                <w:sz w:val="22"/>
                <w:szCs w:val="20"/>
                <w:highlight w:val="none"/>
                <w:u w:val="single"/>
                <w:lang w:val="en-US" w:eastAsia="zh-CN"/>
              </w:rPr>
              <w:t>m³</w:t>
            </w:r>
            <w:r>
              <w:rPr>
                <w:rFonts w:hint="eastAsia" w:ascii="宋体" w:hAnsi="宋体" w:cs="宋体"/>
                <w:color w:val="auto"/>
                <w:sz w:val="22"/>
                <w:szCs w:val="20"/>
                <w:highlight w:val="none"/>
              </w:rPr>
              <w:t>（不分混凝土标号)</w:t>
            </w:r>
          </w:p>
          <w:p w14:paraId="230205F5">
            <w:pPr>
              <w:pStyle w:val="61"/>
              <w:spacing w:line="269" w:lineRule="auto"/>
              <w:rPr>
                <w:rFonts w:hint="eastAsia" w:ascii="宋体" w:hAnsi="宋体" w:cs="宋体"/>
                <w:color w:val="auto"/>
                <w:sz w:val="22"/>
                <w:szCs w:val="20"/>
                <w:highlight w:val="none"/>
              </w:rPr>
            </w:pPr>
            <w:r>
              <w:rPr>
                <w:rFonts w:hint="eastAsia" w:ascii="宋体" w:hAnsi="宋体" w:cs="宋体"/>
                <w:color w:val="auto"/>
                <w:sz w:val="22"/>
                <w:szCs w:val="20"/>
                <w:highlight w:val="none"/>
              </w:rPr>
              <w:t>4、其他实体工程混凝土：</w:t>
            </w:r>
          </w:p>
          <w:p w14:paraId="14DDB80D">
            <w:pPr>
              <w:pStyle w:val="61"/>
              <w:spacing w:line="269" w:lineRule="auto"/>
              <w:rPr>
                <w:rFonts w:hint="eastAsia" w:ascii="宋体" w:hAnsi="宋体" w:cs="宋体"/>
                <w:color w:val="auto"/>
                <w:sz w:val="22"/>
                <w:szCs w:val="20"/>
                <w:highlight w:val="none"/>
              </w:rPr>
            </w:pPr>
            <w:r>
              <w:rPr>
                <w:rFonts w:hint="eastAsia" w:ascii="宋体" w:hAnsi="宋体" w:cs="宋体"/>
                <w:color w:val="auto"/>
                <w:sz w:val="22"/>
                <w:szCs w:val="20"/>
                <w:highlight w:val="none"/>
                <w:u w:val="single"/>
                <w:lang w:val="en-US" w:eastAsia="zh-CN"/>
              </w:rPr>
              <w:t xml:space="preserve">     </w:t>
            </w:r>
            <w:r>
              <w:rPr>
                <w:rFonts w:hint="eastAsia" w:ascii="宋体" w:hAnsi="宋体" w:cs="宋体"/>
                <w:color w:val="auto"/>
                <w:sz w:val="22"/>
                <w:szCs w:val="20"/>
                <w:highlight w:val="none"/>
                <w:u w:val="single"/>
              </w:rPr>
              <w:t>t/</w:t>
            </w:r>
            <w:r>
              <w:rPr>
                <w:rFonts w:hint="eastAsia" w:ascii="宋体" w:hAnsi="宋体" w:cs="宋体"/>
                <w:color w:val="auto"/>
                <w:sz w:val="22"/>
                <w:szCs w:val="20"/>
                <w:highlight w:val="none"/>
                <w:u w:val="single"/>
                <w:lang w:val="en-US" w:eastAsia="zh-CN"/>
              </w:rPr>
              <w:t>m³</w:t>
            </w:r>
            <w:r>
              <w:rPr>
                <w:rFonts w:hint="eastAsia" w:ascii="宋体" w:hAnsi="宋体" w:cs="宋体"/>
                <w:color w:val="auto"/>
                <w:sz w:val="22"/>
                <w:szCs w:val="20"/>
                <w:highlight w:val="none"/>
              </w:rPr>
              <w:t>（C20及以下）</w:t>
            </w:r>
          </w:p>
          <w:p w14:paraId="4396CEF6">
            <w:pPr>
              <w:pStyle w:val="61"/>
              <w:spacing w:line="269" w:lineRule="auto"/>
              <w:rPr>
                <w:rFonts w:hint="eastAsia" w:ascii="宋体" w:hAnsi="宋体" w:cs="宋体"/>
                <w:color w:val="auto"/>
                <w:sz w:val="22"/>
                <w:szCs w:val="20"/>
                <w:highlight w:val="none"/>
              </w:rPr>
            </w:pPr>
            <w:r>
              <w:rPr>
                <w:rFonts w:hint="eastAsia" w:ascii="宋体" w:hAnsi="宋体" w:cs="宋体"/>
                <w:color w:val="auto"/>
                <w:sz w:val="22"/>
                <w:szCs w:val="20"/>
                <w:highlight w:val="none"/>
                <w:u w:val="single"/>
                <w:lang w:val="en-US" w:eastAsia="zh-CN"/>
              </w:rPr>
              <w:t xml:space="preserve">     </w:t>
            </w:r>
            <w:r>
              <w:rPr>
                <w:rFonts w:hint="eastAsia" w:ascii="宋体" w:hAnsi="宋体" w:cs="宋体"/>
                <w:color w:val="auto"/>
                <w:sz w:val="22"/>
                <w:szCs w:val="20"/>
                <w:highlight w:val="none"/>
                <w:u w:val="single"/>
              </w:rPr>
              <w:t>t/</w:t>
            </w:r>
            <w:r>
              <w:rPr>
                <w:rFonts w:hint="eastAsia" w:ascii="宋体" w:hAnsi="宋体" w:cs="宋体"/>
                <w:color w:val="auto"/>
                <w:sz w:val="22"/>
                <w:szCs w:val="20"/>
                <w:highlight w:val="none"/>
                <w:u w:val="single"/>
                <w:lang w:val="en-US" w:eastAsia="zh-CN"/>
              </w:rPr>
              <w:t>m³</w:t>
            </w:r>
            <w:r>
              <w:rPr>
                <w:rFonts w:hint="eastAsia" w:ascii="宋体" w:hAnsi="宋体" w:cs="宋体"/>
                <w:color w:val="auto"/>
                <w:sz w:val="22"/>
                <w:szCs w:val="20"/>
                <w:highlight w:val="none"/>
              </w:rPr>
              <w:t>（C25、C30、C35）</w:t>
            </w:r>
          </w:p>
          <w:p w14:paraId="0478450D">
            <w:pPr>
              <w:pStyle w:val="61"/>
              <w:spacing w:line="269" w:lineRule="auto"/>
              <w:rPr>
                <w:rFonts w:hint="eastAsia" w:ascii="宋体" w:hAnsi="宋体" w:cs="宋体"/>
                <w:color w:val="auto"/>
                <w:sz w:val="22"/>
                <w:szCs w:val="20"/>
                <w:highlight w:val="none"/>
              </w:rPr>
            </w:pPr>
            <w:r>
              <w:rPr>
                <w:rFonts w:hint="eastAsia" w:ascii="宋体" w:hAnsi="宋体" w:cs="宋体"/>
                <w:color w:val="auto"/>
                <w:sz w:val="22"/>
                <w:szCs w:val="20"/>
                <w:highlight w:val="none"/>
                <w:u w:val="single"/>
                <w:lang w:val="en-US" w:eastAsia="zh-CN"/>
              </w:rPr>
              <w:t xml:space="preserve">     </w:t>
            </w:r>
            <w:r>
              <w:rPr>
                <w:rFonts w:hint="eastAsia" w:ascii="宋体" w:hAnsi="宋体" w:cs="宋体"/>
                <w:color w:val="auto"/>
                <w:sz w:val="22"/>
                <w:szCs w:val="20"/>
                <w:highlight w:val="none"/>
                <w:u w:val="single"/>
              </w:rPr>
              <w:t>t/</w:t>
            </w:r>
            <w:r>
              <w:rPr>
                <w:rFonts w:hint="eastAsia" w:ascii="宋体" w:hAnsi="宋体" w:cs="宋体"/>
                <w:color w:val="auto"/>
                <w:sz w:val="22"/>
                <w:szCs w:val="20"/>
                <w:highlight w:val="none"/>
                <w:u w:val="single"/>
                <w:lang w:val="en-US" w:eastAsia="zh-CN"/>
              </w:rPr>
              <w:t>m³</w:t>
            </w:r>
            <w:r>
              <w:rPr>
                <w:rFonts w:hint="eastAsia" w:ascii="宋体" w:hAnsi="宋体" w:cs="宋体"/>
                <w:color w:val="auto"/>
                <w:sz w:val="22"/>
                <w:szCs w:val="20"/>
                <w:highlight w:val="none"/>
              </w:rPr>
              <w:t>（C40）</w:t>
            </w:r>
          </w:p>
          <w:p w14:paraId="2C9AD147">
            <w:pPr>
              <w:pStyle w:val="61"/>
              <w:spacing w:line="269" w:lineRule="auto"/>
              <w:rPr>
                <w:rFonts w:hint="eastAsia" w:ascii="宋体" w:hAnsi="宋体" w:cs="宋体"/>
                <w:color w:val="auto"/>
                <w:sz w:val="22"/>
                <w:szCs w:val="20"/>
                <w:highlight w:val="none"/>
              </w:rPr>
            </w:pPr>
            <w:r>
              <w:rPr>
                <w:rFonts w:hint="eastAsia" w:ascii="宋体" w:hAnsi="宋体" w:cs="宋体"/>
                <w:color w:val="auto"/>
                <w:sz w:val="22"/>
                <w:szCs w:val="20"/>
                <w:highlight w:val="none"/>
                <w:u w:val="single"/>
                <w:lang w:val="en-US" w:eastAsia="zh-CN"/>
              </w:rPr>
              <w:t xml:space="preserve">     </w:t>
            </w:r>
            <w:r>
              <w:rPr>
                <w:rFonts w:hint="eastAsia" w:ascii="宋体" w:hAnsi="宋体" w:cs="宋体"/>
                <w:color w:val="auto"/>
                <w:sz w:val="22"/>
                <w:szCs w:val="20"/>
                <w:highlight w:val="none"/>
                <w:u w:val="single"/>
              </w:rPr>
              <w:t>t/</w:t>
            </w:r>
            <w:r>
              <w:rPr>
                <w:rFonts w:hint="eastAsia" w:ascii="宋体" w:hAnsi="宋体" w:cs="宋体"/>
                <w:color w:val="auto"/>
                <w:sz w:val="22"/>
                <w:szCs w:val="20"/>
                <w:highlight w:val="none"/>
                <w:u w:val="single"/>
                <w:lang w:val="en-US" w:eastAsia="zh-CN"/>
              </w:rPr>
              <w:t>m³</w:t>
            </w:r>
            <w:r>
              <w:rPr>
                <w:rFonts w:hint="eastAsia" w:ascii="宋体" w:hAnsi="宋体" w:cs="宋体"/>
                <w:color w:val="auto"/>
                <w:sz w:val="22"/>
                <w:szCs w:val="20"/>
                <w:highlight w:val="none"/>
              </w:rPr>
              <w:t>（C50及以上）</w:t>
            </w:r>
          </w:p>
        </w:tc>
      </w:tr>
      <w:tr w14:paraId="3026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6E59D4ED">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钢筋</w:t>
            </w:r>
          </w:p>
        </w:tc>
        <w:tc>
          <w:tcPr>
            <w:tcW w:w="2271" w:type="dxa"/>
            <w:vAlign w:val="center"/>
          </w:tcPr>
          <w:p w14:paraId="2468E9BD">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实体工程中所有钢筋的清单子目</w:t>
            </w:r>
          </w:p>
        </w:tc>
        <w:tc>
          <w:tcPr>
            <w:tcW w:w="2172" w:type="dxa"/>
            <w:vAlign w:val="center"/>
          </w:tcPr>
          <w:p w14:paraId="47053FEA">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钢筋</w:t>
            </w:r>
          </w:p>
        </w:tc>
        <w:tc>
          <w:tcPr>
            <w:tcW w:w="3273" w:type="dxa"/>
            <w:vAlign w:val="center"/>
          </w:tcPr>
          <w:p w14:paraId="16D95888">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u w:val="single"/>
                <w:lang w:val="en-US" w:eastAsia="zh-CN"/>
              </w:rPr>
              <w:t xml:space="preserve">     </w:t>
            </w:r>
            <w:r>
              <w:rPr>
                <w:rFonts w:hint="eastAsia" w:ascii="宋体" w:hAnsi="宋体" w:cs="宋体"/>
                <w:color w:val="auto"/>
                <w:sz w:val="22"/>
                <w:szCs w:val="20"/>
                <w:highlight w:val="none"/>
                <w:u w:val="single"/>
              </w:rPr>
              <w:t>t</w:t>
            </w:r>
            <w:r>
              <w:rPr>
                <w:rFonts w:hint="eastAsia" w:ascii="宋体" w:hAnsi="宋体" w:cs="宋体"/>
                <w:color w:val="auto"/>
                <w:sz w:val="22"/>
                <w:szCs w:val="20"/>
                <w:highlight w:val="none"/>
              </w:rPr>
              <w:t>/t（各钢筋清单子目取此同一单位用量）</w:t>
            </w:r>
          </w:p>
        </w:tc>
      </w:tr>
      <w:tr w14:paraId="5DB7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2813CE57">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钢绞线</w:t>
            </w:r>
          </w:p>
        </w:tc>
        <w:tc>
          <w:tcPr>
            <w:tcW w:w="2271" w:type="dxa"/>
            <w:vAlign w:val="center"/>
          </w:tcPr>
          <w:p w14:paraId="7AB839E7">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实体工程中所有钢绞线的清单子目</w:t>
            </w:r>
          </w:p>
        </w:tc>
        <w:tc>
          <w:tcPr>
            <w:tcW w:w="2172" w:type="dxa"/>
            <w:vAlign w:val="center"/>
          </w:tcPr>
          <w:p w14:paraId="60BF63C1">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钢绞线</w:t>
            </w:r>
          </w:p>
        </w:tc>
        <w:tc>
          <w:tcPr>
            <w:tcW w:w="3273" w:type="dxa"/>
            <w:vAlign w:val="center"/>
          </w:tcPr>
          <w:p w14:paraId="0D1C62AB">
            <w:pPr>
              <w:pStyle w:val="61"/>
              <w:spacing w:line="269" w:lineRule="auto"/>
              <w:jc w:val="center"/>
              <w:rPr>
                <w:rFonts w:hint="eastAsia" w:ascii="宋体" w:hAnsi="宋体" w:eastAsia="宋体" w:cs="宋体"/>
                <w:color w:val="auto"/>
                <w:kern w:val="2"/>
                <w:sz w:val="22"/>
                <w:szCs w:val="20"/>
                <w:highlight w:val="none"/>
                <w:lang w:val="en-US" w:eastAsia="zh-CN" w:bidi="ar-SA"/>
              </w:rPr>
            </w:pPr>
            <w:r>
              <w:rPr>
                <w:rFonts w:hint="eastAsia" w:ascii="宋体" w:hAnsi="宋体" w:cs="宋体"/>
                <w:color w:val="auto"/>
                <w:sz w:val="22"/>
                <w:szCs w:val="20"/>
                <w:highlight w:val="none"/>
                <w:u w:val="single"/>
                <w:lang w:val="en-US" w:eastAsia="zh-CN"/>
              </w:rPr>
              <w:t xml:space="preserve">     </w:t>
            </w:r>
            <w:r>
              <w:rPr>
                <w:rFonts w:hint="eastAsia" w:ascii="宋体" w:hAnsi="宋体" w:cs="宋体"/>
                <w:color w:val="auto"/>
                <w:sz w:val="22"/>
                <w:szCs w:val="20"/>
                <w:highlight w:val="none"/>
                <w:u w:val="single"/>
              </w:rPr>
              <w:t>t</w:t>
            </w:r>
            <w:r>
              <w:rPr>
                <w:rFonts w:hint="eastAsia" w:ascii="宋体" w:hAnsi="宋体" w:cs="宋体"/>
                <w:color w:val="auto"/>
                <w:sz w:val="22"/>
                <w:szCs w:val="20"/>
                <w:highlight w:val="none"/>
              </w:rPr>
              <w:t>/t（各钢绞线清单子目取此同一单位用量）</w:t>
            </w:r>
          </w:p>
        </w:tc>
      </w:tr>
      <w:tr w14:paraId="5A99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50BD3457">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沥青</w:t>
            </w:r>
          </w:p>
        </w:tc>
        <w:tc>
          <w:tcPr>
            <w:tcW w:w="2271" w:type="dxa"/>
            <w:vAlign w:val="center"/>
          </w:tcPr>
          <w:p w14:paraId="7B098C5C">
            <w:pPr>
              <w:pStyle w:val="61"/>
              <w:spacing w:line="269" w:lineRule="auto"/>
              <w:jc w:val="center"/>
              <w:rPr>
                <w:rFonts w:hint="eastAsia" w:ascii="宋体" w:hAnsi="宋体" w:eastAsia="宋体" w:cs="宋体"/>
                <w:color w:val="auto"/>
                <w:kern w:val="2"/>
                <w:sz w:val="22"/>
                <w:szCs w:val="20"/>
                <w:highlight w:val="none"/>
                <w:lang w:val="en-US" w:eastAsia="zh-CN" w:bidi="ar-SA"/>
              </w:rPr>
            </w:pPr>
            <w:r>
              <w:rPr>
                <w:rFonts w:hint="eastAsia" w:ascii="宋体" w:hAnsi="宋体" w:cs="宋体"/>
                <w:color w:val="auto"/>
                <w:sz w:val="22"/>
                <w:szCs w:val="20"/>
                <w:highlight w:val="none"/>
              </w:rPr>
              <w:t>实体工程中所有含沥青的清单子目</w:t>
            </w:r>
          </w:p>
        </w:tc>
        <w:tc>
          <w:tcPr>
            <w:tcW w:w="2172" w:type="dxa"/>
            <w:vAlign w:val="center"/>
          </w:tcPr>
          <w:p w14:paraId="2133D624">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沥青</w:t>
            </w:r>
          </w:p>
        </w:tc>
        <w:tc>
          <w:tcPr>
            <w:tcW w:w="3273" w:type="dxa"/>
            <w:vAlign w:val="center"/>
          </w:tcPr>
          <w:p w14:paraId="6ADEE57D">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按批准的施工配合比计算沥青用量</w:t>
            </w:r>
          </w:p>
        </w:tc>
      </w:tr>
      <w:tr w14:paraId="1DE1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0A71FB94">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柴油</w:t>
            </w:r>
          </w:p>
        </w:tc>
        <w:tc>
          <w:tcPr>
            <w:tcW w:w="2271" w:type="dxa"/>
            <w:vAlign w:val="center"/>
          </w:tcPr>
          <w:p w14:paraId="6D832B2A">
            <w:pPr>
              <w:pStyle w:val="61"/>
              <w:spacing w:line="269" w:lineRule="auto"/>
              <w:jc w:val="center"/>
              <w:rPr>
                <w:rFonts w:hint="eastAsia" w:ascii="宋体" w:hAnsi="宋体" w:eastAsia="宋体" w:cs="宋体"/>
                <w:color w:val="auto"/>
                <w:kern w:val="2"/>
                <w:sz w:val="22"/>
                <w:szCs w:val="20"/>
                <w:highlight w:val="none"/>
                <w:lang w:val="en-US" w:eastAsia="zh-CN" w:bidi="ar-SA"/>
              </w:rPr>
            </w:pPr>
            <w:r>
              <w:rPr>
                <w:rFonts w:hint="eastAsia" w:ascii="宋体" w:hAnsi="宋体" w:cs="宋体"/>
                <w:color w:val="auto"/>
                <w:sz w:val="22"/>
                <w:szCs w:val="20"/>
                <w:highlight w:val="none"/>
              </w:rPr>
              <w:t>具体清单子目编号</w:t>
            </w:r>
          </w:p>
        </w:tc>
        <w:tc>
          <w:tcPr>
            <w:tcW w:w="2172" w:type="dxa"/>
            <w:vAlign w:val="center"/>
          </w:tcPr>
          <w:p w14:paraId="67C683EE">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具体清单项目名称</w:t>
            </w:r>
          </w:p>
        </w:tc>
        <w:tc>
          <w:tcPr>
            <w:tcW w:w="3273" w:type="dxa"/>
            <w:vAlign w:val="center"/>
          </w:tcPr>
          <w:p w14:paraId="06A8D2C6">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u w:val="single"/>
                <w:lang w:val="en-US" w:eastAsia="zh-CN"/>
              </w:rPr>
              <w:t xml:space="preserve">     </w:t>
            </w:r>
            <w:r>
              <w:rPr>
                <w:rFonts w:hint="eastAsia" w:ascii="宋体" w:hAnsi="宋体" w:cs="宋体"/>
                <w:color w:val="auto"/>
                <w:sz w:val="22"/>
                <w:szCs w:val="20"/>
                <w:highlight w:val="none"/>
                <w:u w:val="single"/>
              </w:rPr>
              <w:t>kg/</w:t>
            </w:r>
            <w:r>
              <w:rPr>
                <w:rFonts w:hint="eastAsia" w:ascii="宋体" w:hAnsi="宋体" w:cs="宋体"/>
                <w:color w:val="auto"/>
                <w:sz w:val="22"/>
                <w:szCs w:val="20"/>
                <w:highlight w:val="none"/>
                <w:u w:val="single"/>
                <w:lang w:val="en-US" w:eastAsia="zh-CN"/>
              </w:rPr>
              <w:t>m³</w:t>
            </w:r>
          </w:p>
        </w:tc>
      </w:tr>
      <w:tr w14:paraId="2A1C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2525E2DF">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混凝土</w:t>
            </w:r>
          </w:p>
          <w:p w14:paraId="1F94F33C">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管桩</w:t>
            </w:r>
          </w:p>
        </w:tc>
        <w:tc>
          <w:tcPr>
            <w:tcW w:w="2271" w:type="dxa"/>
            <w:vAlign w:val="center"/>
          </w:tcPr>
          <w:p w14:paraId="4E18FB20">
            <w:pPr>
              <w:pStyle w:val="61"/>
              <w:spacing w:line="269" w:lineRule="auto"/>
              <w:jc w:val="center"/>
              <w:rPr>
                <w:rFonts w:hint="eastAsia" w:ascii="宋体" w:hAnsi="宋体" w:eastAsia="宋体" w:cs="宋体"/>
                <w:color w:val="auto"/>
                <w:kern w:val="2"/>
                <w:sz w:val="22"/>
                <w:szCs w:val="20"/>
                <w:highlight w:val="none"/>
                <w:lang w:val="en-US" w:eastAsia="zh-CN" w:bidi="ar-SA"/>
              </w:rPr>
            </w:pPr>
            <w:r>
              <w:rPr>
                <w:rFonts w:hint="eastAsia" w:ascii="宋体" w:hAnsi="宋体" w:eastAsia="宋体" w:cs="宋体"/>
                <w:color w:val="auto"/>
                <w:kern w:val="2"/>
                <w:sz w:val="22"/>
                <w:szCs w:val="20"/>
                <w:highlight w:val="none"/>
                <w:lang w:val="en-US" w:eastAsia="zh-CN" w:bidi="ar-SA"/>
              </w:rPr>
              <w:t>实体工程中所有混凝土管桩的清单子目</w:t>
            </w:r>
          </w:p>
        </w:tc>
        <w:tc>
          <w:tcPr>
            <w:tcW w:w="2172" w:type="dxa"/>
            <w:vAlign w:val="center"/>
          </w:tcPr>
          <w:p w14:paraId="0CF48486">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混凝土管桩</w:t>
            </w:r>
          </w:p>
        </w:tc>
        <w:tc>
          <w:tcPr>
            <w:tcW w:w="3273" w:type="dxa"/>
            <w:vAlign w:val="center"/>
          </w:tcPr>
          <w:p w14:paraId="5114D735">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u w:val="single"/>
                <w:lang w:val="en-US" w:eastAsia="zh-CN"/>
              </w:rPr>
              <w:t xml:space="preserve">      </w:t>
            </w:r>
            <w:r>
              <w:rPr>
                <w:rFonts w:hint="eastAsia" w:ascii="宋体" w:hAnsi="宋体" w:cs="宋体"/>
                <w:color w:val="auto"/>
                <w:sz w:val="22"/>
                <w:szCs w:val="20"/>
                <w:highlight w:val="none"/>
                <w:u w:val="single"/>
              </w:rPr>
              <w:t>m/m</w:t>
            </w:r>
          </w:p>
        </w:tc>
      </w:tr>
      <w:tr w14:paraId="2058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4BAFBF24">
            <w:pPr>
              <w:pStyle w:val="61"/>
              <w:spacing w:line="269" w:lineRule="auto"/>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w:t>
            </w:r>
          </w:p>
        </w:tc>
        <w:tc>
          <w:tcPr>
            <w:tcW w:w="2271" w:type="dxa"/>
            <w:vAlign w:val="center"/>
          </w:tcPr>
          <w:p w14:paraId="027D956F">
            <w:pPr>
              <w:pStyle w:val="61"/>
              <w:spacing w:line="269" w:lineRule="auto"/>
              <w:jc w:val="center"/>
              <w:rPr>
                <w:rFonts w:hint="eastAsia" w:ascii="宋体" w:hAnsi="宋体" w:cs="宋体"/>
                <w:color w:val="auto"/>
                <w:sz w:val="22"/>
                <w:szCs w:val="20"/>
                <w:highlight w:val="none"/>
              </w:rPr>
            </w:pPr>
          </w:p>
        </w:tc>
        <w:tc>
          <w:tcPr>
            <w:tcW w:w="2172" w:type="dxa"/>
            <w:vAlign w:val="center"/>
          </w:tcPr>
          <w:p w14:paraId="51B29046">
            <w:pPr>
              <w:pStyle w:val="61"/>
              <w:spacing w:line="269" w:lineRule="auto"/>
              <w:jc w:val="center"/>
              <w:rPr>
                <w:rFonts w:hint="eastAsia" w:ascii="宋体" w:hAnsi="宋体" w:cs="宋体"/>
                <w:color w:val="auto"/>
                <w:sz w:val="22"/>
                <w:szCs w:val="20"/>
                <w:highlight w:val="none"/>
              </w:rPr>
            </w:pPr>
          </w:p>
        </w:tc>
        <w:tc>
          <w:tcPr>
            <w:tcW w:w="3273" w:type="dxa"/>
            <w:vAlign w:val="center"/>
          </w:tcPr>
          <w:p w14:paraId="59322E1D">
            <w:pPr>
              <w:pStyle w:val="61"/>
              <w:spacing w:line="269" w:lineRule="auto"/>
              <w:jc w:val="center"/>
              <w:rPr>
                <w:rFonts w:hint="eastAsia" w:ascii="宋体" w:hAnsi="宋体" w:cs="宋体"/>
                <w:color w:val="auto"/>
                <w:sz w:val="22"/>
                <w:szCs w:val="20"/>
                <w:highlight w:val="none"/>
              </w:rPr>
            </w:pPr>
          </w:p>
        </w:tc>
      </w:tr>
    </w:tbl>
    <w:p w14:paraId="33CA4A1C">
      <w:pPr>
        <w:pStyle w:val="61"/>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 1.石料单位用量指标中单位</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m³</w:t>
      </w:r>
      <w:r>
        <w:rPr>
          <w:rFonts w:hint="eastAsia" w:ascii="宋体" w:hAnsi="宋体" w:eastAsia="宋体" w:cs="宋体"/>
          <w:color w:val="auto"/>
          <w:sz w:val="21"/>
          <w:szCs w:val="21"/>
          <w:highlight w:val="none"/>
          <w:u w:val="none"/>
        </w:rPr>
        <w:t>/</w:t>
      </w:r>
      <w:r>
        <w:rPr>
          <w:rFonts w:hint="eastAsia" w:ascii="宋体" w:hAnsi="宋体" w:cs="宋体"/>
          <w:color w:val="auto"/>
          <w:sz w:val="21"/>
          <w:szCs w:val="21"/>
          <w:highlight w:val="none"/>
          <w:u w:val="none"/>
          <w:lang w:eastAsia="zh-CN"/>
        </w:rPr>
        <w:t>m³</w:t>
      </w:r>
      <w:r>
        <w:rPr>
          <w:rFonts w:hint="eastAsia" w:ascii="宋体" w:hAnsi="宋体" w:eastAsia="宋体" w:cs="宋体"/>
          <w:color w:val="auto"/>
          <w:sz w:val="21"/>
          <w:szCs w:val="21"/>
          <w:highlight w:val="none"/>
        </w:rPr>
        <w:t>代表每计量1立方米实体工程消耗的石料堆方数量为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立方米；</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kg/</w:t>
      </w:r>
      <w:r>
        <w:rPr>
          <w:rFonts w:hint="eastAsia" w:ascii="宋体" w:hAnsi="宋体" w:cs="宋体"/>
          <w:color w:val="auto"/>
          <w:sz w:val="21"/>
          <w:szCs w:val="21"/>
          <w:highlight w:val="none"/>
          <w:lang w:eastAsia="zh-CN"/>
        </w:rPr>
        <w:t>m³</w:t>
      </w:r>
      <w:r>
        <w:rPr>
          <w:rFonts w:hint="eastAsia" w:ascii="宋体" w:hAnsi="宋体" w:eastAsia="宋体" w:cs="宋体"/>
          <w:color w:val="auto"/>
          <w:sz w:val="21"/>
          <w:szCs w:val="21"/>
          <w:highlight w:val="none"/>
        </w:rPr>
        <w:t>代表每计量1立方米实体工程消耗的重量为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公斤。其余以此类推。</w:t>
      </w:r>
    </w:p>
    <w:p w14:paraId="6A685436">
      <w:pPr>
        <w:pStyle w:val="61"/>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碎石统一按照定额材料代号5505016号“碎石”价格进行调整；砂统一按照定额材料代号5503005号“中（粗）砂”价格进行调整；机制砂统一按照定额材料代号5503002号“机制砂”价格进行调整。若采用机制砂，计算调价材料数量的单位用量指标按砂用量。</w:t>
      </w:r>
    </w:p>
    <w:p w14:paraId="1C8BA0FF">
      <w:pPr>
        <w:pStyle w:val="61"/>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桥梁桩基础混凝土中的水泥统一按照定额材料代号5509002号“42.5级水泥”价格进行调整；其他实体工程混凝土中的水泥，标号小于等于C40的统一按照定额材料代号5509002号“42.5级水泥”价格进行调整，标号大于等于C50的统一按照定额材料代号5509003号“52.5级水泥”价格进行调整；桥梁桩基础根据设计桩径按计量长度换算为混凝土体积，相关成孔损耗已在上表中水泥用量指标综合考虑。</w:t>
      </w:r>
    </w:p>
    <w:p w14:paraId="49F397B0">
      <w:pPr>
        <w:pStyle w:val="61"/>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4.沥青视采用的品种，按照定额材料代号3001001020号“国产沥青”或3001001021号“进口石油沥青”、3001002010号“国产改性沥青”或3001002011号“进口改性沥青”的价格进行调整。</w:t>
      </w:r>
    </w:p>
    <w:p w14:paraId="048AB2C5">
      <w:pPr>
        <w:pStyle w:val="61"/>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5.沥青混合料及改性沥青混合料拌合消耗的燃油、天然气统一按定额材料代号3003001 号“重油”价格进行调整。</w:t>
      </w:r>
    </w:p>
    <w:p w14:paraId="3D799B46">
      <w:pPr>
        <w:pStyle w:val="61"/>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6.混凝土管桩仅按成品信息价格进行调差。</w:t>
      </w:r>
    </w:p>
    <w:p w14:paraId="5F445E09">
      <w:pPr>
        <w:pStyle w:val="61"/>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7.表中的单位用量指标，发包人应参照《公路工程预算定额》的定额消耗量确定。</w:t>
      </w:r>
    </w:p>
    <w:p w14:paraId="79C61DF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实际采购价格法</w:t>
      </w:r>
    </w:p>
    <w:p w14:paraId="7C4CDFB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ΔC=（ΔP-Po×r）×Q，其中｜ΔP｜＞｜Po×r｜ ΔP＝Pa－Po，式中：ΔC、ΔP、Q、r同16.1.2款。</w:t>
      </w:r>
    </w:p>
    <w:p w14:paraId="17DC792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Po—基准价，指项目招标时，建设单位（项目法人）确定最高投标限价时采用的材料单价。建设单位（项目法人）应在招标文件中明确基准价（Po）的价格。</w:t>
      </w:r>
    </w:p>
    <w:p w14:paraId="0827503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Pa—采购价，经建设单位（项目法人）、监理核实的， 有相应的合法支撑依据的实际采购材料价格</w:t>
      </w:r>
    </w:p>
    <w:p w14:paraId="1146A55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①，分批采购时按权重取平均值计算。</w:t>
      </w:r>
    </w:p>
    <w:p w14:paraId="4CE714C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采用实际采购价格法调整材料价差的其他约定，同16.1.2.2目。</w:t>
      </w:r>
    </w:p>
    <w:p w14:paraId="1874F00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16.1.4砂石料运输费用调整</w:t>
      </w:r>
    </w:p>
    <w:p w14:paraId="273EF99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合同工程量清单中的沥青混凝土路面上面层用的砂石料（砂石料指碎石及同母材的机制砂）材料单价包含了</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公里运输费用（其中：水路运输 Y 公里，公路运输 Z 公里），如实际运输方式和运输距离与清单预算不一致时，运输费用按如下原则进行调整：</w:t>
      </w:r>
    </w:p>
    <w:p w14:paraId="7B80A1C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1、本项目实际运距指单个沥青拌和场至单个石场的运输距离，运输距离及砂石料用量以承包人、监理人、发包人三方确定为准；</w:t>
      </w:r>
    </w:p>
    <w:p w14:paraId="15BFDD8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2、从不同石场采购的砂石料按各自的实际运距计算调整费用，公路运输单价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m³</w:t>
      </w:r>
      <w:r>
        <w:rPr>
          <w:rFonts w:hint="eastAsia" w:ascii="宋体" w:hAnsi="宋体" w:eastAsia="宋体" w:cs="宋体"/>
          <w:color w:val="auto"/>
          <w:sz w:val="24"/>
          <w:szCs w:val="24"/>
          <w:highlight w:val="none"/>
        </w:rPr>
        <w:t>·km，水运单价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m³</w:t>
      </w:r>
      <w:r>
        <w:rPr>
          <w:rFonts w:hint="eastAsia" w:ascii="宋体" w:hAnsi="宋体" w:eastAsia="宋体" w:cs="宋体"/>
          <w:color w:val="auto"/>
          <w:sz w:val="24"/>
          <w:szCs w:val="24"/>
          <w:highlight w:val="none"/>
        </w:rPr>
        <w:t>·km，调整运输费用=（（水路运输实际运距-Y-A）×</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+（公路运输实际运距-Z-B）×</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）×砂石料运输数量，正数为发包人向承包人支付调差（承包人应向发包人提供等额的完税发票），负数为发包人向承包人扣回调差（从应付工程款中扣除）。其中：</w:t>
      </w:r>
    </w:p>
    <w:p w14:paraId="70F615C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(1)当水路运输实际运距在（Y-k）～（Y+k）公里之间（含界值）时，水路运输费用不作调整；小于（Y-k）公里时，A=-k；大于（Y+k）公里时，A=k；</w:t>
      </w:r>
    </w:p>
    <w:p w14:paraId="446121F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(2)当公路运输实际运距在（Z-k）～（Z+k）公里之间（含界值）时，公路运输费用不作调整；小于（Z-k）公里时，B=-k；大于（Z+k）公里时，B=k；</w:t>
      </w:r>
    </w:p>
    <w:p w14:paraId="7E423EA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(3)运输运距以公里为单位，运输数量以</w:t>
      </w:r>
      <w:r>
        <w:rPr>
          <w:rFonts w:hint="eastAsia" w:ascii="宋体" w:hAnsi="宋体" w:cs="宋体"/>
          <w:color w:val="auto"/>
          <w:sz w:val="24"/>
          <w:szCs w:val="24"/>
          <w:highlight w:val="none"/>
          <w:lang w:val="en-US" w:eastAsia="zh-CN"/>
        </w:rPr>
        <w:t>m³</w:t>
      </w:r>
      <w:r>
        <w:rPr>
          <w:rFonts w:hint="eastAsia" w:ascii="宋体" w:hAnsi="宋体" w:eastAsia="宋体" w:cs="宋体"/>
          <w:color w:val="auto"/>
          <w:sz w:val="24"/>
          <w:szCs w:val="24"/>
          <w:highlight w:val="none"/>
        </w:rPr>
        <w:t>为单位；k一般取值30。</w:t>
      </w:r>
    </w:p>
    <w:p w14:paraId="3C7C586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(4)采用铁路运输，铁路运输单价及运输费用调整同水路运输；</w:t>
      </w:r>
    </w:p>
    <w:p w14:paraId="4F5D742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(5)可补偿的实际运距费用按其对应数量计算最多不超过</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m³</w:t>
      </w:r>
      <w:r>
        <w:rPr>
          <w:rFonts w:hint="eastAsia" w:ascii="宋体" w:hAnsi="宋体" w:eastAsia="宋体" w:cs="宋体"/>
          <w:color w:val="auto"/>
          <w:sz w:val="24"/>
          <w:szCs w:val="24"/>
          <w:highlight w:val="none"/>
        </w:rPr>
        <w:t>。</w:t>
      </w:r>
    </w:p>
    <w:p w14:paraId="5D69D8B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3、按以上原则计算的调整费用为包干费用，不再考虑路桥费、装卸费、转运、仓储、管理费。</w:t>
      </w:r>
    </w:p>
    <w:p w14:paraId="0725B0C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16.1.5 税费增减</w:t>
      </w:r>
    </w:p>
    <w:p w14:paraId="6087378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由材料价差调整所产生的材料采购增值税增减额由发包人承担，其他税费由承包人承担。</w:t>
      </w:r>
    </w:p>
    <w:p w14:paraId="4B0F6E2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法律变化引起的价格调整</w:t>
      </w:r>
    </w:p>
    <w:p w14:paraId="1401E37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本款细化为：</w:t>
      </w:r>
    </w:p>
    <w:p w14:paraId="495D5CD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（1）除合同另有约定外，如果在投标文件递交截止日 28 天之后，国家或省颁布的法律、法规出现修改或变更，因采用上述法律、法规使承包人在履行合同中发生第 16.1款规定的价格调整以外的费用增加或减少的，相关增减费用由监理人与承包人协商后，报发包人审核审批。</w:t>
      </w:r>
    </w:p>
    <w:p w14:paraId="4803F17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实施过程中，所引用的国家标准和规范如果有修改或新颁，应由发包人决定是否采用新标准或新规范，承包人应在监理人的监督下按发包人的决定执行。采用新标准、新规范（相对于招标文件）所增加的相应费用由发包人承担。</w:t>
      </w:r>
    </w:p>
    <w:p w14:paraId="4E6EF69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执行期间，如发生税务政策调整，则执行新的税务政策，按以下公式调整剩余合同价款，并签订补充协议。调整后合同价=原合同价/(1+原税率）*（1+新税率），因承包人提供发票不及时或有误导致工程款不能支付的责任由承包人承担。</w:t>
      </w:r>
    </w:p>
    <w:p w14:paraId="4353717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本条补充第 16.3 款、第 16.4 款、第 16.5 款：</w:t>
      </w:r>
    </w:p>
    <w:p w14:paraId="7E83A57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执行国家和行业标准</w:t>
      </w:r>
    </w:p>
    <w:p w14:paraId="2822317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除非发包人和监理人专门批准，如果本工程技术规范和图纸标准低于国家和行业标准，则应按国家和行业标准执行，承包人不能因此提出增加费用的要求和索赔。</w:t>
      </w:r>
    </w:p>
    <w:p w14:paraId="6B95631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工期拖期的价格调整</w:t>
      </w:r>
    </w:p>
    <w:p w14:paraId="72FF963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由于承包人原因未能在投标书附录中写明的工期内完成本合同工程，在超出合同工期以后施工的工程，承包人不能因此提出调整合同单价（总额价）要求。即使某种延期符合第 11.4 条及本合同条款相关规定，在该延长的合同工期到期以后施工的工程，承包人也不能因此提出调整合同单价（总额价）要求。</w:t>
      </w:r>
    </w:p>
    <w:p w14:paraId="6C97D5D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16.5其他原因引起的价格调整</w:t>
      </w:r>
    </w:p>
    <w:p w14:paraId="5F93AFD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16.5.1应急抢险工程</w:t>
      </w:r>
    </w:p>
    <w:p w14:paraId="5B6085E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自然灾害、地质灾害以及其他突发事件引发，导致高速公路及沿线设施受损，正在发生严重危害或即将产生严重危害，必须迅速采取措施的工程或因应对突发事件需要在短期内启动并尽快完成的抢险修复工程，经发包人和监理人确认后，按应急抢险工程进行处理。应急抢险工程的变更作价按 15.4.4 款约定执行。</w:t>
      </w:r>
    </w:p>
    <w:p w14:paraId="7AAA940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16.5.2施工图设计和合同清单工程数量出现“差、错、漏、碰”的，经勘误后，按合同条款及计量支付规则约定的计量原则，作变更处理。</w:t>
      </w:r>
    </w:p>
    <w:p w14:paraId="3EA27E8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16.5.3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（其他可调整价格的情形）。</w:t>
      </w:r>
    </w:p>
    <w:p w14:paraId="29EF933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计量与支付</w:t>
      </w:r>
    </w:p>
    <w:p w14:paraId="65B7976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计量</w:t>
      </w:r>
    </w:p>
    <w:p w14:paraId="3B3FC69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17.1.5 总价子目的计量</w:t>
      </w:r>
    </w:p>
    <w:p w14:paraId="1019A70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本项目工程量清单中要求承包人以“总额”方式报价的子目，各子目的支付原则和支付进度按本合同文件工程量清单计量规则中的规定执行。</w:t>
      </w:r>
    </w:p>
    <w:p w14:paraId="7AFEF10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本款补充第 17.1.6-17.1.8 项：</w:t>
      </w:r>
    </w:p>
    <w:p w14:paraId="69245C8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17.1.6 变更工程的暂定计量和支付</w:t>
      </w:r>
    </w:p>
    <w:p w14:paraId="1D668BB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14:paraId="5C8213E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17.1.7 路面备料款的计量和支付</w:t>
      </w:r>
    </w:p>
    <w:p w14:paraId="6724AAC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发包人将对承包人的路面碎石、机制砂备料款进行暂定计量，具体操作办法如下：</w:t>
      </w:r>
    </w:p>
    <w:p w14:paraId="1086907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（1）计量数量：以承包人实际进场并经监理人和发包人代表验收确认数量的项目专用合同条款数据表约定的比例计；</w:t>
      </w:r>
    </w:p>
    <w:p w14:paraId="6202783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（2）计量单价：本合同段招标最高投标限价清单预算采用的相应规格材料预算价</w:t>
      </w:r>
      <w:r>
        <w:rPr>
          <w:rFonts w:hint="eastAsia" w:ascii="宋体" w:hAnsi="宋体" w:eastAsia="宋体" w:cs="宋体"/>
          <w:color w:val="auto"/>
          <w:sz w:val="24"/>
          <w:szCs w:val="24"/>
          <w:highlight w:val="none"/>
          <w:u w:val="single"/>
        </w:rPr>
        <w:t>（含税/不含税）</w:t>
      </w:r>
      <w:r>
        <w:rPr>
          <w:rFonts w:hint="eastAsia" w:ascii="宋体" w:hAnsi="宋体" w:eastAsia="宋体" w:cs="宋体"/>
          <w:color w:val="auto"/>
          <w:sz w:val="24"/>
          <w:szCs w:val="24"/>
          <w:highlight w:val="none"/>
        </w:rPr>
        <w:t>；</w:t>
      </w:r>
    </w:p>
    <w:p w14:paraId="74FBB9E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（3）计量方式：每月计量一次；</w:t>
      </w:r>
    </w:p>
    <w:p w14:paraId="408A6CB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（4）暂定计量备料款的扣回：承包人所备的碎石、机制砂材料已用于路面施工并得到正常计量后，发包人将在计量当期扣回对应的暂定计量备料款。</w:t>
      </w:r>
    </w:p>
    <w:p w14:paraId="192C199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17.1.8 过程结算的计量和支付</w:t>
      </w:r>
    </w:p>
    <w:p w14:paraId="7950879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发包人制定过程结算制度并明确有关过程结算的计量支付规则，未按要求完成过程结算的费用项，最高支付金额不宜超过建设单位审核确认的 97%，过程结算完成后方可支付余下金额。完工结算率低于30%的，在后续计量支付中可暂扣工程进度款一定比例，具体在过程结算条款中明确。</w:t>
      </w:r>
    </w:p>
    <w:p w14:paraId="296C18F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预付款</w:t>
      </w:r>
    </w:p>
    <w:p w14:paraId="77F1D8D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17.2.3 预付款的扣回与还清</w:t>
      </w:r>
    </w:p>
    <w:p w14:paraId="4DA70AC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本款补充第(3)目如下：</w:t>
      </w:r>
    </w:p>
    <w:p w14:paraId="4847092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如有需要，发包人可根据实际情况制定更符合工程需要的预付款月扣款比例。</w:t>
      </w:r>
    </w:p>
    <w:p w14:paraId="6042C93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工程进度付款</w:t>
      </w:r>
    </w:p>
    <w:p w14:paraId="74D602B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17.3.1 付款周期</w:t>
      </w:r>
    </w:p>
    <w:p w14:paraId="6D779E6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本项补充：</w:t>
      </w:r>
    </w:p>
    <w:p w14:paraId="107AAA2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根据工程进度需要，可在一个计量周期内实行“一次计量、两次支付”的方式，即在承包人上报月计量报表经监理人审核后，发包人暂按当期计量金额的50%进行第一次支付，待月计量报表审核流程结束后，发包人根据审批的付款证书进行第二次支付，并扣回第一次的暂定支付金额。”</w:t>
      </w:r>
    </w:p>
    <w:p w14:paraId="257956B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将本款第 17.3.5 项细化如下:</w:t>
      </w:r>
    </w:p>
    <w:p w14:paraId="0663166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17.3.5 农民工工资保证金</w:t>
      </w:r>
    </w:p>
    <w:p w14:paraId="0E4D903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按广东省交通运输厅转发人力资源社会保障部等部门《工程建设领域农民工工资保证金规定》的通知执行。</w:t>
      </w:r>
    </w:p>
    <w:p w14:paraId="375B2EF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质量保证金</w:t>
      </w:r>
    </w:p>
    <w:p w14:paraId="1496F5D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17.4.2 项细化为：</w:t>
      </w:r>
    </w:p>
    <w:p w14:paraId="25D438E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项目完成竣工决算审查备案和竣工决算审计，且发包人和承包人最终确定结算金额后 30天内，发包人退还剩余质量保证金的80%给承包人。通过竣工验收后30天内，发包人将质量保证金的余额一次性退还给承包人。若承包人在项目竣工验收时工程质量评分未达优良等级，发包人全额扣回承包人在施工过程中所获得的全部优质优价价款。</w:t>
      </w:r>
    </w:p>
    <w:p w14:paraId="1B8EB3B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 最终结清</w:t>
      </w:r>
    </w:p>
    <w:p w14:paraId="5FB1DA5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 最终结清申请单</w:t>
      </w:r>
    </w:p>
    <w:p w14:paraId="057578C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本项(1)目约定为：</w:t>
      </w:r>
    </w:p>
    <w:p w14:paraId="6E805CD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28天内。</w:t>
      </w:r>
    </w:p>
    <w:p w14:paraId="6B379AC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最终结清申请单中的总金额应认为是代表了根据合同规定应付给承包人的全部款项的最后结算。</w:t>
      </w:r>
    </w:p>
    <w:p w14:paraId="25ABFED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14:paraId="32FE6D9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交工验收</w:t>
      </w:r>
    </w:p>
    <w:p w14:paraId="13E00BA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验收</w:t>
      </w:r>
    </w:p>
    <w:p w14:paraId="6D53205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18.3.2 项补充：</w:t>
      </w:r>
    </w:p>
    <w:p w14:paraId="0D123BC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交工验收由发包人主持，由发包人、监理人、质监、设计、施工、运营、管理养护等有关部门代表组成交工验收小组，对本项目的工程质量进行评定，并写出交工验收报告报交通主管部门备案。项目交工验收报告上报备案前14天，项目必须依法依规提供完整的专项验收工作报告，包括但不限于：涉航、防雷、消防、安全性评价、工程质量检测报告等。承包人应按发包人的要求提交竣工资料，完成交工验收准备工作。 </w:t>
      </w:r>
    </w:p>
    <w:p w14:paraId="16AB6FF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工验收是建设项目投产使用前的重要的、关键的工作，建设项目各参建单位要切实提高站位，压实主体责任，坚决扭转项目交工验收工作总结流于形式、质量差等突出问题，严格按照《广东省交通运输厅关于进一步加强公路建设项目交工验收工作管理的通知》的规定执行，要结合本项目实际认真扎实做好总结工作，总结材料力求简明扼要，文字精炼，重点突出，必要时辅以图表等辅助材料。</w:t>
      </w:r>
    </w:p>
    <w:p w14:paraId="1BCAB36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 竣工文件</w:t>
      </w:r>
    </w:p>
    <w:p w14:paraId="272021E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在本款后增加以下内容：</w:t>
      </w:r>
    </w:p>
    <w:p w14:paraId="3B1F459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承包人向发包人提交的合格的竣工文件中必须包括有整套竣工图的电子档案。承包人在完成施工图表等竣工文件的同时，还应按《广东省交通运输厅关于印发广东省公路工程竣工决算文件编制指南的通知》、《交通运输部基本建设项目竣工财务决算编审规定》的规定，编制由承包人实施的工程结算文件，报监理人审核，作为竣工文件的一部分。</w:t>
      </w:r>
    </w:p>
    <w:p w14:paraId="4F5B3B5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如有需要发包人有权指定单位或相关部门进行整个项目的竣工资料统一编制，承包人应予以积极配合，所发生费用由承包人承担。</w:t>
      </w:r>
    </w:p>
    <w:p w14:paraId="2A5935A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缺陷责任与保修责任</w:t>
      </w:r>
    </w:p>
    <w:p w14:paraId="67C4890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缺陷责任</w:t>
      </w:r>
    </w:p>
    <w:p w14:paraId="5E719C3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 19.2.2 项后增加以下内容：</w:t>
      </w:r>
    </w:p>
    <w:p w14:paraId="0611D63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承包人应在缺陷责任期内安排专人负责缺陷责任期的管理工作，并确保在接到发包人要求处理有关缺陷事项的通知后 24 小时内到达现场，到达现场后随即采取有效措施解决工程遗留的缺陷或其他问题。承包人未履行本款规定的缺陷处治责任义务，视为承包人违约并按 22.1 款约定处理。</w:t>
      </w:r>
    </w:p>
    <w:p w14:paraId="6EEF419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 保修责任</w:t>
      </w:r>
    </w:p>
    <w:p w14:paraId="5AD6D46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19.7（1）目补充：</w:t>
      </w:r>
    </w:p>
    <w:p w14:paraId="0699824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详见项目专用合同条款数据表中约定。</w:t>
      </w:r>
    </w:p>
    <w:p w14:paraId="529BDCF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保险</w:t>
      </w:r>
    </w:p>
    <w:p w14:paraId="1935D5D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工程保险</w:t>
      </w:r>
    </w:p>
    <w:p w14:paraId="2B3018C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20.1 款修改为：</w:t>
      </w:r>
    </w:p>
    <w:p w14:paraId="7B51343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建筑工程一切险及第三者责任险</w:t>
      </w:r>
    </w:p>
    <w:p w14:paraId="24BBBCB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20.1.1 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FB3823B">
      <w:pPr>
        <w:pStyle w:val="61"/>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保险金额：</w:t>
      </w:r>
      <w:r>
        <w:rPr>
          <w:rFonts w:hint="eastAsia" w:ascii="宋体" w:hAnsi="宋体" w:eastAsia="宋体" w:cs="宋体"/>
          <w:color w:val="auto"/>
          <w:sz w:val="24"/>
          <w:szCs w:val="24"/>
          <w:highlight w:val="none"/>
          <w:u w:val="single"/>
        </w:rPr>
        <w:t>工程量清单第 100 章至 900 章费用之和，扣除建筑工程一切险及第三者责任险的保险费、机电工程设备购置费。</w:t>
      </w:r>
    </w:p>
    <w:p w14:paraId="49AC5D1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保险费率：在项目专用合同条款数据表中约定。</w:t>
      </w:r>
    </w:p>
    <w:p w14:paraId="515F597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保险期限：开工日起直至本合同工程签发缺陷责任期终止证书止（即合同工期＋缺陷责任期）。</w:t>
      </w:r>
    </w:p>
    <w:p w14:paraId="0D390DE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w:t>
      </w:r>
    </w:p>
    <w:p w14:paraId="78092A3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20.1.2 保险标的出险后，承包人应自行向保险人报案、登记、索赔并报告发包人，并做好资料整理、工程损失计算等。上述工作所产生的费用由承包人承担。</w:t>
      </w:r>
    </w:p>
    <w:p w14:paraId="661E0A5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20.1.3 因保险事故产生的修复、索赔等责任由承包人承担。若承包人放弃索赔或因自身原因延误索赔，发包人保留索赔的权利，保险索赔所得费用归发包人所有。</w:t>
      </w:r>
    </w:p>
    <w:p w14:paraId="7335F06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 承包人员工伤事故的保险</w:t>
      </w:r>
    </w:p>
    <w:p w14:paraId="61CFC89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本项补充：</w:t>
      </w:r>
    </w:p>
    <w:p w14:paraId="0A48CD1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为促进承包人加强安全生产，预防和减少工伤事故，承包人应按《关于做好我省铁路、公路、水运、水利、能源、机场工程建设项目参加工伤保险工作的通知》（粤人社规[2018]15 号）等相关规定参加工伤保险，为其履行合同所雇用的全部人员缴纳工伤保险费，并要求其分包人也进行此项保险。</w:t>
      </w:r>
    </w:p>
    <w:p w14:paraId="69229FA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第三者责任险</w:t>
      </w:r>
    </w:p>
    <w:p w14:paraId="58EF86E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20.4.2 项补充：</w:t>
      </w:r>
    </w:p>
    <w:p w14:paraId="0106CDE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第三者责任险的购买、报险、索赔等，参照第 20.1 款约定执行。</w:t>
      </w:r>
    </w:p>
    <w:p w14:paraId="1C8D858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者责任险保险费，将由发包人从承包人的应付款中代扣，统一向保险公司支付；或先由承包人支付，在接到保险公司的保险单并经监理人签证后，发包人将按照保险单的费用直接向承包人支付，但不得高于对应的承包人投标报价。具体在项目专用合同条款数据表中约定。</w:t>
      </w:r>
    </w:p>
    <w:p w14:paraId="2D1D5187">
      <w:pPr>
        <w:pStyle w:val="61"/>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21.不可抗力</w:t>
      </w:r>
    </w:p>
    <w:p w14:paraId="7F9DD4E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不可抗力的确认</w:t>
      </w:r>
    </w:p>
    <w:p w14:paraId="60245ACB">
      <w:pPr>
        <w:pStyle w:val="61"/>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21.1.1 (6)不可抗力的其他情形：</w:t>
      </w:r>
      <w:r>
        <w:rPr>
          <w:rFonts w:hint="eastAsia" w:ascii="宋体" w:hAnsi="宋体" w:eastAsia="宋体" w:cs="宋体"/>
          <w:color w:val="auto"/>
          <w:sz w:val="24"/>
          <w:szCs w:val="24"/>
          <w:highlight w:val="none"/>
          <w:u w:val="single"/>
        </w:rPr>
        <w:t>详见项目专用合同条款数据表</w:t>
      </w:r>
    </w:p>
    <w:p w14:paraId="2E939F9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不可抗力后果及其处理</w:t>
      </w:r>
    </w:p>
    <w:p w14:paraId="6182622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 不可抗力造成损害的责任</w:t>
      </w:r>
    </w:p>
    <w:p w14:paraId="2EDD060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本款补充如下内容：本款中凡是约定由发包人承担损失和赔偿责任的，均按照第20 条的约定，属保险范围内的均由承保人承担。如保险金不足以补偿上述损失（包括免赔额和超过赔偿限额的部分），则按照第 21.3.1 不可抗力造成损害的责任的分摊原则执行。</w:t>
      </w:r>
    </w:p>
    <w:p w14:paraId="36084E20">
      <w:pPr>
        <w:pStyle w:val="61"/>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违约</w:t>
      </w:r>
    </w:p>
    <w:p w14:paraId="46D9151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承包人违约</w:t>
      </w:r>
    </w:p>
    <w:p w14:paraId="3727EA9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 22.1.1(4)目补充为：承包人未能按合同进度计划及时完成合同约定的工作，或未切实履行第 4.1.7 款的约定，导致发生工程阻工、停工，已造成或预期造成工期延误；</w:t>
      </w:r>
    </w:p>
    <w:p w14:paraId="1ECA70F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 对承包人违约的处理</w:t>
      </w:r>
    </w:p>
    <w:p w14:paraId="1009667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将本款第(4)目修改如下：</w:t>
      </w:r>
    </w:p>
    <w:p w14:paraId="0F01DD7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承包人发生第 22.1.1 项约定的违约情况时，无论发包人是否解除合同，发包人均有权按本合同附件的规定向承包人课以违约金，并由发包人将其违约行为上报上级交通运输主管部门，作为不良记录纳入公路建设市场信用信息管理系统。</w:t>
      </w:r>
    </w:p>
    <w:p w14:paraId="4C11C17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在本款下增加第(5)～第(7)目如下：</w:t>
      </w:r>
    </w:p>
    <w:p w14:paraId="4C22C4E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按合同规定向承包人开出的任何违约金，除合同另有规定外，均从发包人应向承包人支付的工程款中直接扣除。除非合同另有规定，发包人向承包人开出的任何违约金将导致承包人最终的应得结算价款相应地减少（除合同另有约定外）。承包人必须完全接受上述条款。</w:t>
      </w:r>
    </w:p>
    <w:p w14:paraId="1F4EE76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按合同规定向承包人开出的任何违约处罚金的扣除时间，可以在发包人认为合适的任何一个期中支付月份中扣除。发包人扣除承包人违约金时间的延迟或滞后，并不代表处罚不再执行，也不代表对承包人行为的认可或默认。</w:t>
      </w:r>
    </w:p>
    <w:p w14:paraId="4E111BA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（7）本项目所有承包人的违约金均由业主掌握使用，可部分或全部用于本项目的各项评比和奖励。</w:t>
      </w:r>
    </w:p>
    <w:p w14:paraId="166591A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发包人违约</w:t>
      </w:r>
    </w:p>
    <w:p w14:paraId="6C4AE0B9">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本款细化为：</w:t>
      </w:r>
    </w:p>
    <w:p w14:paraId="354BE48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22.2.1 如果发包人无合理的理由去阻挠或拒绝符合合同规定的付款证书颁发所需的批准，则可视为发包人违约。承包人有权终止合同，并在通知发包人和将通知副本提交监理人的 28 天后，合同终止生效。</w:t>
      </w:r>
    </w:p>
    <w:p w14:paraId="02889A0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22.2.2 如果合同因发包人违约而终止，承包人可要求发包人支付以下费用：</w:t>
      </w:r>
    </w:p>
    <w:p w14:paraId="0056D25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(a)发包人需向承包人支付合同终止之日前已完成的全部工程费用。</w:t>
      </w:r>
    </w:p>
    <w:p w14:paraId="52DD86C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(b)即将交付承包人的，或承包人依法有责任接收的为该工程合理订购的材料、工程设备或货物的费用，发包人一经支付此项费用，该材料、工程设备或货物即成为发包人的财产。</w:t>
      </w:r>
    </w:p>
    <w:p w14:paraId="2CCA8A1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(c)已合理开支的确定属于承包人为完成整个工程而合理发生的其他费用，而该费用未在本条款的其他各项下支付。</w:t>
      </w:r>
    </w:p>
    <w:p w14:paraId="637A68E0">
      <w:pPr>
        <w:pStyle w:val="61"/>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(d)考虑已完工程的付款比例，给予适当人员、设备等的退场费</w:t>
      </w:r>
      <w:r>
        <w:rPr>
          <w:rFonts w:hint="eastAsia" w:ascii="宋体" w:hAnsi="宋体" w:cs="宋体"/>
          <w:color w:val="auto"/>
          <w:sz w:val="24"/>
          <w:szCs w:val="24"/>
          <w:highlight w:val="none"/>
          <w:lang w:eastAsia="zh-CN"/>
        </w:rPr>
        <w:t>。</w:t>
      </w:r>
    </w:p>
    <w:p w14:paraId="52A720B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22.2.3 发包人除按本款规定支付上述费用给承包人外，亦有权要求承包人偿还按合同条款规定的或未结清的承包人欠发包人的各种款项。</w:t>
      </w:r>
    </w:p>
    <w:p w14:paraId="5A3EB8B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22.2.4 承包人（包括其分包人）出于追索本合同条款以外的利益，以有违社会规范的行为构成对发包人骚扰的，承包人须承担法律和经济责任。</w:t>
      </w:r>
    </w:p>
    <w:p w14:paraId="2DC983DF">
      <w:pPr>
        <w:pStyle w:val="61"/>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增加第 25 条</w:t>
      </w:r>
    </w:p>
    <w:p w14:paraId="5EB1AA5F">
      <w:pPr>
        <w:pStyle w:val="61"/>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 本项目需增加的专用合同条款</w:t>
      </w:r>
    </w:p>
    <w:p w14:paraId="35A4700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 承包人退出机制</w:t>
      </w:r>
    </w:p>
    <w:p w14:paraId="05080B6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发包人对不能满足各阶段工作目标的承包人实行强制退出本项目建设的办法。</w:t>
      </w:r>
    </w:p>
    <w:p w14:paraId="7FD1927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发包人将视承包人的实际施工能力情况，可按 4.3.8、4.3.9 款将该标段内剩余工程的部分或全部进行特殊分包，强制部分或整体退出。由发包人在本项目选择履约情况好的承包人承接剩余工程或采用招标方式选择承包人。如承包人逾期不退场的， 发包人有权委托第三方清理，所需费用由承包人承担。</w:t>
      </w:r>
    </w:p>
    <w:p w14:paraId="455AEDF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25.1.1 部分退出</w:t>
      </w:r>
    </w:p>
    <w:p w14:paraId="054670B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（1）人员退出：承包人的主要管理人员和技术骨干如不满足要求的，按 4.6.3 项的规定进行违约处理。</w:t>
      </w:r>
    </w:p>
    <w:p w14:paraId="2DAE035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（2）机械退出：机械设备达不到额定产能的 85 %者退出，并按监理人或发包人的要求及时组织性能良好的同类型的机械进驻施工现场。</w:t>
      </w:r>
    </w:p>
    <w:p w14:paraId="786FBBB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（3）专业队伍退出：在施工过程中累计发生两次生产安全事故或两次较大质量问题者强制退出。</w:t>
      </w:r>
    </w:p>
    <w:p w14:paraId="79C45DE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（4）工程进度达不到上述要求，承包人增加人员、设备仍达不到进度要求的，发包人有权对相应分项工程进行强制分割处理。</w:t>
      </w:r>
    </w:p>
    <w:p w14:paraId="12D1774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25.1.2 整体退出</w:t>
      </w:r>
    </w:p>
    <w:p w14:paraId="53DC60B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（1）出现转包、非法分包；</w:t>
      </w:r>
    </w:p>
    <w:p w14:paraId="2E93C0A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（2）出现重大安全责任，造成严重社会影响；</w:t>
      </w:r>
    </w:p>
    <w:p w14:paraId="5F721C1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（3）出现重大质量事故，严重影响工程质量和进度，造成严重社会影响；</w:t>
      </w:r>
    </w:p>
    <w:p w14:paraId="51F30E5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（4）由承包人自身原因导致使上述计划任务无法完成的；</w:t>
      </w:r>
    </w:p>
    <w:p w14:paraId="3C56E85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整体退出的施工企业，发包人将建议交通主管部门降低其信用等级。</w:t>
      </w:r>
    </w:p>
    <w:p w14:paraId="5247B3D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25.1.3 退出清算</w:t>
      </w:r>
    </w:p>
    <w:p w14:paraId="19645C8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（1）发包人对承包人整体退出本项目工程建设进行公示，并要求承包人对拖欠款项的单位和个人及时清算。</w:t>
      </w:r>
    </w:p>
    <w:p w14:paraId="1041433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（2）发包人扣押履约担保、质量保证金、停止计量支付。</w:t>
      </w:r>
    </w:p>
    <w:p w14:paraId="6FCA8EE8">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（3）承包人必须向发包人提交已完成工程的齐全的施工资料。</w:t>
      </w:r>
    </w:p>
    <w:p w14:paraId="69AD8D8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（4）清算后特殊分包单位的确定原则：</w:t>
      </w:r>
    </w:p>
    <w:p w14:paraId="1D4D546C">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由发包人选择本项目实力较强、 质量进度评比排名靠前的承包单位或由发包人通过合法方式选择分包单位；</w:t>
      </w:r>
    </w:p>
    <w:p w14:paraId="048E0E22">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分包单位选择情况上报上级行政主管部门；</w:t>
      </w:r>
    </w:p>
    <w:p w14:paraId="7674E35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特殊分包单位应具备特殊分包工程相对应的资质要求。</w:t>
      </w:r>
    </w:p>
    <w:p w14:paraId="3065463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（5）清算后费用承担：特殊分包范围内的项目，由于上述（4）确定的分包价与承包人合同价产生的价差由承包人承担。</w:t>
      </w:r>
    </w:p>
    <w:p w14:paraId="1B96716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（6）承包人应无条件接受，指定特殊分包单位无须向承包人交纳管理费。</w:t>
      </w:r>
    </w:p>
    <w:p w14:paraId="03F7313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但无论如何，承包人应按发包人要求提供已有的临时设施（如便道、电力线路等）供特殊分包人使用，承包人不得为此要求增加任何费用。</w:t>
      </w:r>
    </w:p>
    <w:p w14:paraId="650F8B7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 工程管理要求</w:t>
      </w:r>
    </w:p>
    <w:p w14:paraId="53B1156E">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发包人在项目建设管理过程中将推行交通运输部、广东省关于绿色公路、品质工程等公路工程现代化管理和公路施工标准化管理，为确保对项目生产一线的有效管理，承包人在进场施工时应配备足够的车辆用于项目管理现场，直至本项目建成通车。承包人应针对上述管理要求制定相应的工作方案，相应的人员、车辆应报监理人及发包人审批。</w:t>
      </w:r>
    </w:p>
    <w:p w14:paraId="13D057C7">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 电子文件归档和电子档案管理</w:t>
      </w:r>
      <w:r>
        <w:rPr>
          <w:rFonts w:hint="eastAsia" w:ascii="宋体" w:hAnsi="宋体" w:cs="宋体"/>
          <w:color w:val="auto"/>
          <w:sz w:val="24"/>
          <w:szCs w:val="24"/>
          <w:highlight w:val="none"/>
          <w:lang w:eastAsia="zh-CN"/>
        </w:rPr>
        <w:t>：</w:t>
      </w:r>
    </w:p>
    <w:p w14:paraId="715C37F6">
      <w:pPr>
        <w:pStyle w:val="61"/>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工程交工验收后，承包人需根据有关规定提供工程相关的电子档案，含关键工序、重点部位、隐蔽工程等影像资料等。</w:t>
      </w:r>
    </w:p>
    <w:p w14:paraId="40F0CE9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 过程结算</w:t>
      </w:r>
    </w:p>
    <w:p w14:paraId="62388E1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本合同工程执行过程中，建立过程结算制度，开展过程结算工作评价和考核，提高合同结算工作效率。具体执行《广东省交通运输厅关于印发广东省公路建设项目过程结算工作指导意见的通知》的规定, 并符合以下规定：</w:t>
      </w:r>
    </w:p>
    <w:p w14:paraId="4732CBE4">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开工前，发包人制订过程结算的目标和计划,按《广东省公路工程造价标准化管理指南》规定及发包人要求建立标准费用项目、合同工程量清单、图纸工程量三者的对应关系,明确过程结算的结算范围、单元划分、工作程序和考核标准等。承包人应配备专业人员、明确责任领导，按计划编制过程结算文件，将结算计划纳入总体施工组织设计内容, 作为开工报告组成部分。</w:t>
      </w:r>
    </w:p>
    <w:p w14:paraId="3542537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2.发包人、承包人均应保障承担过程结算工作人员的配置和稳定, 做到过程结算和工程建设同步推进、应结尽结。</w:t>
      </w:r>
    </w:p>
    <w:p w14:paraId="73EA956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3.结算单元按合同约定完成并通过质量中间验收，原则上按项目专用合同条款数据表约定的时间完成过程结算文件的编制、审核、签认工作。</w:t>
      </w:r>
    </w:p>
    <w:p w14:paraId="3D7A0CE6">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4.未按要求完成过程结算的费用项, 按项目专用合同条款数据表约定内容执行。</w:t>
      </w:r>
    </w:p>
    <w:p w14:paraId="14C8F031">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5.发包人、承包人签署认可的过程结算文件, 是最终结算文件和竣工决算文件的组成部分,具有法律效力, 最终结算时不需对已确认的过程结算重新办理确认。</w:t>
      </w:r>
    </w:p>
    <w:p w14:paraId="64C4FE50">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 合同结算</w:t>
      </w:r>
    </w:p>
    <w:p w14:paraId="44F845A3">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本合同工程交工验收后，承包人应按《广东省交通运输厅关于印发广东省公路建设项目竣工决算实行备案制管理的通知》的具体要求完成结算工作，发包人可根据项目实际情况制定相应的奖罚措施。</w:t>
      </w:r>
    </w:p>
    <w:p w14:paraId="01B3A70B">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为了按期完成工程竣工决算审查备案、审计及竣工验收工作，如发包人和承包人对结算确实存在分歧，经双方协商未果情况下，发包人有权进行合同单方结算，承包人须无条件接受。</w:t>
      </w:r>
    </w:p>
    <w:p w14:paraId="5545BAB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 本合同未尽事宜</w:t>
      </w:r>
    </w:p>
    <w:p w14:paraId="663F3A65">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能明确的有关规定，如质量管理、计划管理、计量与支付管理、台帐管理办法、变更管理、材料管理、安全管理、有关评比方案以及奖惩办法等，按发包人在项目建设管理过程中颁发的项目管理手册或另行发布的相关管理办法执行。</w:t>
      </w:r>
    </w:p>
    <w:p w14:paraId="2E9051C1">
      <w:pPr>
        <w:pStyle w:val="61"/>
        <w:spacing w:line="360" w:lineRule="auto"/>
        <w:ind w:firstLine="480" w:firstLineChars="200"/>
        <w:rPr>
          <w:rFonts w:ascii="宋体" w:hAnsi="宋体" w:cs="宋体"/>
          <w:color w:val="auto"/>
          <w:sz w:val="24"/>
          <w:szCs w:val="21"/>
          <w:highlight w:val="none"/>
        </w:rPr>
      </w:pPr>
      <w:r>
        <w:rPr>
          <w:rFonts w:hint="eastAsia" w:ascii="宋体" w:hAnsi="宋体" w:eastAsia="宋体" w:cs="宋体"/>
          <w:color w:val="auto"/>
          <w:sz w:val="24"/>
          <w:szCs w:val="24"/>
          <w:highlight w:val="none"/>
        </w:rPr>
        <w:t>发包人对项目实施动态管理，根据工程进展情况及项目目标实现情况，通过修正专用项目管理制度，不断建设完善项目管理责任体系，承包人须积极配合并无条件的接受。</w:t>
      </w:r>
      <w:r>
        <w:rPr>
          <w:rFonts w:hint="eastAsia" w:ascii="宋体" w:hAnsi="宋体" w:cs="宋体"/>
          <w:color w:val="auto"/>
          <w:sz w:val="24"/>
          <w:szCs w:val="21"/>
          <w:highlight w:val="none"/>
        </w:rPr>
        <w:br w:type="page"/>
      </w:r>
    </w:p>
    <w:p w14:paraId="780ABF31">
      <w:pPr>
        <w:pStyle w:val="2"/>
        <w:spacing w:after="120" w:line="240" w:lineRule="auto"/>
        <w:jc w:val="center"/>
        <w:rPr>
          <w:rFonts w:ascii="宋体" w:hAnsi="宋体"/>
          <w:color w:val="auto"/>
          <w:highlight w:val="none"/>
        </w:rPr>
      </w:pPr>
      <w:bookmarkStart w:id="1675" w:name="_Toc43476005"/>
      <w:r>
        <w:rPr>
          <w:rFonts w:ascii="宋体" w:hAnsi="宋体"/>
          <w:color w:val="auto"/>
          <w:highlight w:val="none"/>
        </w:rPr>
        <w:t>第三节合同附件格式</w:t>
      </w:r>
      <w:bookmarkEnd w:id="1673"/>
      <w:bookmarkEnd w:id="1674"/>
      <w:bookmarkEnd w:id="1675"/>
    </w:p>
    <w:p w14:paraId="36651F73">
      <w:pPr>
        <w:rPr>
          <w:rFonts w:ascii="宋体" w:hAnsi="宋体"/>
          <w:color w:val="auto"/>
          <w:sz w:val="24"/>
          <w:highlight w:val="none"/>
        </w:rPr>
      </w:pPr>
    </w:p>
    <w:p w14:paraId="1F77B2A6">
      <w:pPr>
        <w:pStyle w:val="78"/>
        <w:spacing w:line="360" w:lineRule="auto"/>
        <w:rPr>
          <w:rFonts w:ascii="宋体" w:hAnsi="宋体"/>
          <w:color w:val="auto"/>
          <w:sz w:val="24"/>
          <w:szCs w:val="24"/>
          <w:highlight w:val="none"/>
        </w:rPr>
      </w:pPr>
      <w:bookmarkStart w:id="1676" w:name="_Toc43476006"/>
      <w:bookmarkStart w:id="1677" w:name="_Toc4937"/>
      <w:r>
        <w:rPr>
          <w:rFonts w:ascii="宋体" w:hAnsi="宋体"/>
          <w:color w:val="auto"/>
          <w:sz w:val="24"/>
          <w:szCs w:val="24"/>
          <w:highlight w:val="none"/>
        </w:rPr>
        <w:t>附件一合同协议书</w:t>
      </w:r>
      <w:bookmarkEnd w:id="1676"/>
      <w:bookmarkEnd w:id="1677"/>
    </w:p>
    <w:p w14:paraId="2D0EA812">
      <w:pPr>
        <w:rPr>
          <w:rFonts w:ascii="宋体" w:hAnsi="宋体"/>
          <w:color w:val="auto"/>
          <w:sz w:val="24"/>
          <w:highlight w:val="none"/>
        </w:rPr>
      </w:pPr>
    </w:p>
    <w:p w14:paraId="00F6C07C">
      <w:pPr>
        <w:jc w:val="center"/>
        <w:rPr>
          <w:rFonts w:ascii="宋体" w:hAnsi="宋体"/>
          <w:b/>
          <w:color w:val="auto"/>
          <w:sz w:val="32"/>
          <w:szCs w:val="32"/>
          <w:highlight w:val="none"/>
        </w:rPr>
      </w:pPr>
      <w:r>
        <w:rPr>
          <w:rFonts w:hint="eastAsia" w:ascii="宋体" w:hAnsi="宋体"/>
          <w:b/>
          <w:color w:val="auto"/>
          <w:sz w:val="32"/>
          <w:szCs w:val="32"/>
          <w:highlight w:val="none"/>
        </w:rPr>
        <w:t>合同协议书</w:t>
      </w:r>
    </w:p>
    <w:p w14:paraId="2B6C9B5F">
      <w:pPr>
        <w:rPr>
          <w:rFonts w:ascii="宋体" w:hAnsi="宋体"/>
          <w:color w:val="auto"/>
          <w:sz w:val="24"/>
          <w:highlight w:val="none"/>
        </w:rPr>
      </w:pPr>
    </w:p>
    <w:p w14:paraId="5E883D65">
      <w:pPr>
        <w:spacing w:line="400" w:lineRule="exact"/>
        <w:ind w:firstLine="480" w:firstLineChars="200"/>
        <w:rPr>
          <w:rFonts w:ascii="宋体" w:hAnsi="宋体"/>
          <w:color w:val="auto"/>
          <w:sz w:val="24"/>
          <w:highlight w:val="none"/>
        </w:rPr>
      </w:pPr>
      <w:r>
        <w:rPr>
          <w:rFonts w:ascii="宋体" w:hAnsi="宋体"/>
          <w:color w:val="auto"/>
          <w:sz w:val="24"/>
          <w:highlight w:val="none"/>
          <w:u w:val="single"/>
        </w:rPr>
        <w:t>（发包人名称，以下简称“发包人”）</w:t>
      </w:r>
      <w:r>
        <w:rPr>
          <w:rFonts w:ascii="宋体" w:hAnsi="宋体"/>
          <w:color w:val="auto"/>
          <w:sz w:val="24"/>
          <w:highlight w:val="none"/>
        </w:rPr>
        <w:t>为实施</w:t>
      </w:r>
      <w:r>
        <w:rPr>
          <w:rFonts w:ascii="宋体" w:hAnsi="宋体"/>
          <w:color w:val="auto"/>
          <w:sz w:val="24"/>
          <w:highlight w:val="none"/>
          <w:u w:val="single"/>
        </w:rPr>
        <w:t>（项目名称）</w:t>
      </w:r>
      <w:r>
        <w:rPr>
          <w:rFonts w:ascii="宋体" w:hAnsi="宋体"/>
          <w:color w:val="auto"/>
          <w:sz w:val="24"/>
          <w:highlight w:val="none"/>
        </w:rPr>
        <w:t>，已接受</w:t>
      </w:r>
      <w:r>
        <w:rPr>
          <w:rFonts w:ascii="宋体" w:hAnsi="宋体"/>
          <w:color w:val="auto"/>
          <w:sz w:val="24"/>
          <w:highlight w:val="none"/>
          <w:u w:val="single"/>
        </w:rPr>
        <w:t>（承包人名称，以下简称“承包人”）</w:t>
      </w:r>
      <w:r>
        <w:rPr>
          <w:rFonts w:ascii="宋体" w:hAnsi="宋体"/>
          <w:color w:val="auto"/>
          <w:sz w:val="24"/>
          <w:highlight w:val="none"/>
        </w:rPr>
        <w:t>对该项目标段施工的投标。发包人和承包人共同达成如下协议。</w:t>
      </w:r>
    </w:p>
    <w:p w14:paraId="563FDF3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1.第标段由K+</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至K+</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，长约</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km，公路等级为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，设计时速为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路面，有立交</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处；特大桥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座，计长</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m；大中桥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座，计长</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m；隧道</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座，计长</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m以及其他构造物工程等。</w:t>
      </w:r>
    </w:p>
    <w:p w14:paraId="68D8B6B0">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下列文件应视为构成合同文件的组成部分</w:t>
      </w:r>
      <w:r>
        <w:rPr>
          <w:rFonts w:ascii="宋体" w:hAnsi="宋体"/>
          <w:color w:val="auto"/>
          <w:sz w:val="24"/>
          <w:highlight w:val="none"/>
        </w:rPr>
        <w:t>：</w:t>
      </w:r>
    </w:p>
    <w:p w14:paraId="179C6EE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（1）本协议书及各种合同附件（含评标期间和合同谈判过程中的澄清文件和补充资料）；</w:t>
      </w:r>
    </w:p>
    <w:p w14:paraId="40CCC1FC">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（2）中标通知书；</w:t>
      </w:r>
    </w:p>
    <w:p w14:paraId="13992F68">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（3）投标函及投标函附录；</w:t>
      </w:r>
    </w:p>
    <w:p w14:paraId="0CFB3FC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（4）项目专用合同条款；</w:t>
      </w:r>
    </w:p>
    <w:p w14:paraId="0ECE944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（5）公路工程专用合同条款；</w:t>
      </w:r>
    </w:p>
    <w:p w14:paraId="5508EB6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（6）通用合同条款；</w:t>
      </w:r>
    </w:p>
    <w:p w14:paraId="0A83129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（7）工程量清单计量规则；</w:t>
      </w:r>
    </w:p>
    <w:p w14:paraId="0C359F6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（8）技术规范；</w:t>
      </w:r>
    </w:p>
    <w:p w14:paraId="255D721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（9）图纸；</w:t>
      </w:r>
    </w:p>
    <w:p w14:paraId="018A46E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（10）已标价工程量清单；</w:t>
      </w:r>
    </w:p>
    <w:p w14:paraId="5DC15AF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（11）承包人有关人员、设备投入的承诺及投标文件中的施工组织设计；</w:t>
      </w:r>
    </w:p>
    <w:p w14:paraId="589C5F1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（12）其他合同文件。</w:t>
      </w:r>
    </w:p>
    <w:p w14:paraId="7F031644">
      <w:pPr>
        <w:spacing w:line="400" w:lineRule="exact"/>
        <w:ind w:firstLine="480" w:firstLineChars="200"/>
        <w:rPr>
          <w:rFonts w:ascii="宋体" w:hAnsi="宋体"/>
          <w:color w:val="auto"/>
          <w:sz w:val="24"/>
          <w:highlight w:val="none"/>
        </w:rPr>
      </w:pPr>
      <w:r>
        <w:rPr>
          <w:rFonts w:ascii="宋体" w:hAnsi="宋体"/>
          <w:color w:val="auto"/>
          <w:sz w:val="24"/>
          <w:highlight w:val="none"/>
        </w:rPr>
        <w:t>上述</w:t>
      </w:r>
      <w:r>
        <w:rPr>
          <w:rFonts w:hint="eastAsia" w:ascii="宋体" w:hAnsi="宋体"/>
          <w:color w:val="auto"/>
          <w:sz w:val="24"/>
          <w:highlight w:val="none"/>
        </w:rPr>
        <w:t>合同</w:t>
      </w:r>
      <w:r>
        <w:rPr>
          <w:rFonts w:ascii="宋体" w:hAnsi="宋体"/>
          <w:color w:val="auto"/>
          <w:sz w:val="24"/>
          <w:highlight w:val="none"/>
        </w:rPr>
        <w:t>文件互相补充和解释</w:t>
      </w:r>
      <w:r>
        <w:rPr>
          <w:rFonts w:hint="eastAsia" w:ascii="宋体" w:hAnsi="宋体"/>
          <w:color w:val="auto"/>
          <w:sz w:val="24"/>
          <w:highlight w:val="none"/>
        </w:rPr>
        <w:t>。</w:t>
      </w:r>
      <w:r>
        <w:rPr>
          <w:rFonts w:ascii="宋体" w:hAnsi="宋体"/>
          <w:color w:val="auto"/>
          <w:sz w:val="24"/>
          <w:highlight w:val="none"/>
        </w:rPr>
        <w:t>如有</w:t>
      </w:r>
      <w:r>
        <w:rPr>
          <w:rFonts w:hint="eastAsia" w:ascii="宋体" w:hAnsi="宋体"/>
          <w:color w:val="auto"/>
          <w:sz w:val="24"/>
          <w:highlight w:val="none"/>
        </w:rPr>
        <w:t>合同文件之间存在矛盾</w:t>
      </w:r>
      <w:r>
        <w:rPr>
          <w:rFonts w:ascii="宋体" w:hAnsi="宋体"/>
          <w:color w:val="auto"/>
          <w:sz w:val="24"/>
          <w:highlight w:val="none"/>
        </w:rPr>
        <w:t>或不一致之处，以</w:t>
      </w:r>
      <w:r>
        <w:rPr>
          <w:rFonts w:hint="eastAsia" w:ascii="宋体" w:hAnsi="宋体"/>
          <w:color w:val="auto"/>
          <w:sz w:val="24"/>
          <w:highlight w:val="none"/>
        </w:rPr>
        <w:t>上述文件的排列顺序</w:t>
      </w:r>
      <w:r>
        <w:rPr>
          <w:rFonts w:ascii="宋体" w:hAnsi="宋体"/>
          <w:color w:val="auto"/>
          <w:sz w:val="24"/>
          <w:highlight w:val="none"/>
        </w:rPr>
        <w:t>在先者为准。</w:t>
      </w:r>
    </w:p>
    <w:p w14:paraId="634C037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根据工程量清单所列的预计数量和单价或总额价计算的签约</w:t>
      </w:r>
      <w:r>
        <w:rPr>
          <w:rFonts w:ascii="宋体" w:hAnsi="宋体"/>
          <w:color w:val="auto"/>
          <w:sz w:val="24"/>
          <w:highlight w:val="none"/>
        </w:rPr>
        <w:t>合同价：</w:t>
      </w:r>
      <w:r>
        <w:rPr>
          <w:rFonts w:ascii="宋体" w:hAnsi="宋体"/>
          <w:i w:val="0"/>
          <w:iCs w:val="0"/>
          <w:color w:val="auto"/>
          <w:sz w:val="24"/>
          <w:highlight w:val="none"/>
          <w:u w:val="single"/>
        </w:rPr>
        <w:t>人民币</w:t>
      </w:r>
      <w:r>
        <w:rPr>
          <w:rFonts w:hint="eastAsia" w:ascii="宋体" w:hAnsi="宋体"/>
          <w:color w:val="auto"/>
          <w:sz w:val="24"/>
          <w:highlight w:val="none"/>
          <w:u w:val="single"/>
          <w:lang w:eastAsia="zh-CN"/>
        </w:rPr>
        <w:t>（</w:t>
      </w:r>
      <w:r>
        <w:rPr>
          <w:rFonts w:ascii="宋体" w:hAnsi="宋体"/>
          <w:color w:val="auto"/>
          <w:sz w:val="24"/>
          <w:highlight w:val="none"/>
          <w:u w:val="single"/>
        </w:rPr>
        <w:t>大写</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元）</w:t>
      </w:r>
      <w:r>
        <w:rPr>
          <w:rFonts w:ascii="宋体" w:hAnsi="宋体"/>
          <w:color w:val="auto"/>
          <w:sz w:val="24"/>
          <w:highlight w:val="none"/>
        </w:rPr>
        <w:t>。</w:t>
      </w:r>
    </w:p>
    <w:p w14:paraId="7205DDBA">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 承包人项目经理：</w:t>
      </w:r>
      <w:r>
        <w:rPr>
          <w:rFonts w:hint="eastAsia" w:ascii="宋体" w:hAnsi="宋体"/>
          <w:color w:val="auto"/>
          <w:sz w:val="24"/>
          <w:highlight w:val="none"/>
          <w:u w:val="single"/>
          <w:lang w:val="en-US" w:eastAsia="zh-CN"/>
        </w:rPr>
        <w:t xml:space="preserve">       </w:t>
      </w:r>
      <w:r>
        <w:rPr>
          <w:rFonts w:ascii="宋体" w:hAnsi="宋体"/>
          <w:color w:val="auto"/>
          <w:sz w:val="24"/>
          <w:highlight w:val="none"/>
        </w:rPr>
        <w:t>。</w:t>
      </w:r>
      <w:r>
        <w:rPr>
          <w:rFonts w:hint="eastAsia" w:ascii="宋体" w:hAnsi="宋体"/>
          <w:color w:val="auto"/>
          <w:sz w:val="24"/>
          <w:highlight w:val="none"/>
        </w:rPr>
        <w:t>承包人项目总工：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7039760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工程质量符合标准</w:t>
      </w:r>
      <w:r>
        <w:rPr>
          <w:rFonts w:hint="eastAsia" w:ascii="宋体" w:hAnsi="宋体"/>
          <w:color w:val="auto"/>
          <w:sz w:val="24"/>
          <w:highlight w:val="none"/>
          <w:u w:val="single"/>
          <w:lang w:val="en-US" w:eastAsia="zh-CN"/>
        </w:rPr>
        <w:t xml:space="preserve">       </w:t>
      </w:r>
      <w:r>
        <w:rPr>
          <w:rFonts w:ascii="宋体" w:hAnsi="宋体"/>
          <w:color w:val="auto"/>
          <w:sz w:val="24"/>
          <w:highlight w:val="none"/>
        </w:rPr>
        <w:t>。</w:t>
      </w:r>
      <w:r>
        <w:rPr>
          <w:rFonts w:hint="eastAsia" w:ascii="宋体" w:hAnsi="宋体"/>
          <w:color w:val="auto"/>
          <w:sz w:val="24"/>
          <w:highlight w:val="none"/>
        </w:rPr>
        <w:t>工程安全目标：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01097D6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承包人承诺按合同约定承担工程的实施、完成及缺陷修复。</w:t>
      </w:r>
    </w:p>
    <w:p w14:paraId="2352674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发包人承诺按合同约定的条件、时间和方式向承包人支付合同价款。</w:t>
      </w:r>
    </w:p>
    <w:p w14:paraId="5008569C">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 承包人应按照监理人指示开工，工期为</w:t>
      </w:r>
      <w:r>
        <w:rPr>
          <w:rFonts w:hint="eastAsia" w:ascii="宋体" w:hAnsi="宋体"/>
          <w:color w:val="auto"/>
          <w:sz w:val="24"/>
          <w:highlight w:val="none"/>
          <w:u w:val="single"/>
          <w:lang w:val="en-US" w:eastAsia="zh-CN"/>
        </w:rPr>
        <w:t xml:space="preserve">       </w:t>
      </w:r>
      <w:r>
        <w:rPr>
          <w:rFonts w:ascii="宋体" w:hAnsi="宋体"/>
          <w:color w:val="auto"/>
          <w:sz w:val="24"/>
          <w:highlight w:val="none"/>
        </w:rPr>
        <w:t>日历天。</w:t>
      </w:r>
    </w:p>
    <w:p w14:paraId="2CEB813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 本协议书在承包人提供履约保证金后，由双方法定代表人或其委托代理人签署并加盖单位章后生效。全部工程完工后经交工验收合格、缺陷责任期满签发缺陷责任终止证书后失效。</w:t>
      </w:r>
    </w:p>
    <w:p w14:paraId="04F3C550">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10.本协议书正本二份、副本份，合同双方各执正本一份，副本份，当正本与副本的内容不一致时，以正本为准。</w:t>
      </w:r>
    </w:p>
    <w:p w14:paraId="24032E2A">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.合同未尽事宜，双方另行签订补充协议。补充协议是合同的组成部分。</w:t>
      </w:r>
    </w:p>
    <w:p w14:paraId="054FCBE6">
      <w:pPr>
        <w:spacing w:line="400" w:lineRule="exact"/>
        <w:rPr>
          <w:rFonts w:ascii="宋体" w:hAnsi="宋体"/>
          <w:color w:val="auto"/>
          <w:sz w:val="24"/>
          <w:highlight w:val="none"/>
        </w:rPr>
      </w:pPr>
    </w:p>
    <w:p w14:paraId="19735726">
      <w:pPr>
        <w:spacing w:line="400" w:lineRule="exact"/>
        <w:rPr>
          <w:rFonts w:ascii="宋体" w:hAnsi="宋体"/>
          <w:color w:val="auto"/>
          <w:sz w:val="24"/>
          <w:highlight w:val="none"/>
        </w:rPr>
      </w:pPr>
    </w:p>
    <w:p w14:paraId="578EB3C8">
      <w:pPr>
        <w:spacing w:line="400" w:lineRule="exact"/>
        <w:rPr>
          <w:rFonts w:ascii="宋体" w:hAnsi="宋体"/>
          <w:color w:val="auto"/>
          <w:sz w:val="24"/>
          <w:highlight w:val="none"/>
        </w:rPr>
      </w:pPr>
      <w:r>
        <w:rPr>
          <w:rFonts w:ascii="宋体" w:hAnsi="宋体"/>
          <w:color w:val="auto"/>
          <w:sz w:val="24"/>
          <w:highlight w:val="none"/>
        </w:rPr>
        <w:t>发包人：（盖单位章）</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承包人：（盖单位章） </w:t>
      </w:r>
    </w:p>
    <w:p w14:paraId="04DACAD7">
      <w:pPr>
        <w:spacing w:line="400" w:lineRule="exact"/>
        <w:rPr>
          <w:rFonts w:ascii="宋体" w:hAnsi="宋体"/>
          <w:color w:val="auto"/>
          <w:sz w:val="24"/>
          <w:highlight w:val="none"/>
        </w:rPr>
      </w:pPr>
      <w:r>
        <w:rPr>
          <w:rFonts w:ascii="宋体" w:hAnsi="宋体"/>
          <w:color w:val="auto"/>
          <w:sz w:val="24"/>
          <w:highlight w:val="none"/>
        </w:rPr>
        <w:t>法定代表人或其委托代理人：</w:t>
      </w:r>
      <w:r>
        <w:rPr>
          <w:rFonts w:hint="eastAsia" w:ascii="宋体"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lang w:val="en-US" w:eastAsia="zh-CN"/>
        </w:rPr>
        <w:t xml:space="preserve">              </w:t>
      </w:r>
      <w:r>
        <w:rPr>
          <w:rFonts w:ascii="宋体" w:hAnsi="宋体"/>
          <w:color w:val="auto"/>
          <w:sz w:val="24"/>
          <w:highlight w:val="none"/>
        </w:rPr>
        <w:t>法定代表人或其委托代理人：（签字）</w:t>
      </w:r>
    </w:p>
    <w:p w14:paraId="18852DE0">
      <w:pPr>
        <w:spacing w:line="400" w:lineRule="exact"/>
        <w:ind w:firstLine="840"/>
        <w:rPr>
          <w:rFonts w:ascii="宋体" w:hAnsi="宋体"/>
          <w:color w:val="auto"/>
          <w:sz w:val="24"/>
          <w:highlight w:val="none"/>
        </w:rPr>
      </w:pPr>
      <w:r>
        <w:rPr>
          <w:rFonts w:hint="eastAsia" w:ascii="宋体" w:hAnsi="宋体"/>
          <w:color w:val="auto"/>
          <w:sz w:val="24"/>
          <w:highlight w:val="none"/>
        </w:rPr>
        <w:t>年   月   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   月   日</w:t>
      </w:r>
    </w:p>
    <w:p w14:paraId="6E681423">
      <w:pPr>
        <w:pStyle w:val="78"/>
        <w:spacing w:line="360" w:lineRule="auto"/>
        <w:rPr>
          <w:rFonts w:ascii="宋体" w:hAnsi="宋体"/>
          <w:color w:val="auto"/>
          <w:sz w:val="24"/>
          <w:szCs w:val="24"/>
          <w:highlight w:val="none"/>
        </w:rPr>
      </w:pPr>
      <w:bookmarkStart w:id="1678" w:name="_Toc505844505"/>
      <w:r>
        <w:rPr>
          <w:rFonts w:ascii="宋体" w:hAnsi="宋体"/>
          <w:b w:val="0"/>
          <w:bCs w:val="0"/>
          <w:color w:val="auto"/>
          <w:kern w:val="2"/>
          <w:sz w:val="21"/>
          <w:szCs w:val="24"/>
          <w:highlight w:val="none"/>
        </w:rPr>
        <w:br w:type="page"/>
      </w:r>
      <w:bookmarkStart w:id="1679" w:name="_Toc43476007"/>
      <w:bookmarkStart w:id="1680" w:name="_Toc3544"/>
      <w:r>
        <w:rPr>
          <w:rFonts w:hint="eastAsia" w:ascii="宋体" w:hAnsi="宋体"/>
          <w:color w:val="auto"/>
          <w:sz w:val="24"/>
          <w:szCs w:val="24"/>
          <w:highlight w:val="none"/>
        </w:rPr>
        <w:t>附件二   廉政合同</w:t>
      </w:r>
      <w:bookmarkEnd w:id="1678"/>
      <w:bookmarkEnd w:id="1679"/>
      <w:bookmarkEnd w:id="1680"/>
    </w:p>
    <w:p w14:paraId="527B2F22">
      <w:pPr>
        <w:spacing w:before="120" w:after="120"/>
        <w:jc w:val="center"/>
        <w:rPr>
          <w:rFonts w:ascii="宋体" w:hAnsi="宋体"/>
          <w:b/>
          <w:color w:val="auto"/>
          <w:sz w:val="32"/>
          <w:szCs w:val="32"/>
          <w:highlight w:val="none"/>
        </w:rPr>
      </w:pPr>
      <w:r>
        <w:rPr>
          <w:rFonts w:hint="eastAsia" w:ascii="宋体" w:hAnsi="宋体"/>
          <w:b/>
          <w:color w:val="auto"/>
          <w:sz w:val="32"/>
          <w:szCs w:val="32"/>
          <w:highlight w:val="none"/>
        </w:rPr>
        <w:t>廉政合同</w:t>
      </w:r>
    </w:p>
    <w:p w14:paraId="19D10FC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sz w:val="24"/>
          <w:highlight w:val="none"/>
          <w:u w:val="single"/>
        </w:rPr>
        <w:t>（项目名称）</w:t>
      </w:r>
      <w:r>
        <w:rPr>
          <w:rFonts w:hint="eastAsia" w:ascii="宋体" w:hAnsi="宋体"/>
          <w:color w:val="auto"/>
          <w:sz w:val="24"/>
          <w:highlight w:val="none"/>
        </w:rPr>
        <w:t xml:space="preserve">项目法人 </w:t>
      </w:r>
      <w:r>
        <w:rPr>
          <w:rFonts w:hint="eastAsia" w:ascii="宋体" w:hAnsi="宋体"/>
          <w:color w:val="auto"/>
          <w:sz w:val="24"/>
          <w:highlight w:val="none"/>
          <w:u w:val="single"/>
        </w:rPr>
        <w:t>（项目法人名称，以下简称“发包人”）</w:t>
      </w:r>
      <w:r>
        <w:rPr>
          <w:rFonts w:hint="eastAsia" w:ascii="宋体" w:hAnsi="宋体"/>
          <w:color w:val="auto"/>
          <w:sz w:val="24"/>
          <w:highlight w:val="none"/>
        </w:rPr>
        <w:t>与该项目标段的施工单位</w:t>
      </w:r>
      <w:r>
        <w:rPr>
          <w:rFonts w:hint="eastAsia" w:ascii="宋体" w:hAnsi="宋体"/>
          <w:color w:val="auto"/>
          <w:sz w:val="24"/>
          <w:highlight w:val="none"/>
          <w:u w:val="single"/>
        </w:rPr>
        <w:t>（施工单位名称，以下简称“承包人”）</w:t>
      </w:r>
      <w:r>
        <w:rPr>
          <w:rFonts w:hint="eastAsia" w:ascii="宋体" w:hAnsi="宋体"/>
          <w:color w:val="auto"/>
          <w:sz w:val="24"/>
          <w:highlight w:val="none"/>
        </w:rPr>
        <w:t>，特订立如下合同。</w:t>
      </w:r>
    </w:p>
    <w:p w14:paraId="57634D66">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1.发包人和承包人双方的权利和义务</w:t>
      </w:r>
    </w:p>
    <w:p w14:paraId="5072259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（1）严格遵守党的政策规定和国家有关法律法规及交通运输部的有关规定。</w:t>
      </w:r>
    </w:p>
    <w:p w14:paraId="08832EA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（2）严格执行</w:t>
      </w:r>
      <w:r>
        <w:rPr>
          <w:rFonts w:hint="eastAsia" w:ascii="宋体" w:hAnsi="宋体"/>
          <w:color w:val="auto"/>
          <w:sz w:val="24"/>
          <w:highlight w:val="none"/>
          <w:u w:val="single"/>
        </w:rPr>
        <w:t xml:space="preserve">     （项目名称）      </w:t>
      </w:r>
      <w:r>
        <w:rPr>
          <w:rFonts w:hint="eastAsia" w:ascii="宋体" w:hAnsi="宋体"/>
          <w:color w:val="auto"/>
          <w:sz w:val="24"/>
          <w:highlight w:val="none"/>
        </w:rPr>
        <w:t>合同文件，自觉按合同办事。</w:t>
      </w:r>
    </w:p>
    <w:p w14:paraId="40B4E2F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（3）双方的业务活动坚持公开、公正、诚信、透明的原则（法律认定的商业秘密和合同文件另有规定除外），不得损害国家和集体利益，不得违反工程建设管理规章制度。</w:t>
      </w:r>
    </w:p>
    <w:p w14:paraId="5ACB099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（4）建立健全廉政制度，开展廉政教育，设立廉政告示牌，公布举报电话，监督并认真查处违法违纪行为。</w:t>
      </w:r>
    </w:p>
    <w:p w14:paraId="3BE9857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（5）发现对方在业务活动中有违反廉政规定的行为，有及时提醒对方纠正的权利和义务。</w:t>
      </w:r>
    </w:p>
    <w:p w14:paraId="2D1311D0">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（6）发现对方严重违反本合同义务条款的行为，有向其上级有关部门举报、建议给予处理并要求告知处理结果的权利。</w:t>
      </w:r>
    </w:p>
    <w:p w14:paraId="4346175F">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2.发包人的义务</w:t>
      </w:r>
    </w:p>
    <w:p w14:paraId="0FE04BB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（1）发包人及其工作人员不得索要或接受承包人的礼金、有价证券和贵重物品，不得让承包人报销任何应由发包人或发包人工作人员个人支付的费用等。</w:t>
      </w:r>
    </w:p>
    <w:p w14:paraId="649C91F8">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（2）发包人工作人员不得参加承包人安排的超标准宴请和娱乐活动；不得接受承包人提供的通讯工具、交通工具和高档办公用品等。</w:t>
      </w:r>
    </w:p>
    <w:p w14:paraId="4D384ACC">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（3）发包人及其工作人员不得要求或者接受承包人为其住房装修、婚丧嫁娶活动、配偶子女的工作安排以及出国出境、旅游等提供方便等。</w:t>
      </w:r>
    </w:p>
    <w:p w14:paraId="66003AF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（4）发包人工作人员及其配偶、子女不得从事与发包人工作有关的材料设备供应、工程分包、劳务等经济活动等。</w:t>
      </w:r>
    </w:p>
    <w:p w14:paraId="7E28BBB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（5）发包人及期工作人员不得以任何理由向承包人推荐分包单位或推销材料，不得要求承包人购买合同规定外的材料和设备。</w:t>
      </w:r>
    </w:p>
    <w:p w14:paraId="25F9639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（6）发包人工作人员要秉公办事，不准营私舞弊，不准利用职权从事各种个人有偿中介活动和安排个人施工队伍。</w:t>
      </w:r>
    </w:p>
    <w:p w14:paraId="1F28C9E3">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3.承包人的义务</w:t>
      </w:r>
    </w:p>
    <w:p w14:paraId="438CD41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（1）承包人不得以任何理由向发包人及其工作人员行贿或馈赠礼金、有价证券、贵重礼品。</w:t>
      </w:r>
    </w:p>
    <w:p w14:paraId="4AEBFA3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（2）承包人不得以任何名义为发包人及其工作人员报销应由发包人单位或个人支付的任何费用。</w:t>
      </w:r>
    </w:p>
    <w:p w14:paraId="377813E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（3）承包人不得以任何理由安排发包人工作人员参加超标准宴请及娱乐活动。</w:t>
      </w:r>
    </w:p>
    <w:p w14:paraId="478C893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（4）承包人不得为发包人单位和个人购置或提供通讯工具、交通工具和高档办公用品等。</w:t>
      </w:r>
    </w:p>
    <w:p w14:paraId="1A9CCD98">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4.违约责任</w:t>
      </w:r>
    </w:p>
    <w:p w14:paraId="64A4057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（1）发包人及其工作人员违反本合同第1、2条，按管理权限，依据有关规定给予党纪、政纪或组织处理；涉嫌犯罪的，移交司法机关追究刑事责任；给承包人单位造成经济损失的，应予以赔偿。</w:t>
      </w:r>
    </w:p>
    <w:p w14:paraId="4963F98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74FD9D5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51E03838">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6.本合同有效期为发包人和承包人签署之日起至该工程项目竣工验收后止。</w:t>
      </w:r>
    </w:p>
    <w:p w14:paraId="1C8B7AD0">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7.本合同作为</w:t>
      </w:r>
      <w:r>
        <w:rPr>
          <w:rFonts w:hint="eastAsia" w:ascii="宋体" w:hAnsi="宋体"/>
          <w:color w:val="auto"/>
          <w:sz w:val="24"/>
          <w:highlight w:val="none"/>
          <w:u w:val="single"/>
        </w:rPr>
        <w:t xml:space="preserve">         （项目名称）     </w:t>
      </w:r>
      <w:r>
        <w:rPr>
          <w:rFonts w:hint="eastAsia" w:ascii="宋体" w:hAnsi="宋体"/>
          <w:color w:val="auto"/>
          <w:sz w:val="24"/>
          <w:highlight w:val="none"/>
        </w:rPr>
        <w:t>合同的附件，与工程施工合同具有同等的法律效力，经合同双方签署后立即生效。</w:t>
      </w:r>
    </w:p>
    <w:p w14:paraId="4B7B00C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8.本合同一式四份，由发包人和承包人各执—份，送交发包人和承包人的监督单位各一份</w:t>
      </w:r>
    </w:p>
    <w:p w14:paraId="670DA012">
      <w:pPr>
        <w:spacing w:line="400" w:lineRule="exact"/>
        <w:rPr>
          <w:rFonts w:ascii="宋体" w:hAnsi="宋体"/>
          <w:color w:val="auto"/>
          <w:sz w:val="24"/>
          <w:highlight w:val="none"/>
        </w:rPr>
      </w:pPr>
    </w:p>
    <w:p w14:paraId="20A925D2">
      <w:pPr>
        <w:spacing w:line="400" w:lineRule="exact"/>
        <w:rPr>
          <w:rFonts w:ascii="宋体" w:hAnsi="宋体"/>
          <w:color w:val="auto"/>
          <w:sz w:val="24"/>
          <w:highlight w:val="none"/>
        </w:rPr>
      </w:pPr>
      <w:r>
        <w:rPr>
          <w:rFonts w:ascii="宋体" w:hAnsi="宋体"/>
          <w:color w:val="auto"/>
          <w:sz w:val="24"/>
          <w:highlight w:val="none"/>
        </w:rPr>
        <w:t>发包人：（盖单位章）</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承包人：（盖单位章） </w:t>
      </w:r>
    </w:p>
    <w:p w14:paraId="59F4D495">
      <w:pPr>
        <w:spacing w:line="400" w:lineRule="exact"/>
        <w:rPr>
          <w:rFonts w:ascii="宋体" w:hAnsi="宋体"/>
          <w:color w:val="auto"/>
          <w:sz w:val="24"/>
          <w:highlight w:val="none"/>
        </w:rPr>
      </w:pPr>
      <w:r>
        <w:rPr>
          <w:rFonts w:ascii="宋体" w:hAnsi="宋体"/>
          <w:color w:val="auto"/>
          <w:sz w:val="24"/>
          <w:highlight w:val="none"/>
        </w:rPr>
        <w:t>法定代表人或其委托代理人：</w:t>
      </w:r>
      <w:r>
        <w:rPr>
          <w:rFonts w:hint="eastAsia" w:ascii="宋体"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lang w:val="en-US" w:eastAsia="zh-CN"/>
        </w:rPr>
        <w:t xml:space="preserve">         </w:t>
      </w:r>
      <w:r>
        <w:rPr>
          <w:rFonts w:ascii="宋体" w:hAnsi="宋体"/>
          <w:color w:val="auto"/>
          <w:sz w:val="24"/>
          <w:highlight w:val="none"/>
        </w:rPr>
        <w:t>法定代表人或其委托代理人：（签字）</w:t>
      </w:r>
    </w:p>
    <w:p w14:paraId="3A95ED05">
      <w:pPr>
        <w:spacing w:line="400" w:lineRule="exact"/>
        <w:ind w:firstLine="840"/>
        <w:rPr>
          <w:rFonts w:ascii="宋体" w:hAnsi="宋体"/>
          <w:color w:val="auto"/>
          <w:sz w:val="24"/>
          <w:highlight w:val="none"/>
        </w:rPr>
      </w:pPr>
      <w:r>
        <w:rPr>
          <w:rFonts w:hint="eastAsia" w:ascii="宋体" w:hAnsi="宋体"/>
          <w:color w:val="auto"/>
          <w:sz w:val="24"/>
          <w:highlight w:val="none"/>
        </w:rPr>
        <w:t>年   月   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   月   日</w:t>
      </w:r>
    </w:p>
    <w:p w14:paraId="0E0954B2">
      <w:pPr>
        <w:spacing w:line="400" w:lineRule="exact"/>
        <w:rPr>
          <w:rFonts w:ascii="宋体" w:hAnsi="宋体"/>
          <w:color w:val="auto"/>
          <w:sz w:val="24"/>
          <w:highlight w:val="none"/>
        </w:rPr>
      </w:pPr>
      <w:r>
        <w:rPr>
          <w:rFonts w:hint="eastAsia" w:ascii="宋体" w:hAnsi="宋体"/>
          <w:color w:val="auto"/>
          <w:sz w:val="24"/>
          <w:highlight w:val="none"/>
        </w:rPr>
        <w:t>发包人监督单位：</w:t>
      </w:r>
      <w:r>
        <w:rPr>
          <w:rFonts w:hint="eastAsia" w:ascii="宋体" w:hAnsi="宋体"/>
          <w:color w:val="auto"/>
          <w:sz w:val="24"/>
          <w:highlight w:val="none"/>
          <w:u w:val="single"/>
        </w:rPr>
        <w:t>（全称） （盖单位章）</w:t>
      </w:r>
      <w:r>
        <w:rPr>
          <w:rFonts w:hint="eastAsia" w:ascii="宋体" w:hAnsi="宋体"/>
          <w:color w:val="auto"/>
          <w:sz w:val="24"/>
          <w:highlight w:val="none"/>
        </w:rPr>
        <w:t xml:space="preserve">      承包人监督单位：</w:t>
      </w:r>
      <w:r>
        <w:rPr>
          <w:rFonts w:hint="eastAsia" w:ascii="宋体" w:hAnsi="宋体"/>
          <w:color w:val="auto"/>
          <w:sz w:val="24"/>
          <w:highlight w:val="none"/>
          <w:u w:val="single"/>
        </w:rPr>
        <w:t>（全称） （盖单位章）</w:t>
      </w:r>
    </w:p>
    <w:p w14:paraId="0BE0A36F">
      <w:pPr>
        <w:pStyle w:val="78"/>
        <w:spacing w:line="360" w:lineRule="auto"/>
        <w:rPr>
          <w:rFonts w:ascii="宋体" w:hAnsi="宋体"/>
          <w:color w:val="auto"/>
          <w:sz w:val="24"/>
          <w:szCs w:val="24"/>
          <w:highlight w:val="none"/>
        </w:rPr>
      </w:pPr>
      <w:bookmarkStart w:id="1681" w:name="_Toc505844506"/>
      <w:r>
        <w:rPr>
          <w:rFonts w:hint="eastAsia" w:ascii="宋体" w:hAnsi="宋体"/>
          <w:color w:val="auto"/>
          <w:sz w:val="24"/>
          <w:szCs w:val="24"/>
          <w:highlight w:val="none"/>
        </w:rPr>
        <w:br w:type="page"/>
      </w:r>
      <w:bookmarkStart w:id="1682" w:name="_Toc30177"/>
      <w:bookmarkStart w:id="1683" w:name="_Toc43476008"/>
      <w:r>
        <w:rPr>
          <w:rFonts w:hint="eastAsia" w:ascii="宋体" w:hAnsi="宋体"/>
          <w:color w:val="auto"/>
          <w:sz w:val="24"/>
          <w:szCs w:val="24"/>
          <w:highlight w:val="none"/>
        </w:rPr>
        <w:t>附件三   安全生产合同</w:t>
      </w:r>
      <w:bookmarkEnd w:id="1681"/>
      <w:bookmarkEnd w:id="1682"/>
      <w:bookmarkEnd w:id="1683"/>
    </w:p>
    <w:p w14:paraId="5596CAB6">
      <w:pPr>
        <w:spacing w:before="120" w:after="120"/>
        <w:jc w:val="center"/>
        <w:rPr>
          <w:rFonts w:ascii="宋体" w:hAnsi="宋体"/>
          <w:b/>
          <w:color w:val="auto"/>
          <w:sz w:val="32"/>
          <w:szCs w:val="32"/>
          <w:highlight w:val="none"/>
        </w:rPr>
      </w:pPr>
      <w:r>
        <w:rPr>
          <w:rFonts w:hint="eastAsia" w:ascii="宋体" w:hAnsi="宋体"/>
          <w:b/>
          <w:color w:val="auto"/>
          <w:sz w:val="32"/>
          <w:szCs w:val="32"/>
          <w:highlight w:val="none"/>
        </w:rPr>
        <w:t>安全生产合同</w:t>
      </w:r>
    </w:p>
    <w:p w14:paraId="2A20BF7D">
      <w:pPr>
        <w:spacing w:line="400" w:lineRule="exact"/>
        <w:ind w:firstLine="840"/>
        <w:rPr>
          <w:rFonts w:hint="eastAsia" w:ascii="宋体" w:hAnsi="宋体"/>
          <w:color w:val="auto"/>
          <w:sz w:val="24"/>
          <w:highlight w:val="none"/>
        </w:rPr>
      </w:pPr>
      <w:r>
        <w:rPr>
          <w:rFonts w:hint="eastAsia" w:ascii="宋体" w:hAnsi="宋体"/>
          <w:color w:val="auto"/>
          <w:sz w:val="24"/>
          <w:highlight w:val="none"/>
        </w:rPr>
        <w:t>根据《中华人民共和国安全生产法》，国务院《建设工程安全生产管理条例》，交通运输部《公路水运工程安全生产监督管理办法》，交通运输部《公路水运工程施工安全标准化指南》有关规定，为切实做好</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(项目名称)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标类（或标段）</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工程安全生产管理工作，明确项目参建各方的安全生产责任，促进实现工程项目安全管理目标，建设单位全称（以下简称“发包人”）与施工单位全称（以下简称“承包人”）特此签订安全生产合同：</w:t>
      </w:r>
    </w:p>
    <w:p w14:paraId="3BA38918">
      <w:pPr>
        <w:spacing w:line="400" w:lineRule="exact"/>
        <w:ind w:firstLine="840"/>
        <w:rPr>
          <w:rFonts w:hint="eastAsia" w:ascii="宋体" w:hAnsi="宋体"/>
          <w:b/>
          <w:bCs/>
          <w:color w:val="auto"/>
          <w:sz w:val="24"/>
          <w:highlight w:val="none"/>
        </w:rPr>
      </w:pPr>
      <w:r>
        <w:rPr>
          <w:rFonts w:hint="eastAsia" w:ascii="宋体" w:hAnsi="宋体"/>
          <w:b/>
          <w:bCs/>
          <w:color w:val="auto"/>
          <w:sz w:val="24"/>
          <w:highlight w:val="none"/>
        </w:rPr>
        <w:t>1.发包人职责</w:t>
      </w:r>
    </w:p>
    <w:p w14:paraId="6F0D1B2A">
      <w:pPr>
        <w:spacing w:line="400" w:lineRule="exact"/>
        <w:ind w:firstLine="840"/>
        <w:rPr>
          <w:rFonts w:hint="eastAsia" w:ascii="宋体" w:hAnsi="宋体"/>
          <w:color w:val="auto"/>
          <w:sz w:val="24"/>
          <w:highlight w:val="none"/>
        </w:rPr>
      </w:pPr>
      <w:r>
        <w:rPr>
          <w:rFonts w:hint="eastAsia" w:ascii="宋体" w:hAnsi="宋体"/>
          <w:color w:val="auto"/>
          <w:sz w:val="24"/>
          <w:highlight w:val="none"/>
        </w:rPr>
        <w:t>(1)编制工程招标文件及项目概算时，应确定保障建设工程安全作业环境及安全施工措施所需的安全生产费用，并不低于国家规定的标准。</w:t>
      </w:r>
    </w:p>
    <w:p w14:paraId="399074F7">
      <w:pPr>
        <w:spacing w:line="400" w:lineRule="exact"/>
        <w:ind w:firstLine="840"/>
        <w:rPr>
          <w:rFonts w:hint="eastAsia" w:ascii="宋体" w:hAnsi="宋体"/>
          <w:color w:val="auto"/>
          <w:sz w:val="24"/>
          <w:highlight w:val="none"/>
        </w:rPr>
      </w:pPr>
      <w:r>
        <w:rPr>
          <w:rFonts w:hint="eastAsia" w:ascii="宋体" w:hAnsi="宋体"/>
          <w:color w:val="auto"/>
          <w:sz w:val="24"/>
          <w:highlight w:val="none"/>
        </w:rPr>
        <w:t>(2)按照有关规定对承包人的安全生产条件、安全生产信用情况、安全生产管理体系及保障措施等提出明确要求并检查实施情况。</w:t>
      </w:r>
    </w:p>
    <w:p w14:paraId="6C12A861">
      <w:pPr>
        <w:spacing w:line="400" w:lineRule="exact"/>
        <w:ind w:firstLine="840"/>
        <w:rPr>
          <w:rFonts w:hint="eastAsia" w:ascii="宋体" w:hAnsi="宋体"/>
          <w:color w:val="auto"/>
          <w:sz w:val="24"/>
          <w:highlight w:val="none"/>
        </w:rPr>
      </w:pPr>
      <w:r>
        <w:rPr>
          <w:rFonts w:hint="eastAsia" w:ascii="宋体" w:hAnsi="宋体"/>
          <w:color w:val="auto"/>
          <w:sz w:val="24"/>
          <w:highlight w:val="none"/>
        </w:rPr>
        <w:t>(3)开展工程项目安全生产条件核查，按规定组织风险评估。针对工程项目特点和风险评估情况制定项目生产安全事故综合应急预案，并定期组织演练。</w:t>
      </w:r>
    </w:p>
    <w:p w14:paraId="54A388E1">
      <w:pPr>
        <w:spacing w:line="400" w:lineRule="exact"/>
        <w:ind w:firstLine="840"/>
        <w:rPr>
          <w:rFonts w:hint="eastAsia" w:ascii="宋体" w:hAnsi="宋体"/>
          <w:color w:val="auto"/>
          <w:sz w:val="24"/>
          <w:highlight w:val="none"/>
        </w:rPr>
      </w:pPr>
      <w:r>
        <w:rPr>
          <w:rFonts w:hint="eastAsia" w:ascii="宋体" w:hAnsi="宋体"/>
          <w:color w:val="auto"/>
          <w:sz w:val="24"/>
          <w:highlight w:val="none"/>
        </w:rPr>
        <w:t>(4)按照法律法规及合同文件约定督促承包人落实安全生产责任，对承包人的安全生产工作统一协调、管理，定期进行安全检查，发现安全问题的，应当及时督促整改。</w:t>
      </w:r>
    </w:p>
    <w:p w14:paraId="60437A01">
      <w:pPr>
        <w:spacing w:line="400" w:lineRule="exact"/>
        <w:ind w:firstLine="840"/>
        <w:rPr>
          <w:rFonts w:hint="eastAsia" w:ascii="宋体" w:hAnsi="宋体"/>
          <w:b/>
          <w:bCs/>
          <w:color w:val="auto"/>
          <w:sz w:val="24"/>
          <w:highlight w:val="none"/>
        </w:rPr>
      </w:pPr>
      <w:r>
        <w:rPr>
          <w:rFonts w:hint="eastAsia" w:ascii="宋体" w:hAnsi="宋体"/>
          <w:b/>
          <w:bCs/>
          <w:color w:val="auto"/>
          <w:sz w:val="24"/>
          <w:highlight w:val="none"/>
        </w:rPr>
        <w:t>2.承包人职责</w:t>
      </w:r>
    </w:p>
    <w:p w14:paraId="24526AFC">
      <w:pPr>
        <w:spacing w:line="400" w:lineRule="exact"/>
        <w:ind w:firstLine="840"/>
        <w:rPr>
          <w:rFonts w:hint="eastAsia" w:ascii="宋体" w:hAnsi="宋体"/>
          <w:color w:val="auto"/>
          <w:sz w:val="24"/>
          <w:highlight w:val="none"/>
        </w:rPr>
      </w:pPr>
      <w:r>
        <w:rPr>
          <w:rFonts w:hint="eastAsia" w:ascii="宋体" w:hAnsi="宋体"/>
          <w:color w:val="auto"/>
          <w:sz w:val="24"/>
          <w:highlight w:val="none"/>
        </w:rPr>
        <w:t>(1)严格执行安全生产有关法律法规、规章及标准规范，落实合同、《广东省高速公路工程施工安全标准化指南》《公路工程施工安全防护设施技术指南》以及其他有关安全生产方面的规定和要求。</w:t>
      </w:r>
    </w:p>
    <w:p w14:paraId="280290DF">
      <w:pPr>
        <w:spacing w:line="400" w:lineRule="exact"/>
        <w:ind w:firstLine="840"/>
        <w:rPr>
          <w:rFonts w:hint="eastAsia" w:ascii="宋体" w:hAnsi="宋体"/>
          <w:color w:val="auto"/>
          <w:sz w:val="24"/>
          <w:highlight w:val="none"/>
        </w:rPr>
      </w:pPr>
      <w:r>
        <w:rPr>
          <w:rFonts w:hint="eastAsia" w:ascii="宋体" w:hAnsi="宋体"/>
          <w:color w:val="auto"/>
          <w:sz w:val="24"/>
          <w:highlight w:val="none"/>
        </w:rPr>
        <w:t>(2)应具备相应的安全生产条件及安全生产资质，对施工现场的安全生产负主体责任，主要负责人依法对项目安全生产工作全面负责。</w:t>
      </w:r>
    </w:p>
    <w:p w14:paraId="1D9F1DBB">
      <w:pPr>
        <w:spacing w:line="400" w:lineRule="exact"/>
        <w:ind w:firstLine="840"/>
        <w:rPr>
          <w:rFonts w:hint="eastAsia" w:ascii="宋体" w:hAnsi="宋体"/>
          <w:color w:val="auto"/>
          <w:sz w:val="24"/>
          <w:highlight w:val="none"/>
        </w:rPr>
      </w:pPr>
      <w:r>
        <w:rPr>
          <w:rFonts w:hint="eastAsia" w:ascii="宋体" w:hAnsi="宋体"/>
          <w:color w:val="auto"/>
          <w:sz w:val="24"/>
          <w:highlight w:val="none"/>
        </w:rPr>
        <w:t>(3)坚持国家安全生产方针、政策及原则，建立健全并落实项目安全生产管理制度、责任、组织机构等管理体系，配足符合资质条件的专职安全生产管理人员。</w:t>
      </w:r>
    </w:p>
    <w:p w14:paraId="765EBAF5">
      <w:pPr>
        <w:spacing w:line="400" w:lineRule="exact"/>
        <w:ind w:firstLine="840"/>
        <w:rPr>
          <w:rFonts w:hint="eastAsia" w:ascii="宋体" w:hAnsi="宋体"/>
          <w:color w:val="auto"/>
          <w:sz w:val="24"/>
          <w:highlight w:val="none"/>
        </w:rPr>
      </w:pPr>
      <w:r>
        <w:rPr>
          <w:rFonts w:hint="eastAsia" w:ascii="宋体" w:hAnsi="宋体"/>
          <w:color w:val="auto"/>
          <w:sz w:val="24"/>
          <w:highlight w:val="none"/>
        </w:rPr>
        <w:t>(4)应保证本项目合同段所应具备的安全生产条件必需的资金投入，依法参加各类安全保险，保障从业人员安全生产方面的权利。</w:t>
      </w:r>
    </w:p>
    <w:p w14:paraId="36298222">
      <w:pPr>
        <w:spacing w:line="400" w:lineRule="exact"/>
        <w:ind w:firstLine="840"/>
        <w:rPr>
          <w:rFonts w:hint="eastAsia" w:ascii="宋体" w:hAnsi="宋体"/>
          <w:color w:val="auto"/>
          <w:sz w:val="24"/>
          <w:highlight w:val="none"/>
        </w:rPr>
      </w:pPr>
      <w:r>
        <w:rPr>
          <w:rFonts w:hint="eastAsia" w:ascii="宋体" w:hAnsi="宋体"/>
          <w:color w:val="auto"/>
          <w:sz w:val="24"/>
          <w:highlight w:val="none"/>
        </w:rPr>
        <w:t>(5)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2CFBF15D">
      <w:pPr>
        <w:spacing w:line="400" w:lineRule="exact"/>
        <w:ind w:firstLine="840"/>
        <w:rPr>
          <w:rFonts w:hint="eastAsia" w:ascii="宋体" w:hAnsi="宋体"/>
          <w:color w:val="auto"/>
          <w:sz w:val="24"/>
          <w:highlight w:val="none"/>
        </w:rPr>
      </w:pPr>
      <w:r>
        <w:rPr>
          <w:rFonts w:hint="eastAsia" w:ascii="宋体" w:hAnsi="宋体"/>
          <w:color w:val="auto"/>
          <w:sz w:val="24"/>
          <w:highlight w:val="none"/>
        </w:rPr>
        <w:t>(6)按规定编制危险性较大工程专项施工方案，按程序逐级审批，必要时应组织专家论证。</w:t>
      </w:r>
    </w:p>
    <w:p w14:paraId="3074D075">
      <w:pPr>
        <w:spacing w:line="400" w:lineRule="exact"/>
        <w:ind w:firstLine="840"/>
        <w:rPr>
          <w:rFonts w:hint="eastAsia" w:ascii="宋体" w:hAnsi="宋体"/>
          <w:color w:val="auto"/>
          <w:sz w:val="24"/>
          <w:highlight w:val="none"/>
        </w:rPr>
      </w:pPr>
      <w:r>
        <w:rPr>
          <w:rFonts w:hint="eastAsia" w:ascii="宋体" w:hAnsi="宋体"/>
          <w:color w:val="auto"/>
          <w:sz w:val="24"/>
          <w:highlight w:val="none"/>
        </w:rPr>
        <w:t>(7)各类施工设备设施及用品、用具等应具备相关资质证书，定期检查维护，按规定及时报废；特种设备及支撑体系设施设备投入使用前应按规定组织验收。</w:t>
      </w:r>
    </w:p>
    <w:p w14:paraId="42C4C5FF">
      <w:pPr>
        <w:spacing w:line="400" w:lineRule="exact"/>
        <w:ind w:firstLine="840"/>
        <w:rPr>
          <w:rFonts w:hint="eastAsia" w:ascii="宋体" w:hAnsi="宋体"/>
          <w:color w:val="auto"/>
          <w:sz w:val="24"/>
          <w:highlight w:val="none"/>
        </w:rPr>
      </w:pPr>
      <w:r>
        <w:rPr>
          <w:rFonts w:hint="eastAsia" w:ascii="宋体" w:hAnsi="宋体"/>
          <w:color w:val="auto"/>
          <w:sz w:val="24"/>
          <w:highlight w:val="none"/>
        </w:rPr>
        <w:t>(8)两区三厂、临建设施等选址及相关防护设施的设置应符合安全要求。</w:t>
      </w:r>
    </w:p>
    <w:p w14:paraId="10BF57BF">
      <w:pPr>
        <w:spacing w:line="400" w:lineRule="exact"/>
        <w:ind w:firstLine="840"/>
        <w:rPr>
          <w:rFonts w:hint="eastAsia" w:ascii="宋体" w:hAnsi="宋体"/>
          <w:color w:val="auto"/>
          <w:sz w:val="24"/>
          <w:highlight w:val="none"/>
        </w:rPr>
      </w:pPr>
      <w:r>
        <w:rPr>
          <w:rFonts w:hint="eastAsia" w:ascii="宋体" w:hAnsi="宋体"/>
          <w:color w:val="auto"/>
          <w:sz w:val="24"/>
          <w:highlight w:val="none"/>
        </w:rPr>
        <w:t>(9)建立施工现场及驻地消防安全责任制度，确定消防安全责任人，落实消防安全管理和消防安全检查，及时消除火灾事故隐患。</w:t>
      </w:r>
    </w:p>
    <w:p w14:paraId="328619B7">
      <w:pPr>
        <w:spacing w:line="400" w:lineRule="exact"/>
        <w:ind w:firstLine="840"/>
        <w:rPr>
          <w:rFonts w:hint="eastAsia" w:ascii="宋体" w:hAnsi="宋体"/>
          <w:color w:val="auto"/>
          <w:sz w:val="24"/>
          <w:highlight w:val="none"/>
        </w:rPr>
      </w:pPr>
      <w:r>
        <w:rPr>
          <w:rFonts w:hint="eastAsia" w:ascii="宋体" w:hAnsi="宋体"/>
          <w:color w:val="auto"/>
          <w:sz w:val="24"/>
          <w:highlight w:val="none"/>
        </w:rPr>
        <w:t>(10)按规定建立并落实安全风险分级管控及事故隐患排查治理双重预防工作机制，并按要求开展各类安全生产检查，重大事故隐患及时上报和专项治理。</w:t>
      </w:r>
    </w:p>
    <w:p w14:paraId="49695475">
      <w:pPr>
        <w:spacing w:line="400" w:lineRule="exact"/>
        <w:ind w:firstLine="840"/>
        <w:rPr>
          <w:rFonts w:hint="eastAsia" w:ascii="宋体" w:hAnsi="宋体"/>
          <w:color w:val="auto"/>
          <w:sz w:val="24"/>
          <w:highlight w:val="none"/>
        </w:rPr>
      </w:pPr>
      <w:r>
        <w:rPr>
          <w:rFonts w:hint="eastAsia" w:ascii="宋体" w:hAnsi="宋体"/>
          <w:color w:val="auto"/>
          <w:sz w:val="24"/>
          <w:highlight w:val="none"/>
        </w:rPr>
        <w:t>(11)建立健全本项目合同段生产安全事故应急预案体系，并定期组织演练。</w:t>
      </w:r>
    </w:p>
    <w:p w14:paraId="5D2B71AC">
      <w:pPr>
        <w:spacing w:line="400" w:lineRule="exact"/>
        <w:ind w:firstLine="840"/>
        <w:rPr>
          <w:rFonts w:hint="eastAsia" w:ascii="宋体" w:hAnsi="宋体"/>
          <w:color w:val="auto"/>
          <w:sz w:val="24"/>
          <w:highlight w:val="none"/>
        </w:rPr>
      </w:pPr>
      <w:r>
        <w:rPr>
          <w:rFonts w:hint="eastAsia" w:ascii="宋体" w:hAnsi="宋体"/>
          <w:color w:val="auto"/>
          <w:sz w:val="24"/>
          <w:highlight w:val="none"/>
        </w:rPr>
        <w:t>(12)及时、如实报告生产安全事故。发生事故时，应立即组织抢救，并积极配合事故调查处理。</w:t>
      </w:r>
    </w:p>
    <w:p w14:paraId="004EB2B5">
      <w:pPr>
        <w:spacing w:line="400" w:lineRule="exact"/>
        <w:ind w:firstLine="840"/>
        <w:rPr>
          <w:rFonts w:hint="eastAsia" w:ascii="宋体" w:hAnsi="宋体"/>
          <w:color w:val="auto"/>
          <w:sz w:val="24"/>
          <w:highlight w:val="none"/>
        </w:rPr>
      </w:pPr>
      <w:r>
        <w:rPr>
          <w:rFonts w:hint="eastAsia" w:ascii="宋体" w:hAnsi="宋体"/>
          <w:color w:val="auto"/>
          <w:sz w:val="24"/>
          <w:highlight w:val="none"/>
        </w:rPr>
        <w:t>(13)安全生产法律法规、政策等规定的其他职责。</w:t>
      </w:r>
    </w:p>
    <w:p w14:paraId="28AE2E47">
      <w:pPr>
        <w:spacing w:line="400" w:lineRule="exact"/>
        <w:ind w:firstLine="840"/>
        <w:rPr>
          <w:rFonts w:hint="eastAsia" w:ascii="宋体" w:hAnsi="宋体"/>
          <w:b/>
          <w:bCs/>
          <w:color w:val="auto"/>
          <w:sz w:val="24"/>
          <w:highlight w:val="none"/>
        </w:rPr>
      </w:pPr>
      <w:r>
        <w:rPr>
          <w:rFonts w:hint="eastAsia" w:ascii="宋体" w:hAnsi="宋体"/>
          <w:b/>
          <w:bCs/>
          <w:color w:val="auto"/>
          <w:sz w:val="24"/>
          <w:highlight w:val="none"/>
        </w:rPr>
        <w:t>3.违约责任</w:t>
      </w:r>
    </w:p>
    <w:p w14:paraId="52B624D7">
      <w:pPr>
        <w:spacing w:line="400" w:lineRule="exact"/>
        <w:ind w:firstLine="840"/>
        <w:rPr>
          <w:rFonts w:hint="eastAsia" w:ascii="宋体" w:hAnsi="宋体"/>
          <w:color w:val="auto"/>
          <w:sz w:val="24"/>
          <w:highlight w:val="none"/>
        </w:rPr>
      </w:pPr>
      <w:r>
        <w:rPr>
          <w:rFonts w:hint="eastAsia" w:ascii="宋体" w:hAnsi="宋体"/>
          <w:color w:val="auto"/>
          <w:sz w:val="24"/>
          <w:highlight w:val="none"/>
        </w:rPr>
        <w:t>如因发包人或承包人违约造成安全事故，将依法追究责任。</w:t>
      </w:r>
    </w:p>
    <w:p w14:paraId="2B93036F">
      <w:pPr>
        <w:spacing w:line="400" w:lineRule="exact"/>
        <w:ind w:firstLine="840"/>
        <w:rPr>
          <w:rFonts w:hint="eastAsia" w:ascii="宋体" w:hAnsi="宋体"/>
          <w:color w:val="auto"/>
          <w:sz w:val="24"/>
          <w:highlight w:val="none"/>
        </w:rPr>
      </w:pPr>
      <w:r>
        <w:rPr>
          <w:rFonts w:hint="eastAsia" w:ascii="宋体" w:hAnsi="宋体"/>
          <w:color w:val="auto"/>
          <w:sz w:val="24"/>
          <w:highlight w:val="none"/>
        </w:rPr>
        <w:t>4.本合同由双方法定代表人或其授权的代理人签署并加盖单位章后生效，全部工程竣工验收后失效。 .</w:t>
      </w:r>
    </w:p>
    <w:p w14:paraId="52094449">
      <w:pPr>
        <w:spacing w:line="400" w:lineRule="exact"/>
        <w:ind w:firstLine="840"/>
        <w:rPr>
          <w:rFonts w:ascii="宋体" w:hAnsi="宋体"/>
          <w:color w:val="auto"/>
          <w:sz w:val="24"/>
          <w:highlight w:val="none"/>
        </w:rPr>
      </w:pPr>
      <w:r>
        <w:rPr>
          <w:rFonts w:hint="eastAsia" w:ascii="宋体" w:hAnsi="宋体"/>
          <w:color w:val="auto"/>
          <w:sz w:val="24"/>
          <w:highlight w:val="none"/>
        </w:rPr>
        <w:t>5.本合同正本二份、副本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份，合同双方各执正本一份，副本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份，当正本与副本的内容不一致时，以正本为准。</w:t>
      </w:r>
    </w:p>
    <w:p w14:paraId="3F6A3824">
      <w:pPr>
        <w:pStyle w:val="78"/>
        <w:spacing w:line="360" w:lineRule="auto"/>
        <w:rPr>
          <w:rFonts w:hint="eastAsia" w:ascii="宋体" w:hAnsi="宋体"/>
          <w:color w:val="auto"/>
          <w:sz w:val="24"/>
          <w:szCs w:val="24"/>
          <w:highlight w:val="none"/>
        </w:rPr>
      </w:pPr>
    </w:p>
    <w:p w14:paraId="4B268E34">
      <w:pPr>
        <w:pStyle w:val="78"/>
        <w:spacing w:line="360" w:lineRule="auto"/>
        <w:rPr>
          <w:rFonts w:hint="eastAsia" w:ascii="宋体" w:hAnsi="宋体"/>
          <w:color w:val="auto"/>
          <w:sz w:val="24"/>
          <w:szCs w:val="24"/>
          <w:highlight w:val="none"/>
        </w:rPr>
      </w:pPr>
    </w:p>
    <w:p w14:paraId="145D5445">
      <w:pPr>
        <w:pStyle w:val="78"/>
        <w:spacing w:line="360" w:lineRule="auto"/>
        <w:rPr>
          <w:rFonts w:hint="eastAsia" w:ascii="宋体" w:hAnsi="宋体"/>
          <w:color w:val="auto"/>
          <w:sz w:val="24"/>
          <w:szCs w:val="24"/>
          <w:highlight w:val="none"/>
        </w:rPr>
      </w:pPr>
    </w:p>
    <w:p w14:paraId="1565CE91">
      <w:pPr>
        <w:pStyle w:val="78"/>
        <w:spacing w:line="360" w:lineRule="auto"/>
        <w:rPr>
          <w:rFonts w:hint="eastAsia" w:ascii="宋体" w:hAnsi="宋体"/>
          <w:b w:val="0"/>
          <w:bCs w:val="0"/>
          <w:color w:val="auto"/>
          <w:sz w:val="24"/>
          <w:szCs w:val="24"/>
          <w:highlight w:val="none"/>
        </w:rPr>
      </w:pPr>
      <w:bookmarkStart w:id="1684" w:name="_Toc2386"/>
      <w:r>
        <w:rPr>
          <w:rFonts w:hint="eastAsia" w:ascii="宋体" w:hAnsi="宋体"/>
          <w:b w:val="0"/>
          <w:bCs w:val="0"/>
          <w:color w:val="auto"/>
          <w:sz w:val="24"/>
          <w:szCs w:val="24"/>
          <w:highlight w:val="none"/>
        </w:rPr>
        <w:t xml:space="preserve">发包人： (盖单位章) </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承包人： (盖单位章)</w:t>
      </w:r>
      <w:bookmarkEnd w:id="1684"/>
    </w:p>
    <w:p w14:paraId="6045D0D9">
      <w:pPr>
        <w:pStyle w:val="78"/>
        <w:spacing w:line="360" w:lineRule="auto"/>
        <w:rPr>
          <w:rFonts w:hint="eastAsia" w:ascii="宋体" w:hAnsi="宋体"/>
          <w:b w:val="0"/>
          <w:bCs w:val="0"/>
          <w:color w:val="auto"/>
          <w:sz w:val="24"/>
          <w:szCs w:val="24"/>
          <w:highlight w:val="none"/>
        </w:rPr>
      </w:pPr>
      <w:bookmarkStart w:id="1685" w:name="_Toc12287"/>
      <w:r>
        <w:rPr>
          <w:rFonts w:hint="eastAsia" w:ascii="宋体" w:hAnsi="宋体"/>
          <w:b w:val="0"/>
          <w:bCs w:val="0"/>
          <w:color w:val="auto"/>
          <w:sz w:val="24"/>
          <w:szCs w:val="24"/>
          <w:highlight w:val="none"/>
        </w:rPr>
        <w:t xml:space="preserve">法定代表人或其委托代理人： (签字) </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法定代表人或其委托代理人： (签字)</w:t>
      </w:r>
      <w:bookmarkEnd w:id="1685"/>
    </w:p>
    <w:p w14:paraId="37325112">
      <w:pPr>
        <w:spacing w:line="400" w:lineRule="exact"/>
        <w:ind w:firstLine="840"/>
        <w:rPr>
          <w:rFonts w:ascii="宋体" w:hAnsi="宋体"/>
          <w:color w:val="auto"/>
          <w:sz w:val="24"/>
          <w:highlight w:val="none"/>
        </w:rPr>
      </w:pPr>
      <w:r>
        <w:rPr>
          <w:rFonts w:hint="eastAsia" w:ascii="宋体" w:hAnsi="宋体"/>
          <w:b w:val="0"/>
          <w:bCs w:val="0"/>
          <w:color w:val="auto"/>
          <w:sz w:val="24"/>
          <w:szCs w:val="24"/>
          <w:highlight w:val="none"/>
        </w:rPr>
        <w:t xml:space="preserve">年 </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 xml:space="preserve">月 </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 xml:space="preserve">日 </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 xml:space="preserve">年 </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 xml:space="preserve">月 </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日</w:t>
      </w:r>
    </w:p>
    <w:p w14:paraId="556F4738">
      <w:pPr>
        <w:spacing w:line="400" w:lineRule="exact"/>
        <w:ind w:firstLine="840"/>
        <w:rPr>
          <w:rFonts w:ascii="宋体" w:hAnsi="宋体"/>
          <w:color w:val="auto"/>
          <w:sz w:val="24"/>
          <w:highlight w:val="none"/>
        </w:rPr>
      </w:pPr>
    </w:p>
    <w:p w14:paraId="1840A34F">
      <w:pPr>
        <w:pStyle w:val="78"/>
        <w:spacing w:line="360" w:lineRule="auto"/>
        <w:rPr>
          <w:rFonts w:ascii="宋体" w:hAnsi="宋体"/>
          <w:color w:val="auto"/>
          <w:sz w:val="24"/>
          <w:szCs w:val="24"/>
          <w:highlight w:val="none"/>
        </w:rPr>
      </w:pPr>
      <w:r>
        <w:rPr>
          <w:rFonts w:hint="eastAsia" w:ascii="宋体" w:hAnsi="宋体"/>
          <w:color w:val="auto"/>
          <w:sz w:val="24"/>
          <w:szCs w:val="24"/>
          <w:highlight w:val="none"/>
        </w:rPr>
        <w:br w:type="page"/>
      </w:r>
      <w:bookmarkStart w:id="1686" w:name="_Toc43476009"/>
      <w:bookmarkStart w:id="1687" w:name="_Toc17112"/>
      <w:r>
        <w:rPr>
          <w:rFonts w:hint="eastAsia" w:ascii="宋体" w:hAnsi="宋体"/>
          <w:color w:val="auto"/>
          <w:sz w:val="24"/>
          <w:szCs w:val="24"/>
          <w:highlight w:val="none"/>
        </w:rPr>
        <w:t>附件四   其他管理人员和技术人员最低要求</w:t>
      </w:r>
      <w:bookmarkEnd w:id="1686"/>
      <w:bookmarkEnd w:id="1687"/>
    </w:p>
    <w:p w14:paraId="44CE5E66">
      <w:pPr>
        <w:rPr>
          <w:color w:val="auto"/>
          <w:highlight w:val="none"/>
        </w:rPr>
      </w:pPr>
    </w:p>
    <w:tbl>
      <w:tblPr>
        <w:tblStyle w:val="42"/>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14:paraId="694D3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14:paraId="7D3C3390">
            <w:pPr>
              <w:spacing w:line="276" w:lineRule="auto"/>
              <w:jc w:val="center"/>
              <w:rPr>
                <w:rFonts w:ascii="宋体" w:hAnsi="宋体"/>
                <w:color w:val="auto"/>
                <w:sz w:val="24"/>
                <w:highlight w:val="none"/>
              </w:rPr>
            </w:pPr>
            <w:bookmarkStart w:id="1688" w:name="_Toc505844507"/>
            <w:r>
              <w:rPr>
                <w:rFonts w:hint="eastAsia" w:ascii="宋体" w:hAnsi="宋体"/>
                <w:color w:val="auto"/>
                <w:sz w:val="24"/>
                <w:highlight w:val="none"/>
              </w:rPr>
              <w:t>人  员</w:t>
            </w:r>
          </w:p>
        </w:tc>
        <w:tc>
          <w:tcPr>
            <w:tcW w:w="1143" w:type="dxa"/>
            <w:tcBorders>
              <w:top w:val="single" w:color="auto" w:sz="12" w:space="0"/>
            </w:tcBorders>
            <w:vAlign w:val="center"/>
          </w:tcPr>
          <w:p w14:paraId="02B5E8E9">
            <w:pPr>
              <w:spacing w:line="276" w:lineRule="auto"/>
              <w:jc w:val="center"/>
              <w:rPr>
                <w:rFonts w:ascii="宋体" w:hAnsi="宋体"/>
                <w:color w:val="auto"/>
                <w:sz w:val="24"/>
                <w:highlight w:val="none"/>
              </w:rPr>
            </w:pPr>
            <w:r>
              <w:rPr>
                <w:rFonts w:hint="eastAsia" w:ascii="宋体" w:hAnsi="宋体"/>
                <w:color w:val="auto"/>
                <w:sz w:val="24"/>
                <w:highlight w:val="none"/>
              </w:rPr>
              <w:t>数  量</w:t>
            </w:r>
          </w:p>
        </w:tc>
        <w:tc>
          <w:tcPr>
            <w:tcW w:w="6488" w:type="dxa"/>
            <w:tcBorders>
              <w:top w:val="single" w:color="auto" w:sz="12" w:space="0"/>
            </w:tcBorders>
            <w:vAlign w:val="center"/>
          </w:tcPr>
          <w:p w14:paraId="24EE2C35">
            <w:pPr>
              <w:spacing w:line="276" w:lineRule="auto"/>
              <w:jc w:val="center"/>
              <w:rPr>
                <w:rFonts w:ascii="宋体"/>
                <w:color w:val="auto"/>
                <w:sz w:val="24"/>
                <w:highlight w:val="none"/>
              </w:rPr>
            </w:pPr>
            <w:r>
              <w:rPr>
                <w:rFonts w:hint="eastAsia" w:ascii="宋体" w:hAnsi="宋体"/>
                <w:color w:val="auto"/>
                <w:sz w:val="24"/>
                <w:highlight w:val="none"/>
              </w:rPr>
              <w:t>资格要求</w:t>
            </w:r>
          </w:p>
        </w:tc>
      </w:tr>
      <w:tr w14:paraId="0E5C6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106FFCCC">
            <w:pPr>
              <w:pStyle w:val="54"/>
              <w:rPr>
                <w:color w:val="auto"/>
                <w:highlight w:val="none"/>
              </w:rPr>
            </w:pPr>
          </w:p>
        </w:tc>
        <w:tc>
          <w:tcPr>
            <w:tcW w:w="1143" w:type="dxa"/>
            <w:vAlign w:val="center"/>
          </w:tcPr>
          <w:p w14:paraId="70D1C858">
            <w:pPr>
              <w:spacing w:line="276" w:lineRule="auto"/>
              <w:ind w:firstLine="480" w:firstLineChars="200"/>
              <w:rPr>
                <w:rFonts w:ascii="宋体" w:hAnsi="宋体"/>
                <w:color w:val="auto"/>
                <w:sz w:val="24"/>
                <w:highlight w:val="none"/>
              </w:rPr>
            </w:pPr>
          </w:p>
        </w:tc>
        <w:tc>
          <w:tcPr>
            <w:tcW w:w="6488" w:type="dxa"/>
            <w:vAlign w:val="center"/>
          </w:tcPr>
          <w:p w14:paraId="03075F82">
            <w:pPr>
              <w:spacing w:line="276" w:lineRule="auto"/>
              <w:ind w:firstLine="480" w:firstLineChars="200"/>
              <w:jc w:val="left"/>
              <w:rPr>
                <w:rFonts w:ascii="宋体" w:hAnsi="宋体"/>
                <w:color w:val="auto"/>
                <w:sz w:val="24"/>
                <w:highlight w:val="none"/>
              </w:rPr>
            </w:pPr>
          </w:p>
        </w:tc>
      </w:tr>
      <w:tr w14:paraId="30147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1EBAD225">
            <w:pPr>
              <w:spacing w:line="276" w:lineRule="auto"/>
              <w:rPr>
                <w:rFonts w:ascii="宋体" w:hAnsi="宋体"/>
                <w:color w:val="auto"/>
                <w:sz w:val="24"/>
                <w:highlight w:val="none"/>
              </w:rPr>
            </w:pPr>
          </w:p>
        </w:tc>
        <w:tc>
          <w:tcPr>
            <w:tcW w:w="1143" w:type="dxa"/>
            <w:vAlign w:val="center"/>
          </w:tcPr>
          <w:p w14:paraId="39C82051">
            <w:pPr>
              <w:spacing w:line="276" w:lineRule="auto"/>
              <w:ind w:firstLine="480" w:firstLineChars="200"/>
              <w:rPr>
                <w:rFonts w:ascii="宋体" w:hAnsi="宋体"/>
                <w:color w:val="auto"/>
                <w:sz w:val="24"/>
                <w:highlight w:val="none"/>
              </w:rPr>
            </w:pPr>
          </w:p>
        </w:tc>
        <w:tc>
          <w:tcPr>
            <w:tcW w:w="6488" w:type="dxa"/>
            <w:vAlign w:val="center"/>
          </w:tcPr>
          <w:p w14:paraId="0A1F9016">
            <w:pPr>
              <w:spacing w:line="276" w:lineRule="auto"/>
              <w:ind w:firstLine="480" w:firstLineChars="200"/>
              <w:jc w:val="left"/>
              <w:rPr>
                <w:rFonts w:ascii="宋体" w:hAnsi="宋体"/>
                <w:color w:val="auto"/>
                <w:sz w:val="24"/>
                <w:highlight w:val="none"/>
              </w:rPr>
            </w:pPr>
          </w:p>
        </w:tc>
      </w:tr>
      <w:tr w14:paraId="187D4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19C88EDE">
            <w:pPr>
              <w:spacing w:line="276" w:lineRule="auto"/>
              <w:rPr>
                <w:rFonts w:ascii="宋体" w:hAnsi="宋体"/>
                <w:color w:val="auto"/>
                <w:sz w:val="24"/>
                <w:highlight w:val="none"/>
              </w:rPr>
            </w:pPr>
          </w:p>
        </w:tc>
        <w:tc>
          <w:tcPr>
            <w:tcW w:w="1143" w:type="dxa"/>
            <w:vAlign w:val="center"/>
          </w:tcPr>
          <w:p w14:paraId="564F3427">
            <w:pPr>
              <w:spacing w:line="276" w:lineRule="auto"/>
              <w:ind w:firstLine="480" w:firstLineChars="200"/>
              <w:rPr>
                <w:rFonts w:ascii="宋体" w:hAnsi="宋体"/>
                <w:color w:val="auto"/>
                <w:sz w:val="24"/>
                <w:highlight w:val="none"/>
              </w:rPr>
            </w:pPr>
          </w:p>
        </w:tc>
        <w:tc>
          <w:tcPr>
            <w:tcW w:w="6488" w:type="dxa"/>
            <w:vAlign w:val="center"/>
          </w:tcPr>
          <w:p w14:paraId="749111EC">
            <w:pPr>
              <w:spacing w:line="276" w:lineRule="auto"/>
              <w:ind w:firstLine="480" w:firstLineChars="200"/>
              <w:jc w:val="left"/>
              <w:rPr>
                <w:rFonts w:ascii="宋体" w:hAnsi="宋体"/>
                <w:color w:val="auto"/>
                <w:sz w:val="24"/>
                <w:highlight w:val="none"/>
              </w:rPr>
            </w:pPr>
          </w:p>
        </w:tc>
      </w:tr>
      <w:tr w14:paraId="4CDB8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72402F15">
            <w:pPr>
              <w:spacing w:line="276" w:lineRule="auto"/>
              <w:rPr>
                <w:rFonts w:ascii="宋体" w:hAnsi="宋体"/>
                <w:color w:val="auto"/>
                <w:sz w:val="24"/>
                <w:highlight w:val="none"/>
              </w:rPr>
            </w:pPr>
          </w:p>
        </w:tc>
        <w:tc>
          <w:tcPr>
            <w:tcW w:w="1143" w:type="dxa"/>
            <w:vAlign w:val="center"/>
          </w:tcPr>
          <w:p w14:paraId="0096E609">
            <w:pPr>
              <w:spacing w:line="276" w:lineRule="auto"/>
              <w:ind w:firstLine="480" w:firstLineChars="200"/>
              <w:rPr>
                <w:rFonts w:ascii="宋体" w:hAnsi="宋体"/>
                <w:color w:val="auto"/>
                <w:sz w:val="24"/>
                <w:highlight w:val="none"/>
              </w:rPr>
            </w:pPr>
          </w:p>
        </w:tc>
        <w:tc>
          <w:tcPr>
            <w:tcW w:w="6488" w:type="dxa"/>
            <w:vAlign w:val="center"/>
          </w:tcPr>
          <w:p w14:paraId="68D81594">
            <w:pPr>
              <w:spacing w:line="276" w:lineRule="auto"/>
              <w:ind w:firstLine="480" w:firstLineChars="200"/>
              <w:jc w:val="left"/>
              <w:rPr>
                <w:rFonts w:ascii="宋体" w:hAnsi="宋体"/>
                <w:color w:val="auto"/>
                <w:sz w:val="24"/>
                <w:highlight w:val="none"/>
              </w:rPr>
            </w:pPr>
          </w:p>
        </w:tc>
      </w:tr>
      <w:tr w14:paraId="10314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3DF746F7">
            <w:pPr>
              <w:spacing w:line="276" w:lineRule="auto"/>
              <w:rPr>
                <w:rFonts w:ascii="宋体" w:hAnsi="宋体"/>
                <w:color w:val="auto"/>
                <w:sz w:val="24"/>
                <w:highlight w:val="none"/>
              </w:rPr>
            </w:pPr>
          </w:p>
        </w:tc>
        <w:tc>
          <w:tcPr>
            <w:tcW w:w="1143" w:type="dxa"/>
            <w:vAlign w:val="center"/>
          </w:tcPr>
          <w:p w14:paraId="61315C96">
            <w:pPr>
              <w:spacing w:line="276" w:lineRule="auto"/>
              <w:ind w:firstLine="480" w:firstLineChars="200"/>
              <w:rPr>
                <w:rFonts w:ascii="宋体" w:hAnsi="宋体"/>
                <w:color w:val="auto"/>
                <w:sz w:val="24"/>
                <w:highlight w:val="none"/>
              </w:rPr>
            </w:pPr>
          </w:p>
        </w:tc>
        <w:tc>
          <w:tcPr>
            <w:tcW w:w="6488" w:type="dxa"/>
            <w:vAlign w:val="center"/>
          </w:tcPr>
          <w:p w14:paraId="44729B56">
            <w:pPr>
              <w:spacing w:line="276" w:lineRule="auto"/>
              <w:ind w:firstLine="480" w:firstLineChars="200"/>
              <w:jc w:val="left"/>
              <w:rPr>
                <w:rFonts w:ascii="宋体" w:hAnsi="宋体"/>
                <w:color w:val="auto"/>
                <w:sz w:val="24"/>
                <w:highlight w:val="none"/>
              </w:rPr>
            </w:pPr>
          </w:p>
        </w:tc>
      </w:tr>
      <w:tr w14:paraId="75D3A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3C100569">
            <w:pPr>
              <w:spacing w:line="276" w:lineRule="auto"/>
              <w:rPr>
                <w:rFonts w:ascii="宋体" w:hAnsi="宋体"/>
                <w:color w:val="auto"/>
                <w:sz w:val="24"/>
                <w:highlight w:val="none"/>
              </w:rPr>
            </w:pPr>
          </w:p>
        </w:tc>
        <w:tc>
          <w:tcPr>
            <w:tcW w:w="1143" w:type="dxa"/>
            <w:vAlign w:val="center"/>
          </w:tcPr>
          <w:p w14:paraId="58651A90">
            <w:pPr>
              <w:spacing w:line="276" w:lineRule="auto"/>
              <w:ind w:firstLine="480" w:firstLineChars="200"/>
              <w:rPr>
                <w:rFonts w:ascii="宋体" w:hAnsi="宋体"/>
                <w:color w:val="auto"/>
                <w:sz w:val="24"/>
                <w:highlight w:val="none"/>
              </w:rPr>
            </w:pPr>
          </w:p>
        </w:tc>
        <w:tc>
          <w:tcPr>
            <w:tcW w:w="6488" w:type="dxa"/>
            <w:vAlign w:val="center"/>
          </w:tcPr>
          <w:p w14:paraId="6F5F2DE1">
            <w:pPr>
              <w:spacing w:line="276" w:lineRule="auto"/>
              <w:ind w:firstLine="480" w:firstLineChars="200"/>
              <w:jc w:val="left"/>
              <w:rPr>
                <w:rFonts w:ascii="宋体" w:hAnsi="宋体"/>
                <w:color w:val="auto"/>
                <w:sz w:val="24"/>
                <w:highlight w:val="none"/>
              </w:rPr>
            </w:pPr>
          </w:p>
        </w:tc>
      </w:tr>
      <w:tr w14:paraId="5886E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6B6C6EE8">
            <w:pPr>
              <w:spacing w:line="276" w:lineRule="auto"/>
              <w:rPr>
                <w:rFonts w:ascii="宋体" w:hAnsi="宋体"/>
                <w:color w:val="auto"/>
                <w:sz w:val="24"/>
                <w:highlight w:val="none"/>
              </w:rPr>
            </w:pPr>
          </w:p>
        </w:tc>
        <w:tc>
          <w:tcPr>
            <w:tcW w:w="1143" w:type="dxa"/>
            <w:vAlign w:val="center"/>
          </w:tcPr>
          <w:p w14:paraId="22659ED9">
            <w:pPr>
              <w:spacing w:line="276" w:lineRule="auto"/>
              <w:ind w:firstLine="480" w:firstLineChars="200"/>
              <w:rPr>
                <w:rFonts w:ascii="宋体" w:hAnsi="宋体"/>
                <w:color w:val="auto"/>
                <w:sz w:val="24"/>
                <w:highlight w:val="none"/>
              </w:rPr>
            </w:pPr>
          </w:p>
        </w:tc>
        <w:tc>
          <w:tcPr>
            <w:tcW w:w="6488" w:type="dxa"/>
            <w:vAlign w:val="center"/>
          </w:tcPr>
          <w:p w14:paraId="01476F10">
            <w:pPr>
              <w:spacing w:line="276" w:lineRule="auto"/>
              <w:ind w:firstLine="480" w:firstLineChars="200"/>
              <w:jc w:val="left"/>
              <w:rPr>
                <w:rFonts w:ascii="宋体" w:hAnsi="宋体"/>
                <w:color w:val="auto"/>
                <w:sz w:val="24"/>
                <w:highlight w:val="none"/>
              </w:rPr>
            </w:pPr>
          </w:p>
        </w:tc>
      </w:tr>
      <w:tr w14:paraId="390B2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9EE9A80">
            <w:pPr>
              <w:spacing w:line="276" w:lineRule="auto"/>
              <w:rPr>
                <w:rFonts w:ascii="宋体" w:hAnsi="宋体"/>
                <w:color w:val="auto"/>
                <w:sz w:val="24"/>
                <w:highlight w:val="none"/>
              </w:rPr>
            </w:pPr>
          </w:p>
        </w:tc>
        <w:tc>
          <w:tcPr>
            <w:tcW w:w="1143" w:type="dxa"/>
            <w:vAlign w:val="center"/>
          </w:tcPr>
          <w:p w14:paraId="729503ED">
            <w:pPr>
              <w:spacing w:line="276" w:lineRule="auto"/>
              <w:ind w:firstLine="480" w:firstLineChars="200"/>
              <w:rPr>
                <w:rFonts w:ascii="宋体" w:hAnsi="宋体"/>
                <w:color w:val="auto"/>
                <w:sz w:val="24"/>
                <w:highlight w:val="none"/>
              </w:rPr>
            </w:pPr>
          </w:p>
        </w:tc>
        <w:tc>
          <w:tcPr>
            <w:tcW w:w="6488" w:type="dxa"/>
            <w:vAlign w:val="center"/>
          </w:tcPr>
          <w:p w14:paraId="4DBA64AE">
            <w:pPr>
              <w:spacing w:line="276" w:lineRule="auto"/>
              <w:ind w:firstLine="480" w:firstLineChars="200"/>
              <w:jc w:val="left"/>
              <w:rPr>
                <w:rFonts w:ascii="宋体" w:hAnsi="宋体"/>
                <w:color w:val="auto"/>
                <w:sz w:val="24"/>
                <w:highlight w:val="none"/>
              </w:rPr>
            </w:pPr>
          </w:p>
        </w:tc>
      </w:tr>
      <w:tr w14:paraId="14A8D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236B9295">
            <w:pPr>
              <w:spacing w:line="276" w:lineRule="auto"/>
              <w:rPr>
                <w:rFonts w:ascii="宋体" w:hAnsi="宋体"/>
                <w:color w:val="auto"/>
                <w:sz w:val="24"/>
                <w:highlight w:val="none"/>
              </w:rPr>
            </w:pPr>
          </w:p>
        </w:tc>
        <w:tc>
          <w:tcPr>
            <w:tcW w:w="1143" w:type="dxa"/>
            <w:vAlign w:val="center"/>
          </w:tcPr>
          <w:p w14:paraId="174265F9">
            <w:pPr>
              <w:spacing w:line="276" w:lineRule="auto"/>
              <w:ind w:firstLine="480" w:firstLineChars="200"/>
              <w:rPr>
                <w:rFonts w:ascii="宋体" w:hAnsi="宋体"/>
                <w:color w:val="auto"/>
                <w:sz w:val="24"/>
                <w:highlight w:val="none"/>
              </w:rPr>
            </w:pPr>
          </w:p>
        </w:tc>
        <w:tc>
          <w:tcPr>
            <w:tcW w:w="6488" w:type="dxa"/>
            <w:vAlign w:val="center"/>
          </w:tcPr>
          <w:p w14:paraId="4A741F11">
            <w:pPr>
              <w:spacing w:line="276" w:lineRule="auto"/>
              <w:ind w:firstLine="480" w:firstLineChars="200"/>
              <w:jc w:val="left"/>
              <w:rPr>
                <w:rFonts w:ascii="宋体" w:hAnsi="宋体"/>
                <w:color w:val="auto"/>
                <w:sz w:val="24"/>
                <w:highlight w:val="none"/>
              </w:rPr>
            </w:pPr>
          </w:p>
        </w:tc>
      </w:tr>
      <w:tr w14:paraId="63EE0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2D071E46">
            <w:pPr>
              <w:spacing w:line="276" w:lineRule="auto"/>
              <w:rPr>
                <w:rFonts w:ascii="宋体" w:hAnsi="宋体"/>
                <w:color w:val="auto"/>
                <w:sz w:val="24"/>
                <w:highlight w:val="none"/>
              </w:rPr>
            </w:pPr>
          </w:p>
        </w:tc>
        <w:tc>
          <w:tcPr>
            <w:tcW w:w="1143" w:type="dxa"/>
            <w:vAlign w:val="center"/>
          </w:tcPr>
          <w:p w14:paraId="7280E5C2">
            <w:pPr>
              <w:spacing w:line="276" w:lineRule="auto"/>
              <w:ind w:firstLine="480" w:firstLineChars="200"/>
              <w:rPr>
                <w:rFonts w:ascii="宋体" w:hAnsi="宋体"/>
                <w:color w:val="auto"/>
                <w:sz w:val="24"/>
                <w:highlight w:val="none"/>
              </w:rPr>
            </w:pPr>
          </w:p>
        </w:tc>
        <w:tc>
          <w:tcPr>
            <w:tcW w:w="6488" w:type="dxa"/>
            <w:vAlign w:val="center"/>
          </w:tcPr>
          <w:p w14:paraId="410DB836">
            <w:pPr>
              <w:spacing w:line="276" w:lineRule="auto"/>
              <w:ind w:firstLine="480" w:firstLineChars="200"/>
              <w:jc w:val="left"/>
              <w:rPr>
                <w:rFonts w:ascii="宋体" w:hAnsi="宋体"/>
                <w:color w:val="auto"/>
                <w:sz w:val="24"/>
                <w:highlight w:val="none"/>
              </w:rPr>
            </w:pPr>
          </w:p>
        </w:tc>
      </w:tr>
      <w:tr w14:paraId="70C22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044947F">
            <w:pPr>
              <w:spacing w:line="276" w:lineRule="auto"/>
              <w:rPr>
                <w:rFonts w:ascii="宋体" w:hAnsi="宋体"/>
                <w:color w:val="auto"/>
                <w:sz w:val="24"/>
                <w:highlight w:val="none"/>
              </w:rPr>
            </w:pPr>
          </w:p>
        </w:tc>
        <w:tc>
          <w:tcPr>
            <w:tcW w:w="1143" w:type="dxa"/>
            <w:vAlign w:val="center"/>
          </w:tcPr>
          <w:p w14:paraId="0B483579">
            <w:pPr>
              <w:spacing w:line="276" w:lineRule="auto"/>
              <w:ind w:firstLine="480" w:firstLineChars="200"/>
              <w:rPr>
                <w:rFonts w:ascii="宋体" w:hAnsi="宋体"/>
                <w:color w:val="auto"/>
                <w:sz w:val="24"/>
                <w:highlight w:val="none"/>
              </w:rPr>
            </w:pPr>
          </w:p>
        </w:tc>
        <w:tc>
          <w:tcPr>
            <w:tcW w:w="6488" w:type="dxa"/>
            <w:vAlign w:val="center"/>
          </w:tcPr>
          <w:p w14:paraId="6F3CCE5A">
            <w:pPr>
              <w:spacing w:line="276" w:lineRule="auto"/>
              <w:ind w:firstLine="480" w:firstLineChars="200"/>
              <w:jc w:val="left"/>
              <w:rPr>
                <w:rFonts w:ascii="宋体" w:hAnsi="宋体"/>
                <w:color w:val="auto"/>
                <w:sz w:val="24"/>
                <w:highlight w:val="none"/>
              </w:rPr>
            </w:pPr>
          </w:p>
        </w:tc>
      </w:tr>
      <w:tr w14:paraId="5BE5C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6CCB19CC">
            <w:pPr>
              <w:spacing w:line="276" w:lineRule="auto"/>
              <w:rPr>
                <w:rFonts w:ascii="宋体" w:hAnsi="宋体"/>
                <w:color w:val="auto"/>
                <w:sz w:val="24"/>
                <w:highlight w:val="none"/>
              </w:rPr>
            </w:pPr>
          </w:p>
        </w:tc>
        <w:tc>
          <w:tcPr>
            <w:tcW w:w="1143" w:type="dxa"/>
            <w:vAlign w:val="center"/>
          </w:tcPr>
          <w:p w14:paraId="4E4A83FA">
            <w:pPr>
              <w:spacing w:line="276" w:lineRule="auto"/>
              <w:ind w:firstLine="480" w:firstLineChars="200"/>
              <w:rPr>
                <w:rFonts w:ascii="宋体" w:hAnsi="宋体"/>
                <w:color w:val="auto"/>
                <w:sz w:val="24"/>
                <w:highlight w:val="none"/>
              </w:rPr>
            </w:pPr>
          </w:p>
        </w:tc>
        <w:tc>
          <w:tcPr>
            <w:tcW w:w="6488" w:type="dxa"/>
            <w:vAlign w:val="center"/>
          </w:tcPr>
          <w:p w14:paraId="0B6CB7D5">
            <w:pPr>
              <w:spacing w:line="276" w:lineRule="auto"/>
              <w:ind w:firstLine="480" w:firstLineChars="200"/>
              <w:jc w:val="left"/>
              <w:rPr>
                <w:rFonts w:ascii="宋体" w:hAnsi="宋体"/>
                <w:color w:val="auto"/>
                <w:sz w:val="24"/>
                <w:highlight w:val="none"/>
              </w:rPr>
            </w:pPr>
          </w:p>
        </w:tc>
      </w:tr>
      <w:tr w14:paraId="29640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14:paraId="58B87A5B">
            <w:pPr>
              <w:spacing w:line="276" w:lineRule="auto"/>
              <w:rPr>
                <w:rFonts w:ascii="宋体" w:hAnsi="宋体"/>
                <w:color w:val="auto"/>
                <w:sz w:val="24"/>
                <w:highlight w:val="none"/>
              </w:rPr>
            </w:pPr>
          </w:p>
        </w:tc>
        <w:tc>
          <w:tcPr>
            <w:tcW w:w="1143" w:type="dxa"/>
            <w:tcBorders>
              <w:bottom w:val="single" w:color="auto" w:sz="12" w:space="0"/>
            </w:tcBorders>
            <w:vAlign w:val="center"/>
          </w:tcPr>
          <w:p w14:paraId="5BE97710">
            <w:pPr>
              <w:spacing w:line="276" w:lineRule="auto"/>
              <w:ind w:firstLine="480" w:firstLineChars="200"/>
              <w:rPr>
                <w:rFonts w:ascii="宋体" w:hAnsi="宋体"/>
                <w:color w:val="auto"/>
                <w:sz w:val="24"/>
                <w:highlight w:val="none"/>
              </w:rPr>
            </w:pPr>
          </w:p>
        </w:tc>
        <w:tc>
          <w:tcPr>
            <w:tcW w:w="6488" w:type="dxa"/>
            <w:tcBorders>
              <w:bottom w:val="single" w:color="auto" w:sz="12" w:space="0"/>
            </w:tcBorders>
            <w:vAlign w:val="center"/>
          </w:tcPr>
          <w:p w14:paraId="686DDB7F">
            <w:pPr>
              <w:spacing w:line="276" w:lineRule="auto"/>
              <w:ind w:firstLine="480" w:firstLineChars="200"/>
              <w:jc w:val="left"/>
              <w:rPr>
                <w:rFonts w:ascii="宋体" w:hAnsi="宋体"/>
                <w:color w:val="auto"/>
                <w:sz w:val="24"/>
                <w:highlight w:val="none"/>
              </w:rPr>
            </w:pPr>
          </w:p>
        </w:tc>
      </w:tr>
    </w:tbl>
    <w:p w14:paraId="28C6B974">
      <w:pPr>
        <w:rPr>
          <w:color w:val="auto"/>
          <w:highlight w:val="none"/>
        </w:rPr>
      </w:pPr>
      <w:r>
        <w:rPr>
          <w:rFonts w:hint="eastAsia"/>
          <w:color w:val="auto"/>
          <w:sz w:val="24"/>
          <w:highlight w:val="none"/>
        </w:rPr>
        <w:t>注：本表所要求人员须按招标文件投标函的格式承诺，中标人在进场前向招标人提交实际投入的人员。</w:t>
      </w:r>
    </w:p>
    <w:p w14:paraId="3BE3ED64">
      <w:pPr>
        <w:pStyle w:val="78"/>
        <w:spacing w:line="360" w:lineRule="auto"/>
        <w:rPr>
          <w:rFonts w:ascii="宋体" w:hAnsi="宋体"/>
          <w:color w:val="auto"/>
          <w:sz w:val="24"/>
          <w:szCs w:val="24"/>
          <w:highlight w:val="none"/>
        </w:rPr>
      </w:pPr>
    </w:p>
    <w:p w14:paraId="5F77DF97">
      <w:pPr>
        <w:rPr>
          <w:color w:val="auto"/>
          <w:highlight w:val="none"/>
        </w:rPr>
      </w:pPr>
    </w:p>
    <w:p w14:paraId="17988DA2">
      <w:pPr>
        <w:pStyle w:val="78"/>
        <w:spacing w:line="360" w:lineRule="auto"/>
        <w:rPr>
          <w:rFonts w:ascii="宋体" w:hAnsi="宋体"/>
          <w:color w:val="auto"/>
          <w:sz w:val="24"/>
          <w:szCs w:val="24"/>
          <w:highlight w:val="none"/>
        </w:rPr>
      </w:pPr>
      <w:r>
        <w:rPr>
          <w:rFonts w:hint="eastAsia" w:ascii="宋体" w:hAnsi="宋体"/>
          <w:color w:val="auto"/>
          <w:sz w:val="24"/>
          <w:szCs w:val="24"/>
          <w:highlight w:val="none"/>
        </w:rPr>
        <w:br w:type="page"/>
      </w:r>
      <w:bookmarkStart w:id="1689" w:name="_Toc43476011"/>
      <w:bookmarkStart w:id="1690" w:name="_Toc43476010"/>
      <w:bookmarkStart w:id="1691" w:name="_Toc26675"/>
      <w:r>
        <w:rPr>
          <w:rFonts w:hint="eastAsia" w:ascii="宋体" w:hAnsi="宋体"/>
          <w:color w:val="auto"/>
          <w:sz w:val="24"/>
          <w:szCs w:val="24"/>
          <w:highlight w:val="none"/>
        </w:rPr>
        <w:t>附件五   主要设备最低要求</w:t>
      </w:r>
      <w:bookmarkEnd w:id="1688"/>
      <w:bookmarkEnd w:id="1689"/>
      <w:bookmarkEnd w:id="1690"/>
      <w:bookmarkEnd w:id="1691"/>
    </w:p>
    <w:tbl>
      <w:tblPr>
        <w:tblStyle w:val="42"/>
        <w:tblpPr w:leftFromText="180" w:rightFromText="180" w:vertAnchor="text" w:horzAnchor="page" w:tblpXSpec="center" w:tblpY="109"/>
        <w:tblOverlap w:val="never"/>
        <w:tblW w:w="8765" w:type="dxa"/>
        <w:jc w:val="center"/>
        <w:tblLayout w:type="fixed"/>
        <w:tblCellMar>
          <w:top w:w="0" w:type="dxa"/>
          <w:left w:w="0" w:type="dxa"/>
          <w:bottom w:w="0" w:type="dxa"/>
          <w:right w:w="0" w:type="dxa"/>
        </w:tblCellMar>
      </w:tblPr>
      <w:tblGrid>
        <w:gridCol w:w="772"/>
        <w:gridCol w:w="2736"/>
        <w:gridCol w:w="2972"/>
        <w:gridCol w:w="842"/>
        <w:gridCol w:w="1443"/>
      </w:tblGrid>
      <w:tr w14:paraId="1A11853D">
        <w:tblPrEx>
          <w:tblCellMar>
            <w:top w:w="0" w:type="dxa"/>
            <w:left w:w="0" w:type="dxa"/>
            <w:bottom w:w="0" w:type="dxa"/>
            <w:right w:w="0" w:type="dxa"/>
          </w:tblCellMar>
        </w:tblPrEx>
        <w:trPr>
          <w:trHeight w:val="565" w:hRule="exact"/>
          <w:jc w:val="center"/>
        </w:trPr>
        <w:tc>
          <w:tcPr>
            <w:tcW w:w="772" w:type="dxa"/>
            <w:tcBorders>
              <w:top w:val="single" w:color="000000" w:sz="12" w:space="0"/>
              <w:left w:val="single" w:color="000000" w:sz="12" w:space="0"/>
              <w:bottom w:val="single" w:color="000000" w:sz="8" w:space="0"/>
              <w:right w:val="single" w:color="000000" w:sz="8" w:space="0"/>
            </w:tcBorders>
            <w:vAlign w:val="center"/>
          </w:tcPr>
          <w:p w14:paraId="1E9342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14:paraId="0E40988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14:paraId="6441FF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14:paraId="542D10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14:paraId="76AD79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最低数量</w:t>
            </w:r>
          </w:p>
        </w:tc>
      </w:tr>
      <w:tr w14:paraId="4371DDA2">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C9D739F">
            <w:pPr>
              <w:tabs>
                <w:tab w:val="left" w:pos="425"/>
              </w:tabs>
              <w:jc w:val="center"/>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B4C4C">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2195A">
            <w:pPr>
              <w:spacing w:line="360" w:lineRule="auto"/>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226AA">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3D78081">
            <w:pPr>
              <w:spacing w:line="360" w:lineRule="auto"/>
              <w:jc w:val="center"/>
              <w:rPr>
                <w:rFonts w:ascii="宋体" w:hAnsi="宋体" w:cs="宋体"/>
                <w:color w:val="auto"/>
                <w:sz w:val="24"/>
                <w:highlight w:val="none"/>
              </w:rPr>
            </w:pPr>
          </w:p>
        </w:tc>
      </w:tr>
      <w:tr w14:paraId="156046E7">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EEB70A9">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31847">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1607B">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E10A1">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F424619">
            <w:pPr>
              <w:spacing w:line="360" w:lineRule="auto"/>
              <w:jc w:val="center"/>
              <w:rPr>
                <w:rFonts w:ascii="宋体" w:hAnsi="宋体" w:cs="宋体"/>
                <w:color w:val="auto"/>
                <w:sz w:val="24"/>
                <w:highlight w:val="none"/>
              </w:rPr>
            </w:pPr>
          </w:p>
        </w:tc>
      </w:tr>
      <w:tr w14:paraId="14DC4092">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D592334">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A584C">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97FFA">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DB941">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414E1C6">
            <w:pPr>
              <w:spacing w:line="360" w:lineRule="auto"/>
              <w:jc w:val="center"/>
              <w:rPr>
                <w:rFonts w:ascii="宋体" w:hAnsi="宋体" w:cs="宋体"/>
                <w:color w:val="auto"/>
                <w:sz w:val="24"/>
                <w:highlight w:val="none"/>
              </w:rPr>
            </w:pPr>
          </w:p>
        </w:tc>
      </w:tr>
      <w:tr w14:paraId="3C9BC06A">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2DAC9D9">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96267">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4A0B0">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1B0AA">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3E12721">
            <w:pPr>
              <w:spacing w:line="360" w:lineRule="auto"/>
              <w:jc w:val="center"/>
              <w:rPr>
                <w:rFonts w:ascii="宋体" w:hAnsi="宋体" w:cs="宋体"/>
                <w:color w:val="auto"/>
                <w:sz w:val="24"/>
                <w:highlight w:val="none"/>
              </w:rPr>
            </w:pPr>
          </w:p>
        </w:tc>
      </w:tr>
      <w:tr w14:paraId="6A710EF1">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4A315A5">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543EB">
            <w:pPr>
              <w:spacing w:line="360" w:lineRule="auto"/>
              <w:ind w:firstLine="240" w:firstLineChars="100"/>
              <w:jc w:val="left"/>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D1C32">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F8DCA">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C5CD3C8">
            <w:pPr>
              <w:spacing w:line="360" w:lineRule="auto"/>
              <w:jc w:val="center"/>
              <w:rPr>
                <w:rFonts w:ascii="宋体" w:hAnsi="宋体" w:cs="宋体"/>
                <w:color w:val="auto"/>
                <w:sz w:val="24"/>
                <w:highlight w:val="none"/>
              </w:rPr>
            </w:pPr>
          </w:p>
        </w:tc>
      </w:tr>
      <w:tr w14:paraId="559F218C">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617473A">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51ED7">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974CB">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6729B">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26D64FF">
            <w:pPr>
              <w:spacing w:line="360" w:lineRule="auto"/>
              <w:jc w:val="center"/>
              <w:rPr>
                <w:rFonts w:ascii="宋体" w:hAnsi="宋体" w:cs="宋体"/>
                <w:color w:val="auto"/>
                <w:sz w:val="24"/>
                <w:highlight w:val="none"/>
              </w:rPr>
            </w:pPr>
          </w:p>
        </w:tc>
      </w:tr>
      <w:tr w14:paraId="1CF7E0F7">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12E5088">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A74FC">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2F0CB7">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7FB17">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5219A3A">
            <w:pPr>
              <w:spacing w:line="360" w:lineRule="auto"/>
              <w:jc w:val="center"/>
              <w:rPr>
                <w:rFonts w:ascii="宋体" w:hAnsi="宋体" w:cs="宋体"/>
                <w:color w:val="auto"/>
                <w:sz w:val="24"/>
                <w:highlight w:val="none"/>
              </w:rPr>
            </w:pPr>
          </w:p>
        </w:tc>
      </w:tr>
      <w:tr w14:paraId="27B439C8">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7B002FF">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695578">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39B3F">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48641">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C8F9F43">
            <w:pPr>
              <w:spacing w:line="360" w:lineRule="auto"/>
              <w:jc w:val="center"/>
              <w:rPr>
                <w:rFonts w:ascii="宋体" w:hAnsi="宋体" w:cs="宋体"/>
                <w:color w:val="auto"/>
                <w:sz w:val="24"/>
                <w:highlight w:val="none"/>
              </w:rPr>
            </w:pPr>
          </w:p>
        </w:tc>
      </w:tr>
      <w:tr w14:paraId="2E2AFE3B">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F43ECE4">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F6FFE">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0AF6A">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C83B9">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158D8743">
            <w:pPr>
              <w:spacing w:line="360" w:lineRule="auto"/>
              <w:jc w:val="center"/>
              <w:rPr>
                <w:rFonts w:ascii="宋体" w:hAnsi="宋体" w:cs="宋体"/>
                <w:color w:val="auto"/>
                <w:sz w:val="24"/>
                <w:highlight w:val="none"/>
              </w:rPr>
            </w:pPr>
          </w:p>
        </w:tc>
      </w:tr>
      <w:tr w14:paraId="6BF6AA96">
        <w:tblPrEx>
          <w:tblCellMar>
            <w:top w:w="0" w:type="dxa"/>
            <w:left w:w="0" w:type="dxa"/>
            <w:bottom w:w="0" w:type="dxa"/>
            <w:right w:w="0" w:type="dxa"/>
          </w:tblCellMar>
        </w:tblPrEx>
        <w:trPr>
          <w:trHeight w:val="550"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B1B1341">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317CA">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E53D0">
            <w:pPr>
              <w:adjustRightInd w:val="0"/>
              <w:snapToGrid w:val="0"/>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BC5C27">
            <w:pPr>
              <w:adjustRightInd w:val="0"/>
              <w:snapToGrid w:val="0"/>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C939104">
            <w:pPr>
              <w:adjustRightInd w:val="0"/>
              <w:snapToGrid w:val="0"/>
              <w:jc w:val="center"/>
              <w:rPr>
                <w:rFonts w:ascii="宋体" w:hAnsi="宋体" w:cs="宋体" w:eastAsiaTheme="minorEastAsia"/>
                <w:color w:val="auto"/>
                <w:sz w:val="24"/>
                <w:highlight w:val="none"/>
              </w:rPr>
            </w:pPr>
          </w:p>
        </w:tc>
      </w:tr>
      <w:tr w14:paraId="2496CA12">
        <w:tblPrEx>
          <w:tblCellMar>
            <w:top w:w="0" w:type="dxa"/>
            <w:left w:w="0" w:type="dxa"/>
            <w:bottom w:w="0" w:type="dxa"/>
            <w:right w:w="0" w:type="dxa"/>
          </w:tblCellMar>
        </w:tblPrEx>
        <w:trPr>
          <w:trHeight w:val="525"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ABCD705">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0E66E0">
            <w:pPr>
              <w:spacing w:line="360" w:lineRule="auto"/>
              <w:ind w:firstLine="240" w:firstLineChars="100"/>
              <w:rPr>
                <w:rFonts w:ascii="宋体" w:hAnsi="宋体" w:cs="宋体" w:eastAsiaTheme="minorEastAsia"/>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2A41B">
            <w:pPr>
              <w:adjustRightInd w:val="0"/>
              <w:snapToGrid w:val="0"/>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07FEF">
            <w:pPr>
              <w:adjustRightInd w:val="0"/>
              <w:snapToGrid w:val="0"/>
              <w:jc w:val="center"/>
              <w:rPr>
                <w:rFonts w:ascii="宋体" w:hAnsi="宋体" w:cs="宋体" w:eastAsiaTheme="minorEastAsia"/>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C140253">
            <w:pPr>
              <w:adjustRightInd w:val="0"/>
              <w:snapToGrid w:val="0"/>
              <w:jc w:val="center"/>
              <w:rPr>
                <w:rFonts w:ascii="宋体" w:hAnsi="宋体" w:cs="宋体" w:eastAsiaTheme="minorEastAsia"/>
                <w:color w:val="auto"/>
                <w:sz w:val="24"/>
                <w:highlight w:val="none"/>
              </w:rPr>
            </w:pPr>
          </w:p>
        </w:tc>
      </w:tr>
      <w:tr w14:paraId="07F78DC5">
        <w:tblPrEx>
          <w:tblCellMar>
            <w:top w:w="0" w:type="dxa"/>
            <w:left w:w="0" w:type="dxa"/>
            <w:bottom w:w="0" w:type="dxa"/>
            <w:right w:w="0" w:type="dxa"/>
          </w:tblCellMar>
        </w:tblPrEx>
        <w:trPr>
          <w:trHeight w:val="568"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554551C">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F518D1">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F604A2">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1C8BF7">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DBE8C16">
            <w:pPr>
              <w:spacing w:line="360" w:lineRule="auto"/>
              <w:jc w:val="center"/>
              <w:rPr>
                <w:rFonts w:ascii="宋体" w:hAnsi="宋体" w:cs="宋体"/>
                <w:color w:val="auto"/>
                <w:sz w:val="24"/>
                <w:highlight w:val="none"/>
              </w:rPr>
            </w:pPr>
          </w:p>
        </w:tc>
      </w:tr>
      <w:tr w14:paraId="0D82BFF6">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1760B6B">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C4D1B">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41D81">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CFD7D">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01376F7D">
            <w:pPr>
              <w:spacing w:line="360" w:lineRule="auto"/>
              <w:jc w:val="center"/>
              <w:rPr>
                <w:rFonts w:ascii="宋体" w:hAnsi="宋体" w:cs="宋体"/>
                <w:color w:val="auto"/>
                <w:sz w:val="24"/>
                <w:highlight w:val="none"/>
              </w:rPr>
            </w:pPr>
          </w:p>
        </w:tc>
      </w:tr>
      <w:tr w14:paraId="13DB2943">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39A8A502">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79C509A8">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4BF6BC0C">
            <w:pPr>
              <w:spacing w:line="360" w:lineRule="auto"/>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3600B72C">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0FE3489A">
            <w:pPr>
              <w:spacing w:line="360" w:lineRule="auto"/>
              <w:jc w:val="center"/>
              <w:rPr>
                <w:rFonts w:ascii="宋体" w:hAnsi="宋体" w:cs="宋体" w:eastAsiaTheme="minorEastAsia"/>
                <w:color w:val="auto"/>
                <w:sz w:val="24"/>
                <w:highlight w:val="none"/>
              </w:rPr>
            </w:pPr>
          </w:p>
        </w:tc>
      </w:tr>
      <w:tr w14:paraId="63046B98">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28053B68">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60E85BFD">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245931D2">
            <w:pPr>
              <w:spacing w:line="360" w:lineRule="auto"/>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7EE43B5F">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3D9309FD">
            <w:pPr>
              <w:spacing w:line="360" w:lineRule="auto"/>
              <w:jc w:val="center"/>
              <w:rPr>
                <w:rFonts w:ascii="宋体" w:hAnsi="宋体" w:cs="宋体" w:eastAsiaTheme="minorEastAsia"/>
                <w:color w:val="auto"/>
                <w:sz w:val="24"/>
                <w:highlight w:val="none"/>
              </w:rPr>
            </w:pPr>
          </w:p>
        </w:tc>
      </w:tr>
      <w:tr w14:paraId="5AB34D9E">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0BA03678">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252CB7E5">
            <w:pPr>
              <w:spacing w:line="360" w:lineRule="auto"/>
              <w:ind w:firstLine="240" w:firstLineChars="100"/>
              <w:rPr>
                <w:rFonts w:ascii="宋体" w:hAnsi="宋体" w:cs="宋体" w:eastAsiaTheme="minorEastAsia"/>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3309418D">
            <w:pPr>
              <w:spacing w:line="360" w:lineRule="auto"/>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1AD8EB9B">
            <w:pPr>
              <w:spacing w:line="360" w:lineRule="auto"/>
              <w:jc w:val="center"/>
              <w:rPr>
                <w:rFonts w:ascii="宋体" w:hAnsi="宋体" w:cs="宋体" w:eastAsiaTheme="minorEastAsia"/>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1CF3C367">
            <w:pPr>
              <w:spacing w:line="360" w:lineRule="auto"/>
              <w:jc w:val="center"/>
              <w:rPr>
                <w:rFonts w:ascii="宋体" w:hAnsi="宋体" w:cs="宋体" w:eastAsiaTheme="minorEastAsia"/>
                <w:color w:val="auto"/>
                <w:sz w:val="24"/>
                <w:highlight w:val="none"/>
              </w:rPr>
            </w:pPr>
          </w:p>
        </w:tc>
      </w:tr>
    </w:tbl>
    <w:p w14:paraId="4E645A73">
      <w:pPr>
        <w:rPr>
          <w:rFonts w:ascii="宋体" w:hAnsi="宋体"/>
          <w:color w:val="auto"/>
          <w:sz w:val="24"/>
          <w:highlight w:val="none"/>
        </w:rPr>
      </w:pPr>
    </w:p>
    <w:p w14:paraId="4088F310">
      <w:pPr>
        <w:pStyle w:val="52"/>
        <w:rPr>
          <w:rFonts w:ascii="宋体" w:hAnsi="宋体"/>
          <w:color w:val="auto"/>
          <w:sz w:val="24"/>
          <w:highlight w:val="none"/>
        </w:rPr>
      </w:pPr>
    </w:p>
    <w:p w14:paraId="45C2025E">
      <w:pPr>
        <w:pStyle w:val="52"/>
        <w:rPr>
          <w:rFonts w:ascii="宋体" w:hAnsi="宋体"/>
          <w:color w:val="auto"/>
          <w:sz w:val="24"/>
          <w:highlight w:val="none"/>
        </w:rPr>
      </w:pPr>
    </w:p>
    <w:p w14:paraId="111365AE">
      <w:pPr>
        <w:pStyle w:val="52"/>
        <w:rPr>
          <w:rFonts w:ascii="宋体" w:hAnsi="宋体"/>
          <w:color w:val="auto"/>
          <w:sz w:val="24"/>
          <w:highlight w:val="none"/>
        </w:rPr>
      </w:pPr>
    </w:p>
    <w:p w14:paraId="26DAC201">
      <w:pPr>
        <w:pStyle w:val="52"/>
        <w:rPr>
          <w:rFonts w:ascii="宋体" w:hAnsi="宋体"/>
          <w:color w:val="auto"/>
          <w:sz w:val="24"/>
          <w:highlight w:val="none"/>
        </w:rPr>
      </w:pPr>
    </w:p>
    <w:p w14:paraId="69D1137B">
      <w:pPr>
        <w:pStyle w:val="52"/>
        <w:rPr>
          <w:rFonts w:ascii="宋体" w:hAnsi="宋体"/>
          <w:color w:val="auto"/>
          <w:sz w:val="24"/>
          <w:highlight w:val="none"/>
        </w:rPr>
      </w:pPr>
    </w:p>
    <w:p w14:paraId="13642A6E">
      <w:pPr>
        <w:pStyle w:val="52"/>
        <w:rPr>
          <w:rFonts w:ascii="宋体" w:hAnsi="宋体"/>
          <w:color w:val="auto"/>
          <w:sz w:val="24"/>
          <w:highlight w:val="none"/>
        </w:rPr>
      </w:pPr>
    </w:p>
    <w:p w14:paraId="6A96A0AE">
      <w:pPr>
        <w:pStyle w:val="52"/>
        <w:rPr>
          <w:rFonts w:ascii="宋体" w:hAnsi="宋体"/>
          <w:color w:val="auto"/>
          <w:sz w:val="24"/>
          <w:highlight w:val="none"/>
        </w:rPr>
      </w:pPr>
    </w:p>
    <w:p w14:paraId="31C98298">
      <w:pPr>
        <w:pStyle w:val="52"/>
        <w:rPr>
          <w:rFonts w:ascii="宋体" w:hAnsi="宋体"/>
          <w:color w:val="auto"/>
          <w:sz w:val="24"/>
          <w:highlight w:val="none"/>
        </w:rPr>
      </w:pPr>
    </w:p>
    <w:p w14:paraId="3B73C867">
      <w:pPr>
        <w:pStyle w:val="52"/>
        <w:rPr>
          <w:rFonts w:ascii="宋体" w:hAnsi="宋体"/>
          <w:color w:val="auto"/>
          <w:sz w:val="24"/>
          <w:highlight w:val="none"/>
        </w:rPr>
      </w:pPr>
    </w:p>
    <w:p w14:paraId="1A7A5573">
      <w:pPr>
        <w:pStyle w:val="52"/>
        <w:rPr>
          <w:rFonts w:ascii="宋体" w:hAnsi="宋体"/>
          <w:color w:val="auto"/>
          <w:sz w:val="24"/>
          <w:highlight w:val="none"/>
        </w:rPr>
      </w:pPr>
    </w:p>
    <w:p w14:paraId="1E8B44F7">
      <w:pPr>
        <w:pStyle w:val="52"/>
        <w:rPr>
          <w:rFonts w:ascii="宋体" w:hAnsi="宋体"/>
          <w:color w:val="auto"/>
          <w:sz w:val="24"/>
          <w:highlight w:val="none"/>
        </w:rPr>
      </w:pPr>
    </w:p>
    <w:p w14:paraId="52410EC4">
      <w:pPr>
        <w:pStyle w:val="52"/>
        <w:rPr>
          <w:rFonts w:ascii="宋体" w:hAnsi="宋体"/>
          <w:color w:val="auto"/>
          <w:sz w:val="24"/>
          <w:highlight w:val="none"/>
        </w:rPr>
      </w:pPr>
    </w:p>
    <w:p w14:paraId="4C3DCCAD">
      <w:pPr>
        <w:pStyle w:val="52"/>
        <w:rPr>
          <w:rFonts w:ascii="宋体" w:hAnsi="宋体"/>
          <w:color w:val="auto"/>
          <w:sz w:val="24"/>
          <w:highlight w:val="none"/>
        </w:rPr>
      </w:pPr>
    </w:p>
    <w:p w14:paraId="6F1A9F70">
      <w:pPr>
        <w:pStyle w:val="52"/>
        <w:rPr>
          <w:rFonts w:ascii="宋体" w:hAnsi="宋体"/>
          <w:color w:val="auto"/>
          <w:sz w:val="24"/>
          <w:highlight w:val="none"/>
        </w:rPr>
      </w:pPr>
    </w:p>
    <w:p w14:paraId="34B57971">
      <w:pPr>
        <w:pStyle w:val="52"/>
        <w:rPr>
          <w:rFonts w:ascii="宋体" w:hAnsi="宋体"/>
          <w:color w:val="auto"/>
          <w:sz w:val="24"/>
          <w:highlight w:val="none"/>
        </w:rPr>
      </w:pPr>
    </w:p>
    <w:p w14:paraId="532B9C96">
      <w:pPr>
        <w:pStyle w:val="52"/>
        <w:rPr>
          <w:rFonts w:ascii="宋体" w:hAnsi="宋体"/>
          <w:color w:val="auto"/>
          <w:sz w:val="24"/>
          <w:highlight w:val="none"/>
        </w:rPr>
      </w:pPr>
    </w:p>
    <w:p w14:paraId="01406AFC">
      <w:pPr>
        <w:pStyle w:val="52"/>
        <w:rPr>
          <w:rFonts w:ascii="宋体" w:hAnsi="宋体"/>
          <w:color w:val="auto"/>
          <w:sz w:val="24"/>
          <w:highlight w:val="none"/>
        </w:rPr>
      </w:pPr>
    </w:p>
    <w:p w14:paraId="08976423">
      <w:pPr>
        <w:pStyle w:val="80"/>
        <w:spacing w:before="81"/>
        <w:ind w:right="164"/>
        <w:jc w:val="left"/>
        <w:rPr>
          <w:rFonts w:ascii="宋体" w:hAnsi="宋体" w:cs="宋体"/>
          <w:color w:val="auto"/>
          <w:sz w:val="24"/>
          <w:szCs w:val="22"/>
          <w:highlight w:val="none"/>
        </w:rPr>
      </w:pPr>
      <w:r>
        <w:rPr>
          <w:rFonts w:hint="eastAsia" w:ascii="宋体" w:hAnsi="宋体" w:cs="宋体"/>
          <w:color w:val="auto"/>
          <w:sz w:val="24"/>
          <w:szCs w:val="22"/>
          <w:highlight w:val="none"/>
        </w:rPr>
        <w:t>注：1、本表所要求的主要机械设备和试验检测设备须按招标文件投标函的格式承诺，中标人在进场前向招标人提交实际投入的机械设备。</w:t>
      </w:r>
    </w:p>
    <w:p w14:paraId="71FD6FBA">
      <w:pPr>
        <w:pStyle w:val="80"/>
        <w:spacing w:before="81"/>
        <w:ind w:right="164" w:firstLine="480"/>
        <w:jc w:val="left"/>
        <w:rPr>
          <w:rFonts w:ascii="宋体" w:hAnsi="宋体" w:cs="宋体"/>
          <w:color w:val="auto"/>
          <w:sz w:val="24"/>
          <w:highlight w:val="none"/>
        </w:rPr>
      </w:pPr>
      <w:r>
        <w:rPr>
          <w:rFonts w:hint="eastAsia" w:ascii="宋体" w:hAnsi="宋体" w:cs="宋体"/>
          <w:color w:val="auto"/>
          <w:sz w:val="24"/>
          <w:szCs w:val="22"/>
          <w:highlight w:val="none"/>
        </w:rPr>
        <w:t>2、招标人有权根据标段的工程特点、工程量及工程进度情况要求增加相应的施工设备，由此不存在索赔问题</w:t>
      </w:r>
      <w:r>
        <w:rPr>
          <w:rFonts w:hint="eastAsia" w:ascii="宋体" w:hAnsi="宋体" w:cs="宋体"/>
          <w:color w:val="auto"/>
          <w:sz w:val="24"/>
          <w:highlight w:val="none"/>
        </w:rPr>
        <w:t>。</w:t>
      </w:r>
    </w:p>
    <w:p w14:paraId="5ECB6D05">
      <w:pPr>
        <w:pStyle w:val="3"/>
        <w:rPr>
          <w:color w:val="auto"/>
          <w:highlight w:val="none"/>
        </w:rPr>
      </w:pPr>
      <w:r>
        <w:rPr>
          <w:rFonts w:hint="eastAsia"/>
          <w:color w:val="auto"/>
          <w:highlight w:val="none"/>
        </w:rPr>
        <w:br w:type="page"/>
      </w:r>
      <w:bookmarkStart w:id="1692" w:name="_Toc16658"/>
      <w:bookmarkStart w:id="1693" w:name="_Toc43476012"/>
      <w:bookmarkStart w:id="1694" w:name="_Toc505844508"/>
      <w:r>
        <w:rPr>
          <w:rFonts w:hint="eastAsia"/>
          <w:color w:val="auto"/>
          <w:sz w:val="24"/>
          <w:szCs w:val="24"/>
          <w:highlight w:val="none"/>
        </w:rPr>
        <w:t>附件六项目经理委托书</w:t>
      </w:r>
      <w:bookmarkEnd w:id="1692"/>
      <w:bookmarkEnd w:id="1693"/>
      <w:bookmarkEnd w:id="1694"/>
    </w:p>
    <w:p w14:paraId="0700E6A8">
      <w:pPr>
        <w:spacing w:line="400" w:lineRule="exact"/>
        <w:rPr>
          <w:rFonts w:ascii="宋体" w:hAnsi="宋体"/>
          <w:color w:val="auto"/>
          <w:sz w:val="24"/>
          <w:highlight w:val="none"/>
        </w:rPr>
      </w:pPr>
    </w:p>
    <w:p w14:paraId="3E7F475A">
      <w:pPr>
        <w:spacing w:line="400" w:lineRule="exact"/>
        <w:jc w:val="center"/>
        <w:rPr>
          <w:rFonts w:ascii="宋体" w:hAnsi="宋体"/>
          <w:color w:val="auto"/>
          <w:sz w:val="24"/>
          <w:highlight w:val="none"/>
          <w:u w:val="single"/>
        </w:rPr>
      </w:pPr>
      <w:r>
        <w:rPr>
          <w:rFonts w:hint="eastAsia" w:ascii="宋体" w:hAnsi="宋体"/>
          <w:color w:val="auto"/>
          <w:sz w:val="24"/>
          <w:highlight w:val="none"/>
          <w:u w:val="single"/>
        </w:rPr>
        <w:t>（承包人全称）</w:t>
      </w:r>
    </w:p>
    <w:p w14:paraId="206E3E26">
      <w:pPr>
        <w:spacing w:line="400" w:lineRule="exact"/>
        <w:jc w:val="center"/>
        <w:rPr>
          <w:rFonts w:ascii="宋体" w:hAnsi="宋体"/>
          <w:color w:val="auto"/>
          <w:sz w:val="24"/>
          <w:highlight w:val="none"/>
          <w:u w:val="single"/>
        </w:rPr>
      </w:pPr>
      <w:r>
        <w:rPr>
          <w:rFonts w:hint="eastAsia" w:ascii="宋体" w:hAnsi="宋体"/>
          <w:color w:val="auto"/>
          <w:sz w:val="24"/>
          <w:highlight w:val="none"/>
          <w:u w:val="single"/>
        </w:rPr>
        <w:t>（合同工程名称）</w:t>
      </w:r>
      <w:r>
        <w:rPr>
          <w:rFonts w:hint="eastAsia" w:ascii="宋体" w:hAnsi="宋体"/>
          <w:color w:val="auto"/>
          <w:sz w:val="24"/>
          <w:highlight w:val="none"/>
        </w:rPr>
        <w:t>项目经理委任书</w:t>
      </w:r>
    </w:p>
    <w:p w14:paraId="1F8E0003">
      <w:pPr>
        <w:spacing w:line="400" w:lineRule="exact"/>
        <w:rPr>
          <w:rFonts w:ascii="宋体" w:hAnsi="宋体"/>
          <w:color w:val="auto"/>
          <w:sz w:val="24"/>
          <w:highlight w:val="none"/>
        </w:rPr>
      </w:pPr>
    </w:p>
    <w:p w14:paraId="0AD0FD4F">
      <w:pPr>
        <w:spacing w:line="40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（发包人全称</w:t>
      </w:r>
      <w:r>
        <w:rPr>
          <w:rFonts w:hint="eastAsia" w:ascii="宋体" w:hAnsi="宋体"/>
          <w:color w:val="auto"/>
          <w:sz w:val="24"/>
          <w:highlight w:val="none"/>
        </w:rPr>
        <w:t>）</w:t>
      </w:r>
    </w:p>
    <w:p w14:paraId="3481708B">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（承包人全称）</w:t>
      </w: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（职务、姓名）</w:t>
      </w:r>
      <w:r>
        <w:rPr>
          <w:rFonts w:hint="eastAsia" w:ascii="宋体" w:hAnsi="宋体"/>
          <w:color w:val="auto"/>
          <w:sz w:val="24"/>
          <w:highlight w:val="none"/>
        </w:rPr>
        <w:t xml:space="preserve"> 代表本单位委任 </w:t>
      </w:r>
      <w:r>
        <w:rPr>
          <w:rFonts w:hint="eastAsia" w:ascii="宋体" w:hAnsi="宋体"/>
          <w:color w:val="auto"/>
          <w:sz w:val="24"/>
          <w:highlight w:val="none"/>
          <w:u w:val="single"/>
        </w:rPr>
        <w:t>（职务、姓名）</w:t>
      </w:r>
      <w:r>
        <w:rPr>
          <w:rFonts w:hint="eastAsia" w:ascii="宋体" w:hAnsi="宋体"/>
          <w:color w:val="auto"/>
          <w:sz w:val="24"/>
          <w:highlight w:val="none"/>
        </w:rPr>
        <w:t xml:space="preserve"> 为</w:t>
      </w:r>
      <w:r>
        <w:rPr>
          <w:rFonts w:hint="eastAsia" w:ascii="宋体" w:hAnsi="宋体"/>
          <w:color w:val="auto"/>
          <w:sz w:val="24"/>
          <w:highlight w:val="none"/>
          <w:u w:val="single"/>
        </w:rPr>
        <w:t>（合同工程名称）</w:t>
      </w:r>
      <w:r>
        <w:rPr>
          <w:rFonts w:hint="eastAsia" w:ascii="宋体" w:hAnsi="宋体"/>
          <w:color w:val="auto"/>
          <w:sz w:val="24"/>
          <w:highlight w:val="none"/>
        </w:rPr>
        <w:t>的项目经理。凡本合同执行中的有关技术、工程进度、现场管理、质量检验、结算与支付等方面工作，由</w:t>
      </w:r>
      <w:r>
        <w:rPr>
          <w:rFonts w:hint="eastAsia" w:ascii="宋体" w:hAnsi="宋体"/>
          <w:color w:val="auto"/>
          <w:sz w:val="24"/>
          <w:highlight w:val="none"/>
          <w:u w:val="single"/>
        </w:rPr>
        <w:t xml:space="preserve"> （姓名） </w:t>
      </w:r>
      <w:r>
        <w:rPr>
          <w:rFonts w:hint="eastAsia" w:ascii="宋体" w:hAnsi="宋体"/>
          <w:color w:val="auto"/>
          <w:sz w:val="24"/>
          <w:highlight w:val="none"/>
        </w:rPr>
        <w:t>代表本单位全面负责。</w:t>
      </w:r>
    </w:p>
    <w:p w14:paraId="15514E3E">
      <w:pPr>
        <w:spacing w:line="400" w:lineRule="exact"/>
        <w:rPr>
          <w:rFonts w:ascii="宋体" w:hAnsi="宋体"/>
          <w:color w:val="auto"/>
          <w:sz w:val="24"/>
          <w:highlight w:val="none"/>
        </w:rPr>
      </w:pPr>
    </w:p>
    <w:p w14:paraId="250FE147">
      <w:pPr>
        <w:wordWrap w:val="0"/>
        <w:spacing w:line="400" w:lineRule="exact"/>
        <w:jc w:val="right"/>
        <w:rPr>
          <w:rFonts w:ascii="宋体" w:hAnsi="宋体"/>
          <w:color w:val="auto"/>
          <w:sz w:val="24"/>
          <w:highlight w:val="none"/>
        </w:rPr>
      </w:pPr>
      <w:r>
        <w:rPr>
          <w:rFonts w:hint="eastAsia" w:ascii="宋体" w:hAnsi="宋体"/>
          <w:color w:val="auto"/>
          <w:sz w:val="24"/>
          <w:highlight w:val="none"/>
        </w:rPr>
        <w:t>承包人：（盖单位章）</w:t>
      </w:r>
    </w:p>
    <w:p w14:paraId="0FACBBDD">
      <w:pPr>
        <w:wordWrap w:val="0"/>
        <w:spacing w:line="400" w:lineRule="exact"/>
        <w:jc w:val="center"/>
        <w:rPr>
          <w:rFonts w:ascii="宋体" w:hAnsi="宋体"/>
          <w:color w:val="auto"/>
          <w:sz w:val="24"/>
          <w:highlight w:val="none"/>
          <w:u w:val="singl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（职务） </w:t>
      </w:r>
    </w:p>
    <w:p w14:paraId="338378E8">
      <w:pPr>
        <w:wordWrap w:val="0"/>
        <w:spacing w:line="400" w:lineRule="exact"/>
        <w:ind w:firstLine="1800" w:firstLineChars="750"/>
        <w:jc w:val="center"/>
        <w:rPr>
          <w:rFonts w:ascii="宋体" w:hAnsi="宋体"/>
          <w:color w:val="auto"/>
          <w:sz w:val="24"/>
          <w:highlight w:val="none"/>
          <w:u w:val="single"/>
        </w:rPr>
      </w:pP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single"/>
        </w:rPr>
        <w:t xml:space="preserve">   （姓名） </w:t>
      </w:r>
    </w:p>
    <w:p w14:paraId="1D0B814E">
      <w:pPr>
        <w:wordWrap w:val="0"/>
        <w:spacing w:line="400" w:lineRule="exact"/>
        <w:ind w:firstLine="1800" w:firstLineChars="750"/>
        <w:jc w:val="center"/>
        <w:rPr>
          <w:rFonts w:ascii="宋体" w:hAnsi="宋体"/>
          <w:color w:val="auto"/>
          <w:sz w:val="24"/>
          <w:highlight w:val="none"/>
          <w:u w:val="single"/>
        </w:rPr>
      </w:pP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single"/>
        </w:rPr>
        <w:t xml:space="preserve">    （签字） </w:t>
      </w:r>
    </w:p>
    <w:p w14:paraId="148D930F">
      <w:pPr>
        <w:spacing w:line="400" w:lineRule="exact"/>
        <w:rPr>
          <w:rFonts w:ascii="宋体" w:hAnsi="宋体"/>
          <w:color w:val="auto"/>
          <w:sz w:val="24"/>
          <w:highlight w:val="none"/>
        </w:rPr>
      </w:pPr>
    </w:p>
    <w:p w14:paraId="2800BA07">
      <w:pPr>
        <w:wordWrap w:val="0"/>
        <w:spacing w:line="400" w:lineRule="exact"/>
        <w:jc w:val="right"/>
        <w:rPr>
          <w:rFonts w:ascii="宋体" w:hAnsi="宋体"/>
          <w:color w:val="auto"/>
          <w:sz w:val="24"/>
          <w:highlight w:val="none"/>
        </w:rPr>
      </w:pPr>
      <w:r>
        <w:rPr>
          <w:rFonts w:hint="eastAsia" w:ascii="宋体" w:hAnsi="宋体"/>
          <w:color w:val="auto"/>
          <w:sz w:val="24"/>
          <w:highlight w:val="none"/>
        </w:rPr>
        <w:t>年   月   日</w:t>
      </w:r>
    </w:p>
    <w:p w14:paraId="252A2195">
      <w:pPr>
        <w:spacing w:line="400" w:lineRule="exact"/>
        <w:rPr>
          <w:rFonts w:ascii="宋体" w:hAnsi="宋体"/>
          <w:color w:val="auto"/>
          <w:sz w:val="24"/>
          <w:highlight w:val="none"/>
        </w:rPr>
      </w:pPr>
    </w:p>
    <w:p w14:paraId="67F572DC">
      <w:pPr>
        <w:spacing w:line="400" w:lineRule="exact"/>
        <w:jc w:val="left"/>
        <w:rPr>
          <w:rFonts w:ascii="宋体" w:hAnsi="宋体"/>
          <w:color w:val="auto"/>
          <w:sz w:val="24"/>
          <w:highlight w:val="none"/>
        </w:rPr>
      </w:pPr>
      <w:r>
        <w:rPr>
          <w:rFonts w:hint="eastAsia" w:ascii="宋体" w:hAnsi="宋体"/>
          <w:color w:val="auto"/>
          <w:sz w:val="24"/>
          <w:highlight w:val="none"/>
        </w:rPr>
        <w:t>抄送：</w:t>
      </w:r>
      <w:r>
        <w:rPr>
          <w:rFonts w:hint="eastAsia" w:ascii="宋体" w:hAnsi="宋体"/>
          <w:color w:val="auto"/>
          <w:sz w:val="24"/>
          <w:highlight w:val="none"/>
          <w:u w:val="single"/>
        </w:rPr>
        <w:t xml:space="preserve">  （监理人）</w:t>
      </w:r>
    </w:p>
    <w:p w14:paraId="02E9EF61">
      <w:pPr>
        <w:pStyle w:val="78"/>
        <w:spacing w:line="360" w:lineRule="auto"/>
        <w:rPr>
          <w:rFonts w:ascii="宋体" w:hAnsi="宋体"/>
          <w:color w:val="auto"/>
          <w:sz w:val="24"/>
          <w:szCs w:val="24"/>
          <w:highlight w:val="none"/>
        </w:rPr>
      </w:pPr>
      <w:bookmarkStart w:id="1695" w:name="_Toc505844509"/>
      <w:bookmarkStart w:id="1696" w:name="_Toc505608633"/>
      <w:r>
        <w:rPr>
          <w:rFonts w:ascii="宋体" w:hAnsi="宋体"/>
          <w:color w:val="auto"/>
          <w:sz w:val="24"/>
          <w:szCs w:val="24"/>
          <w:highlight w:val="none"/>
        </w:rPr>
        <w:br w:type="page"/>
      </w:r>
      <w:bookmarkStart w:id="1697" w:name="_Toc21137"/>
      <w:bookmarkStart w:id="1698" w:name="_Toc43476013"/>
      <w:r>
        <w:rPr>
          <w:rFonts w:ascii="宋体" w:hAnsi="宋体"/>
          <w:color w:val="auto"/>
          <w:sz w:val="24"/>
          <w:szCs w:val="24"/>
          <w:highlight w:val="none"/>
        </w:rPr>
        <w:t>附件</w:t>
      </w:r>
      <w:r>
        <w:rPr>
          <w:rFonts w:hint="eastAsia" w:ascii="宋体" w:hAnsi="宋体"/>
          <w:color w:val="auto"/>
          <w:sz w:val="24"/>
          <w:szCs w:val="24"/>
          <w:highlight w:val="none"/>
        </w:rPr>
        <w:t xml:space="preserve">七   </w:t>
      </w:r>
      <w:r>
        <w:rPr>
          <w:rFonts w:ascii="宋体" w:hAnsi="宋体"/>
          <w:color w:val="auto"/>
          <w:sz w:val="24"/>
          <w:szCs w:val="24"/>
          <w:highlight w:val="none"/>
        </w:rPr>
        <w:t>履约担保格式</w:t>
      </w:r>
      <w:bookmarkEnd w:id="1695"/>
      <w:bookmarkEnd w:id="1696"/>
      <w:bookmarkEnd w:id="1697"/>
      <w:bookmarkEnd w:id="1698"/>
    </w:p>
    <w:p w14:paraId="27A0992B">
      <w:pPr>
        <w:rPr>
          <w:color w:val="auto"/>
          <w:highlight w:val="none"/>
        </w:rPr>
      </w:pPr>
      <w:r>
        <w:rPr>
          <w:rFonts w:hint="eastAsia"/>
          <w:color w:val="auto"/>
          <w:highlight w:val="none"/>
        </w:rPr>
        <w:t>如采用银行保函，格式如下。</w:t>
      </w:r>
    </w:p>
    <w:p w14:paraId="559C0270">
      <w:pPr>
        <w:rPr>
          <w:rFonts w:ascii="宋体" w:hAnsi="宋体"/>
          <w:color w:val="auto"/>
          <w:sz w:val="24"/>
          <w:highlight w:val="none"/>
        </w:rPr>
      </w:pPr>
    </w:p>
    <w:p w14:paraId="7916B621">
      <w:pPr>
        <w:rPr>
          <w:rFonts w:ascii="宋体" w:hAnsi="宋体"/>
          <w:color w:val="auto"/>
          <w:sz w:val="24"/>
          <w:highlight w:val="none"/>
        </w:rPr>
      </w:pPr>
    </w:p>
    <w:p w14:paraId="41E447C6">
      <w:pPr>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根据韶关市公共资源交易中心一体化服务平台在线办理工程建设项目履约保证金缴纳。</w:t>
      </w:r>
    </w:p>
    <w:p w14:paraId="36DB62E3">
      <w:pPr>
        <w:pStyle w:val="78"/>
        <w:spacing w:line="360" w:lineRule="auto"/>
        <w:rPr>
          <w:rFonts w:ascii="宋体" w:hAnsi="宋体"/>
          <w:color w:val="auto"/>
          <w:sz w:val="24"/>
          <w:szCs w:val="24"/>
          <w:highlight w:val="none"/>
        </w:rPr>
      </w:pPr>
      <w:bookmarkStart w:id="1699" w:name="_Toc505844510"/>
      <w:r>
        <w:rPr>
          <w:rFonts w:ascii="宋体" w:hAnsi="宋体"/>
          <w:color w:val="auto"/>
          <w:sz w:val="24"/>
          <w:szCs w:val="24"/>
          <w:highlight w:val="none"/>
        </w:rPr>
        <w:br w:type="page"/>
      </w:r>
      <w:bookmarkStart w:id="1700" w:name="_Toc43476014"/>
      <w:bookmarkStart w:id="1701" w:name="_Toc9453"/>
      <w:r>
        <w:rPr>
          <w:rFonts w:ascii="宋体" w:hAnsi="宋体"/>
          <w:color w:val="auto"/>
          <w:sz w:val="24"/>
          <w:szCs w:val="24"/>
          <w:highlight w:val="none"/>
        </w:rPr>
        <w:t>附件</w:t>
      </w:r>
      <w:r>
        <w:rPr>
          <w:rFonts w:hint="eastAsia" w:ascii="宋体" w:hAnsi="宋体"/>
          <w:color w:val="auto"/>
          <w:sz w:val="24"/>
          <w:szCs w:val="24"/>
          <w:highlight w:val="none"/>
        </w:rPr>
        <w:t>八   工程资金监管协议</w:t>
      </w:r>
      <w:r>
        <w:rPr>
          <w:rFonts w:ascii="宋体" w:hAnsi="宋体"/>
          <w:color w:val="auto"/>
          <w:sz w:val="24"/>
          <w:szCs w:val="24"/>
          <w:highlight w:val="none"/>
        </w:rPr>
        <w:t>格式</w:t>
      </w:r>
      <w:bookmarkEnd w:id="1699"/>
      <w:bookmarkEnd w:id="1700"/>
      <w:bookmarkEnd w:id="1701"/>
    </w:p>
    <w:p w14:paraId="0F90A345">
      <w:pPr>
        <w:ind w:firstLine="480" w:firstLineChars="200"/>
        <w:rPr>
          <w:rFonts w:ascii="宋体" w:hAnsi="宋体"/>
          <w:color w:val="auto"/>
          <w:sz w:val="24"/>
          <w:highlight w:val="none"/>
        </w:rPr>
      </w:pPr>
      <w:r>
        <w:rPr>
          <w:rFonts w:hint="eastAsia" w:ascii="宋体" w:hAnsi="宋体"/>
          <w:color w:val="auto"/>
          <w:sz w:val="24"/>
          <w:highlight w:val="none"/>
        </w:rPr>
        <w:t>（发包人与承包人签订合同协议书时应与发包人指定的银行签署工程资金监管协议，工程资金监管协议内容在保证本项目资金有效监管的前提下由三方共同商定）</w:t>
      </w:r>
    </w:p>
    <w:p w14:paraId="0B8F0E7F">
      <w:pPr>
        <w:spacing w:before="240" w:after="240"/>
        <w:jc w:val="center"/>
        <w:rPr>
          <w:rFonts w:ascii="宋体" w:hAnsi="宋体"/>
          <w:b/>
          <w:color w:val="auto"/>
          <w:sz w:val="28"/>
          <w:szCs w:val="28"/>
          <w:highlight w:val="none"/>
        </w:rPr>
      </w:pPr>
      <w:r>
        <w:rPr>
          <w:rFonts w:hint="eastAsia" w:ascii="宋体" w:hAnsi="宋体"/>
          <w:b/>
          <w:color w:val="auto"/>
          <w:sz w:val="28"/>
          <w:szCs w:val="28"/>
          <w:highlight w:val="none"/>
        </w:rPr>
        <w:t>工程资金监管协议</w:t>
      </w:r>
    </w:p>
    <w:p w14:paraId="1A7BD4DE">
      <w:pPr>
        <w:rPr>
          <w:rFonts w:ascii="宋体" w:hAnsi="宋体"/>
          <w:color w:val="auto"/>
          <w:sz w:val="24"/>
          <w:highlight w:val="none"/>
        </w:rPr>
      </w:pPr>
      <w:r>
        <w:rPr>
          <w:rFonts w:hint="eastAsia" w:ascii="宋体" w:hAnsi="宋体"/>
          <w:color w:val="auto"/>
          <w:sz w:val="24"/>
          <w:highlight w:val="none"/>
        </w:rPr>
        <w:t>发 包 人：（以下简称“甲方”）</w:t>
      </w:r>
    </w:p>
    <w:p w14:paraId="13030898">
      <w:pPr>
        <w:rPr>
          <w:rFonts w:ascii="宋体" w:hAnsi="宋体"/>
          <w:color w:val="auto"/>
          <w:sz w:val="24"/>
          <w:highlight w:val="none"/>
        </w:rPr>
      </w:pPr>
      <w:r>
        <w:rPr>
          <w:rFonts w:hint="eastAsia" w:ascii="宋体" w:hAnsi="宋体"/>
          <w:color w:val="auto"/>
          <w:sz w:val="24"/>
          <w:highlight w:val="none"/>
        </w:rPr>
        <w:t>承 包 人：（以下简称“乙方”）</w:t>
      </w:r>
    </w:p>
    <w:p w14:paraId="08A7FEC3">
      <w:pPr>
        <w:rPr>
          <w:rFonts w:ascii="宋体" w:hAnsi="宋体"/>
          <w:color w:val="auto"/>
          <w:sz w:val="24"/>
          <w:highlight w:val="none"/>
        </w:rPr>
      </w:pPr>
      <w:r>
        <w:rPr>
          <w:rFonts w:hint="eastAsia" w:ascii="宋体" w:hAnsi="宋体"/>
          <w:color w:val="auto"/>
          <w:sz w:val="24"/>
          <w:highlight w:val="none"/>
        </w:rPr>
        <w:t>经办银行：（以下简称“丙方”）</w:t>
      </w:r>
    </w:p>
    <w:p w14:paraId="71F478C9">
      <w:pPr>
        <w:rPr>
          <w:rFonts w:ascii="宋体" w:hAnsi="宋体"/>
          <w:color w:val="auto"/>
          <w:sz w:val="24"/>
          <w:highlight w:val="none"/>
        </w:rPr>
      </w:pPr>
    </w:p>
    <w:p w14:paraId="6B5019D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为了促进（项目名称）的顺利实施，管好用好建设资金，确保工程资金专款专用，同时为承包人提供便捷有效的银行业务服务，根据</w:t>
      </w:r>
      <w:r>
        <w:rPr>
          <w:rFonts w:hint="eastAsia" w:ascii="宋体" w:hAnsi="宋体"/>
          <w:color w:val="auto"/>
          <w:sz w:val="24"/>
          <w:highlight w:val="none"/>
          <w:u w:val="single"/>
        </w:rPr>
        <w:t>（项目名称）</w:t>
      </w:r>
      <w:r>
        <w:rPr>
          <w:rFonts w:hint="eastAsia" w:ascii="宋体" w:hAnsi="宋体"/>
          <w:color w:val="auto"/>
          <w:sz w:val="24"/>
          <w:highlight w:val="none"/>
        </w:rPr>
        <w:t>合同条款有关规定，经甲、乙、丙三方协商，达成协议如下：</w:t>
      </w:r>
    </w:p>
    <w:p w14:paraId="30E02656">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资金管理的内容</w:t>
      </w:r>
    </w:p>
    <w:p w14:paraId="4DDB911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（1）乙方为完成</w:t>
      </w:r>
      <w:r>
        <w:rPr>
          <w:rFonts w:hint="eastAsia" w:ascii="宋体" w:hAnsi="宋体"/>
          <w:color w:val="auto"/>
          <w:sz w:val="24"/>
          <w:highlight w:val="none"/>
          <w:u w:val="single"/>
        </w:rPr>
        <w:t>（项目名称）</w:t>
      </w:r>
      <w:r>
        <w:rPr>
          <w:rFonts w:hint="eastAsia" w:ascii="宋体" w:hAnsi="宋体"/>
          <w:color w:val="auto"/>
          <w:sz w:val="24"/>
          <w:highlight w:val="none"/>
        </w:rPr>
        <w:t>工程成立的项目经理部在丙方开设基本结算户；</w:t>
      </w:r>
    </w:p>
    <w:p w14:paraId="5B56E46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（2）甲方应按合同规定将工程款汇入乙方在丙方开设的账户；</w:t>
      </w:r>
    </w:p>
    <w:p w14:paraId="5443FD1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（3）乙方应将流动资金及甲方所拨付资金专项用于</w:t>
      </w:r>
      <w:r>
        <w:rPr>
          <w:rFonts w:hint="eastAsia" w:ascii="宋体" w:hAnsi="宋体"/>
          <w:color w:val="auto"/>
          <w:sz w:val="24"/>
          <w:highlight w:val="none"/>
          <w:u w:val="single"/>
        </w:rPr>
        <w:t>（项目名称）</w:t>
      </w:r>
      <w:r>
        <w:rPr>
          <w:rFonts w:hint="eastAsia" w:ascii="宋体" w:hAnsi="宋体"/>
          <w:color w:val="auto"/>
          <w:sz w:val="24"/>
          <w:highlight w:val="none"/>
        </w:rPr>
        <w:t>；</w:t>
      </w:r>
    </w:p>
    <w:p w14:paraId="73C38A9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（4）丙方应为乙方提供便捷有效的银行业务服务，并接受甲方委托对乙方在丙方开设的基本结算户资金使用情况进行监督。</w:t>
      </w:r>
    </w:p>
    <w:p w14:paraId="7298FF0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2.甲方的权责</w:t>
      </w:r>
    </w:p>
    <w:p w14:paraId="577170D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（1）按照（项目名称）合同有关条款规定的时间和方式，向乙方支付工程款；</w:t>
      </w:r>
    </w:p>
    <w:p w14:paraId="26E1FB0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（2）在发现乙方将本项目资金挪用、转移时，甲方有权中止工程支付，直至乙方改正为止；</w:t>
      </w:r>
    </w:p>
    <w:p w14:paraId="1E062AD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（3）不定期审查丙方对乙方的资金使用监督情况，如丙方不能履行其责任，甲方有权随时终止本协议；</w:t>
      </w:r>
    </w:p>
    <w:p w14:paraId="25109F0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（4）在乙、丙双方发生争议时，甲方应负责协调、解决。</w:t>
      </w:r>
    </w:p>
    <w:p w14:paraId="24DCE75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3.乙方的权责</w:t>
      </w:r>
    </w:p>
    <w:p w14:paraId="4791752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（1）项目经理部成立以后，乙方应尽快在丙方开设基本结算户；</w:t>
      </w:r>
    </w:p>
    <w:p w14:paraId="6405F850">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（2）确保本项目资金专款专用，不发生挪用、转移资金的现象；保证不通过权益转让、抵押、担保承担债务等任何其他方式使用基本结算户的资金；</w:t>
      </w:r>
    </w:p>
    <w:p w14:paraId="39C2D20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（3）办理材料、设备等采购业务金额在</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万元以上的，应出示购货合同、协议和发票；在办理总额超过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万元以上的采购业务时，应将合同、协议和发票复印件送丙方备案；购买应急材料、设备时可先办理支付手续，但事后必须补备有关资料；</w:t>
      </w:r>
    </w:p>
    <w:p w14:paraId="3443EB6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（4）用银行转账支票办理支付款项时，必须将转账支票送交丙方，由丙方负责办理支票转付手续；</w:t>
      </w:r>
    </w:p>
    <w:p w14:paraId="64AD5C7C">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（5）向分包单位支付工程进度款时，应附甲方批准分包的文件；</w:t>
      </w:r>
    </w:p>
    <w:p w14:paraId="1834066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（6）向上级单位缴纳管理费、机械设备及周转材料租赁摊销费等款项时，应附上级单位出具的转账通知等有关资料，以确保资金专款专用。</w:t>
      </w:r>
    </w:p>
    <w:p w14:paraId="2C155D7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4.丙方的权责</w:t>
      </w:r>
    </w:p>
    <w:p w14:paraId="1FDF3AB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（1）成立</w:t>
      </w:r>
      <w:r>
        <w:rPr>
          <w:rFonts w:hint="eastAsia" w:ascii="宋体" w:hAnsi="宋体"/>
          <w:color w:val="auto"/>
          <w:sz w:val="24"/>
          <w:highlight w:val="none"/>
          <w:u w:val="single"/>
        </w:rPr>
        <w:t>（项目名称）</w:t>
      </w:r>
      <w:r>
        <w:rPr>
          <w:rFonts w:hint="eastAsia" w:ascii="宋体" w:hAnsi="宋体"/>
          <w:color w:val="auto"/>
          <w:sz w:val="24"/>
          <w:highlight w:val="none"/>
        </w:rPr>
        <w:t>工程资金管理服务小组，明确业务流程，提高工作效率，杜绝“压票”现象；</w:t>
      </w:r>
    </w:p>
    <w:p w14:paraId="770F9DE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（2）根据乙方提供的购货合同、协议和发票，检查其所购材料、设备是否用于</w:t>
      </w:r>
      <w:r>
        <w:rPr>
          <w:rFonts w:hint="eastAsia" w:ascii="宋体" w:hAnsi="宋体"/>
          <w:color w:val="auto"/>
          <w:sz w:val="24"/>
          <w:highlight w:val="none"/>
          <w:u w:val="single"/>
        </w:rPr>
        <w:t>（项目名称）</w:t>
      </w:r>
      <w:r>
        <w:rPr>
          <w:rFonts w:hint="eastAsia" w:ascii="宋体" w:hAnsi="宋体"/>
          <w:color w:val="auto"/>
          <w:sz w:val="24"/>
          <w:highlight w:val="none"/>
        </w:rPr>
        <w:t>工程建设，对本标段以外的购货款项，有权拒绝办理，并及时报告甲方；</w:t>
      </w:r>
    </w:p>
    <w:p w14:paraId="13960F6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（3）根据乙方与分包单位签订的合同及支付文件，检查其支付款项是否符合有关条件，向分包单位以外单位的支付有权拒绝办理，并及时报告甲方；</w:t>
      </w:r>
    </w:p>
    <w:p w14:paraId="3EE4D5A8">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（4）根据乙方提供的上级单位出具的转账通知等有关资料，办理管理费、机械设备及周转材料租赁摊销费等款项的支付；对超出转账通知等有关资料以外的支付，有权拒绝办理，并及时转告甲方；</w:t>
      </w:r>
    </w:p>
    <w:p w14:paraId="1B283C0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（5）定期将乙方前一个周期的支付情况，整理后书面报送甲方；乙方复印备案的材料一并送甲方。</w:t>
      </w:r>
    </w:p>
    <w:p w14:paraId="1BF794B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5.甲、乙、丙三方都应履行保密责任，不得将其他两方的业务情况透露给三方以外的其他单位或个人。</w:t>
      </w:r>
    </w:p>
    <w:p w14:paraId="028468D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6.本协议有效期自乙方在丙方开户起，至工程交工验收甲方向乙方颁发交工验收证书后结束。</w:t>
      </w:r>
    </w:p>
    <w:p w14:paraId="74FFCBF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7.本协议未尽事宜，由甲方牵头，三方协商解决。</w:t>
      </w:r>
    </w:p>
    <w:p w14:paraId="02C4599A">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8.本协议正本三份、副本份。合同三方各执正本一份、副本份，当正本与副本内容不一致时，以正本为准。</w:t>
      </w:r>
    </w:p>
    <w:p w14:paraId="5A59F6CF">
      <w:pPr>
        <w:spacing w:line="360" w:lineRule="exact"/>
        <w:ind w:firstLine="465"/>
        <w:rPr>
          <w:rFonts w:hint="eastAsia" w:ascii="宋体" w:hAnsi="宋体"/>
          <w:color w:val="auto"/>
          <w:sz w:val="24"/>
          <w:highlight w:val="none"/>
        </w:rPr>
      </w:pPr>
    </w:p>
    <w:p w14:paraId="1F12E0E4">
      <w:pPr>
        <w:spacing w:line="360" w:lineRule="exact"/>
        <w:ind w:firstLine="465"/>
        <w:rPr>
          <w:rFonts w:hint="eastAsia" w:ascii="宋体" w:hAnsi="宋体"/>
          <w:color w:val="auto"/>
          <w:sz w:val="24"/>
          <w:highlight w:val="none"/>
        </w:rPr>
      </w:pPr>
    </w:p>
    <w:p w14:paraId="74E28638">
      <w:pPr>
        <w:spacing w:line="360" w:lineRule="exact"/>
        <w:ind w:firstLine="465"/>
        <w:rPr>
          <w:rFonts w:ascii="宋体" w:hAnsi="宋体"/>
          <w:color w:val="auto"/>
          <w:sz w:val="24"/>
          <w:highlight w:val="none"/>
        </w:rPr>
      </w:pPr>
      <w:r>
        <w:rPr>
          <w:rFonts w:hint="eastAsia" w:ascii="宋体" w:hAnsi="宋体"/>
          <w:color w:val="auto"/>
          <w:sz w:val="24"/>
          <w:highlight w:val="none"/>
        </w:rPr>
        <w:t>发包人：（盖单位章）</w:t>
      </w:r>
    </w:p>
    <w:p w14:paraId="1C6D3CC1">
      <w:pPr>
        <w:spacing w:line="360" w:lineRule="exact"/>
        <w:ind w:firstLine="465"/>
        <w:rPr>
          <w:rFonts w:ascii="宋体" w:hAnsi="宋体"/>
          <w:color w:val="auto"/>
          <w:sz w:val="24"/>
          <w:highlight w:val="none"/>
        </w:rPr>
      </w:pPr>
      <w:r>
        <w:rPr>
          <w:rFonts w:hint="eastAsia" w:ascii="宋体" w:hAnsi="宋体"/>
          <w:color w:val="auto"/>
          <w:sz w:val="24"/>
          <w:highlight w:val="none"/>
        </w:rPr>
        <w:t>法定人或代表其委托代理人：（签字）</w:t>
      </w:r>
    </w:p>
    <w:p w14:paraId="1C607921">
      <w:pPr>
        <w:spacing w:line="360" w:lineRule="exact"/>
        <w:ind w:firstLine="465"/>
        <w:rPr>
          <w:rFonts w:ascii="宋体" w:hAnsi="宋体"/>
          <w:color w:val="auto"/>
          <w:sz w:val="24"/>
          <w:highlight w:val="none"/>
        </w:rPr>
      </w:pPr>
      <w:r>
        <w:rPr>
          <w:rFonts w:hint="eastAsia" w:ascii="宋体" w:hAnsi="宋体"/>
          <w:color w:val="auto"/>
          <w:sz w:val="24"/>
          <w:highlight w:val="none"/>
        </w:rPr>
        <w:t>年   月   日</w:t>
      </w:r>
    </w:p>
    <w:p w14:paraId="79C3AE6A">
      <w:pPr>
        <w:spacing w:line="360" w:lineRule="exact"/>
        <w:rPr>
          <w:rFonts w:ascii="宋体" w:hAnsi="宋体"/>
          <w:color w:val="auto"/>
          <w:sz w:val="24"/>
          <w:highlight w:val="none"/>
        </w:rPr>
      </w:pPr>
    </w:p>
    <w:p w14:paraId="4552A1E1">
      <w:pPr>
        <w:spacing w:line="360" w:lineRule="exact"/>
        <w:ind w:firstLine="465"/>
        <w:rPr>
          <w:rFonts w:ascii="宋体" w:hAnsi="宋体"/>
          <w:color w:val="auto"/>
          <w:sz w:val="24"/>
          <w:highlight w:val="none"/>
        </w:rPr>
      </w:pPr>
      <w:r>
        <w:rPr>
          <w:rFonts w:hint="eastAsia" w:ascii="宋体" w:hAnsi="宋体"/>
          <w:color w:val="auto"/>
          <w:sz w:val="24"/>
          <w:highlight w:val="none"/>
        </w:rPr>
        <w:t>承包人：（盖单位章）</w:t>
      </w:r>
    </w:p>
    <w:p w14:paraId="04C03CFB">
      <w:pPr>
        <w:spacing w:line="360" w:lineRule="exact"/>
        <w:ind w:firstLine="465"/>
        <w:rPr>
          <w:rFonts w:ascii="宋体" w:hAnsi="宋体"/>
          <w:color w:val="auto"/>
          <w:sz w:val="24"/>
          <w:highlight w:val="none"/>
        </w:rPr>
      </w:pPr>
      <w:r>
        <w:rPr>
          <w:rFonts w:hint="eastAsia" w:ascii="宋体" w:hAnsi="宋体"/>
          <w:color w:val="auto"/>
          <w:sz w:val="24"/>
          <w:highlight w:val="none"/>
        </w:rPr>
        <w:t>法定人或代表其委托代理人：（签字）</w:t>
      </w:r>
    </w:p>
    <w:p w14:paraId="2801FEBC">
      <w:pPr>
        <w:spacing w:line="360" w:lineRule="exact"/>
        <w:ind w:firstLine="465"/>
        <w:rPr>
          <w:rFonts w:ascii="宋体" w:hAnsi="宋体"/>
          <w:color w:val="auto"/>
          <w:sz w:val="24"/>
          <w:highlight w:val="none"/>
        </w:rPr>
      </w:pPr>
      <w:r>
        <w:rPr>
          <w:rFonts w:hint="eastAsia" w:ascii="宋体" w:hAnsi="宋体"/>
          <w:color w:val="auto"/>
          <w:sz w:val="24"/>
          <w:highlight w:val="none"/>
        </w:rPr>
        <w:t>年   月   日</w:t>
      </w:r>
    </w:p>
    <w:p w14:paraId="18F22002">
      <w:pPr>
        <w:spacing w:line="360" w:lineRule="exact"/>
        <w:rPr>
          <w:rFonts w:ascii="宋体" w:hAnsi="宋体"/>
          <w:color w:val="auto"/>
          <w:sz w:val="24"/>
          <w:highlight w:val="none"/>
        </w:rPr>
      </w:pPr>
    </w:p>
    <w:p w14:paraId="3EFB9563">
      <w:pPr>
        <w:spacing w:line="360" w:lineRule="exact"/>
        <w:ind w:firstLine="465"/>
        <w:rPr>
          <w:rFonts w:ascii="宋体" w:hAnsi="宋体"/>
          <w:color w:val="auto"/>
          <w:sz w:val="24"/>
          <w:highlight w:val="none"/>
        </w:rPr>
      </w:pPr>
      <w:r>
        <w:rPr>
          <w:rFonts w:hint="eastAsia" w:ascii="宋体" w:hAnsi="宋体"/>
          <w:color w:val="auto"/>
          <w:sz w:val="24"/>
          <w:highlight w:val="none"/>
        </w:rPr>
        <w:t>经办银行：（盖单位章）</w:t>
      </w:r>
    </w:p>
    <w:p w14:paraId="6AC57FBA">
      <w:pPr>
        <w:spacing w:line="360" w:lineRule="exact"/>
        <w:ind w:firstLine="465"/>
        <w:rPr>
          <w:rFonts w:ascii="宋体" w:hAnsi="宋体"/>
          <w:color w:val="auto"/>
          <w:sz w:val="24"/>
          <w:highlight w:val="none"/>
        </w:rPr>
      </w:pPr>
      <w:r>
        <w:rPr>
          <w:rFonts w:hint="eastAsia" w:ascii="宋体" w:hAnsi="宋体"/>
          <w:color w:val="auto"/>
          <w:sz w:val="24"/>
          <w:highlight w:val="none"/>
        </w:rPr>
        <w:t>法定人或代表其委托代理人：（签字）</w:t>
      </w:r>
    </w:p>
    <w:p w14:paraId="31F143F5">
      <w:pPr>
        <w:spacing w:line="360" w:lineRule="exact"/>
        <w:ind w:firstLine="465"/>
        <w:rPr>
          <w:rFonts w:ascii="宋体" w:hAnsi="宋体"/>
          <w:color w:val="auto"/>
          <w:sz w:val="24"/>
          <w:highlight w:val="none"/>
        </w:rPr>
        <w:sectPr>
          <w:footerReference r:id="rId15" w:type="first"/>
          <w:footerReference r:id="rId14" w:type="default"/>
          <w:pgSz w:w="11906" w:h="16838"/>
          <w:pgMar w:top="1276" w:right="924" w:bottom="935" w:left="1418" w:header="624" w:footer="590" w:gutter="0"/>
          <w:cols w:space="720" w:num="1"/>
          <w:docGrid w:type="lines" w:linePitch="312" w:charSpace="0"/>
        </w:sectPr>
      </w:pPr>
      <w:r>
        <w:rPr>
          <w:rFonts w:hint="eastAsia" w:ascii="宋体" w:hAnsi="宋体"/>
          <w:color w:val="auto"/>
          <w:sz w:val="24"/>
          <w:highlight w:val="none"/>
        </w:rPr>
        <w:t>年   月   日</w:t>
      </w:r>
    </w:p>
    <w:p w14:paraId="73BE5D0A">
      <w:pPr>
        <w:pStyle w:val="78"/>
        <w:spacing w:line="360" w:lineRule="auto"/>
        <w:rPr>
          <w:rFonts w:ascii="宋体" w:hAnsi="宋体"/>
          <w:color w:val="auto"/>
          <w:sz w:val="24"/>
          <w:szCs w:val="24"/>
          <w:highlight w:val="none"/>
        </w:rPr>
      </w:pPr>
      <w:bookmarkStart w:id="1702" w:name="_Toc452498896"/>
      <w:bookmarkStart w:id="1703" w:name="_Toc198"/>
      <w:bookmarkStart w:id="1704" w:name="_Toc452498666"/>
      <w:bookmarkStart w:id="1705" w:name="_Toc9003"/>
      <w:bookmarkStart w:id="1706" w:name="_Toc451261387"/>
      <w:bookmarkStart w:id="1707" w:name="_Toc453057197"/>
      <w:bookmarkStart w:id="1708" w:name="_Toc453056969"/>
      <w:bookmarkStart w:id="1709" w:name="_Toc43476015"/>
      <w:r>
        <w:rPr>
          <w:rFonts w:hint="eastAsia" w:ascii="宋体" w:hAnsi="宋体"/>
          <w:color w:val="auto"/>
          <w:sz w:val="24"/>
          <w:szCs w:val="24"/>
          <w:highlight w:val="none"/>
        </w:rPr>
        <w:t>附件九</w:t>
      </w:r>
      <w:bookmarkEnd w:id="1702"/>
      <w:bookmarkEnd w:id="1703"/>
      <w:bookmarkEnd w:id="1704"/>
      <w:bookmarkEnd w:id="1705"/>
      <w:bookmarkEnd w:id="1706"/>
      <w:bookmarkEnd w:id="1707"/>
      <w:bookmarkEnd w:id="1708"/>
      <w:r>
        <w:rPr>
          <w:rFonts w:hint="eastAsia" w:ascii="宋体" w:hAnsi="宋体"/>
          <w:color w:val="auto"/>
          <w:sz w:val="24"/>
          <w:szCs w:val="24"/>
          <w:highlight w:val="none"/>
        </w:rPr>
        <w:t xml:space="preserve">  特殊材料设备供应一览表</w:t>
      </w:r>
      <w:bookmarkEnd w:id="1709"/>
    </w:p>
    <w:p w14:paraId="5ECA9BE7">
      <w:pPr>
        <w:pStyle w:val="68"/>
        <w:rPr>
          <w:rFonts w:ascii="宋体" w:hAnsi="宋体" w:cs="宋体"/>
          <w:b/>
          <w:color w:val="auto"/>
          <w:sz w:val="28"/>
          <w:szCs w:val="28"/>
          <w:highlight w:val="none"/>
        </w:rPr>
      </w:pPr>
      <w:r>
        <w:rPr>
          <w:rFonts w:hint="eastAsia" w:ascii="宋体" w:hAnsi="宋体" w:cs="宋体"/>
          <w:b/>
          <w:color w:val="auto"/>
          <w:sz w:val="28"/>
          <w:szCs w:val="28"/>
          <w:highlight w:val="none"/>
        </w:rPr>
        <w:t xml:space="preserve"> 特殊材料设备供应一览表</w:t>
      </w:r>
    </w:p>
    <w:tbl>
      <w:tblPr>
        <w:tblStyle w:val="42"/>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14:paraId="12FA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4EDAFC1B">
            <w:pPr>
              <w:pStyle w:val="68"/>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22" w:type="dxa"/>
            <w:vAlign w:val="center"/>
          </w:tcPr>
          <w:p w14:paraId="2BE99C59">
            <w:pPr>
              <w:pStyle w:val="68"/>
              <w:jc w:val="center"/>
              <w:rPr>
                <w:rFonts w:ascii="宋体" w:hAnsi="宋体" w:cs="宋体"/>
                <w:color w:val="auto"/>
                <w:sz w:val="24"/>
                <w:highlight w:val="none"/>
              </w:rPr>
            </w:pPr>
            <w:r>
              <w:rPr>
                <w:rFonts w:hint="eastAsia" w:ascii="宋体" w:hAnsi="宋体" w:cs="宋体"/>
                <w:color w:val="auto"/>
                <w:sz w:val="24"/>
                <w:highlight w:val="none"/>
              </w:rPr>
              <w:t>材料品种或设备型号</w:t>
            </w:r>
          </w:p>
        </w:tc>
        <w:tc>
          <w:tcPr>
            <w:tcW w:w="708" w:type="dxa"/>
            <w:vAlign w:val="center"/>
          </w:tcPr>
          <w:p w14:paraId="3DB05492">
            <w:pPr>
              <w:pStyle w:val="68"/>
              <w:jc w:val="center"/>
              <w:rPr>
                <w:rFonts w:ascii="宋体" w:hAnsi="宋体" w:cs="宋体"/>
                <w:color w:val="auto"/>
                <w:sz w:val="24"/>
                <w:highlight w:val="none"/>
              </w:rPr>
            </w:pPr>
            <w:r>
              <w:rPr>
                <w:rFonts w:hint="eastAsia" w:ascii="宋体" w:hAnsi="宋体" w:cs="宋体"/>
                <w:color w:val="auto"/>
                <w:sz w:val="24"/>
                <w:highlight w:val="none"/>
              </w:rPr>
              <w:t>单位</w:t>
            </w:r>
          </w:p>
        </w:tc>
        <w:tc>
          <w:tcPr>
            <w:tcW w:w="851" w:type="dxa"/>
            <w:vAlign w:val="center"/>
          </w:tcPr>
          <w:p w14:paraId="42D8A1DF">
            <w:pPr>
              <w:pStyle w:val="68"/>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76" w:type="dxa"/>
            <w:vAlign w:val="center"/>
          </w:tcPr>
          <w:p w14:paraId="030A774D">
            <w:pPr>
              <w:pStyle w:val="68"/>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到达工地价格（元）</w:t>
            </w:r>
          </w:p>
        </w:tc>
        <w:tc>
          <w:tcPr>
            <w:tcW w:w="992" w:type="dxa"/>
            <w:vAlign w:val="center"/>
          </w:tcPr>
          <w:p w14:paraId="3E5973D2">
            <w:pPr>
              <w:pStyle w:val="68"/>
              <w:jc w:val="center"/>
              <w:rPr>
                <w:rFonts w:ascii="宋体" w:hAnsi="宋体" w:cs="宋体"/>
                <w:color w:val="auto"/>
                <w:sz w:val="24"/>
                <w:highlight w:val="none"/>
              </w:rPr>
            </w:pPr>
            <w:r>
              <w:rPr>
                <w:rFonts w:hint="eastAsia" w:ascii="宋体" w:hAnsi="宋体" w:cs="宋体"/>
                <w:color w:val="auto"/>
                <w:sz w:val="24"/>
                <w:highlight w:val="none"/>
              </w:rPr>
              <w:t>质量等级</w:t>
            </w:r>
          </w:p>
        </w:tc>
        <w:tc>
          <w:tcPr>
            <w:tcW w:w="992" w:type="dxa"/>
            <w:vAlign w:val="center"/>
          </w:tcPr>
          <w:p w14:paraId="4883FC8C">
            <w:pPr>
              <w:pStyle w:val="68"/>
              <w:jc w:val="center"/>
              <w:rPr>
                <w:rFonts w:ascii="宋体" w:hAnsi="宋体" w:cs="宋体"/>
                <w:color w:val="auto"/>
                <w:sz w:val="24"/>
                <w:highlight w:val="none"/>
              </w:rPr>
            </w:pPr>
            <w:r>
              <w:rPr>
                <w:rFonts w:hint="eastAsia" w:ascii="宋体" w:hAnsi="宋体" w:cs="宋体"/>
                <w:color w:val="auto"/>
                <w:sz w:val="24"/>
                <w:highlight w:val="none"/>
              </w:rPr>
              <w:t>供应时间</w:t>
            </w:r>
          </w:p>
        </w:tc>
        <w:tc>
          <w:tcPr>
            <w:tcW w:w="709" w:type="dxa"/>
            <w:vAlign w:val="center"/>
          </w:tcPr>
          <w:p w14:paraId="609B0C6B">
            <w:pPr>
              <w:pStyle w:val="68"/>
              <w:jc w:val="center"/>
              <w:rPr>
                <w:rFonts w:ascii="宋体" w:hAnsi="宋体" w:cs="宋体"/>
                <w:color w:val="auto"/>
                <w:sz w:val="24"/>
                <w:highlight w:val="none"/>
              </w:rPr>
            </w:pPr>
            <w:r>
              <w:rPr>
                <w:rFonts w:hint="eastAsia" w:ascii="宋体" w:hAnsi="宋体" w:cs="宋体"/>
                <w:color w:val="auto"/>
                <w:sz w:val="24"/>
                <w:highlight w:val="none"/>
              </w:rPr>
              <w:t>送达地点</w:t>
            </w:r>
          </w:p>
        </w:tc>
        <w:tc>
          <w:tcPr>
            <w:tcW w:w="992" w:type="dxa"/>
            <w:vAlign w:val="center"/>
          </w:tcPr>
          <w:p w14:paraId="624EE2DA">
            <w:pPr>
              <w:pStyle w:val="68"/>
              <w:jc w:val="center"/>
              <w:rPr>
                <w:rFonts w:ascii="宋体" w:hAnsi="宋体" w:cs="宋体"/>
                <w:color w:val="auto"/>
                <w:sz w:val="24"/>
                <w:highlight w:val="none"/>
              </w:rPr>
            </w:pPr>
            <w:r>
              <w:rPr>
                <w:rFonts w:hint="eastAsia" w:ascii="宋体" w:hAnsi="宋体" w:cs="宋体"/>
                <w:color w:val="auto"/>
                <w:sz w:val="24"/>
                <w:highlight w:val="none"/>
              </w:rPr>
              <w:t>备注</w:t>
            </w:r>
          </w:p>
        </w:tc>
      </w:tr>
      <w:tr w14:paraId="466F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966B0B4">
            <w:pPr>
              <w:pStyle w:val="68"/>
              <w:rPr>
                <w:rFonts w:ascii="宋体" w:hAnsi="宋体" w:cs="宋体"/>
                <w:color w:val="auto"/>
                <w:sz w:val="28"/>
                <w:szCs w:val="28"/>
                <w:highlight w:val="none"/>
              </w:rPr>
            </w:pPr>
          </w:p>
        </w:tc>
        <w:tc>
          <w:tcPr>
            <w:tcW w:w="1522" w:type="dxa"/>
          </w:tcPr>
          <w:p w14:paraId="5BF819F9">
            <w:pPr>
              <w:pStyle w:val="68"/>
              <w:rPr>
                <w:rFonts w:ascii="宋体" w:hAnsi="宋体" w:cs="宋体"/>
                <w:color w:val="auto"/>
                <w:sz w:val="28"/>
                <w:szCs w:val="28"/>
                <w:highlight w:val="none"/>
              </w:rPr>
            </w:pPr>
          </w:p>
        </w:tc>
        <w:tc>
          <w:tcPr>
            <w:tcW w:w="708" w:type="dxa"/>
          </w:tcPr>
          <w:p w14:paraId="7F334F03">
            <w:pPr>
              <w:pStyle w:val="68"/>
              <w:rPr>
                <w:rFonts w:ascii="宋体" w:hAnsi="宋体" w:cs="宋体"/>
                <w:color w:val="auto"/>
                <w:sz w:val="28"/>
                <w:szCs w:val="28"/>
                <w:highlight w:val="none"/>
              </w:rPr>
            </w:pPr>
          </w:p>
        </w:tc>
        <w:tc>
          <w:tcPr>
            <w:tcW w:w="851" w:type="dxa"/>
          </w:tcPr>
          <w:p w14:paraId="53CE2B85">
            <w:pPr>
              <w:pStyle w:val="68"/>
              <w:rPr>
                <w:rFonts w:ascii="宋体" w:hAnsi="宋体" w:cs="宋体"/>
                <w:color w:val="auto"/>
                <w:sz w:val="28"/>
                <w:szCs w:val="28"/>
                <w:highlight w:val="none"/>
              </w:rPr>
            </w:pPr>
          </w:p>
        </w:tc>
        <w:tc>
          <w:tcPr>
            <w:tcW w:w="1276" w:type="dxa"/>
          </w:tcPr>
          <w:p w14:paraId="2E47C029">
            <w:pPr>
              <w:pStyle w:val="68"/>
              <w:rPr>
                <w:rFonts w:ascii="宋体" w:hAnsi="宋体" w:cs="宋体"/>
                <w:color w:val="auto"/>
                <w:sz w:val="28"/>
                <w:szCs w:val="28"/>
                <w:highlight w:val="none"/>
              </w:rPr>
            </w:pPr>
          </w:p>
        </w:tc>
        <w:tc>
          <w:tcPr>
            <w:tcW w:w="992" w:type="dxa"/>
          </w:tcPr>
          <w:p w14:paraId="232ACEF6">
            <w:pPr>
              <w:pStyle w:val="68"/>
              <w:rPr>
                <w:rFonts w:ascii="宋体" w:hAnsi="宋体" w:cs="宋体"/>
                <w:color w:val="auto"/>
                <w:sz w:val="28"/>
                <w:szCs w:val="28"/>
                <w:highlight w:val="none"/>
              </w:rPr>
            </w:pPr>
          </w:p>
        </w:tc>
        <w:tc>
          <w:tcPr>
            <w:tcW w:w="992" w:type="dxa"/>
          </w:tcPr>
          <w:p w14:paraId="51C77F3F">
            <w:pPr>
              <w:pStyle w:val="68"/>
              <w:rPr>
                <w:rFonts w:ascii="宋体" w:hAnsi="宋体" w:cs="宋体"/>
                <w:color w:val="auto"/>
                <w:sz w:val="28"/>
                <w:szCs w:val="28"/>
                <w:highlight w:val="none"/>
              </w:rPr>
            </w:pPr>
          </w:p>
        </w:tc>
        <w:tc>
          <w:tcPr>
            <w:tcW w:w="709" w:type="dxa"/>
          </w:tcPr>
          <w:p w14:paraId="3A754E81">
            <w:pPr>
              <w:pStyle w:val="68"/>
              <w:rPr>
                <w:rFonts w:ascii="宋体" w:hAnsi="宋体" w:cs="宋体"/>
                <w:color w:val="auto"/>
                <w:sz w:val="28"/>
                <w:szCs w:val="28"/>
                <w:highlight w:val="none"/>
              </w:rPr>
            </w:pPr>
          </w:p>
        </w:tc>
        <w:tc>
          <w:tcPr>
            <w:tcW w:w="992" w:type="dxa"/>
          </w:tcPr>
          <w:p w14:paraId="2481CD28">
            <w:pPr>
              <w:pStyle w:val="68"/>
              <w:rPr>
                <w:rFonts w:ascii="宋体" w:hAnsi="宋体" w:cs="宋体"/>
                <w:color w:val="auto"/>
                <w:sz w:val="28"/>
                <w:szCs w:val="28"/>
                <w:highlight w:val="none"/>
              </w:rPr>
            </w:pPr>
          </w:p>
        </w:tc>
      </w:tr>
      <w:tr w14:paraId="066C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1C0E99E">
            <w:pPr>
              <w:pStyle w:val="68"/>
              <w:rPr>
                <w:rFonts w:ascii="宋体" w:hAnsi="宋体" w:cs="宋体"/>
                <w:color w:val="auto"/>
                <w:sz w:val="28"/>
                <w:szCs w:val="28"/>
                <w:highlight w:val="none"/>
              </w:rPr>
            </w:pPr>
          </w:p>
        </w:tc>
        <w:tc>
          <w:tcPr>
            <w:tcW w:w="1522" w:type="dxa"/>
          </w:tcPr>
          <w:p w14:paraId="2EF2A823">
            <w:pPr>
              <w:pStyle w:val="68"/>
              <w:rPr>
                <w:rFonts w:ascii="宋体" w:hAnsi="宋体" w:cs="宋体"/>
                <w:color w:val="auto"/>
                <w:sz w:val="28"/>
                <w:szCs w:val="28"/>
                <w:highlight w:val="none"/>
              </w:rPr>
            </w:pPr>
          </w:p>
        </w:tc>
        <w:tc>
          <w:tcPr>
            <w:tcW w:w="708" w:type="dxa"/>
          </w:tcPr>
          <w:p w14:paraId="21C8ECBB">
            <w:pPr>
              <w:pStyle w:val="68"/>
              <w:rPr>
                <w:rFonts w:ascii="宋体" w:hAnsi="宋体" w:cs="宋体"/>
                <w:color w:val="auto"/>
                <w:sz w:val="28"/>
                <w:szCs w:val="28"/>
                <w:highlight w:val="none"/>
              </w:rPr>
            </w:pPr>
          </w:p>
        </w:tc>
        <w:tc>
          <w:tcPr>
            <w:tcW w:w="851" w:type="dxa"/>
          </w:tcPr>
          <w:p w14:paraId="4C46F53B">
            <w:pPr>
              <w:pStyle w:val="68"/>
              <w:rPr>
                <w:rFonts w:ascii="宋体" w:hAnsi="宋体" w:cs="宋体"/>
                <w:color w:val="auto"/>
                <w:sz w:val="28"/>
                <w:szCs w:val="28"/>
                <w:highlight w:val="none"/>
              </w:rPr>
            </w:pPr>
          </w:p>
        </w:tc>
        <w:tc>
          <w:tcPr>
            <w:tcW w:w="1276" w:type="dxa"/>
          </w:tcPr>
          <w:p w14:paraId="21FE70CC">
            <w:pPr>
              <w:pStyle w:val="68"/>
              <w:rPr>
                <w:rFonts w:ascii="宋体" w:hAnsi="宋体" w:cs="宋体"/>
                <w:color w:val="auto"/>
                <w:sz w:val="28"/>
                <w:szCs w:val="28"/>
                <w:highlight w:val="none"/>
              </w:rPr>
            </w:pPr>
          </w:p>
        </w:tc>
        <w:tc>
          <w:tcPr>
            <w:tcW w:w="992" w:type="dxa"/>
          </w:tcPr>
          <w:p w14:paraId="3DD62B87">
            <w:pPr>
              <w:pStyle w:val="68"/>
              <w:rPr>
                <w:rFonts w:ascii="宋体" w:hAnsi="宋体" w:cs="宋体"/>
                <w:color w:val="auto"/>
                <w:sz w:val="28"/>
                <w:szCs w:val="28"/>
                <w:highlight w:val="none"/>
              </w:rPr>
            </w:pPr>
          </w:p>
        </w:tc>
        <w:tc>
          <w:tcPr>
            <w:tcW w:w="992" w:type="dxa"/>
          </w:tcPr>
          <w:p w14:paraId="71448CB9">
            <w:pPr>
              <w:pStyle w:val="68"/>
              <w:rPr>
                <w:rFonts w:ascii="宋体" w:hAnsi="宋体" w:cs="宋体"/>
                <w:color w:val="auto"/>
                <w:sz w:val="28"/>
                <w:szCs w:val="28"/>
                <w:highlight w:val="none"/>
              </w:rPr>
            </w:pPr>
          </w:p>
        </w:tc>
        <w:tc>
          <w:tcPr>
            <w:tcW w:w="709" w:type="dxa"/>
          </w:tcPr>
          <w:p w14:paraId="23EC0222">
            <w:pPr>
              <w:pStyle w:val="68"/>
              <w:rPr>
                <w:rFonts w:ascii="宋体" w:hAnsi="宋体" w:cs="宋体"/>
                <w:color w:val="auto"/>
                <w:sz w:val="28"/>
                <w:szCs w:val="28"/>
                <w:highlight w:val="none"/>
              </w:rPr>
            </w:pPr>
          </w:p>
        </w:tc>
        <w:tc>
          <w:tcPr>
            <w:tcW w:w="992" w:type="dxa"/>
          </w:tcPr>
          <w:p w14:paraId="251E502A">
            <w:pPr>
              <w:pStyle w:val="68"/>
              <w:rPr>
                <w:rFonts w:ascii="宋体" w:hAnsi="宋体" w:cs="宋体"/>
                <w:color w:val="auto"/>
                <w:sz w:val="28"/>
                <w:szCs w:val="28"/>
                <w:highlight w:val="none"/>
              </w:rPr>
            </w:pPr>
          </w:p>
        </w:tc>
      </w:tr>
      <w:tr w14:paraId="7487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CBF3211">
            <w:pPr>
              <w:pStyle w:val="68"/>
              <w:rPr>
                <w:rFonts w:ascii="宋体" w:hAnsi="宋体" w:cs="宋体"/>
                <w:color w:val="auto"/>
                <w:sz w:val="28"/>
                <w:szCs w:val="28"/>
                <w:highlight w:val="none"/>
              </w:rPr>
            </w:pPr>
          </w:p>
        </w:tc>
        <w:tc>
          <w:tcPr>
            <w:tcW w:w="1522" w:type="dxa"/>
          </w:tcPr>
          <w:p w14:paraId="215A2385">
            <w:pPr>
              <w:pStyle w:val="68"/>
              <w:rPr>
                <w:rFonts w:ascii="宋体" w:hAnsi="宋体" w:cs="宋体"/>
                <w:color w:val="auto"/>
                <w:sz w:val="28"/>
                <w:szCs w:val="28"/>
                <w:highlight w:val="none"/>
              </w:rPr>
            </w:pPr>
          </w:p>
        </w:tc>
        <w:tc>
          <w:tcPr>
            <w:tcW w:w="708" w:type="dxa"/>
          </w:tcPr>
          <w:p w14:paraId="57281422">
            <w:pPr>
              <w:pStyle w:val="68"/>
              <w:rPr>
                <w:rFonts w:ascii="宋体" w:hAnsi="宋体" w:cs="宋体"/>
                <w:color w:val="auto"/>
                <w:sz w:val="28"/>
                <w:szCs w:val="28"/>
                <w:highlight w:val="none"/>
              </w:rPr>
            </w:pPr>
          </w:p>
        </w:tc>
        <w:tc>
          <w:tcPr>
            <w:tcW w:w="851" w:type="dxa"/>
          </w:tcPr>
          <w:p w14:paraId="6B7AE199">
            <w:pPr>
              <w:pStyle w:val="68"/>
              <w:rPr>
                <w:rFonts w:ascii="宋体" w:hAnsi="宋体" w:cs="宋体"/>
                <w:color w:val="auto"/>
                <w:sz w:val="28"/>
                <w:szCs w:val="28"/>
                <w:highlight w:val="none"/>
              </w:rPr>
            </w:pPr>
          </w:p>
        </w:tc>
        <w:tc>
          <w:tcPr>
            <w:tcW w:w="1276" w:type="dxa"/>
          </w:tcPr>
          <w:p w14:paraId="5AC16B4E">
            <w:pPr>
              <w:pStyle w:val="68"/>
              <w:rPr>
                <w:rFonts w:ascii="宋体" w:hAnsi="宋体" w:cs="宋体"/>
                <w:color w:val="auto"/>
                <w:sz w:val="28"/>
                <w:szCs w:val="28"/>
                <w:highlight w:val="none"/>
              </w:rPr>
            </w:pPr>
          </w:p>
        </w:tc>
        <w:tc>
          <w:tcPr>
            <w:tcW w:w="992" w:type="dxa"/>
          </w:tcPr>
          <w:p w14:paraId="24CF8AAC">
            <w:pPr>
              <w:pStyle w:val="68"/>
              <w:rPr>
                <w:rFonts w:ascii="宋体" w:hAnsi="宋体" w:cs="宋体"/>
                <w:color w:val="auto"/>
                <w:sz w:val="28"/>
                <w:szCs w:val="28"/>
                <w:highlight w:val="none"/>
              </w:rPr>
            </w:pPr>
          </w:p>
        </w:tc>
        <w:tc>
          <w:tcPr>
            <w:tcW w:w="992" w:type="dxa"/>
          </w:tcPr>
          <w:p w14:paraId="0935BE14">
            <w:pPr>
              <w:pStyle w:val="68"/>
              <w:rPr>
                <w:rFonts w:ascii="宋体" w:hAnsi="宋体" w:cs="宋体"/>
                <w:color w:val="auto"/>
                <w:sz w:val="28"/>
                <w:szCs w:val="28"/>
                <w:highlight w:val="none"/>
              </w:rPr>
            </w:pPr>
          </w:p>
        </w:tc>
        <w:tc>
          <w:tcPr>
            <w:tcW w:w="709" w:type="dxa"/>
          </w:tcPr>
          <w:p w14:paraId="7F6E4B56">
            <w:pPr>
              <w:pStyle w:val="68"/>
              <w:rPr>
                <w:rFonts w:ascii="宋体" w:hAnsi="宋体" w:cs="宋体"/>
                <w:color w:val="auto"/>
                <w:sz w:val="28"/>
                <w:szCs w:val="28"/>
                <w:highlight w:val="none"/>
              </w:rPr>
            </w:pPr>
          </w:p>
        </w:tc>
        <w:tc>
          <w:tcPr>
            <w:tcW w:w="992" w:type="dxa"/>
          </w:tcPr>
          <w:p w14:paraId="24138F8E">
            <w:pPr>
              <w:pStyle w:val="68"/>
              <w:rPr>
                <w:rFonts w:ascii="宋体" w:hAnsi="宋体" w:cs="宋体"/>
                <w:color w:val="auto"/>
                <w:sz w:val="28"/>
                <w:szCs w:val="28"/>
                <w:highlight w:val="none"/>
              </w:rPr>
            </w:pPr>
          </w:p>
        </w:tc>
      </w:tr>
      <w:tr w14:paraId="4DE8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40E83662">
            <w:pPr>
              <w:pStyle w:val="68"/>
              <w:rPr>
                <w:rFonts w:ascii="宋体" w:hAnsi="宋体" w:cs="宋体"/>
                <w:color w:val="auto"/>
                <w:sz w:val="28"/>
                <w:szCs w:val="28"/>
                <w:highlight w:val="none"/>
              </w:rPr>
            </w:pPr>
          </w:p>
        </w:tc>
        <w:tc>
          <w:tcPr>
            <w:tcW w:w="1522" w:type="dxa"/>
          </w:tcPr>
          <w:p w14:paraId="1907FE75">
            <w:pPr>
              <w:pStyle w:val="68"/>
              <w:rPr>
                <w:rFonts w:ascii="宋体" w:hAnsi="宋体" w:cs="宋体"/>
                <w:color w:val="auto"/>
                <w:sz w:val="28"/>
                <w:szCs w:val="28"/>
                <w:highlight w:val="none"/>
              </w:rPr>
            </w:pPr>
          </w:p>
        </w:tc>
        <w:tc>
          <w:tcPr>
            <w:tcW w:w="708" w:type="dxa"/>
          </w:tcPr>
          <w:p w14:paraId="7CEB8BA6">
            <w:pPr>
              <w:pStyle w:val="68"/>
              <w:rPr>
                <w:rFonts w:ascii="宋体" w:hAnsi="宋体" w:cs="宋体"/>
                <w:color w:val="auto"/>
                <w:sz w:val="28"/>
                <w:szCs w:val="28"/>
                <w:highlight w:val="none"/>
              </w:rPr>
            </w:pPr>
          </w:p>
        </w:tc>
        <w:tc>
          <w:tcPr>
            <w:tcW w:w="851" w:type="dxa"/>
          </w:tcPr>
          <w:p w14:paraId="66CCCD52">
            <w:pPr>
              <w:pStyle w:val="68"/>
              <w:rPr>
                <w:rFonts w:ascii="宋体" w:hAnsi="宋体" w:cs="宋体"/>
                <w:color w:val="auto"/>
                <w:sz w:val="28"/>
                <w:szCs w:val="28"/>
                <w:highlight w:val="none"/>
              </w:rPr>
            </w:pPr>
          </w:p>
        </w:tc>
        <w:tc>
          <w:tcPr>
            <w:tcW w:w="1276" w:type="dxa"/>
          </w:tcPr>
          <w:p w14:paraId="67B7446B">
            <w:pPr>
              <w:pStyle w:val="68"/>
              <w:rPr>
                <w:rFonts w:ascii="宋体" w:hAnsi="宋体" w:cs="宋体"/>
                <w:color w:val="auto"/>
                <w:sz w:val="28"/>
                <w:szCs w:val="28"/>
                <w:highlight w:val="none"/>
              </w:rPr>
            </w:pPr>
          </w:p>
        </w:tc>
        <w:tc>
          <w:tcPr>
            <w:tcW w:w="992" w:type="dxa"/>
          </w:tcPr>
          <w:p w14:paraId="079451FA">
            <w:pPr>
              <w:pStyle w:val="68"/>
              <w:rPr>
                <w:rFonts w:ascii="宋体" w:hAnsi="宋体" w:cs="宋体"/>
                <w:color w:val="auto"/>
                <w:sz w:val="28"/>
                <w:szCs w:val="28"/>
                <w:highlight w:val="none"/>
              </w:rPr>
            </w:pPr>
          </w:p>
        </w:tc>
        <w:tc>
          <w:tcPr>
            <w:tcW w:w="992" w:type="dxa"/>
          </w:tcPr>
          <w:p w14:paraId="2262DA64">
            <w:pPr>
              <w:pStyle w:val="68"/>
              <w:rPr>
                <w:rFonts w:ascii="宋体" w:hAnsi="宋体" w:cs="宋体"/>
                <w:color w:val="auto"/>
                <w:sz w:val="28"/>
                <w:szCs w:val="28"/>
                <w:highlight w:val="none"/>
              </w:rPr>
            </w:pPr>
          </w:p>
        </w:tc>
        <w:tc>
          <w:tcPr>
            <w:tcW w:w="709" w:type="dxa"/>
          </w:tcPr>
          <w:p w14:paraId="1A234E33">
            <w:pPr>
              <w:pStyle w:val="68"/>
              <w:rPr>
                <w:rFonts w:ascii="宋体" w:hAnsi="宋体" w:cs="宋体"/>
                <w:color w:val="auto"/>
                <w:sz w:val="28"/>
                <w:szCs w:val="28"/>
                <w:highlight w:val="none"/>
              </w:rPr>
            </w:pPr>
          </w:p>
        </w:tc>
        <w:tc>
          <w:tcPr>
            <w:tcW w:w="992" w:type="dxa"/>
          </w:tcPr>
          <w:p w14:paraId="02A95D04">
            <w:pPr>
              <w:pStyle w:val="68"/>
              <w:rPr>
                <w:rFonts w:ascii="宋体" w:hAnsi="宋体" w:cs="宋体"/>
                <w:color w:val="auto"/>
                <w:sz w:val="28"/>
                <w:szCs w:val="28"/>
                <w:highlight w:val="none"/>
              </w:rPr>
            </w:pPr>
          </w:p>
        </w:tc>
      </w:tr>
      <w:tr w14:paraId="4A1E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873F090">
            <w:pPr>
              <w:pStyle w:val="68"/>
              <w:rPr>
                <w:rFonts w:ascii="宋体" w:hAnsi="宋体" w:cs="宋体"/>
                <w:color w:val="auto"/>
                <w:sz w:val="28"/>
                <w:szCs w:val="28"/>
                <w:highlight w:val="none"/>
              </w:rPr>
            </w:pPr>
          </w:p>
        </w:tc>
        <w:tc>
          <w:tcPr>
            <w:tcW w:w="1522" w:type="dxa"/>
          </w:tcPr>
          <w:p w14:paraId="51ECCC90">
            <w:pPr>
              <w:pStyle w:val="68"/>
              <w:rPr>
                <w:rFonts w:ascii="宋体" w:hAnsi="宋体" w:cs="宋体"/>
                <w:color w:val="auto"/>
                <w:sz w:val="28"/>
                <w:szCs w:val="28"/>
                <w:highlight w:val="none"/>
              </w:rPr>
            </w:pPr>
          </w:p>
        </w:tc>
        <w:tc>
          <w:tcPr>
            <w:tcW w:w="708" w:type="dxa"/>
          </w:tcPr>
          <w:p w14:paraId="0B7DBE1D">
            <w:pPr>
              <w:pStyle w:val="68"/>
              <w:rPr>
                <w:rFonts w:ascii="宋体" w:hAnsi="宋体" w:cs="宋体"/>
                <w:color w:val="auto"/>
                <w:sz w:val="28"/>
                <w:szCs w:val="28"/>
                <w:highlight w:val="none"/>
              </w:rPr>
            </w:pPr>
          </w:p>
        </w:tc>
        <w:tc>
          <w:tcPr>
            <w:tcW w:w="851" w:type="dxa"/>
          </w:tcPr>
          <w:p w14:paraId="08D21EAC">
            <w:pPr>
              <w:pStyle w:val="68"/>
              <w:rPr>
                <w:rFonts w:ascii="宋体" w:hAnsi="宋体" w:cs="宋体"/>
                <w:color w:val="auto"/>
                <w:sz w:val="28"/>
                <w:szCs w:val="28"/>
                <w:highlight w:val="none"/>
              </w:rPr>
            </w:pPr>
          </w:p>
        </w:tc>
        <w:tc>
          <w:tcPr>
            <w:tcW w:w="1276" w:type="dxa"/>
          </w:tcPr>
          <w:p w14:paraId="493CA9F5">
            <w:pPr>
              <w:pStyle w:val="68"/>
              <w:rPr>
                <w:rFonts w:ascii="宋体" w:hAnsi="宋体" w:cs="宋体"/>
                <w:color w:val="auto"/>
                <w:sz w:val="28"/>
                <w:szCs w:val="28"/>
                <w:highlight w:val="none"/>
              </w:rPr>
            </w:pPr>
          </w:p>
        </w:tc>
        <w:tc>
          <w:tcPr>
            <w:tcW w:w="992" w:type="dxa"/>
          </w:tcPr>
          <w:p w14:paraId="1C207EF3">
            <w:pPr>
              <w:pStyle w:val="68"/>
              <w:rPr>
                <w:rFonts w:ascii="宋体" w:hAnsi="宋体" w:cs="宋体"/>
                <w:color w:val="auto"/>
                <w:sz w:val="28"/>
                <w:szCs w:val="28"/>
                <w:highlight w:val="none"/>
              </w:rPr>
            </w:pPr>
          </w:p>
        </w:tc>
        <w:tc>
          <w:tcPr>
            <w:tcW w:w="992" w:type="dxa"/>
          </w:tcPr>
          <w:p w14:paraId="56273C0A">
            <w:pPr>
              <w:pStyle w:val="68"/>
              <w:rPr>
                <w:rFonts w:ascii="宋体" w:hAnsi="宋体" w:cs="宋体"/>
                <w:color w:val="auto"/>
                <w:sz w:val="28"/>
                <w:szCs w:val="28"/>
                <w:highlight w:val="none"/>
              </w:rPr>
            </w:pPr>
          </w:p>
        </w:tc>
        <w:tc>
          <w:tcPr>
            <w:tcW w:w="709" w:type="dxa"/>
          </w:tcPr>
          <w:p w14:paraId="6C9ACC44">
            <w:pPr>
              <w:pStyle w:val="68"/>
              <w:rPr>
                <w:rFonts w:ascii="宋体" w:hAnsi="宋体" w:cs="宋体"/>
                <w:color w:val="auto"/>
                <w:sz w:val="28"/>
                <w:szCs w:val="28"/>
                <w:highlight w:val="none"/>
              </w:rPr>
            </w:pPr>
          </w:p>
        </w:tc>
        <w:tc>
          <w:tcPr>
            <w:tcW w:w="992" w:type="dxa"/>
          </w:tcPr>
          <w:p w14:paraId="14239A4B">
            <w:pPr>
              <w:pStyle w:val="68"/>
              <w:rPr>
                <w:rFonts w:ascii="宋体" w:hAnsi="宋体" w:cs="宋体"/>
                <w:color w:val="auto"/>
                <w:sz w:val="28"/>
                <w:szCs w:val="28"/>
                <w:highlight w:val="none"/>
              </w:rPr>
            </w:pPr>
          </w:p>
        </w:tc>
      </w:tr>
      <w:tr w14:paraId="09F1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BE1C2A7">
            <w:pPr>
              <w:pStyle w:val="68"/>
              <w:rPr>
                <w:rFonts w:ascii="宋体" w:hAnsi="宋体" w:cs="宋体"/>
                <w:color w:val="auto"/>
                <w:sz w:val="28"/>
                <w:szCs w:val="28"/>
                <w:highlight w:val="none"/>
              </w:rPr>
            </w:pPr>
          </w:p>
        </w:tc>
        <w:tc>
          <w:tcPr>
            <w:tcW w:w="1522" w:type="dxa"/>
          </w:tcPr>
          <w:p w14:paraId="534A69EA">
            <w:pPr>
              <w:pStyle w:val="68"/>
              <w:rPr>
                <w:rFonts w:ascii="宋体" w:hAnsi="宋体" w:cs="宋体"/>
                <w:color w:val="auto"/>
                <w:sz w:val="28"/>
                <w:szCs w:val="28"/>
                <w:highlight w:val="none"/>
              </w:rPr>
            </w:pPr>
          </w:p>
        </w:tc>
        <w:tc>
          <w:tcPr>
            <w:tcW w:w="708" w:type="dxa"/>
          </w:tcPr>
          <w:p w14:paraId="2D67F69F">
            <w:pPr>
              <w:pStyle w:val="68"/>
              <w:rPr>
                <w:rFonts w:ascii="宋体" w:hAnsi="宋体" w:cs="宋体"/>
                <w:color w:val="auto"/>
                <w:sz w:val="28"/>
                <w:szCs w:val="28"/>
                <w:highlight w:val="none"/>
              </w:rPr>
            </w:pPr>
          </w:p>
        </w:tc>
        <w:tc>
          <w:tcPr>
            <w:tcW w:w="851" w:type="dxa"/>
          </w:tcPr>
          <w:p w14:paraId="4C1B3C9E">
            <w:pPr>
              <w:pStyle w:val="68"/>
              <w:rPr>
                <w:rFonts w:ascii="宋体" w:hAnsi="宋体" w:cs="宋体"/>
                <w:color w:val="auto"/>
                <w:sz w:val="28"/>
                <w:szCs w:val="28"/>
                <w:highlight w:val="none"/>
              </w:rPr>
            </w:pPr>
          </w:p>
        </w:tc>
        <w:tc>
          <w:tcPr>
            <w:tcW w:w="1276" w:type="dxa"/>
          </w:tcPr>
          <w:p w14:paraId="2B510231">
            <w:pPr>
              <w:pStyle w:val="68"/>
              <w:rPr>
                <w:rFonts w:ascii="宋体" w:hAnsi="宋体" w:cs="宋体"/>
                <w:color w:val="auto"/>
                <w:sz w:val="28"/>
                <w:szCs w:val="28"/>
                <w:highlight w:val="none"/>
              </w:rPr>
            </w:pPr>
          </w:p>
        </w:tc>
        <w:tc>
          <w:tcPr>
            <w:tcW w:w="992" w:type="dxa"/>
          </w:tcPr>
          <w:p w14:paraId="54DE5738">
            <w:pPr>
              <w:pStyle w:val="68"/>
              <w:rPr>
                <w:rFonts w:ascii="宋体" w:hAnsi="宋体" w:cs="宋体"/>
                <w:color w:val="auto"/>
                <w:sz w:val="28"/>
                <w:szCs w:val="28"/>
                <w:highlight w:val="none"/>
              </w:rPr>
            </w:pPr>
          </w:p>
        </w:tc>
        <w:tc>
          <w:tcPr>
            <w:tcW w:w="992" w:type="dxa"/>
          </w:tcPr>
          <w:p w14:paraId="54252E01">
            <w:pPr>
              <w:pStyle w:val="68"/>
              <w:rPr>
                <w:rFonts w:ascii="宋体" w:hAnsi="宋体" w:cs="宋体"/>
                <w:color w:val="auto"/>
                <w:sz w:val="28"/>
                <w:szCs w:val="28"/>
                <w:highlight w:val="none"/>
              </w:rPr>
            </w:pPr>
          </w:p>
        </w:tc>
        <w:tc>
          <w:tcPr>
            <w:tcW w:w="709" w:type="dxa"/>
          </w:tcPr>
          <w:p w14:paraId="4E958DA5">
            <w:pPr>
              <w:pStyle w:val="68"/>
              <w:rPr>
                <w:rFonts w:ascii="宋体" w:hAnsi="宋体" w:cs="宋体"/>
                <w:color w:val="auto"/>
                <w:sz w:val="28"/>
                <w:szCs w:val="28"/>
                <w:highlight w:val="none"/>
              </w:rPr>
            </w:pPr>
          </w:p>
        </w:tc>
        <w:tc>
          <w:tcPr>
            <w:tcW w:w="992" w:type="dxa"/>
          </w:tcPr>
          <w:p w14:paraId="41C2FA14">
            <w:pPr>
              <w:pStyle w:val="68"/>
              <w:rPr>
                <w:rFonts w:ascii="宋体" w:hAnsi="宋体" w:cs="宋体"/>
                <w:color w:val="auto"/>
                <w:sz w:val="28"/>
                <w:szCs w:val="28"/>
                <w:highlight w:val="none"/>
              </w:rPr>
            </w:pPr>
          </w:p>
        </w:tc>
      </w:tr>
      <w:tr w14:paraId="3C2E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4159E4D">
            <w:pPr>
              <w:pStyle w:val="68"/>
              <w:rPr>
                <w:rFonts w:ascii="宋体" w:hAnsi="宋体" w:cs="宋体"/>
                <w:color w:val="auto"/>
                <w:sz w:val="28"/>
                <w:szCs w:val="28"/>
                <w:highlight w:val="none"/>
              </w:rPr>
            </w:pPr>
          </w:p>
        </w:tc>
        <w:tc>
          <w:tcPr>
            <w:tcW w:w="1522" w:type="dxa"/>
          </w:tcPr>
          <w:p w14:paraId="7BC2B5CA">
            <w:pPr>
              <w:pStyle w:val="68"/>
              <w:rPr>
                <w:rFonts w:ascii="宋体" w:hAnsi="宋体" w:cs="宋体"/>
                <w:color w:val="auto"/>
                <w:sz w:val="28"/>
                <w:szCs w:val="28"/>
                <w:highlight w:val="none"/>
              </w:rPr>
            </w:pPr>
          </w:p>
        </w:tc>
        <w:tc>
          <w:tcPr>
            <w:tcW w:w="708" w:type="dxa"/>
          </w:tcPr>
          <w:p w14:paraId="510F30C4">
            <w:pPr>
              <w:pStyle w:val="68"/>
              <w:rPr>
                <w:rFonts w:ascii="宋体" w:hAnsi="宋体" w:cs="宋体"/>
                <w:color w:val="auto"/>
                <w:sz w:val="28"/>
                <w:szCs w:val="28"/>
                <w:highlight w:val="none"/>
              </w:rPr>
            </w:pPr>
          </w:p>
        </w:tc>
        <w:tc>
          <w:tcPr>
            <w:tcW w:w="851" w:type="dxa"/>
          </w:tcPr>
          <w:p w14:paraId="226207BC">
            <w:pPr>
              <w:pStyle w:val="68"/>
              <w:rPr>
                <w:rFonts w:ascii="宋体" w:hAnsi="宋体" w:cs="宋体"/>
                <w:color w:val="auto"/>
                <w:sz w:val="28"/>
                <w:szCs w:val="28"/>
                <w:highlight w:val="none"/>
              </w:rPr>
            </w:pPr>
          </w:p>
        </w:tc>
        <w:tc>
          <w:tcPr>
            <w:tcW w:w="1276" w:type="dxa"/>
          </w:tcPr>
          <w:p w14:paraId="3845255A">
            <w:pPr>
              <w:pStyle w:val="68"/>
              <w:rPr>
                <w:rFonts w:ascii="宋体" w:hAnsi="宋体" w:cs="宋体"/>
                <w:color w:val="auto"/>
                <w:sz w:val="28"/>
                <w:szCs w:val="28"/>
                <w:highlight w:val="none"/>
              </w:rPr>
            </w:pPr>
          </w:p>
        </w:tc>
        <w:tc>
          <w:tcPr>
            <w:tcW w:w="992" w:type="dxa"/>
          </w:tcPr>
          <w:p w14:paraId="264282C2">
            <w:pPr>
              <w:pStyle w:val="68"/>
              <w:rPr>
                <w:rFonts w:ascii="宋体" w:hAnsi="宋体" w:cs="宋体"/>
                <w:color w:val="auto"/>
                <w:sz w:val="28"/>
                <w:szCs w:val="28"/>
                <w:highlight w:val="none"/>
              </w:rPr>
            </w:pPr>
          </w:p>
        </w:tc>
        <w:tc>
          <w:tcPr>
            <w:tcW w:w="992" w:type="dxa"/>
          </w:tcPr>
          <w:p w14:paraId="162B8978">
            <w:pPr>
              <w:pStyle w:val="68"/>
              <w:rPr>
                <w:rFonts w:ascii="宋体" w:hAnsi="宋体" w:cs="宋体"/>
                <w:color w:val="auto"/>
                <w:sz w:val="28"/>
                <w:szCs w:val="28"/>
                <w:highlight w:val="none"/>
              </w:rPr>
            </w:pPr>
          </w:p>
        </w:tc>
        <w:tc>
          <w:tcPr>
            <w:tcW w:w="709" w:type="dxa"/>
          </w:tcPr>
          <w:p w14:paraId="1C22D195">
            <w:pPr>
              <w:pStyle w:val="68"/>
              <w:rPr>
                <w:rFonts w:ascii="宋体" w:hAnsi="宋体" w:cs="宋体"/>
                <w:color w:val="auto"/>
                <w:sz w:val="28"/>
                <w:szCs w:val="28"/>
                <w:highlight w:val="none"/>
              </w:rPr>
            </w:pPr>
          </w:p>
        </w:tc>
        <w:tc>
          <w:tcPr>
            <w:tcW w:w="992" w:type="dxa"/>
          </w:tcPr>
          <w:p w14:paraId="3FE5AFC2">
            <w:pPr>
              <w:pStyle w:val="68"/>
              <w:rPr>
                <w:rFonts w:ascii="宋体" w:hAnsi="宋体" w:cs="宋体"/>
                <w:color w:val="auto"/>
                <w:sz w:val="28"/>
                <w:szCs w:val="28"/>
                <w:highlight w:val="none"/>
              </w:rPr>
            </w:pPr>
          </w:p>
        </w:tc>
      </w:tr>
      <w:tr w14:paraId="7822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B282143">
            <w:pPr>
              <w:pStyle w:val="68"/>
              <w:rPr>
                <w:rFonts w:ascii="宋体" w:hAnsi="宋体" w:cs="宋体"/>
                <w:color w:val="auto"/>
                <w:sz w:val="28"/>
                <w:szCs w:val="28"/>
                <w:highlight w:val="none"/>
              </w:rPr>
            </w:pPr>
          </w:p>
        </w:tc>
        <w:tc>
          <w:tcPr>
            <w:tcW w:w="1522" w:type="dxa"/>
          </w:tcPr>
          <w:p w14:paraId="0BB509A9">
            <w:pPr>
              <w:pStyle w:val="68"/>
              <w:rPr>
                <w:rFonts w:ascii="宋体" w:hAnsi="宋体" w:cs="宋体"/>
                <w:color w:val="auto"/>
                <w:sz w:val="28"/>
                <w:szCs w:val="28"/>
                <w:highlight w:val="none"/>
              </w:rPr>
            </w:pPr>
          </w:p>
        </w:tc>
        <w:tc>
          <w:tcPr>
            <w:tcW w:w="708" w:type="dxa"/>
          </w:tcPr>
          <w:p w14:paraId="40CE3F62">
            <w:pPr>
              <w:pStyle w:val="68"/>
              <w:rPr>
                <w:rFonts w:ascii="宋体" w:hAnsi="宋体" w:cs="宋体"/>
                <w:color w:val="auto"/>
                <w:sz w:val="28"/>
                <w:szCs w:val="28"/>
                <w:highlight w:val="none"/>
              </w:rPr>
            </w:pPr>
          </w:p>
        </w:tc>
        <w:tc>
          <w:tcPr>
            <w:tcW w:w="851" w:type="dxa"/>
          </w:tcPr>
          <w:p w14:paraId="7FC20F52">
            <w:pPr>
              <w:pStyle w:val="68"/>
              <w:rPr>
                <w:rFonts w:ascii="宋体" w:hAnsi="宋体" w:cs="宋体"/>
                <w:color w:val="auto"/>
                <w:sz w:val="28"/>
                <w:szCs w:val="28"/>
                <w:highlight w:val="none"/>
              </w:rPr>
            </w:pPr>
          </w:p>
        </w:tc>
        <w:tc>
          <w:tcPr>
            <w:tcW w:w="1276" w:type="dxa"/>
          </w:tcPr>
          <w:p w14:paraId="662F0FB7">
            <w:pPr>
              <w:pStyle w:val="68"/>
              <w:rPr>
                <w:rFonts w:ascii="宋体" w:hAnsi="宋体" w:cs="宋体"/>
                <w:color w:val="auto"/>
                <w:sz w:val="28"/>
                <w:szCs w:val="28"/>
                <w:highlight w:val="none"/>
              </w:rPr>
            </w:pPr>
          </w:p>
        </w:tc>
        <w:tc>
          <w:tcPr>
            <w:tcW w:w="992" w:type="dxa"/>
          </w:tcPr>
          <w:p w14:paraId="2E49EDE5">
            <w:pPr>
              <w:pStyle w:val="68"/>
              <w:rPr>
                <w:rFonts w:ascii="宋体" w:hAnsi="宋体" w:cs="宋体"/>
                <w:color w:val="auto"/>
                <w:sz w:val="28"/>
                <w:szCs w:val="28"/>
                <w:highlight w:val="none"/>
              </w:rPr>
            </w:pPr>
          </w:p>
        </w:tc>
        <w:tc>
          <w:tcPr>
            <w:tcW w:w="992" w:type="dxa"/>
          </w:tcPr>
          <w:p w14:paraId="48674051">
            <w:pPr>
              <w:pStyle w:val="68"/>
              <w:rPr>
                <w:rFonts w:ascii="宋体" w:hAnsi="宋体" w:cs="宋体"/>
                <w:color w:val="auto"/>
                <w:sz w:val="28"/>
                <w:szCs w:val="28"/>
                <w:highlight w:val="none"/>
              </w:rPr>
            </w:pPr>
          </w:p>
        </w:tc>
        <w:tc>
          <w:tcPr>
            <w:tcW w:w="709" w:type="dxa"/>
          </w:tcPr>
          <w:p w14:paraId="20AAF978">
            <w:pPr>
              <w:pStyle w:val="68"/>
              <w:rPr>
                <w:rFonts w:ascii="宋体" w:hAnsi="宋体" w:cs="宋体"/>
                <w:color w:val="auto"/>
                <w:sz w:val="28"/>
                <w:szCs w:val="28"/>
                <w:highlight w:val="none"/>
              </w:rPr>
            </w:pPr>
          </w:p>
        </w:tc>
        <w:tc>
          <w:tcPr>
            <w:tcW w:w="992" w:type="dxa"/>
          </w:tcPr>
          <w:p w14:paraId="012FC903">
            <w:pPr>
              <w:pStyle w:val="68"/>
              <w:rPr>
                <w:rFonts w:ascii="宋体" w:hAnsi="宋体" w:cs="宋体"/>
                <w:color w:val="auto"/>
                <w:sz w:val="28"/>
                <w:szCs w:val="28"/>
                <w:highlight w:val="none"/>
              </w:rPr>
            </w:pPr>
          </w:p>
        </w:tc>
      </w:tr>
      <w:tr w14:paraId="67E9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3D6326B">
            <w:pPr>
              <w:pStyle w:val="68"/>
              <w:rPr>
                <w:rFonts w:ascii="宋体" w:hAnsi="宋体" w:cs="宋体"/>
                <w:color w:val="auto"/>
                <w:sz w:val="28"/>
                <w:szCs w:val="28"/>
                <w:highlight w:val="none"/>
              </w:rPr>
            </w:pPr>
          </w:p>
        </w:tc>
        <w:tc>
          <w:tcPr>
            <w:tcW w:w="1522" w:type="dxa"/>
          </w:tcPr>
          <w:p w14:paraId="3FA17770">
            <w:pPr>
              <w:pStyle w:val="68"/>
              <w:rPr>
                <w:rFonts w:ascii="宋体" w:hAnsi="宋体" w:cs="宋体"/>
                <w:color w:val="auto"/>
                <w:sz w:val="28"/>
                <w:szCs w:val="28"/>
                <w:highlight w:val="none"/>
              </w:rPr>
            </w:pPr>
          </w:p>
        </w:tc>
        <w:tc>
          <w:tcPr>
            <w:tcW w:w="708" w:type="dxa"/>
          </w:tcPr>
          <w:p w14:paraId="777D6BD7">
            <w:pPr>
              <w:pStyle w:val="68"/>
              <w:rPr>
                <w:rFonts w:ascii="宋体" w:hAnsi="宋体" w:cs="宋体"/>
                <w:color w:val="auto"/>
                <w:sz w:val="28"/>
                <w:szCs w:val="28"/>
                <w:highlight w:val="none"/>
              </w:rPr>
            </w:pPr>
          </w:p>
        </w:tc>
        <w:tc>
          <w:tcPr>
            <w:tcW w:w="851" w:type="dxa"/>
          </w:tcPr>
          <w:p w14:paraId="3BAE0C65">
            <w:pPr>
              <w:pStyle w:val="68"/>
              <w:rPr>
                <w:rFonts w:ascii="宋体" w:hAnsi="宋体" w:cs="宋体"/>
                <w:color w:val="auto"/>
                <w:sz w:val="28"/>
                <w:szCs w:val="28"/>
                <w:highlight w:val="none"/>
              </w:rPr>
            </w:pPr>
          </w:p>
        </w:tc>
        <w:tc>
          <w:tcPr>
            <w:tcW w:w="1276" w:type="dxa"/>
          </w:tcPr>
          <w:p w14:paraId="7B312C97">
            <w:pPr>
              <w:pStyle w:val="68"/>
              <w:rPr>
                <w:rFonts w:ascii="宋体" w:hAnsi="宋体" w:cs="宋体"/>
                <w:color w:val="auto"/>
                <w:sz w:val="28"/>
                <w:szCs w:val="28"/>
                <w:highlight w:val="none"/>
              </w:rPr>
            </w:pPr>
          </w:p>
        </w:tc>
        <w:tc>
          <w:tcPr>
            <w:tcW w:w="992" w:type="dxa"/>
          </w:tcPr>
          <w:p w14:paraId="49A4F8EF">
            <w:pPr>
              <w:pStyle w:val="68"/>
              <w:rPr>
                <w:rFonts w:ascii="宋体" w:hAnsi="宋体" w:cs="宋体"/>
                <w:color w:val="auto"/>
                <w:sz w:val="28"/>
                <w:szCs w:val="28"/>
                <w:highlight w:val="none"/>
              </w:rPr>
            </w:pPr>
          </w:p>
        </w:tc>
        <w:tc>
          <w:tcPr>
            <w:tcW w:w="992" w:type="dxa"/>
          </w:tcPr>
          <w:p w14:paraId="4D0FCD47">
            <w:pPr>
              <w:pStyle w:val="68"/>
              <w:rPr>
                <w:rFonts w:ascii="宋体" w:hAnsi="宋体" w:cs="宋体"/>
                <w:color w:val="auto"/>
                <w:sz w:val="28"/>
                <w:szCs w:val="28"/>
                <w:highlight w:val="none"/>
              </w:rPr>
            </w:pPr>
          </w:p>
        </w:tc>
        <w:tc>
          <w:tcPr>
            <w:tcW w:w="709" w:type="dxa"/>
          </w:tcPr>
          <w:p w14:paraId="2B568CA6">
            <w:pPr>
              <w:pStyle w:val="68"/>
              <w:rPr>
                <w:rFonts w:ascii="宋体" w:hAnsi="宋体" w:cs="宋体"/>
                <w:color w:val="auto"/>
                <w:sz w:val="28"/>
                <w:szCs w:val="28"/>
                <w:highlight w:val="none"/>
              </w:rPr>
            </w:pPr>
          </w:p>
        </w:tc>
        <w:tc>
          <w:tcPr>
            <w:tcW w:w="992" w:type="dxa"/>
          </w:tcPr>
          <w:p w14:paraId="576C65C3">
            <w:pPr>
              <w:pStyle w:val="68"/>
              <w:rPr>
                <w:rFonts w:ascii="宋体" w:hAnsi="宋体" w:cs="宋体"/>
                <w:color w:val="auto"/>
                <w:sz w:val="28"/>
                <w:szCs w:val="28"/>
                <w:highlight w:val="none"/>
              </w:rPr>
            </w:pPr>
          </w:p>
        </w:tc>
      </w:tr>
    </w:tbl>
    <w:p w14:paraId="657E991E">
      <w:pPr>
        <w:pStyle w:val="68"/>
        <w:adjustRightInd w:val="0"/>
        <w:snapToGrid w:val="0"/>
        <w:spacing w:line="360" w:lineRule="auto"/>
        <w:ind w:firstLine="480" w:firstLineChars="200"/>
        <w:rPr>
          <w:rFonts w:ascii="宋体" w:hAnsi="宋体" w:cs="宋体"/>
          <w:color w:val="auto"/>
          <w:sz w:val="24"/>
          <w:highlight w:val="none"/>
        </w:rPr>
      </w:pPr>
    </w:p>
    <w:p w14:paraId="15C7BDA8">
      <w:pPr>
        <w:pStyle w:val="68"/>
        <w:adjustRightInd w:val="0"/>
        <w:snapToGrid w:val="0"/>
        <w:spacing w:line="360" w:lineRule="auto"/>
        <w:ind w:firstLine="480" w:firstLineChars="200"/>
        <w:rPr>
          <w:rFonts w:ascii="宋体" w:hAnsi="宋体" w:cs="宋体"/>
          <w:color w:val="auto"/>
          <w:sz w:val="24"/>
          <w:highlight w:val="none"/>
        </w:rPr>
      </w:pPr>
    </w:p>
    <w:p w14:paraId="7811A076">
      <w:pPr>
        <w:pStyle w:val="68"/>
        <w:adjustRightInd w:val="0"/>
        <w:snapToGrid w:val="0"/>
        <w:spacing w:line="360" w:lineRule="auto"/>
        <w:ind w:firstLine="480" w:firstLineChars="200"/>
        <w:rPr>
          <w:rFonts w:ascii="宋体" w:hAnsi="宋体" w:cs="宋体"/>
          <w:color w:val="auto"/>
          <w:sz w:val="24"/>
          <w:highlight w:val="none"/>
        </w:rPr>
      </w:pPr>
    </w:p>
    <w:p w14:paraId="4019D213">
      <w:pPr>
        <w:pStyle w:val="68"/>
        <w:adjustRightInd w:val="0"/>
        <w:snapToGrid w:val="0"/>
        <w:spacing w:line="360" w:lineRule="auto"/>
        <w:ind w:firstLine="480" w:firstLineChars="200"/>
        <w:rPr>
          <w:rFonts w:ascii="宋体" w:hAnsi="宋体" w:cs="宋体"/>
          <w:color w:val="auto"/>
          <w:sz w:val="24"/>
          <w:highlight w:val="none"/>
        </w:rPr>
      </w:pPr>
    </w:p>
    <w:p w14:paraId="04E72F20">
      <w:pPr>
        <w:pStyle w:val="68"/>
        <w:adjustRightInd w:val="0"/>
        <w:snapToGrid w:val="0"/>
        <w:spacing w:line="360" w:lineRule="auto"/>
        <w:ind w:firstLine="480" w:firstLineChars="200"/>
        <w:rPr>
          <w:rFonts w:ascii="宋体" w:hAnsi="宋体" w:cs="宋体"/>
          <w:color w:val="auto"/>
          <w:sz w:val="24"/>
          <w:highlight w:val="none"/>
        </w:rPr>
      </w:pPr>
    </w:p>
    <w:p w14:paraId="570D7518">
      <w:pPr>
        <w:pStyle w:val="68"/>
        <w:adjustRightInd w:val="0"/>
        <w:snapToGrid w:val="0"/>
        <w:spacing w:line="360" w:lineRule="auto"/>
        <w:ind w:firstLine="480" w:firstLineChars="200"/>
        <w:rPr>
          <w:rFonts w:ascii="宋体" w:hAnsi="宋体" w:cs="宋体"/>
          <w:color w:val="auto"/>
          <w:sz w:val="24"/>
          <w:highlight w:val="none"/>
        </w:rPr>
      </w:pPr>
    </w:p>
    <w:p w14:paraId="4A258C7C">
      <w:pPr>
        <w:pStyle w:val="78"/>
        <w:spacing w:line="360" w:lineRule="auto"/>
        <w:rPr>
          <w:rFonts w:ascii="宋体" w:hAnsi="宋体"/>
          <w:color w:val="auto"/>
          <w:sz w:val="24"/>
          <w:szCs w:val="24"/>
          <w:highlight w:val="none"/>
        </w:rPr>
      </w:pPr>
      <w:bookmarkStart w:id="1710" w:name="_Toc43476016"/>
      <w:r>
        <w:rPr>
          <w:rFonts w:hint="eastAsia" w:ascii="宋体" w:hAnsi="宋体"/>
          <w:color w:val="auto"/>
          <w:sz w:val="24"/>
          <w:szCs w:val="24"/>
          <w:highlight w:val="none"/>
        </w:rPr>
        <w:t>附件十  统一采购供应材料一览表</w:t>
      </w:r>
      <w:bookmarkEnd w:id="1710"/>
    </w:p>
    <w:p w14:paraId="362FB0A5">
      <w:pPr>
        <w:pStyle w:val="68"/>
        <w:rPr>
          <w:rFonts w:ascii="宋体" w:hAnsi="宋体" w:cs="宋体"/>
          <w:color w:val="auto"/>
          <w:sz w:val="24"/>
          <w:highlight w:val="none"/>
        </w:rPr>
      </w:pPr>
    </w:p>
    <w:tbl>
      <w:tblPr>
        <w:tblStyle w:val="42"/>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14:paraId="543D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7AFF20D8">
            <w:pPr>
              <w:pStyle w:val="68"/>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22" w:type="dxa"/>
            <w:vAlign w:val="center"/>
          </w:tcPr>
          <w:p w14:paraId="54525417">
            <w:pPr>
              <w:pStyle w:val="68"/>
              <w:jc w:val="center"/>
              <w:rPr>
                <w:rFonts w:ascii="宋体" w:hAnsi="宋体" w:cs="宋体"/>
                <w:color w:val="auto"/>
                <w:sz w:val="24"/>
                <w:highlight w:val="none"/>
              </w:rPr>
            </w:pPr>
            <w:r>
              <w:rPr>
                <w:rFonts w:hint="eastAsia" w:ascii="宋体" w:hAnsi="宋体" w:cs="宋体"/>
                <w:color w:val="auto"/>
                <w:sz w:val="24"/>
                <w:highlight w:val="none"/>
              </w:rPr>
              <w:t>材料品种或设备型号</w:t>
            </w:r>
          </w:p>
        </w:tc>
        <w:tc>
          <w:tcPr>
            <w:tcW w:w="708" w:type="dxa"/>
            <w:vAlign w:val="center"/>
          </w:tcPr>
          <w:p w14:paraId="3C406DAA">
            <w:pPr>
              <w:pStyle w:val="68"/>
              <w:jc w:val="center"/>
              <w:rPr>
                <w:rFonts w:ascii="宋体" w:hAnsi="宋体" w:cs="宋体"/>
                <w:color w:val="auto"/>
                <w:sz w:val="24"/>
                <w:highlight w:val="none"/>
              </w:rPr>
            </w:pPr>
            <w:r>
              <w:rPr>
                <w:rFonts w:hint="eastAsia" w:ascii="宋体" w:hAnsi="宋体" w:cs="宋体"/>
                <w:color w:val="auto"/>
                <w:sz w:val="24"/>
                <w:highlight w:val="none"/>
              </w:rPr>
              <w:t>单位</w:t>
            </w:r>
          </w:p>
        </w:tc>
        <w:tc>
          <w:tcPr>
            <w:tcW w:w="851" w:type="dxa"/>
            <w:vAlign w:val="center"/>
          </w:tcPr>
          <w:p w14:paraId="2490B1A5">
            <w:pPr>
              <w:pStyle w:val="68"/>
              <w:jc w:val="center"/>
              <w:rPr>
                <w:rFonts w:ascii="宋体" w:hAnsi="宋体" w:cs="宋体"/>
                <w:color w:val="auto"/>
                <w:sz w:val="24"/>
                <w:highlight w:val="none"/>
              </w:rPr>
            </w:pPr>
            <w:r>
              <w:rPr>
                <w:rFonts w:hint="eastAsia" w:ascii="宋体" w:hAnsi="宋体" w:cs="宋体"/>
                <w:color w:val="auto"/>
                <w:sz w:val="24"/>
                <w:highlight w:val="none"/>
              </w:rPr>
              <w:t>数量</w:t>
            </w:r>
          </w:p>
        </w:tc>
        <w:tc>
          <w:tcPr>
            <w:tcW w:w="1559" w:type="dxa"/>
            <w:vAlign w:val="center"/>
          </w:tcPr>
          <w:p w14:paraId="3A3D3DBB">
            <w:pPr>
              <w:pStyle w:val="68"/>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到达工地价格（元）</w:t>
            </w:r>
          </w:p>
        </w:tc>
        <w:tc>
          <w:tcPr>
            <w:tcW w:w="992" w:type="dxa"/>
            <w:vAlign w:val="center"/>
          </w:tcPr>
          <w:p w14:paraId="41BC8EAD">
            <w:pPr>
              <w:pStyle w:val="68"/>
              <w:jc w:val="center"/>
              <w:rPr>
                <w:rFonts w:ascii="宋体" w:hAnsi="宋体" w:cs="宋体"/>
                <w:color w:val="auto"/>
                <w:sz w:val="24"/>
                <w:highlight w:val="none"/>
              </w:rPr>
            </w:pPr>
            <w:r>
              <w:rPr>
                <w:rFonts w:hint="eastAsia" w:ascii="宋体" w:hAnsi="宋体" w:cs="宋体"/>
                <w:color w:val="auto"/>
                <w:sz w:val="24"/>
                <w:highlight w:val="none"/>
              </w:rPr>
              <w:t>质量等级</w:t>
            </w:r>
          </w:p>
        </w:tc>
        <w:tc>
          <w:tcPr>
            <w:tcW w:w="993" w:type="dxa"/>
            <w:vAlign w:val="center"/>
          </w:tcPr>
          <w:p w14:paraId="1AF7F281">
            <w:pPr>
              <w:pStyle w:val="68"/>
              <w:jc w:val="center"/>
              <w:rPr>
                <w:rFonts w:ascii="宋体" w:hAnsi="宋体" w:cs="宋体"/>
                <w:color w:val="auto"/>
                <w:sz w:val="24"/>
                <w:highlight w:val="none"/>
              </w:rPr>
            </w:pPr>
            <w:r>
              <w:rPr>
                <w:rFonts w:hint="eastAsia" w:ascii="宋体" w:hAnsi="宋体" w:cs="宋体"/>
                <w:color w:val="auto"/>
                <w:sz w:val="24"/>
                <w:highlight w:val="none"/>
              </w:rPr>
              <w:t>供应时间</w:t>
            </w:r>
          </w:p>
        </w:tc>
        <w:tc>
          <w:tcPr>
            <w:tcW w:w="850" w:type="dxa"/>
            <w:vAlign w:val="center"/>
          </w:tcPr>
          <w:p w14:paraId="18D7FA85">
            <w:pPr>
              <w:pStyle w:val="68"/>
              <w:jc w:val="center"/>
              <w:rPr>
                <w:rFonts w:ascii="宋体" w:hAnsi="宋体" w:cs="宋体"/>
                <w:color w:val="auto"/>
                <w:sz w:val="24"/>
                <w:highlight w:val="none"/>
              </w:rPr>
            </w:pPr>
            <w:r>
              <w:rPr>
                <w:rFonts w:hint="eastAsia" w:ascii="宋体" w:hAnsi="宋体" w:cs="宋体"/>
                <w:color w:val="auto"/>
                <w:sz w:val="24"/>
                <w:highlight w:val="none"/>
              </w:rPr>
              <w:t>送达地点</w:t>
            </w:r>
          </w:p>
        </w:tc>
        <w:tc>
          <w:tcPr>
            <w:tcW w:w="709" w:type="dxa"/>
            <w:vAlign w:val="center"/>
          </w:tcPr>
          <w:p w14:paraId="58B7304E">
            <w:pPr>
              <w:pStyle w:val="68"/>
              <w:jc w:val="center"/>
              <w:rPr>
                <w:rFonts w:ascii="宋体" w:hAnsi="宋体" w:cs="宋体"/>
                <w:color w:val="auto"/>
                <w:sz w:val="24"/>
                <w:highlight w:val="none"/>
              </w:rPr>
            </w:pPr>
            <w:r>
              <w:rPr>
                <w:rFonts w:hint="eastAsia" w:ascii="宋体" w:hAnsi="宋体" w:cs="宋体"/>
                <w:color w:val="auto"/>
                <w:sz w:val="24"/>
                <w:highlight w:val="none"/>
              </w:rPr>
              <w:t>备注</w:t>
            </w:r>
          </w:p>
        </w:tc>
      </w:tr>
      <w:tr w14:paraId="6909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6465D2E">
            <w:pPr>
              <w:pStyle w:val="68"/>
              <w:rPr>
                <w:rFonts w:ascii="宋体" w:hAnsi="宋体" w:cs="宋体"/>
                <w:color w:val="auto"/>
                <w:sz w:val="28"/>
                <w:szCs w:val="28"/>
                <w:highlight w:val="none"/>
              </w:rPr>
            </w:pPr>
          </w:p>
        </w:tc>
        <w:tc>
          <w:tcPr>
            <w:tcW w:w="1522" w:type="dxa"/>
          </w:tcPr>
          <w:p w14:paraId="04239403">
            <w:pPr>
              <w:pStyle w:val="68"/>
              <w:rPr>
                <w:rFonts w:ascii="宋体" w:hAnsi="宋体" w:cs="宋体"/>
                <w:color w:val="auto"/>
                <w:sz w:val="28"/>
                <w:szCs w:val="28"/>
                <w:highlight w:val="none"/>
              </w:rPr>
            </w:pPr>
          </w:p>
        </w:tc>
        <w:tc>
          <w:tcPr>
            <w:tcW w:w="708" w:type="dxa"/>
          </w:tcPr>
          <w:p w14:paraId="39117D24">
            <w:pPr>
              <w:pStyle w:val="68"/>
              <w:rPr>
                <w:rFonts w:ascii="宋体" w:hAnsi="宋体" w:cs="宋体"/>
                <w:color w:val="auto"/>
                <w:sz w:val="28"/>
                <w:szCs w:val="28"/>
                <w:highlight w:val="none"/>
              </w:rPr>
            </w:pPr>
          </w:p>
        </w:tc>
        <w:tc>
          <w:tcPr>
            <w:tcW w:w="851" w:type="dxa"/>
          </w:tcPr>
          <w:p w14:paraId="5C8B8533">
            <w:pPr>
              <w:pStyle w:val="68"/>
              <w:rPr>
                <w:rFonts w:ascii="宋体" w:hAnsi="宋体" w:cs="宋体"/>
                <w:color w:val="auto"/>
                <w:sz w:val="28"/>
                <w:szCs w:val="28"/>
                <w:highlight w:val="none"/>
              </w:rPr>
            </w:pPr>
          </w:p>
        </w:tc>
        <w:tc>
          <w:tcPr>
            <w:tcW w:w="1559" w:type="dxa"/>
          </w:tcPr>
          <w:p w14:paraId="7CC61146">
            <w:pPr>
              <w:pStyle w:val="68"/>
              <w:rPr>
                <w:rFonts w:ascii="宋体" w:hAnsi="宋体" w:cs="宋体"/>
                <w:color w:val="auto"/>
                <w:sz w:val="28"/>
                <w:szCs w:val="28"/>
                <w:highlight w:val="none"/>
              </w:rPr>
            </w:pPr>
          </w:p>
        </w:tc>
        <w:tc>
          <w:tcPr>
            <w:tcW w:w="992" w:type="dxa"/>
          </w:tcPr>
          <w:p w14:paraId="5BD81980">
            <w:pPr>
              <w:pStyle w:val="68"/>
              <w:rPr>
                <w:rFonts w:ascii="宋体" w:hAnsi="宋体" w:cs="宋体"/>
                <w:color w:val="auto"/>
                <w:sz w:val="28"/>
                <w:szCs w:val="28"/>
                <w:highlight w:val="none"/>
              </w:rPr>
            </w:pPr>
          </w:p>
        </w:tc>
        <w:tc>
          <w:tcPr>
            <w:tcW w:w="993" w:type="dxa"/>
          </w:tcPr>
          <w:p w14:paraId="1D0971F6">
            <w:pPr>
              <w:pStyle w:val="68"/>
              <w:rPr>
                <w:rFonts w:ascii="宋体" w:hAnsi="宋体" w:cs="宋体"/>
                <w:color w:val="auto"/>
                <w:sz w:val="28"/>
                <w:szCs w:val="28"/>
                <w:highlight w:val="none"/>
              </w:rPr>
            </w:pPr>
          </w:p>
        </w:tc>
        <w:tc>
          <w:tcPr>
            <w:tcW w:w="850" w:type="dxa"/>
          </w:tcPr>
          <w:p w14:paraId="4F4F3976">
            <w:pPr>
              <w:pStyle w:val="68"/>
              <w:rPr>
                <w:rFonts w:ascii="宋体" w:hAnsi="宋体" w:cs="宋体"/>
                <w:color w:val="auto"/>
                <w:sz w:val="28"/>
                <w:szCs w:val="28"/>
                <w:highlight w:val="none"/>
              </w:rPr>
            </w:pPr>
          </w:p>
        </w:tc>
        <w:tc>
          <w:tcPr>
            <w:tcW w:w="709" w:type="dxa"/>
          </w:tcPr>
          <w:p w14:paraId="5641DFB8">
            <w:pPr>
              <w:pStyle w:val="68"/>
              <w:rPr>
                <w:rFonts w:ascii="宋体" w:hAnsi="宋体" w:cs="宋体"/>
                <w:color w:val="auto"/>
                <w:sz w:val="28"/>
                <w:szCs w:val="28"/>
                <w:highlight w:val="none"/>
              </w:rPr>
            </w:pPr>
          </w:p>
        </w:tc>
      </w:tr>
      <w:tr w14:paraId="765D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2521E894">
            <w:pPr>
              <w:pStyle w:val="68"/>
              <w:rPr>
                <w:rFonts w:ascii="宋体" w:hAnsi="宋体" w:cs="宋体"/>
                <w:color w:val="auto"/>
                <w:sz w:val="28"/>
                <w:szCs w:val="28"/>
                <w:highlight w:val="none"/>
              </w:rPr>
            </w:pPr>
          </w:p>
        </w:tc>
        <w:tc>
          <w:tcPr>
            <w:tcW w:w="1522" w:type="dxa"/>
          </w:tcPr>
          <w:p w14:paraId="4C118CAF">
            <w:pPr>
              <w:pStyle w:val="68"/>
              <w:rPr>
                <w:rFonts w:ascii="宋体" w:hAnsi="宋体" w:cs="宋体"/>
                <w:color w:val="auto"/>
                <w:sz w:val="28"/>
                <w:szCs w:val="28"/>
                <w:highlight w:val="none"/>
              </w:rPr>
            </w:pPr>
          </w:p>
        </w:tc>
        <w:tc>
          <w:tcPr>
            <w:tcW w:w="708" w:type="dxa"/>
          </w:tcPr>
          <w:p w14:paraId="3801781D">
            <w:pPr>
              <w:pStyle w:val="68"/>
              <w:rPr>
                <w:rFonts w:ascii="宋体" w:hAnsi="宋体" w:cs="宋体"/>
                <w:color w:val="auto"/>
                <w:sz w:val="28"/>
                <w:szCs w:val="28"/>
                <w:highlight w:val="none"/>
              </w:rPr>
            </w:pPr>
          </w:p>
        </w:tc>
        <w:tc>
          <w:tcPr>
            <w:tcW w:w="851" w:type="dxa"/>
          </w:tcPr>
          <w:p w14:paraId="1ECE4421">
            <w:pPr>
              <w:pStyle w:val="68"/>
              <w:rPr>
                <w:rFonts w:ascii="宋体" w:hAnsi="宋体" w:cs="宋体"/>
                <w:color w:val="auto"/>
                <w:sz w:val="28"/>
                <w:szCs w:val="28"/>
                <w:highlight w:val="none"/>
              </w:rPr>
            </w:pPr>
          </w:p>
        </w:tc>
        <w:tc>
          <w:tcPr>
            <w:tcW w:w="1559" w:type="dxa"/>
          </w:tcPr>
          <w:p w14:paraId="6DBCDF7A">
            <w:pPr>
              <w:pStyle w:val="68"/>
              <w:rPr>
                <w:rFonts w:ascii="宋体" w:hAnsi="宋体" w:cs="宋体"/>
                <w:color w:val="auto"/>
                <w:sz w:val="28"/>
                <w:szCs w:val="28"/>
                <w:highlight w:val="none"/>
              </w:rPr>
            </w:pPr>
          </w:p>
        </w:tc>
        <w:tc>
          <w:tcPr>
            <w:tcW w:w="992" w:type="dxa"/>
          </w:tcPr>
          <w:p w14:paraId="39B43D75">
            <w:pPr>
              <w:pStyle w:val="68"/>
              <w:rPr>
                <w:rFonts w:ascii="宋体" w:hAnsi="宋体" w:cs="宋体"/>
                <w:color w:val="auto"/>
                <w:sz w:val="28"/>
                <w:szCs w:val="28"/>
                <w:highlight w:val="none"/>
              </w:rPr>
            </w:pPr>
          </w:p>
        </w:tc>
        <w:tc>
          <w:tcPr>
            <w:tcW w:w="993" w:type="dxa"/>
          </w:tcPr>
          <w:p w14:paraId="3657CCB9">
            <w:pPr>
              <w:pStyle w:val="68"/>
              <w:rPr>
                <w:rFonts w:ascii="宋体" w:hAnsi="宋体" w:cs="宋体"/>
                <w:color w:val="auto"/>
                <w:sz w:val="28"/>
                <w:szCs w:val="28"/>
                <w:highlight w:val="none"/>
              </w:rPr>
            </w:pPr>
          </w:p>
        </w:tc>
        <w:tc>
          <w:tcPr>
            <w:tcW w:w="850" w:type="dxa"/>
          </w:tcPr>
          <w:p w14:paraId="1DA81863">
            <w:pPr>
              <w:pStyle w:val="68"/>
              <w:rPr>
                <w:rFonts w:ascii="宋体" w:hAnsi="宋体" w:cs="宋体"/>
                <w:color w:val="auto"/>
                <w:sz w:val="28"/>
                <w:szCs w:val="28"/>
                <w:highlight w:val="none"/>
              </w:rPr>
            </w:pPr>
          </w:p>
        </w:tc>
        <w:tc>
          <w:tcPr>
            <w:tcW w:w="709" w:type="dxa"/>
          </w:tcPr>
          <w:p w14:paraId="0A5C11C7">
            <w:pPr>
              <w:pStyle w:val="68"/>
              <w:rPr>
                <w:rFonts w:ascii="宋体" w:hAnsi="宋体" w:cs="宋体"/>
                <w:color w:val="auto"/>
                <w:sz w:val="28"/>
                <w:szCs w:val="28"/>
                <w:highlight w:val="none"/>
              </w:rPr>
            </w:pPr>
          </w:p>
        </w:tc>
      </w:tr>
      <w:tr w14:paraId="18F8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21667991">
            <w:pPr>
              <w:pStyle w:val="68"/>
              <w:rPr>
                <w:rFonts w:ascii="宋体" w:hAnsi="宋体" w:cs="宋体"/>
                <w:color w:val="auto"/>
                <w:sz w:val="28"/>
                <w:szCs w:val="28"/>
                <w:highlight w:val="none"/>
              </w:rPr>
            </w:pPr>
          </w:p>
        </w:tc>
        <w:tc>
          <w:tcPr>
            <w:tcW w:w="1522" w:type="dxa"/>
          </w:tcPr>
          <w:p w14:paraId="2A66E8DE">
            <w:pPr>
              <w:pStyle w:val="68"/>
              <w:rPr>
                <w:rFonts w:ascii="宋体" w:hAnsi="宋体" w:cs="宋体"/>
                <w:color w:val="auto"/>
                <w:sz w:val="28"/>
                <w:szCs w:val="28"/>
                <w:highlight w:val="none"/>
              </w:rPr>
            </w:pPr>
          </w:p>
        </w:tc>
        <w:tc>
          <w:tcPr>
            <w:tcW w:w="708" w:type="dxa"/>
          </w:tcPr>
          <w:p w14:paraId="388663B5">
            <w:pPr>
              <w:pStyle w:val="68"/>
              <w:rPr>
                <w:rFonts w:ascii="宋体" w:hAnsi="宋体" w:cs="宋体"/>
                <w:color w:val="auto"/>
                <w:sz w:val="28"/>
                <w:szCs w:val="28"/>
                <w:highlight w:val="none"/>
              </w:rPr>
            </w:pPr>
          </w:p>
        </w:tc>
        <w:tc>
          <w:tcPr>
            <w:tcW w:w="851" w:type="dxa"/>
          </w:tcPr>
          <w:p w14:paraId="249BEFCD">
            <w:pPr>
              <w:pStyle w:val="68"/>
              <w:rPr>
                <w:rFonts w:ascii="宋体" w:hAnsi="宋体" w:cs="宋体"/>
                <w:color w:val="auto"/>
                <w:sz w:val="28"/>
                <w:szCs w:val="28"/>
                <w:highlight w:val="none"/>
              </w:rPr>
            </w:pPr>
          </w:p>
        </w:tc>
        <w:tc>
          <w:tcPr>
            <w:tcW w:w="1559" w:type="dxa"/>
          </w:tcPr>
          <w:p w14:paraId="6BEBF69A">
            <w:pPr>
              <w:pStyle w:val="68"/>
              <w:rPr>
                <w:rFonts w:ascii="宋体" w:hAnsi="宋体" w:cs="宋体"/>
                <w:color w:val="auto"/>
                <w:sz w:val="28"/>
                <w:szCs w:val="28"/>
                <w:highlight w:val="none"/>
              </w:rPr>
            </w:pPr>
          </w:p>
        </w:tc>
        <w:tc>
          <w:tcPr>
            <w:tcW w:w="992" w:type="dxa"/>
          </w:tcPr>
          <w:p w14:paraId="19A082C4">
            <w:pPr>
              <w:pStyle w:val="68"/>
              <w:rPr>
                <w:rFonts w:ascii="宋体" w:hAnsi="宋体" w:cs="宋体"/>
                <w:color w:val="auto"/>
                <w:sz w:val="28"/>
                <w:szCs w:val="28"/>
                <w:highlight w:val="none"/>
              </w:rPr>
            </w:pPr>
          </w:p>
        </w:tc>
        <w:tc>
          <w:tcPr>
            <w:tcW w:w="993" w:type="dxa"/>
          </w:tcPr>
          <w:p w14:paraId="53264929">
            <w:pPr>
              <w:pStyle w:val="68"/>
              <w:rPr>
                <w:rFonts w:ascii="宋体" w:hAnsi="宋体" w:cs="宋体"/>
                <w:color w:val="auto"/>
                <w:sz w:val="28"/>
                <w:szCs w:val="28"/>
                <w:highlight w:val="none"/>
              </w:rPr>
            </w:pPr>
          </w:p>
        </w:tc>
        <w:tc>
          <w:tcPr>
            <w:tcW w:w="850" w:type="dxa"/>
          </w:tcPr>
          <w:p w14:paraId="14640598">
            <w:pPr>
              <w:pStyle w:val="68"/>
              <w:rPr>
                <w:rFonts w:ascii="宋体" w:hAnsi="宋体" w:cs="宋体"/>
                <w:color w:val="auto"/>
                <w:sz w:val="28"/>
                <w:szCs w:val="28"/>
                <w:highlight w:val="none"/>
              </w:rPr>
            </w:pPr>
          </w:p>
        </w:tc>
        <w:tc>
          <w:tcPr>
            <w:tcW w:w="709" w:type="dxa"/>
          </w:tcPr>
          <w:p w14:paraId="5D3BAA27">
            <w:pPr>
              <w:pStyle w:val="68"/>
              <w:rPr>
                <w:rFonts w:ascii="宋体" w:hAnsi="宋体" w:cs="宋体"/>
                <w:color w:val="auto"/>
                <w:sz w:val="28"/>
                <w:szCs w:val="28"/>
                <w:highlight w:val="none"/>
              </w:rPr>
            </w:pPr>
          </w:p>
        </w:tc>
      </w:tr>
      <w:tr w14:paraId="3783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C274251">
            <w:pPr>
              <w:pStyle w:val="68"/>
              <w:rPr>
                <w:rFonts w:ascii="宋体" w:hAnsi="宋体" w:cs="宋体"/>
                <w:color w:val="auto"/>
                <w:sz w:val="28"/>
                <w:szCs w:val="28"/>
                <w:highlight w:val="none"/>
              </w:rPr>
            </w:pPr>
          </w:p>
        </w:tc>
        <w:tc>
          <w:tcPr>
            <w:tcW w:w="1522" w:type="dxa"/>
          </w:tcPr>
          <w:p w14:paraId="1A096638">
            <w:pPr>
              <w:pStyle w:val="68"/>
              <w:rPr>
                <w:rFonts w:ascii="宋体" w:hAnsi="宋体" w:cs="宋体"/>
                <w:color w:val="auto"/>
                <w:sz w:val="28"/>
                <w:szCs w:val="28"/>
                <w:highlight w:val="none"/>
              </w:rPr>
            </w:pPr>
          </w:p>
        </w:tc>
        <w:tc>
          <w:tcPr>
            <w:tcW w:w="708" w:type="dxa"/>
          </w:tcPr>
          <w:p w14:paraId="13455174">
            <w:pPr>
              <w:pStyle w:val="68"/>
              <w:rPr>
                <w:rFonts w:ascii="宋体" w:hAnsi="宋体" w:cs="宋体"/>
                <w:color w:val="auto"/>
                <w:sz w:val="28"/>
                <w:szCs w:val="28"/>
                <w:highlight w:val="none"/>
              </w:rPr>
            </w:pPr>
          </w:p>
        </w:tc>
        <w:tc>
          <w:tcPr>
            <w:tcW w:w="851" w:type="dxa"/>
          </w:tcPr>
          <w:p w14:paraId="4D5591D9">
            <w:pPr>
              <w:pStyle w:val="68"/>
              <w:rPr>
                <w:rFonts w:ascii="宋体" w:hAnsi="宋体" w:cs="宋体"/>
                <w:color w:val="auto"/>
                <w:sz w:val="28"/>
                <w:szCs w:val="28"/>
                <w:highlight w:val="none"/>
              </w:rPr>
            </w:pPr>
          </w:p>
        </w:tc>
        <w:tc>
          <w:tcPr>
            <w:tcW w:w="1559" w:type="dxa"/>
          </w:tcPr>
          <w:p w14:paraId="7DF7BB83">
            <w:pPr>
              <w:pStyle w:val="68"/>
              <w:rPr>
                <w:rFonts w:ascii="宋体" w:hAnsi="宋体" w:cs="宋体"/>
                <w:color w:val="auto"/>
                <w:sz w:val="28"/>
                <w:szCs w:val="28"/>
                <w:highlight w:val="none"/>
              </w:rPr>
            </w:pPr>
          </w:p>
        </w:tc>
        <w:tc>
          <w:tcPr>
            <w:tcW w:w="992" w:type="dxa"/>
          </w:tcPr>
          <w:p w14:paraId="7D08D23D">
            <w:pPr>
              <w:pStyle w:val="68"/>
              <w:rPr>
                <w:rFonts w:ascii="宋体" w:hAnsi="宋体" w:cs="宋体"/>
                <w:color w:val="auto"/>
                <w:sz w:val="28"/>
                <w:szCs w:val="28"/>
                <w:highlight w:val="none"/>
              </w:rPr>
            </w:pPr>
          </w:p>
        </w:tc>
        <w:tc>
          <w:tcPr>
            <w:tcW w:w="993" w:type="dxa"/>
          </w:tcPr>
          <w:p w14:paraId="513399C0">
            <w:pPr>
              <w:pStyle w:val="68"/>
              <w:rPr>
                <w:rFonts w:ascii="宋体" w:hAnsi="宋体" w:cs="宋体"/>
                <w:color w:val="auto"/>
                <w:sz w:val="28"/>
                <w:szCs w:val="28"/>
                <w:highlight w:val="none"/>
              </w:rPr>
            </w:pPr>
          </w:p>
        </w:tc>
        <w:tc>
          <w:tcPr>
            <w:tcW w:w="850" w:type="dxa"/>
          </w:tcPr>
          <w:p w14:paraId="0C064253">
            <w:pPr>
              <w:pStyle w:val="68"/>
              <w:rPr>
                <w:rFonts w:ascii="宋体" w:hAnsi="宋体" w:cs="宋体"/>
                <w:color w:val="auto"/>
                <w:sz w:val="28"/>
                <w:szCs w:val="28"/>
                <w:highlight w:val="none"/>
              </w:rPr>
            </w:pPr>
          </w:p>
        </w:tc>
        <w:tc>
          <w:tcPr>
            <w:tcW w:w="709" w:type="dxa"/>
          </w:tcPr>
          <w:p w14:paraId="29479403">
            <w:pPr>
              <w:pStyle w:val="68"/>
              <w:rPr>
                <w:rFonts w:ascii="宋体" w:hAnsi="宋体" w:cs="宋体"/>
                <w:color w:val="auto"/>
                <w:sz w:val="28"/>
                <w:szCs w:val="28"/>
                <w:highlight w:val="none"/>
              </w:rPr>
            </w:pPr>
          </w:p>
        </w:tc>
      </w:tr>
      <w:tr w14:paraId="5016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0466F46">
            <w:pPr>
              <w:pStyle w:val="68"/>
              <w:rPr>
                <w:rFonts w:ascii="宋体" w:hAnsi="宋体" w:cs="宋体"/>
                <w:color w:val="auto"/>
                <w:sz w:val="28"/>
                <w:szCs w:val="28"/>
                <w:highlight w:val="none"/>
              </w:rPr>
            </w:pPr>
          </w:p>
        </w:tc>
        <w:tc>
          <w:tcPr>
            <w:tcW w:w="1522" w:type="dxa"/>
          </w:tcPr>
          <w:p w14:paraId="4872FBBB">
            <w:pPr>
              <w:pStyle w:val="68"/>
              <w:rPr>
                <w:rFonts w:ascii="宋体" w:hAnsi="宋体" w:cs="宋体"/>
                <w:color w:val="auto"/>
                <w:sz w:val="28"/>
                <w:szCs w:val="28"/>
                <w:highlight w:val="none"/>
              </w:rPr>
            </w:pPr>
          </w:p>
        </w:tc>
        <w:tc>
          <w:tcPr>
            <w:tcW w:w="708" w:type="dxa"/>
          </w:tcPr>
          <w:p w14:paraId="4DA4AC30">
            <w:pPr>
              <w:pStyle w:val="68"/>
              <w:rPr>
                <w:rFonts w:ascii="宋体" w:hAnsi="宋体" w:cs="宋体"/>
                <w:color w:val="auto"/>
                <w:sz w:val="28"/>
                <w:szCs w:val="28"/>
                <w:highlight w:val="none"/>
              </w:rPr>
            </w:pPr>
          </w:p>
        </w:tc>
        <w:tc>
          <w:tcPr>
            <w:tcW w:w="851" w:type="dxa"/>
          </w:tcPr>
          <w:p w14:paraId="2EF27FA3">
            <w:pPr>
              <w:pStyle w:val="68"/>
              <w:rPr>
                <w:rFonts w:ascii="宋体" w:hAnsi="宋体" w:cs="宋体"/>
                <w:color w:val="auto"/>
                <w:sz w:val="28"/>
                <w:szCs w:val="28"/>
                <w:highlight w:val="none"/>
              </w:rPr>
            </w:pPr>
          </w:p>
        </w:tc>
        <w:tc>
          <w:tcPr>
            <w:tcW w:w="1559" w:type="dxa"/>
          </w:tcPr>
          <w:p w14:paraId="247448BA">
            <w:pPr>
              <w:pStyle w:val="68"/>
              <w:rPr>
                <w:rFonts w:ascii="宋体" w:hAnsi="宋体" w:cs="宋体"/>
                <w:color w:val="auto"/>
                <w:sz w:val="28"/>
                <w:szCs w:val="28"/>
                <w:highlight w:val="none"/>
              </w:rPr>
            </w:pPr>
          </w:p>
        </w:tc>
        <w:tc>
          <w:tcPr>
            <w:tcW w:w="992" w:type="dxa"/>
          </w:tcPr>
          <w:p w14:paraId="0797E3EE">
            <w:pPr>
              <w:pStyle w:val="68"/>
              <w:rPr>
                <w:rFonts w:ascii="宋体" w:hAnsi="宋体" w:cs="宋体"/>
                <w:color w:val="auto"/>
                <w:sz w:val="28"/>
                <w:szCs w:val="28"/>
                <w:highlight w:val="none"/>
              </w:rPr>
            </w:pPr>
          </w:p>
        </w:tc>
        <w:tc>
          <w:tcPr>
            <w:tcW w:w="993" w:type="dxa"/>
          </w:tcPr>
          <w:p w14:paraId="795B90BD">
            <w:pPr>
              <w:pStyle w:val="68"/>
              <w:rPr>
                <w:rFonts w:ascii="宋体" w:hAnsi="宋体" w:cs="宋体"/>
                <w:color w:val="auto"/>
                <w:sz w:val="28"/>
                <w:szCs w:val="28"/>
                <w:highlight w:val="none"/>
              </w:rPr>
            </w:pPr>
          </w:p>
        </w:tc>
        <w:tc>
          <w:tcPr>
            <w:tcW w:w="850" w:type="dxa"/>
          </w:tcPr>
          <w:p w14:paraId="31D8371F">
            <w:pPr>
              <w:pStyle w:val="68"/>
              <w:rPr>
                <w:rFonts w:ascii="宋体" w:hAnsi="宋体" w:cs="宋体"/>
                <w:color w:val="auto"/>
                <w:sz w:val="28"/>
                <w:szCs w:val="28"/>
                <w:highlight w:val="none"/>
              </w:rPr>
            </w:pPr>
          </w:p>
        </w:tc>
        <w:tc>
          <w:tcPr>
            <w:tcW w:w="709" w:type="dxa"/>
          </w:tcPr>
          <w:p w14:paraId="0F6E3534">
            <w:pPr>
              <w:pStyle w:val="68"/>
              <w:rPr>
                <w:rFonts w:ascii="宋体" w:hAnsi="宋体" w:cs="宋体"/>
                <w:color w:val="auto"/>
                <w:sz w:val="28"/>
                <w:szCs w:val="28"/>
                <w:highlight w:val="none"/>
              </w:rPr>
            </w:pPr>
          </w:p>
        </w:tc>
      </w:tr>
      <w:tr w14:paraId="0B16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D12C835">
            <w:pPr>
              <w:pStyle w:val="68"/>
              <w:rPr>
                <w:rFonts w:ascii="宋体" w:hAnsi="宋体" w:cs="宋体"/>
                <w:color w:val="auto"/>
                <w:sz w:val="28"/>
                <w:szCs w:val="28"/>
                <w:highlight w:val="none"/>
              </w:rPr>
            </w:pPr>
          </w:p>
        </w:tc>
        <w:tc>
          <w:tcPr>
            <w:tcW w:w="1522" w:type="dxa"/>
          </w:tcPr>
          <w:p w14:paraId="56B09496">
            <w:pPr>
              <w:pStyle w:val="68"/>
              <w:rPr>
                <w:rFonts w:ascii="宋体" w:hAnsi="宋体" w:cs="宋体"/>
                <w:color w:val="auto"/>
                <w:sz w:val="28"/>
                <w:szCs w:val="28"/>
                <w:highlight w:val="none"/>
              </w:rPr>
            </w:pPr>
          </w:p>
        </w:tc>
        <w:tc>
          <w:tcPr>
            <w:tcW w:w="708" w:type="dxa"/>
          </w:tcPr>
          <w:p w14:paraId="24EE2543">
            <w:pPr>
              <w:pStyle w:val="68"/>
              <w:rPr>
                <w:rFonts w:ascii="宋体" w:hAnsi="宋体" w:cs="宋体"/>
                <w:color w:val="auto"/>
                <w:sz w:val="28"/>
                <w:szCs w:val="28"/>
                <w:highlight w:val="none"/>
              </w:rPr>
            </w:pPr>
          </w:p>
        </w:tc>
        <w:tc>
          <w:tcPr>
            <w:tcW w:w="851" w:type="dxa"/>
          </w:tcPr>
          <w:p w14:paraId="415FD0F4">
            <w:pPr>
              <w:pStyle w:val="68"/>
              <w:rPr>
                <w:rFonts w:ascii="宋体" w:hAnsi="宋体" w:cs="宋体"/>
                <w:color w:val="auto"/>
                <w:sz w:val="28"/>
                <w:szCs w:val="28"/>
                <w:highlight w:val="none"/>
              </w:rPr>
            </w:pPr>
          </w:p>
        </w:tc>
        <w:tc>
          <w:tcPr>
            <w:tcW w:w="1559" w:type="dxa"/>
          </w:tcPr>
          <w:p w14:paraId="3EF4D829">
            <w:pPr>
              <w:pStyle w:val="68"/>
              <w:rPr>
                <w:rFonts w:ascii="宋体" w:hAnsi="宋体" w:cs="宋体"/>
                <w:color w:val="auto"/>
                <w:sz w:val="28"/>
                <w:szCs w:val="28"/>
                <w:highlight w:val="none"/>
              </w:rPr>
            </w:pPr>
          </w:p>
        </w:tc>
        <w:tc>
          <w:tcPr>
            <w:tcW w:w="992" w:type="dxa"/>
          </w:tcPr>
          <w:p w14:paraId="3AE21E37">
            <w:pPr>
              <w:pStyle w:val="68"/>
              <w:rPr>
                <w:rFonts w:ascii="宋体" w:hAnsi="宋体" w:cs="宋体"/>
                <w:color w:val="auto"/>
                <w:sz w:val="28"/>
                <w:szCs w:val="28"/>
                <w:highlight w:val="none"/>
              </w:rPr>
            </w:pPr>
          </w:p>
        </w:tc>
        <w:tc>
          <w:tcPr>
            <w:tcW w:w="993" w:type="dxa"/>
          </w:tcPr>
          <w:p w14:paraId="01D63F52">
            <w:pPr>
              <w:pStyle w:val="68"/>
              <w:rPr>
                <w:rFonts w:ascii="宋体" w:hAnsi="宋体" w:cs="宋体"/>
                <w:color w:val="auto"/>
                <w:sz w:val="28"/>
                <w:szCs w:val="28"/>
                <w:highlight w:val="none"/>
              </w:rPr>
            </w:pPr>
          </w:p>
        </w:tc>
        <w:tc>
          <w:tcPr>
            <w:tcW w:w="850" w:type="dxa"/>
          </w:tcPr>
          <w:p w14:paraId="5FC60D14">
            <w:pPr>
              <w:pStyle w:val="68"/>
              <w:rPr>
                <w:rFonts w:ascii="宋体" w:hAnsi="宋体" w:cs="宋体"/>
                <w:color w:val="auto"/>
                <w:sz w:val="28"/>
                <w:szCs w:val="28"/>
                <w:highlight w:val="none"/>
              </w:rPr>
            </w:pPr>
          </w:p>
        </w:tc>
        <w:tc>
          <w:tcPr>
            <w:tcW w:w="709" w:type="dxa"/>
          </w:tcPr>
          <w:p w14:paraId="6E82CFFD">
            <w:pPr>
              <w:pStyle w:val="68"/>
              <w:rPr>
                <w:rFonts w:ascii="宋体" w:hAnsi="宋体" w:cs="宋体"/>
                <w:color w:val="auto"/>
                <w:sz w:val="28"/>
                <w:szCs w:val="28"/>
                <w:highlight w:val="none"/>
              </w:rPr>
            </w:pPr>
          </w:p>
        </w:tc>
      </w:tr>
      <w:tr w14:paraId="2D74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2DF713D4">
            <w:pPr>
              <w:pStyle w:val="68"/>
              <w:rPr>
                <w:rFonts w:ascii="宋体" w:hAnsi="宋体" w:cs="宋体"/>
                <w:color w:val="auto"/>
                <w:sz w:val="28"/>
                <w:szCs w:val="28"/>
                <w:highlight w:val="none"/>
              </w:rPr>
            </w:pPr>
          </w:p>
        </w:tc>
        <w:tc>
          <w:tcPr>
            <w:tcW w:w="1522" w:type="dxa"/>
          </w:tcPr>
          <w:p w14:paraId="68B9DD9C">
            <w:pPr>
              <w:pStyle w:val="68"/>
              <w:rPr>
                <w:rFonts w:ascii="宋体" w:hAnsi="宋体" w:cs="宋体"/>
                <w:color w:val="auto"/>
                <w:sz w:val="28"/>
                <w:szCs w:val="28"/>
                <w:highlight w:val="none"/>
              </w:rPr>
            </w:pPr>
          </w:p>
        </w:tc>
        <w:tc>
          <w:tcPr>
            <w:tcW w:w="708" w:type="dxa"/>
          </w:tcPr>
          <w:p w14:paraId="7DA0868C">
            <w:pPr>
              <w:pStyle w:val="68"/>
              <w:rPr>
                <w:rFonts w:ascii="宋体" w:hAnsi="宋体" w:cs="宋体"/>
                <w:color w:val="auto"/>
                <w:sz w:val="28"/>
                <w:szCs w:val="28"/>
                <w:highlight w:val="none"/>
              </w:rPr>
            </w:pPr>
          </w:p>
        </w:tc>
        <w:tc>
          <w:tcPr>
            <w:tcW w:w="851" w:type="dxa"/>
          </w:tcPr>
          <w:p w14:paraId="648A32D1">
            <w:pPr>
              <w:pStyle w:val="68"/>
              <w:rPr>
                <w:rFonts w:ascii="宋体" w:hAnsi="宋体" w:cs="宋体"/>
                <w:color w:val="auto"/>
                <w:sz w:val="28"/>
                <w:szCs w:val="28"/>
                <w:highlight w:val="none"/>
              </w:rPr>
            </w:pPr>
          </w:p>
        </w:tc>
        <w:tc>
          <w:tcPr>
            <w:tcW w:w="1559" w:type="dxa"/>
          </w:tcPr>
          <w:p w14:paraId="65FF0199">
            <w:pPr>
              <w:pStyle w:val="68"/>
              <w:rPr>
                <w:rFonts w:ascii="宋体" w:hAnsi="宋体" w:cs="宋体"/>
                <w:color w:val="auto"/>
                <w:sz w:val="28"/>
                <w:szCs w:val="28"/>
                <w:highlight w:val="none"/>
              </w:rPr>
            </w:pPr>
          </w:p>
        </w:tc>
        <w:tc>
          <w:tcPr>
            <w:tcW w:w="992" w:type="dxa"/>
          </w:tcPr>
          <w:p w14:paraId="794F6C4A">
            <w:pPr>
              <w:pStyle w:val="68"/>
              <w:rPr>
                <w:rFonts w:ascii="宋体" w:hAnsi="宋体" w:cs="宋体"/>
                <w:color w:val="auto"/>
                <w:sz w:val="28"/>
                <w:szCs w:val="28"/>
                <w:highlight w:val="none"/>
              </w:rPr>
            </w:pPr>
          </w:p>
        </w:tc>
        <w:tc>
          <w:tcPr>
            <w:tcW w:w="993" w:type="dxa"/>
          </w:tcPr>
          <w:p w14:paraId="39E49CF4">
            <w:pPr>
              <w:pStyle w:val="68"/>
              <w:rPr>
                <w:rFonts w:ascii="宋体" w:hAnsi="宋体" w:cs="宋体"/>
                <w:color w:val="auto"/>
                <w:sz w:val="28"/>
                <w:szCs w:val="28"/>
                <w:highlight w:val="none"/>
              </w:rPr>
            </w:pPr>
          </w:p>
        </w:tc>
        <w:tc>
          <w:tcPr>
            <w:tcW w:w="850" w:type="dxa"/>
          </w:tcPr>
          <w:p w14:paraId="724C78CB">
            <w:pPr>
              <w:pStyle w:val="68"/>
              <w:rPr>
                <w:rFonts w:ascii="宋体" w:hAnsi="宋体" w:cs="宋体"/>
                <w:color w:val="auto"/>
                <w:sz w:val="28"/>
                <w:szCs w:val="28"/>
                <w:highlight w:val="none"/>
              </w:rPr>
            </w:pPr>
          </w:p>
        </w:tc>
        <w:tc>
          <w:tcPr>
            <w:tcW w:w="709" w:type="dxa"/>
          </w:tcPr>
          <w:p w14:paraId="47EC5FA7">
            <w:pPr>
              <w:pStyle w:val="68"/>
              <w:rPr>
                <w:rFonts w:ascii="宋体" w:hAnsi="宋体" w:cs="宋体"/>
                <w:color w:val="auto"/>
                <w:sz w:val="28"/>
                <w:szCs w:val="28"/>
                <w:highlight w:val="none"/>
              </w:rPr>
            </w:pPr>
          </w:p>
        </w:tc>
      </w:tr>
      <w:tr w14:paraId="5C1F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4BAF1B5">
            <w:pPr>
              <w:pStyle w:val="68"/>
              <w:rPr>
                <w:rFonts w:ascii="宋体" w:hAnsi="宋体" w:cs="宋体"/>
                <w:color w:val="auto"/>
                <w:sz w:val="28"/>
                <w:szCs w:val="28"/>
                <w:highlight w:val="none"/>
              </w:rPr>
            </w:pPr>
          </w:p>
        </w:tc>
        <w:tc>
          <w:tcPr>
            <w:tcW w:w="1522" w:type="dxa"/>
          </w:tcPr>
          <w:p w14:paraId="615DA50C">
            <w:pPr>
              <w:pStyle w:val="68"/>
              <w:rPr>
                <w:rFonts w:ascii="宋体" w:hAnsi="宋体" w:cs="宋体"/>
                <w:color w:val="auto"/>
                <w:sz w:val="28"/>
                <w:szCs w:val="28"/>
                <w:highlight w:val="none"/>
              </w:rPr>
            </w:pPr>
          </w:p>
        </w:tc>
        <w:tc>
          <w:tcPr>
            <w:tcW w:w="708" w:type="dxa"/>
          </w:tcPr>
          <w:p w14:paraId="15E3DFE1">
            <w:pPr>
              <w:pStyle w:val="68"/>
              <w:rPr>
                <w:rFonts w:ascii="宋体" w:hAnsi="宋体" w:cs="宋体"/>
                <w:color w:val="auto"/>
                <w:sz w:val="28"/>
                <w:szCs w:val="28"/>
                <w:highlight w:val="none"/>
              </w:rPr>
            </w:pPr>
          </w:p>
        </w:tc>
        <w:tc>
          <w:tcPr>
            <w:tcW w:w="851" w:type="dxa"/>
          </w:tcPr>
          <w:p w14:paraId="0BC87203">
            <w:pPr>
              <w:pStyle w:val="68"/>
              <w:rPr>
                <w:rFonts w:ascii="宋体" w:hAnsi="宋体" w:cs="宋体"/>
                <w:color w:val="auto"/>
                <w:sz w:val="28"/>
                <w:szCs w:val="28"/>
                <w:highlight w:val="none"/>
              </w:rPr>
            </w:pPr>
          </w:p>
        </w:tc>
        <w:tc>
          <w:tcPr>
            <w:tcW w:w="1559" w:type="dxa"/>
          </w:tcPr>
          <w:p w14:paraId="4AAC4DF5">
            <w:pPr>
              <w:pStyle w:val="68"/>
              <w:rPr>
                <w:rFonts w:ascii="宋体" w:hAnsi="宋体" w:cs="宋体"/>
                <w:color w:val="auto"/>
                <w:sz w:val="28"/>
                <w:szCs w:val="28"/>
                <w:highlight w:val="none"/>
              </w:rPr>
            </w:pPr>
          </w:p>
        </w:tc>
        <w:tc>
          <w:tcPr>
            <w:tcW w:w="992" w:type="dxa"/>
          </w:tcPr>
          <w:p w14:paraId="6ED89F2A">
            <w:pPr>
              <w:pStyle w:val="68"/>
              <w:rPr>
                <w:rFonts w:ascii="宋体" w:hAnsi="宋体" w:cs="宋体"/>
                <w:color w:val="auto"/>
                <w:sz w:val="28"/>
                <w:szCs w:val="28"/>
                <w:highlight w:val="none"/>
              </w:rPr>
            </w:pPr>
          </w:p>
        </w:tc>
        <w:tc>
          <w:tcPr>
            <w:tcW w:w="993" w:type="dxa"/>
          </w:tcPr>
          <w:p w14:paraId="7008DA25">
            <w:pPr>
              <w:pStyle w:val="68"/>
              <w:rPr>
                <w:rFonts w:ascii="宋体" w:hAnsi="宋体" w:cs="宋体"/>
                <w:color w:val="auto"/>
                <w:sz w:val="28"/>
                <w:szCs w:val="28"/>
                <w:highlight w:val="none"/>
              </w:rPr>
            </w:pPr>
          </w:p>
        </w:tc>
        <w:tc>
          <w:tcPr>
            <w:tcW w:w="850" w:type="dxa"/>
          </w:tcPr>
          <w:p w14:paraId="6989C6F0">
            <w:pPr>
              <w:pStyle w:val="68"/>
              <w:rPr>
                <w:rFonts w:ascii="宋体" w:hAnsi="宋体" w:cs="宋体"/>
                <w:color w:val="auto"/>
                <w:sz w:val="28"/>
                <w:szCs w:val="28"/>
                <w:highlight w:val="none"/>
              </w:rPr>
            </w:pPr>
          </w:p>
        </w:tc>
        <w:tc>
          <w:tcPr>
            <w:tcW w:w="709" w:type="dxa"/>
          </w:tcPr>
          <w:p w14:paraId="65049DF5">
            <w:pPr>
              <w:pStyle w:val="68"/>
              <w:rPr>
                <w:rFonts w:ascii="宋体" w:hAnsi="宋体" w:cs="宋体"/>
                <w:color w:val="auto"/>
                <w:sz w:val="28"/>
                <w:szCs w:val="28"/>
                <w:highlight w:val="none"/>
              </w:rPr>
            </w:pPr>
          </w:p>
        </w:tc>
      </w:tr>
      <w:tr w14:paraId="536A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0D6E8F4">
            <w:pPr>
              <w:pStyle w:val="68"/>
              <w:rPr>
                <w:rFonts w:ascii="宋体" w:hAnsi="宋体" w:cs="宋体"/>
                <w:color w:val="auto"/>
                <w:sz w:val="28"/>
                <w:szCs w:val="28"/>
                <w:highlight w:val="none"/>
              </w:rPr>
            </w:pPr>
          </w:p>
        </w:tc>
        <w:tc>
          <w:tcPr>
            <w:tcW w:w="1522" w:type="dxa"/>
          </w:tcPr>
          <w:p w14:paraId="29334046">
            <w:pPr>
              <w:pStyle w:val="68"/>
              <w:rPr>
                <w:rFonts w:ascii="宋体" w:hAnsi="宋体" w:cs="宋体"/>
                <w:color w:val="auto"/>
                <w:sz w:val="28"/>
                <w:szCs w:val="28"/>
                <w:highlight w:val="none"/>
              </w:rPr>
            </w:pPr>
          </w:p>
        </w:tc>
        <w:tc>
          <w:tcPr>
            <w:tcW w:w="708" w:type="dxa"/>
          </w:tcPr>
          <w:p w14:paraId="30B14438">
            <w:pPr>
              <w:pStyle w:val="68"/>
              <w:rPr>
                <w:rFonts w:ascii="宋体" w:hAnsi="宋体" w:cs="宋体"/>
                <w:color w:val="auto"/>
                <w:sz w:val="28"/>
                <w:szCs w:val="28"/>
                <w:highlight w:val="none"/>
              </w:rPr>
            </w:pPr>
          </w:p>
        </w:tc>
        <w:tc>
          <w:tcPr>
            <w:tcW w:w="851" w:type="dxa"/>
          </w:tcPr>
          <w:p w14:paraId="324B532B">
            <w:pPr>
              <w:pStyle w:val="68"/>
              <w:rPr>
                <w:rFonts w:ascii="宋体" w:hAnsi="宋体" w:cs="宋体"/>
                <w:color w:val="auto"/>
                <w:sz w:val="28"/>
                <w:szCs w:val="28"/>
                <w:highlight w:val="none"/>
              </w:rPr>
            </w:pPr>
          </w:p>
        </w:tc>
        <w:tc>
          <w:tcPr>
            <w:tcW w:w="1559" w:type="dxa"/>
          </w:tcPr>
          <w:p w14:paraId="10A0B1FB">
            <w:pPr>
              <w:pStyle w:val="68"/>
              <w:rPr>
                <w:rFonts w:ascii="宋体" w:hAnsi="宋体" w:cs="宋体"/>
                <w:color w:val="auto"/>
                <w:sz w:val="28"/>
                <w:szCs w:val="28"/>
                <w:highlight w:val="none"/>
              </w:rPr>
            </w:pPr>
          </w:p>
        </w:tc>
        <w:tc>
          <w:tcPr>
            <w:tcW w:w="992" w:type="dxa"/>
          </w:tcPr>
          <w:p w14:paraId="3BA342C6">
            <w:pPr>
              <w:pStyle w:val="68"/>
              <w:rPr>
                <w:rFonts w:ascii="宋体" w:hAnsi="宋体" w:cs="宋体"/>
                <w:color w:val="auto"/>
                <w:sz w:val="28"/>
                <w:szCs w:val="28"/>
                <w:highlight w:val="none"/>
              </w:rPr>
            </w:pPr>
          </w:p>
        </w:tc>
        <w:tc>
          <w:tcPr>
            <w:tcW w:w="993" w:type="dxa"/>
          </w:tcPr>
          <w:p w14:paraId="5102D542">
            <w:pPr>
              <w:pStyle w:val="68"/>
              <w:rPr>
                <w:rFonts w:ascii="宋体" w:hAnsi="宋体" w:cs="宋体"/>
                <w:color w:val="auto"/>
                <w:sz w:val="28"/>
                <w:szCs w:val="28"/>
                <w:highlight w:val="none"/>
              </w:rPr>
            </w:pPr>
          </w:p>
        </w:tc>
        <w:tc>
          <w:tcPr>
            <w:tcW w:w="850" w:type="dxa"/>
          </w:tcPr>
          <w:p w14:paraId="340A4219">
            <w:pPr>
              <w:pStyle w:val="68"/>
              <w:rPr>
                <w:rFonts w:ascii="宋体" w:hAnsi="宋体" w:cs="宋体"/>
                <w:color w:val="auto"/>
                <w:sz w:val="28"/>
                <w:szCs w:val="28"/>
                <w:highlight w:val="none"/>
              </w:rPr>
            </w:pPr>
          </w:p>
        </w:tc>
        <w:tc>
          <w:tcPr>
            <w:tcW w:w="709" w:type="dxa"/>
          </w:tcPr>
          <w:p w14:paraId="529B8205">
            <w:pPr>
              <w:pStyle w:val="68"/>
              <w:rPr>
                <w:rFonts w:ascii="宋体" w:hAnsi="宋体" w:cs="宋体"/>
                <w:color w:val="auto"/>
                <w:sz w:val="28"/>
                <w:szCs w:val="28"/>
                <w:highlight w:val="none"/>
              </w:rPr>
            </w:pPr>
          </w:p>
        </w:tc>
      </w:tr>
    </w:tbl>
    <w:p w14:paraId="009A22CF">
      <w:pPr>
        <w:pStyle w:val="68"/>
        <w:rPr>
          <w:rFonts w:ascii="宋体" w:hAnsi="宋体" w:cs="宋体"/>
          <w:color w:val="auto"/>
          <w:sz w:val="28"/>
          <w:szCs w:val="28"/>
          <w:highlight w:val="none"/>
        </w:rPr>
      </w:pPr>
    </w:p>
    <w:p w14:paraId="58AFEBFE">
      <w:pPr>
        <w:pStyle w:val="68"/>
        <w:rPr>
          <w:rFonts w:ascii="宋体" w:hAnsi="宋体" w:cs="宋体"/>
          <w:color w:val="auto"/>
          <w:sz w:val="28"/>
          <w:szCs w:val="28"/>
          <w:highlight w:val="none"/>
        </w:rPr>
      </w:pPr>
    </w:p>
    <w:p w14:paraId="698B3BFF">
      <w:pPr>
        <w:pStyle w:val="68"/>
        <w:rPr>
          <w:rFonts w:ascii="宋体" w:hAnsi="宋体" w:cs="宋体"/>
          <w:color w:val="auto"/>
          <w:sz w:val="28"/>
          <w:szCs w:val="28"/>
          <w:highlight w:val="none"/>
        </w:rPr>
      </w:pPr>
    </w:p>
    <w:p w14:paraId="78356AD8">
      <w:pPr>
        <w:pStyle w:val="68"/>
        <w:rPr>
          <w:rFonts w:ascii="宋体" w:hAnsi="宋体" w:cs="宋体"/>
          <w:color w:val="auto"/>
          <w:sz w:val="28"/>
          <w:szCs w:val="28"/>
          <w:highlight w:val="none"/>
        </w:rPr>
      </w:pPr>
    </w:p>
    <w:p w14:paraId="23E0F647">
      <w:pPr>
        <w:pStyle w:val="78"/>
        <w:spacing w:line="360" w:lineRule="auto"/>
        <w:rPr>
          <w:rFonts w:ascii="宋体" w:hAnsi="宋体"/>
          <w:color w:val="auto"/>
          <w:sz w:val="24"/>
          <w:szCs w:val="24"/>
          <w:highlight w:val="none"/>
        </w:rPr>
      </w:pPr>
      <w:r>
        <w:rPr>
          <w:rFonts w:hint="eastAsia" w:ascii="宋体" w:hAnsi="宋体" w:cs="宋体"/>
          <w:color w:val="auto"/>
          <w:sz w:val="24"/>
          <w:szCs w:val="24"/>
          <w:highlight w:val="none"/>
        </w:rPr>
        <w:br w:type="page"/>
      </w:r>
      <w:bookmarkStart w:id="1711" w:name="_Toc453056970"/>
      <w:bookmarkStart w:id="1712" w:name="_Toc452498897"/>
      <w:bookmarkStart w:id="1713" w:name="_Toc453057198"/>
      <w:bookmarkStart w:id="1714" w:name="_Toc451261388"/>
      <w:bookmarkStart w:id="1715" w:name="_Toc16722"/>
      <w:bookmarkStart w:id="1716" w:name="_Toc14336"/>
      <w:bookmarkStart w:id="1717" w:name="_Toc452498667"/>
      <w:bookmarkStart w:id="1718" w:name="_Toc43476017"/>
      <w:r>
        <w:rPr>
          <w:rFonts w:hint="eastAsia" w:ascii="宋体" w:hAnsi="宋体"/>
          <w:color w:val="auto"/>
          <w:sz w:val="24"/>
          <w:szCs w:val="24"/>
          <w:highlight w:val="none"/>
        </w:rPr>
        <w:t>附件十一</w:t>
      </w:r>
      <w:bookmarkEnd w:id="1711"/>
      <w:bookmarkEnd w:id="1712"/>
      <w:bookmarkEnd w:id="1713"/>
      <w:bookmarkEnd w:id="1714"/>
      <w:bookmarkEnd w:id="1715"/>
      <w:bookmarkEnd w:id="1716"/>
      <w:bookmarkEnd w:id="1717"/>
      <w:r>
        <w:rPr>
          <w:rFonts w:hint="eastAsia" w:ascii="宋体" w:hAnsi="宋体"/>
          <w:color w:val="auto"/>
          <w:sz w:val="24"/>
          <w:szCs w:val="24"/>
          <w:highlight w:val="none"/>
        </w:rPr>
        <w:t xml:space="preserve">  承包人违约金一览表</w:t>
      </w:r>
      <w:bookmarkEnd w:id="1718"/>
    </w:p>
    <w:p w14:paraId="3FA36FD3">
      <w:pPr>
        <w:pStyle w:val="68"/>
        <w:rPr>
          <w:rFonts w:ascii="宋体" w:hAnsi="宋体" w:cs="宋体"/>
          <w:b/>
          <w:color w:val="auto"/>
          <w:sz w:val="28"/>
          <w:szCs w:val="28"/>
          <w:highlight w:val="none"/>
        </w:rPr>
      </w:pPr>
      <w:r>
        <w:rPr>
          <w:rFonts w:hint="eastAsia" w:ascii="宋体" w:hAnsi="宋体" w:cs="宋体"/>
          <w:b/>
          <w:color w:val="auto"/>
          <w:sz w:val="28"/>
          <w:szCs w:val="28"/>
          <w:highlight w:val="none"/>
        </w:rPr>
        <w:t>22.1.2附表   承包人违约金一览表</w:t>
      </w:r>
    </w:p>
    <w:tbl>
      <w:tblPr>
        <w:tblStyle w:val="42"/>
        <w:tblW w:w="95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2029"/>
        <w:gridCol w:w="2196"/>
      </w:tblGrid>
      <w:tr w14:paraId="5353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14:paraId="0323BA87">
            <w:pPr>
              <w:pStyle w:val="68"/>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14" w:type="dxa"/>
            <w:vAlign w:val="center"/>
          </w:tcPr>
          <w:p w14:paraId="52233EBE">
            <w:pPr>
              <w:pStyle w:val="68"/>
              <w:jc w:val="center"/>
              <w:rPr>
                <w:rFonts w:ascii="宋体" w:hAnsi="宋体" w:cs="宋体"/>
                <w:color w:val="auto"/>
                <w:sz w:val="24"/>
                <w:highlight w:val="none"/>
              </w:rPr>
            </w:pPr>
            <w:r>
              <w:rPr>
                <w:rFonts w:hint="eastAsia" w:ascii="宋体" w:hAnsi="宋体" w:cs="宋体"/>
                <w:color w:val="auto"/>
                <w:sz w:val="24"/>
                <w:highlight w:val="none"/>
              </w:rPr>
              <w:t>合同依据</w:t>
            </w:r>
          </w:p>
        </w:tc>
        <w:tc>
          <w:tcPr>
            <w:tcW w:w="3534" w:type="dxa"/>
            <w:vAlign w:val="center"/>
          </w:tcPr>
          <w:p w14:paraId="337A957E">
            <w:pPr>
              <w:pStyle w:val="68"/>
              <w:jc w:val="center"/>
              <w:rPr>
                <w:rFonts w:ascii="宋体" w:hAnsi="宋体" w:cs="宋体"/>
                <w:color w:val="auto"/>
                <w:sz w:val="24"/>
                <w:highlight w:val="none"/>
              </w:rPr>
            </w:pPr>
            <w:r>
              <w:rPr>
                <w:rFonts w:hint="eastAsia" w:ascii="宋体" w:hAnsi="宋体" w:cs="宋体"/>
                <w:color w:val="auto"/>
                <w:sz w:val="24"/>
                <w:highlight w:val="none"/>
              </w:rPr>
              <w:t>违约内容</w:t>
            </w:r>
          </w:p>
        </w:tc>
        <w:tc>
          <w:tcPr>
            <w:tcW w:w="2029" w:type="dxa"/>
            <w:vAlign w:val="center"/>
          </w:tcPr>
          <w:p w14:paraId="4AED5851">
            <w:pPr>
              <w:pStyle w:val="68"/>
              <w:jc w:val="center"/>
              <w:rPr>
                <w:rFonts w:ascii="宋体" w:hAnsi="宋体" w:cs="宋体"/>
                <w:color w:val="auto"/>
                <w:sz w:val="24"/>
                <w:highlight w:val="none"/>
              </w:rPr>
            </w:pPr>
            <w:r>
              <w:rPr>
                <w:rFonts w:hint="eastAsia" w:ascii="宋体" w:hAnsi="宋体" w:cs="宋体"/>
                <w:color w:val="auto"/>
                <w:sz w:val="24"/>
                <w:highlight w:val="none"/>
              </w:rPr>
              <w:t>违约金标准</w:t>
            </w:r>
          </w:p>
        </w:tc>
        <w:tc>
          <w:tcPr>
            <w:tcW w:w="2196" w:type="dxa"/>
            <w:vAlign w:val="center"/>
          </w:tcPr>
          <w:p w14:paraId="0691C4C7">
            <w:pPr>
              <w:pStyle w:val="68"/>
              <w:jc w:val="center"/>
              <w:rPr>
                <w:rFonts w:ascii="宋体" w:hAnsi="宋体" w:cs="宋体"/>
                <w:color w:val="auto"/>
                <w:sz w:val="24"/>
                <w:highlight w:val="none"/>
              </w:rPr>
            </w:pPr>
            <w:r>
              <w:rPr>
                <w:rFonts w:hint="eastAsia" w:ascii="宋体" w:hAnsi="宋体" w:cs="宋体"/>
                <w:color w:val="auto"/>
                <w:sz w:val="24"/>
                <w:highlight w:val="none"/>
              </w:rPr>
              <w:t>备注</w:t>
            </w:r>
          </w:p>
        </w:tc>
      </w:tr>
      <w:tr w14:paraId="2AF8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45389D3A">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1114" w:type="dxa"/>
            <w:vAlign w:val="center"/>
          </w:tcPr>
          <w:p w14:paraId="15F0D1DE">
            <w:pPr>
              <w:pStyle w:val="68"/>
              <w:jc w:val="center"/>
              <w:rPr>
                <w:rFonts w:ascii="宋体" w:hAnsi="宋体" w:cs="宋体"/>
                <w:color w:val="auto"/>
                <w:sz w:val="24"/>
                <w:highlight w:val="none"/>
              </w:rPr>
            </w:pPr>
            <w:r>
              <w:rPr>
                <w:rFonts w:hint="eastAsia" w:ascii="宋体" w:hAnsi="宋体" w:cs="宋体"/>
                <w:color w:val="auto"/>
                <w:sz w:val="24"/>
                <w:highlight w:val="none"/>
              </w:rPr>
              <w:t>1.6.3</w:t>
            </w:r>
          </w:p>
        </w:tc>
        <w:tc>
          <w:tcPr>
            <w:tcW w:w="3534" w:type="dxa"/>
            <w:vAlign w:val="center"/>
          </w:tcPr>
          <w:p w14:paraId="544DBC7D">
            <w:pPr>
              <w:pStyle w:val="68"/>
              <w:rPr>
                <w:rFonts w:ascii="宋体" w:hAnsi="宋体" w:cs="宋体"/>
                <w:color w:val="auto"/>
                <w:sz w:val="24"/>
                <w:highlight w:val="none"/>
              </w:rPr>
            </w:pPr>
            <w:r>
              <w:rPr>
                <w:rFonts w:hint="eastAsia" w:ascii="宋体" w:hAnsi="宋体" w:cs="宋体"/>
                <w:color w:val="auto"/>
                <w:sz w:val="24"/>
                <w:highlight w:val="none"/>
              </w:rPr>
              <w:t>未得到监理人批准，承包人擅自对施工图的任何部分进行修改</w:t>
            </w:r>
          </w:p>
        </w:tc>
        <w:tc>
          <w:tcPr>
            <w:tcW w:w="2029" w:type="dxa"/>
            <w:vAlign w:val="center"/>
          </w:tcPr>
          <w:p w14:paraId="3757709E">
            <w:pPr>
              <w:pStyle w:val="68"/>
              <w:jc w:val="center"/>
              <w:rPr>
                <w:rFonts w:ascii="宋体" w:hAnsi="宋体" w:cs="宋体"/>
                <w:color w:val="auto"/>
                <w:sz w:val="24"/>
                <w:highlight w:val="none"/>
              </w:rPr>
            </w:pPr>
            <w:r>
              <w:rPr>
                <w:rFonts w:hint="eastAsia" w:ascii="宋体" w:hAnsi="宋体" w:cs="宋体"/>
                <w:color w:val="auto"/>
                <w:sz w:val="24"/>
                <w:highlight w:val="none"/>
              </w:rPr>
              <w:t>2万元/次</w:t>
            </w:r>
          </w:p>
        </w:tc>
        <w:tc>
          <w:tcPr>
            <w:tcW w:w="2196" w:type="dxa"/>
          </w:tcPr>
          <w:p w14:paraId="3703C4A8">
            <w:pPr>
              <w:pStyle w:val="68"/>
              <w:rPr>
                <w:rFonts w:ascii="宋体" w:hAnsi="宋体" w:cs="宋体"/>
                <w:color w:val="auto"/>
                <w:sz w:val="24"/>
                <w:highlight w:val="none"/>
              </w:rPr>
            </w:pPr>
          </w:p>
        </w:tc>
      </w:tr>
      <w:tr w14:paraId="2DC0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14:paraId="2CC263B8">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1114" w:type="dxa"/>
            <w:vAlign w:val="center"/>
          </w:tcPr>
          <w:p w14:paraId="59474E10">
            <w:pPr>
              <w:pStyle w:val="68"/>
              <w:jc w:val="center"/>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1.4</w:t>
            </w:r>
          </w:p>
        </w:tc>
        <w:tc>
          <w:tcPr>
            <w:tcW w:w="3534" w:type="dxa"/>
            <w:vAlign w:val="center"/>
          </w:tcPr>
          <w:p w14:paraId="1726D56D">
            <w:pPr>
              <w:pStyle w:val="68"/>
              <w:rPr>
                <w:rFonts w:ascii="宋体" w:hAnsi="宋体" w:cs="宋体"/>
                <w:color w:val="auto"/>
                <w:sz w:val="24"/>
                <w:highlight w:val="none"/>
              </w:rPr>
            </w:pPr>
            <w:r>
              <w:rPr>
                <w:rFonts w:hint="eastAsia" w:ascii="宋体" w:hAnsi="宋体" w:cs="宋体"/>
                <w:color w:val="auto"/>
                <w:sz w:val="24"/>
                <w:highlight w:val="none"/>
              </w:rPr>
              <w:t>施工组织设计未经审批即开始实施。</w:t>
            </w:r>
          </w:p>
        </w:tc>
        <w:tc>
          <w:tcPr>
            <w:tcW w:w="2029" w:type="dxa"/>
            <w:vAlign w:val="center"/>
          </w:tcPr>
          <w:p w14:paraId="682FD720">
            <w:pPr>
              <w:pStyle w:val="68"/>
              <w:jc w:val="center"/>
              <w:rPr>
                <w:rFonts w:ascii="宋体" w:hAnsi="宋体" w:cs="宋体"/>
                <w:color w:val="auto"/>
                <w:sz w:val="24"/>
                <w:highlight w:val="none"/>
              </w:rPr>
            </w:pPr>
            <w:r>
              <w:rPr>
                <w:rFonts w:hint="eastAsia" w:ascii="宋体" w:hAnsi="宋体" w:cs="宋体"/>
                <w:color w:val="auto"/>
                <w:sz w:val="24"/>
                <w:highlight w:val="none"/>
              </w:rPr>
              <w:t>30万元/次</w:t>
            </w:r>
          </w:p>
        </w:tc>
        <w:tc>
          <w:tcPr>
            <w:tcW w:w="2196" w:type="dxa"/>
          </w:tcPr>
          <w:p w14:paraId="68F147BF">
            <w:pPr>
              <w:pStyle w:val="68"/>
              <w:rPr>
                <w:rFonts w:ascii="宋体" w:hAnsi="宋体" w:cs="宋体"/>
                <w:color w:val="auto"/>
                <w:sz w:val="24"/>
                <w:highlight w:val="none"/>
              </w:rPr>
            </w:pPr>
            <w:r>
              <w:rPr>
                <w:rFonts w:hint="eastAsia" w:ascii="宋体" w:hAnsi="宋体" w:cs="宋体"/>
                <w:color w:val="auto"/>
                <w:sz w:val="24"/>
                <w:highlight w:val="none"/>
              </w:rPr>
              <w:t>属于严重违约，建议参照“违规分包或转包”</w:t>
            </w:r>
            <w:r>
              <w:rPr>
                <w:rFonts w:hint="eastAsia" w:ascii="宋体" w:hAnsi="宋体" w:cs="宋体"/>
                <w:color w:val="auto"/>
                <w:sz w:val="24"/>
                <w:highlight w:val="none"/>
                <w:lang w:val="en-US" w:eastAsia="zh-CN"/>
              </w:rPr>
              <w:t>进</w:t>
            </w:r>
            <w:r>
              <w:rPr>
                <w:rFonts w:hint="eastAsia" w:ascii="宋体" w:hAnsi="宋体" w:cs="宋体"/>
                <w:color w:val="auto"/>
                <w:sz w:val="24"/>
                <w:highlight w:val="none"/>
              </w:rPr>
              <w:t>行重罚</w:t>
            </w:r>
          </w:p>
        </w:tc>
      </w:tr>
      <w:tr w14:paraId="3D1C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14:paraId="7792E4A8">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14" w:type="dxa"/>
            <w:vAlign w:val="center"/>
          </w:tcPr>
          <w:p w14:paraId="73DC2B83">
            <w:pPr>
              <w:pStyle w:val="68"/>
              <w:jc w:val="center"/>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1.4</w:t>
            </w:r>
          </w:p>
        </w:tc>
        <w:tc>
          <w:tcPr>
            <w:tcW w:w="3534" w:type="dxa"/>
            <w:vAlign w:val="center"/>
          </w:tcPr>
          <w:p w14:paraId="6BCD9CE6">
            <w:pPr>
              <w:pStyle w:val="68"/>
              <w:rPr>
                <w:rFonts w:hint="eastAsia" w:ascii="宋体" w:hAnsi="宋体" w:cs="宋体"/>
                <w:color w:val="auto"/>
                <w:sz w:val="24"/>
                <w:highlight w:val="none"/>
              </w:rPr>
            </w:pPr>
            <w:r>
              <w:rPr>
                <w:rFonts w:hint="eastAsia" w:ascii="宋体" w:hAnsi="宋体" w:cs="宋体"/>
                <w:color w:val="auto"/>
                <w:sz w:val="24"/>
                <w:highlight w:val="none"/>
              </w:rPr>
              <w:t>未按批复的施工组织设计方案组织施工，随意调整或变更。</w:t>
            </w:r>
          </w:p>
        </w:tc>
        <w:tc>
          <w:tcPr>
            <w:tcW w:w="2029" w:type="dxa"/>
            <w:vAlign w:val="center"/>
          </w:tcPr>
          <w:p w14:paraId="043733E0">
            <w:pPr>
              <w:pStyle w:val="68"/>
              <w:jc w:val="center"/>
              <w:rPr>
                <w:rFonts w:hint="eastAsia" w:ascii="宋体" w:hAnsi="宋体" w:cs="宋体"/>
                <w:color w:val="auto"/>
                <w:sz w:val="24"/>
                <w:highlight w:val="none"/>
              </w:rPr>
            </w:pPr>
            <w:r>
              <w:rPr>
                <w:rFonts w:hint="eastAsia" w:ascii="宋体" w:hAnsi="宋体" w:cs="宋体"/>
                <w:color w:val="auto"/>
                <w:sz w:val="24"/>
                <w:highlight w:val="none"/>
              </w:rPr>
              <w:t>2 万元/次</w:t>
            </w:r>
          </w:p>
        </w:tc>
        <w:tc>
          <w:tcPr>
            <w:tcW w:w="2196" w:type="dxa"/>
          </w:tcPr>
          <w:p w14:paraId="5FC4557F">
            <w:pPr>
              <w:pStyle w:val="68"/>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参照“擅自对施工图的任何部分进行修订”进行处罚。</w:t>
            </w:r>
          </w:p>
        </w:tc>
      </w:tr>
      <w:tr w14:paraId="43BE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14:paraId="022B1F7F">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14" w:type="dxa"/>
            <w:vAlign w:val="center"/>
          </w:tcPr>
          <w:p w14:paraId="1FF964A5">
            <w:pPr>
              <w:pStyle w:val="68"/>
              <w:jc w:val="center"/>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1.4</w:t>
            </w:r>
          </w:p>
        </w:tc>
        <w:tc>
          <w:tcPr>
            <w:tcW w:w="3534" w:type="dxa"/>
            <w:vAlign w:val="center"/>
          </w:tcPr>
          <w:p w14:paraId="3EA0386B">
            <w:pPr>
              <w:pStyle w:val="68"/>
              <w:rPr>
                <w:rFonts w:hint="eastAsia" w:ascii="宋体" w:hAnsi="宋体" w:cs="宋体"/>
                <w:color w:val="auto"/>
                <w:sz w:val="24"/>
                <w:highlight w:val="none"/>
              </w:rPr>
            </w:pPr>
            <w:r>
              <w:rPr>
                <w:rFonts w:hint="eastAsia" w:ascii="宋体" w:hAnsi="宋体" w:cs="宋体"/>
                <w:color w:val="auto"/>
                <w:sz w:val="24"/>
                <w:highlight w:val="none"/>
              </w:rPr>
              <w:t>超过一定规模的危险性较大工程未组织专家论证、审查。</w:t>
            </w:r>
          </w:p>
        </w:tc>
        <w:tc>
          <w:tcPr>
            <w:tcW w:w="2029" w:type="dxa"/>
            <w:vAlign w:val="center"/>
          </w:tcPr>
          <w:p w14:paraId="7F2B97ED">
            <w:pPr>
              <w:pStyle w:val="68"/>
              <w:jc w:val="center"/>
              <w:rPr>
                <w:rFonts w:hint="eastAsia" w:ascii="宋体" w:hAnsi="宋体" w:cs="宋体"/>
                <w:color w:val="auto"/>
                <w:sz w:val="24"/>
                <w:highlight w:val="none"/>
              </w:rPr>
            </w:pPr>
            <w:r>
              <w:rPr>
                <w:rFonts w:hint="eastAsia" w:ascii="宋体" w:hAnsi="宋体" w:cs="宋体"/>
                <w:color w:val="auto"/>
                <w:sz w:val="24"/>
                <w:highlight w:val="none"/>
              </w:rPr>
              <w:t>2 万元/次</w:t>
            </w:r>
          </w:p>
        </w:tc>
        <w:tc>
          <w:tcPr>
            <w:tcW w:w="2196" w:type="dxa"/>
          </w:tcPr>
          <w:p w14:paraId="2AEA9047">
            <w:pPr>
              <w:pStyle w:val="68"/>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参照“擅自对施工图的任何部分进行修订”进行处罚。</w:t>
            </w:r>
          </w:p>
        </w:tc>
      </w:tr>
      <w:tr w14:paraId="2785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14:paraId="0FE69323">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14" w:type="dxa"/>
            <w:vAlign w:val="center"/>
          </w:tcPr>
          <w:p w14:paraId="02E4E520">
            <w:pPr>
              <w:pStyle w:val="68"/>
              <w:jc w:val="center"/>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1.4</w:t>
            </w:r>
          </w:p>
        </w:tc>
        <w:tc>
          <w:tcPr>
            <w:tcW w:w="3534" w:type="dxa"/>
            <w:vAlign w:val="center"/>
          </w:tcPr>
          <w:p w14:paraId="0CA88A08">
            <w:pPr>
              <w:pStyle w:val="68"/>
              <w:rPr>
                <w:rFonts w:hint="eastAsia" w:ascii="宋体" w:hAnsi="宋体" w:cs="宋体"/>
                <w:color w:val="auto"/>
                <w:sz w:val="24"/>
                <w:highlight w:val="none"/>
              </w:rPr>
            </w:pPr>
            <w:r>
              <w:rPr>
                <w:rFonts w:hint="eastAsia" w:ascii="宋体" w:hAnsi="宋体" w:cs="宋体"/>
                <w:color w:val="auto"/>
                <w:sz w:val="24"/>
                <w:highlight w:val="none"/>
              </w:rPr>
              <w:t>因设计出现重大变更、施工方法发生重大调整、外部施工环境或施工条件发生重大变化等未及时进行修编的。</w:t>
            </w:r>
          </w:p>
        </w:tc>
        <w:tc>
          <w:tcPr>
            <w:tcW w:w="2029" w:type="dxa"/>
            <w:vAlign w:val="center"/>
          </w:tcPr>
          <w:p w14:paraId="3D71D86D">
            <w:pPr>
              <w:pStyle w:val="68"/>
              <w:jc w:val="center"/>
              <w:rPr>
                <w:rFonts w:hint="eastAsia" w:ascii="宋体" w:hAnsi="宋体" w:cs="宋体"/>
                <w:color w:val="auto"/>
                <w:sz w:val="24"/>
                <w:highlight w:val="none"/>
              </w:rPr>
            </w:pPr>
            <w:r>
              <w:rPr>
                <w:rFonts w:hint="eastAsia" w:ascii="宋体" w:hAnsi="宋体" w:cs="宋体"/>
                <w:color w:val="auto"/>
                <w:sz w:val="24"/>
                <w:highlight w:val="none"/>
              </w:rPr>
              <w:t>1 万元/次</w:t>
            </w:r>
          </w:p>
        </w:tc>
        <w:tc>
          <w:tcPr>
            <w:tcW w:w="2196" w:type="dxa"/>
          </w:tcPr>
          <w:p w14:paraId="7AEA6B93">
            <w:pPr>
              <w:pStyle w:val="68"/>
              <w:rPr>
                <w:rFonts w:hint="eastAsia" w:ascii="宋体" w:hAnsi="宋体" w:cs="宋体"/>
                <w:color w:val="auto"/>
                <w:sz w:val="24"/>
                <w:highlight w:val="none"/>
                <w:lang w:val="en-US" w:eastAsia="zh-CN"/>
              </w:rPr>
            </w:pPr>
          </w:p>
        </w:tc>
      </w:tr>
      <w:tr w14:paraId="43AF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14:paraId="4C0B77D5">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14" w:type="dxa"/>
            <w:vAlign w:val="center"/>
          </w:tcPr>
          <w:p w14:paraId="4B2DD7AB">
            <w:pPr>
              <w:pStyle w:val="68"/>
              <w:jc w:val="center"/>
              <w:rPr>
                <w:rFonts w:hint="eastAsia" w:ascii="宋体" w:hAnsi="宋体" w:cs="宋体"/>
                <w:color w:val="auto"/>
                <w:sz w:val="24"/>
                <w:highlight w:val="none"/>
              </w:rPr>
            </w:pPr>
            <w:r>
              <w:rPr>
                <w:rFonts w:hint="eastAsia" w:ascii="宋体" w:hAnsi="宋体" w:cs="宋体"/>
                <w:color w:val="auto"/>
                <w:sz w:val="24"/>
                <w:highlight w:val="none"/>
              </w:rPr>
              <w:t>4.3</w:t>
            </w:r>
          </w:p>
        </w:tc>
        <w:tc>
          <w:tcPr>
            <w:tcW w:w="3534" w:type="dxa"/>
            <w:vAlign w:val="center"/>
          </w:tcPr>
          <w:p w14:paraId="0EDED2FC">
            <w:pPr>
              <w:pStyle w:val="68"/>
              <w:rPr>
                <w:rFonts w:hint="eastAsia" w:ascii="宋体" w:hAnsi="宋体" w:cs="宋体"/>
                <w:color w:val="auto"/>
                <w:sz w:val="24"/>
                <w:highlight w:val="none"/>
              </w:rPr>
            </w:pPr>
            <w:r>
              <w:rPr>
                <w:rFonts w:hint="eastAsia" w:ascii="宋体" w:hAnsi="宋体" w:cs="宋体"/>
                <w:color w:val="auto"/>
                <w:sz w:val="24"/>
                <w:highlight w:val="none"/>
              </w:rPr>
              <w:t xml:space="preserve">违规分包或转包 </w:t>
            </w:r>
          </w:p>
        </w:tc>
        <w:tc>
          <w:tcPr>
            <w:tcW w:w="2029" w:type="dxa"/>
            <w:vAlign w:val="center"/>
          </w:tcPr>
          <w:p w14:paraId="3B78CF22">
            <w:pPr>
              <w:pStyle w:val="68"/>
              <w:jc w:val="center"/>
              <w:rPr>
                <w:rFonts w:hint="eastAsia" w:ascii="宋体" w:hAnsi="宋体" w:cs="宋体"/>
                <w:color w:val="auto"/>
                <w:sz w:val="24"/>
                <w:highlight w:val="none"/>
              </w:rPr>
            </w:pPr>
            <w:r>
              <w:rPr>
                <w:rFonts w:hint="eastAsia" w:ascii="宋体" w:hAnsi="宋体" w:cs="宋体"/>
                <w:color w:val="auto"/>
                <w:sz w:val="24"/>
                <w:highlight w:val="none"/>
              </w:rPr>
              <w:t>30万元/次</w:t>
            </w:r>
          </w:p>
        </w:tc>
        <w:tc>
          <w:tcPr>
            <w:tcW w:w="2196" w:type="dxa"/>
          </w:tcPr>
          <w:p w14:paraId="29DD7CDD">
            <w:pPr>
              <w:pStyle w:val="68"/>
              <w:rPr>
                <w:rFonts w:hint="eastAsia" w:ascii="宋体" w:hAnsi="宋体" w:cs="宋体"/>
                <w:color w:val="auto"/>
                <w:sz w:val="24"/>
                <w:highlight w:val="none"/>
                <w:lang w:val="en-US" w:eastAsia="zh-CN"/>
              </w:rPr>
            </w:pPr>
          </w:p>
        </w:tc>
      </w:tr>
      <w:tr w14:paraId="6287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14:paraId="15D4098D">
            <w:pPr>
              <w:pStyle w:val="68"/>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114" w:type="dxa"/>
            <w:vAlign w:val="center"/>
          </w:tcPr>
          <w:p w14:paraId="3D26A79E">
            <w:pPr>
              <w:pStyle w:val="68"/>
              <w:jc w:val="center"/>
              <w:rPr>
                <w:rFonts w:ascii="宋体" w:hAnsi="宋体" w:cs="宋体"/>
                <w:color w:val="auto"/>
                <w:sz w:val="24"/>
                <w:highlight w:val="none"/>
              </w:rPr>
            </w:pPr>
            <w:r>
              <w:rPr>
                <w:rFonts w:hint="eastAsia" w:ascii="宋体" w:hAnsi="宋体" w:cs="宋体"/>
                <w:color w:val="auto"/>
                <w:sz w:val="24"/>
                <w:highlight w:val="none"/>
              </w:rPr>
              <w:t>4.6.1</w:t>
            </w:r>
          </w:p>
        </w:tc>
        <w:tc>
          <w:tcPr>
            <w:tcW w:w="3534" w:type="dxa"/>
            <w:vAlign w:val="center"/>
          </w:tcPr>
          <w:p w14:paraId="6B0E6289">
            <w:pPr>
              <w:pStyle w:val="68"/>
              <w:rPr>
                <w:rFonts w:ascii="宋体" w:hAnsi="宋体" w:cs="宋体"/>
                <w:color w:val="auto"/>
                <w:sz w:val="24"/>
                <w:highlight w:val="none"/>
              </w:rPr>
            </w:pPr>
            <w:r>
              <w:rPr>
                <w:rFonts w:hint="eastAsia" w:ascii="宋体" w:hAnsi="宋体" w:cs="宋体"/>
                <w:color w:val="auto"/>
                <w:sz w:val="24"/>
                <w:highlight w:val="none"/>
              </w:rPr>
              <w:t>承包人在接到监理人要求人员进场的通知5天后仍未安排相关人员进场，从第6天算起扣除承包人的违约金</w:t>
            </w:r>
          </w:p>
        </w:tc>
        <w:tc>
          <w:tcPr>
            <w:tcW w:w="2029" w:type="dxa"/>
            <w:vAlign w:val="center"/>
          </w:tcPr>
          <w:p w14:paraId="1939A922">
            <w:pPr>
              <w:pStyle w:val="68"/>
              <w:jc w:val="center"/>
              <w:rPr>
                <w:rFonts w:ascii="宋体" w:hAnsi="宋体" w:cs="宋体"/>
                <w:color w:val="auto"/>
                <w:sz w:val="24"/>
                <w:highlight w:val="none"/>
              </w:rPr>
            </w:pPr>
            <w:r>
              <w:rPr>
                <w:rFonts w:hint="eastAsia" w:ascii="宋体" w:hAnsi="宋体" w:cs="宋体"/>
                <w:color w:val="auto"/>
                <w:sz w:val="24"/>
                <w:highlight w:val="none"/>
              </w:rPr>
              <w:t>项目经理、项目技术负责人2万元/人日；其他主要技术人员1万元/人日</w:t>
            </w:r>
          </w:p>
        </w:tc>
        <w:tc>
          <w:tcPr>
            <w:tcW w:w="2196" w:type="dxa"/>
          </w:tcPr>
          <w:p w14:paraId="6832C1C7">
            <w:pPr>
              <w:pStyle w:val="68"/>
              <w:rPr>
                <w:rFonts w:ascii="宋体" w:hAnsi="宋体" w:cs="宋体"/>
                <w:color w:val="auto"/>
                <w:sz w:val="24"/>
                <w:highlight w:val="none"/>
              </w:rPr>
            </w:pPr>
            <w:r>
              <w:rPr>
                <w:rFonts w:hint="eastAsia" w:ascii="宋体" w:hAnsi="宋体" w:cs="宋体"/>
                <w:color w:val="auto"/>
                <w:sz w:val="24"/>
                <w:highlight w:val="none"/>
              </w:rPr>
              <w:t>如果承包人接到通知后15天未安排相关人员进场，将要求其更换人选，同时执行更换违约条款</w:t>
            </w:r>
          </w:p>
        </w:tc>
      </w:tr>
      <w:tr w14:paraId="47A2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14:paraId="198F6B8B">
            <w:pPr>
              <w:pStyle w:val="68"/>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114" w:type="dxa"/>
            <w:vAlign w:val="center"/>
          </w:tcPr>
          <w:p w14:paraId="2DD0FEAB">
            <w:pPr>
              <w:pStyle w:val="68"/>
              <w:jc w:val="center"/>
              <w:rPr>
                <w:rFonts w:ascii="宋体" w:hAnsi="宋体" w:cs="宋体"/>
                <w:color w:val="auto"/>
                <w:sz w:val="24"/>
                <w:highlight w:val="none"/>
              </w:rPr>
            </w:pPr>
            <w:r>
              <w:rPr>
                <w:rFonts w:hint="eastAsia" w:ascii="宋体" w:hAnsi="宋体" w:cs="宋体"/>
                <w:color w:val="auto"/>
                <w:sz w:val="24"/>
                <w:highlight w:val="none"/>
              </w:rPr>
              <w:t>4.6.3（2）</w:t>
            </w:r>
          </w:p>
        </w:tc>
        <w:tc>
          <w:tcPr>
            <w:tcW w:w="3534" w:type="dxa"/>
            <w:vAlign w:val="center"/>
          </w:tcPr>
          <w:p w14:paraId="45AF9B30">
            <w:pPr>
              <w:pStyle w:val="68"/>
              <w:rPr>
                <w:rFonts w:ascii="宋体" w:hAnsi="宋体" w:cs="宋体"/>
                <w:color w:val="auto"/>
                <w:sz w:val="24"/>
                <w:highlight w:val="none"/>
              </w:rPr>
            </w:pPr>
            <w:r>
              <w:rPr>
                <w:rFonts w:hint="eastAsia" w:ascii="宋体" w:hAnsi="宋体" w:cs="宋体"/>
                <w:color w:val="auto"/>
                <w:sz w:val="24"/>
                <w:highlight w:val="none"/>
              </w:rPr>
              <w:t>承包人的档案资料整理负责人在本项目连续工作不足1年。</w:t>
            </w:r>
          </w:p>
        </w:tc>
        <w:tc>
          <w:tcPr>
            <w:tcW w:w="2029" w:type="dxa"/>
            <w:vAlign w:val="center"/>
          </w:tcPr>
          <w:p w14:paraId="61EACC2D">
            <w:pPr>
              <w:pStyle w:val="68"/>
              <w:jc w:val="center"/>
              <w:rPr>
                <w:rFonts w:ascii="宋体" w:hAnsi="宋体" w:cs="宋体"/>
                <w:color w:val="auto"/>
                <w:sz w:val="24"/>
                <w:highlight w:val="none"/>
              </w:rPr>
            </w:pPr>
            <w:r>
              <w:rPr>
                <w:rFonts w:hint="eastAsia" w:ascii="宋体" w:hAnsi="宋体" w:cs="宋体"/>
                <w:color w:val="auto"/>
                <w:sz w:val="24"/>
                <w:highlight w:val="none"/>
              </w:rPr>
              <w:t>1万元/人次</w:t>
            </w:r>
          </w:p>
        </w:tc>
        <w:tc>
          <w:tcPr>
            <w:tcW w:w="2196" w:type="dxa"/>
          </w:tcPr>
          <w:p w14:paraId="78542855">
            <w:pPr>
              <w:pStyle w:val="68"/>
              <w:rPr>
                <w:rFonts w:ascii="宋体" w:hAnsi="宋体" w:cs="宋体"/>
                <w:color w:val="auto"/>
                <w:sz w:val="24"/>
                <w:highlight w:val="none"/>
              </w:rPr>
            </w:pPr>
          </w:p>
        </w:tc>
      </w:tr>
      <w:tr w14:paraId="345D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14:paraId="054172E9">
            <w:pPr>
              <w:pStyle w:val="68"/>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114" w:type="dxa"/>
            <w:vAlign w:val="center"/>
          </w:tcPr>
          <w:p w14:paraId="35CF6F4F">
            <w:pPr>
              <w:pStyle w:val="68"/>
              <w:jc w:val="center"/>
              <w:rPr>
                <w:rFonts w:ascii="宋体" w:hAnsi="宋体" w:cs="宋体"/>
                <w:color w:val="auto"/>
                <w:sz w:val="24"/>
                <w:highlight w:val="none"/>
              </w:rPr>
            </w:pPr>
            <w:r>
              <w:rPr>
                <w:rFonts w:hint="eastAsia" w:ascii="宋体" w:hAnsi="宋体" w:cs="宋体"/>
                <w:color w:val="auto"/>
                <w:sz w:val="24"/>
                <w:highlight w:val="none"/>
              </w:rPr>
              <w:t>4.6.3（3）</w:t>
            </w:r>
          </w:p>
        </w:tc>
        <w:tc>
          <w:tcPr>
            <w:tcW w:w="3534" w:type="dxa"/>
            <w:vAlign w:val="center"/>
          </w:tcPr>
          <w:p w14:paraId="266DA210">
            <w:pPr>
              <w:pStyle w:val="68"/>
              <w:rPr>
                <w:rFonts w:ascii="宋体" w:hAnsi="宋体" w:cs="宋体"/>
                <w:color w:val="auto"/>
                <w:sz w:val="24"/>
                <w:highlight w:val="none"/>
              </w:rPr>
            </w:pPr>
            <w:r>
              <w:rPr>
                <w:rFonts w:hint="eastAsia" w:ascii="宋体" w:hAnsi="宋体" w:cs="宋体"/>
                <w:color w:val="auto"/>
                <w:sz w:val="24"/>
                <w:highlight w:val="none"/>
              </w:rPr>
              <w:t>项目经理、总工程师驻守现场不足22天/月，处以不足天数的罚款。</w:t>
            </w:r>
          </w:p>
        </w:tc>
        <w:tc>
          <w:tcPr>
            <w:tcW w:w="2029" w:type="dxa"/>
            <w:vAlign w:val="center"/>
          </w:tcPr>
          <w:p w14:paraId="218CE857">
            <w:pPr>
              <w:pStyle w:val="68"/>
              <w:jc w:val="center"/>
              <w:rPr>
                <w:rFonts w:ascii="宋体" w:hAnsi="宋体" w:cs="宋体"/>
                <w:color w:val="auto"/>
                <w:sz w:val="24"/>
                <w:highlight w:val="none"/>
              </w:rPr>
            </w:pPr>
            <w:r>
              <w:rPr>
                <w:rFonts w:hint="eastAsia" w:ascii="宋体" w:hAnsi="宋体" w:cs="宋体"/>
                <w:color w:val="auto"/>
                <w:sz w:val="24"/>
                <w:highlight w:val="none"/>
              </w:rPr>
              <w:t>5000元/天</w:t>
            </w:r>
          </w:p>
        </w:tc>
        <w:tc>
          <w:tcPr>
            <w:tcW w:w="2196" w:type="dxa"/>
          </w:tcPr>
          <w:p w14:paraId="4631CDF3">
            <w:pPr>
              <w:pStyle w:val="68"/>
              <w:rPr>
                <w:rFonts w:ascii="宋体" w:hAnsi="宋体" w:cs="宋体"/>
                <w:color w:val="auto"/>
                <w:sz w:val="24"/>
                <w:highlight w:val="none"/>
              </w:rPr>
            </w:pPr>
          </w:p>
        </w:tc>
      </w:tr>
      <w:tr w14:paraId="1F9D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14:paraId="4E12FD28">
            <w:pPr>
              <w:pStyle w:val="68"/>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10</w:t>
            </w:r>
          </w:p>
        </w:tc>
        <w:tc>
          <w:tcPr>
            <w:tcW w:w="1114" w:type="dxa"/>
            <w:vAlign w:val="center"/>
          </w:tcPr>
          <w:p w14:paraId="77837CAB">
            <w:pPr>
              <w:pStyle w:val="68"/>
              <w:jc w:val="center"/>
              <w:rPr>
                <w:rFonts w:ascii="宋体" w:hAnsi="宋体" w:cs="宋体"/>
                <w:color w:val="auto"/>
                <w:sz w:val="24"/>
                <w:highlight w:val="none"/>
              </w:rPr>
            </w:pPr>
            <w:r>
              <w:rPr>
                <w:rFonts w:hint="eastAsia" w:ascii="宋体" w:hAnsi="宋体" w:cs="宋体"/>
                <w:color w:val="auto"/>
                <w:sz w:val="24"/>
                <w:highlight w:val="none"/>
              </w:rPr>
              <w:t>4.6.3（4）</w:t>
            </w:r>
          </w:p>
        </w:tc>
        <w:tc>
          <w:tcPr>
            <w:tcW w:w="3534" w:type="dxa"/>
            <w:vAlign w:val="center"/>
          </w:tcPr>
          <w:p w14:paraId="55134299">
            <w:pPr>
              <w:pStyle w:val="68"/>
              <w:rPr>
                <w:rFonts w:ascii="宋体" w:hAnsi="宋体" w:cs="宋体"/>
                <w:color w:val="auto"/>
                <w:sz w:val="24"/>
                <w:highlight w:val="none"/>
              </w:rPr>
            </w:pPr>
            <w:r>
              <w:rPr>
                <w:rFonts w:hint="eastAsia" w:ascii="宋体" w:hAnsi="宋体" w:cs="宋体"/>
                <w:color w:val="auto"/>
                <w:sz w:val="24"/>
                <w:highlight w:val="none"/>
              </w:rPr>
              <w:t>专职安全生产管理人员没有按年度施工产值5000万元以上不足2亿元的按每5000万元不少于1名的比例配备；2亿元以上的不少于5名，且按专业配备（不足5000万至少配备一名）。</w:t>
            </w:r>
          </w:p>
        </w:tc>
        <w:tc>
          <w:tcPr>
            <w:tcW w:w="2029" w:type="dxa"/>
            <w:vAlign w:val="center"/>
          </w:tcPr>
          <w:p w14:paraId="6B44EFCD">
            <w:pPr>
              <w:pStyle w:val="68"/>
              <w:jc w:val="center"/>
              <w:rPr>
                <w:rFonts w:ascii="宋体" w:hAnsi="宋体" w:cs="宋体"/>
                <w:color w:val="auto"/>
                <w:sz w:val="24"/>
                <w:highlight w:val="none"/>
              </w:rPr>
            </w:pPr>
            <w:r>
              <w:rPr>
                <w:rFonts w:hint="eastAsia" w:ascii="宋体" w:hAnsi="宋体" w:cs="宋体"/>
                <w:color w:val="auto"/>
                <w:sz w:val="24"/>
                <w:highlight w:val="none"/>
              </w:rPr>
              <w:t>5万元/人次</w:t>
            </w:r>
          </w:p>
        </w:tc>
        <w:tc>
          <w:tcPr>
            <w:tcW w:w="2196" w:type="dxa"/>
          </w:tcPr>
          <w:p w14:paraId="1DED4556">
            <w:pPr>
              <w:pStyle w:val="68"/>
              <w:rPr>
                <w:rFonts w:ascii="宋体" w:hAnsi="宋体" w:cs="宋体"/>
                <w:color w:val="auto"/>
                <w:sz w:val="24"/>
                <w:highlight w:val="none"/>
              </w:rPr>
            </w:pPr>
          </w:p>
        </w:tc>
      </w:tr>
      <w:tr w14:paraId="1685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14:paraId="0B947B3C">
            <w:pPr>
              <w:pStyle w:val="68"/>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w:t>
            </w:r>
          </w:p>
        </w:tc>
        <w:tc>
          <w:tcPr>
            <w:tcW w:w="1114" w:type="dxa"/>
            <w:vAlign w:val="center"/>
          </w:tcPr>
          <w:p w14:paraId="30687E8B">
            <w:pPr>
              <w:pStyle w:val="68"/>
              <w:jc w:val="center"/>
              <w:rPr>
                <w:rFonts w:ascii="宋体" w:hAnsi="宋体" w:cs="宋体"/>
                <w:color w:val="auto"/>
                <w:sz w:val="24"/>
                <w:highlight w:val="none"/>
              </w:rPr>
            </w:pPr>
            <w:r>
              <w:rPr>
                <w:rFonts w:hint="eastAsia" w:ascii="宋体" w:hAnsi="宋体" w:cs="宋体"/>
                <w:color w:val="auto"/>
                <w:sz w:val="24"/>
                <w:highlight w:val="none"/>
              </w:rPr>
              <w:t>4.6.3（5）</w:t>
            </w:r>
          </w:p>
        </w:tc>
        <w:tc>
          <w:tcPr>
            <w:tcW w:w="3534" w:type="dxa"/>
            <w:vAlign w:val="center"/>
          </w:tcPr>
          <w:p w14:paraId="18226C0C">
            <w:pPr>
              <w:pStyle w:val="68"/>
              <w:rPr>
                <w:rFonts w:ascii="宋体" w:hAnsi="宋体" w:cs="宋体"/>
                <w:color w:val="auto"/>
                <w:sz w:val="24"/>
                <w:highlight w:val="none"/>
              </w:rPr>
            </w:pPr>
            <w:r>
              <w:rPr>
                <w:rFonts w:hint="eastAsia" w:ascii="宋体" w:hAnsi="宋体" w:cs="宋体"/>
                <w:color w:val="auto"/>
                <w:sz w:val="24"/>
                <w:highlight w:val="none"/>
              </w:rPr>
              <w:t>项目经理或总工程师无故缺席发包人指定的各种会议，包括监理人主持的重要会议（如工地例会等）。</w:t>
            </w:r>
          </w:p>
        </w:tc>
        <w:tc>
          <w:tcPr>
            <w:tcW w:w="2029" w:type="dxa"/>
            <w:vAlign w:val="center"/>
          </w:tcPr>
          <w:p w14:paraId="36438586">
            <w:pPr>
              <w:pStyle w:val="68"/>
              <w:jc w:val="center"/>
              <w:rPr>
                <w:rFonts w:ascii="宋体" w:hAnsi="宋体" w:cs="宋体"/>
                <w:color w:val="auto"/>
                <w:sz w:val="24"/>
                <w:highlight w:val="none"/>
              </w:rPr>
            </w:pPr>
            <w:r>
              <w:rPr>
                <w:rFonts w:hint="eastAsia" w:ascii="宋体" w:hAnsi="宋体" w:cs="宋体"/>
                <w:color w:val="auto"/>
                <w:sz w:val="24"/>
                <w:highlight w:val="none"/>
              </w:rPr>
              <w:t>1万元/次</w:t>
            </w:r>
          </w:p>
        </w:tc>
        <w:tc>
          <w:tcPr>
            <w:tcW w:w="2196" w:type="dxa"/>
          </w:tcPr>
          <w:p w14:paraId="4D0483BF">
            <w:pPr>
              <w:pStyle w:val="68"/>
              <w:rPr>
                <w:rFonts w:ascii="宋体" w:hAnsi="宋体" w:cs="宋体"/>
                <w:color w:val="auto"/>
                <w:sz w:val="24"/>
                <w:highlight w:val="none"/>
              </w:rPr>
            </w:pPr>
          </w:p>
        </w:tc>
      </w:tr>
      <w:tr w14:paraId="3867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5E201066">
            <w:pPr>
              <w:pStyle w:val="68"/>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12</w:t>
            </w:r>
          </w:p>
        </w:tc>
        <w:tc>
          <w:tcPr>
            <w:tcW w:w="1114" w:type="dxa"/>
            <w:vAlign w:val="center"/>
          </w:tcPr>
          <w:p w14:paraId="24F6F1BB">
            <w:pPr>
              <w:pStyle w:val="68"/>
              <w:jc w:val="center"/>
              <w:rPr>
                <w:rFonts w:ascii="宋体" w:hAnsi="宋体" w:cs="宋体"/>
                <w:color w:val="auto"/>
                <w:sz w:val="24"/>
                <w:highlight w:val="none"/>
              </w:rPr>
            </w:pPr>
            <w:r>
              <w:rPr>
                <w:rFonts w:hint="eastAsia" w:ascii="宋体" w:hAnsi="宋体" w:cs="宋体"/>
                <w:color w:val="auto"/>
                <w:sz w:val="24"/>
                <w:highlight w:val="none"/>
              </w:rPr>
              <w:t>4.6.6</w:t>
            </w:r>
          </w:p>
        </w:tc>
        <w:tc>
          <w:tcPr>
            <w:tcW w:w="3534" w:type="dxa"/>
            <w:vAlign w:val="center"/>
          </w:tcPr>
          <w:p w14:paraId="13B7DDF1">
            <w:pPr>
              <w:pStyle w:val="68"/>
              <w:rPr>
                <w:rFonts w:ascii="宋体" w:hAnsi="宋体" w:cs="宋体"/>
                <w:color w:val="auto"/>
                <w:sz w:val="24"/>
                <w:highlight w:val="none"/>
              </w:rPr>
            </w:pPr>
            <w:r>
              <w:rPr>
                <w:rFonts w:hint="eastAsia" w:ascii="宋体" w:hAnsi="宋体" w:cs="宋体"/>
                <w:color w:val="auto"/>
                <w:sz w:val="24"/>
                <w:highlight w:val="none"/>
              </w:rPr>
              <w:t>不签订劳动合同、非法使用农民工的，或者拖延和克扣农民工工资的，由此造成劳务人员上访或劳动纠纷的</w:t>
            </w:r>
          </w:p>
        </w:tc>
        <w:tc>
          <w:tcPr>
            <w:tcW w:w="2029" w:type="dxa"/>
            <w:vAlign w:val="center"/>
          </w:tcPr>
          <w:p w14:paraId="55C48474">
            <w:pPr>
              <w:pStyle w:val="68"/>
              <w:jc w:val="center"/>
              <w:rPr>
                <w:rFonts w:ascii="宋体" w:hAnsi="宋体" w:cs="宋体"/>
                <w:color w:val="auto"/>
                <w:sz w:val="24"/>
                <w:highlight w:val="none"/>
              </w:rPr>
            </w:pPr>
            <w:r>
              <w:rPr>
                <w:rFonts w:hint="eastAsia" w:ascii="宋体" w:hAnsi="宋体" w:cs="宋体"/>
                <w:color w:val="auto"/>
                <w:sz w:val="24"/>
                <w:highlight w:val="none"/>
              </w:rPr>
              <w:t>10万元/次</w:t>
            </w:r>
          </w:p>
        </w:tc>
        <w:tc>
          <w:tcPr>
            <w:tcW w:w="2196" w:type="dxa"/>
          </w:tcPr>
          <w:p w14:paraId="67D58F7C">
            <w:pPr>
              <w:pStyle w:val="68"/>
              <w:rPr>
                <w:rFonts w:ascii="宋体" w:hAnsi="宋体" w:cs="宋体"/>
                <w:color w:val="auto"/>
                <w:sz w:val="24"/>
                <w:highlight w:val="none"/>
              </w:rPr>
            </w:pPr>
          </w:p>
        </w:tc>
      </w:tr>
      <w:tr w14:paraId="3E60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1B9CE2DE">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114" w:type="dxa"/>
            <w:vAlign w:val="center"/>
          </w:tcPr>
          <w:p w14:paraId="6FC90162">
            <w:pPr>
              <w:pStyle w:val="68"/>
              <w:jc w:val="center"/>
              <w:rPr>
                <w:rFonts w:hint="eastAsia" w:ascii="宋体" w:hAnsi="宋体" w:cs="宋体"/>
                <w:color w:val="auto"/>
                <w:sz w:val="24"/>
                <w:highlight w:val="none"/>
              </w:rPr>
            </w:pPr>
            <w:r>
              <w:rPr>
                <w:rFonts w:hint="eastAsia" w:ascii="宋体" w:hAnsi="宋体" w:cs="宋体"/>
                <w:color w:val="auto"/>
                <w:sz w:val="24"/>
                <w:highlight w:val="none"/>
              </w:rPr>
              <w:t>4.6.6</w:t>
            </w:r>
          </w:p>
        </w:tc>
        <w:tc>
          <w:tcPr>
            <w:tcW w:w="3534" w:type="dxa"/>
            <w:vAlign w:val="center"/>
          </w:tcPr>
          <w:p w14:paraId="557CCB1F">
            <w:pPr>
              <w:pStyle w:val="68"/>
              <w:rPr>
                <w:rFonts w:hint="eastAsia" w:ascii="宋体" w:hAnsi="宋体" w:cs="宋体"/>
                <w:color w:val="auto"/>
                <w:sz w:val="24"/>
                <w:highlight w:val="none"/>
              </w:rPr>
            </w:pPr>
            <w:r>
              <w:rPr>
                <w:rFonts w:hint="eastAsia" w:ascii="宋体" w:hAnsi="宋体" w:cs="宋体"/>
                <w:color w:val="auto"/>
                <w:sz w:val="24"/>
                <w:highlight w:val="none"/>
              </w:rPr>
              <w:t>未按交通运输主管部门、上级主管或管理单位等要求落实从业人员实名制管理和工资支付管理的。</w:t>
            </w:r>
          </w:p>
        </w:tc>
        <w:tc>
          <w:tcPr>
            <w:tcW w:w="2029" w:type="dxa"/>
            <w:vAlign w:val="center"/>
          </w:tcPr>
          <w:p w14:paraId="529A1A16">
            <w:pPr>
              <w:pStyle w:val="68"/>
              <w:jc w:val="center"/>
              <w:rPr>
                <w:rFonts w:hint="eastAsia" w:ascii="宋体" w:hAnsi="宋体" w:cs="宋体"/>
                <w:color w:val="auto"/>
                <w:sz w:val="24"/>
                <w:highlight w:val="none"/>
              </w:rPr>
            </w:pPr>
            <w:r>
              <w:rPr>
                <w:rFonts w:hint="eastAsia" w:ascii="宋体" w:hAnsi="宋体" w:cs="宋体"/>
                <w:color w:val="auto"/>
                <w:sz w:val="24"/>
                <w:highlight w:val="none"/>
              </w:rPr>
              <w:t>5 万元/次</w:t>
            </w:r>
          </w:p>
        </w:tc>
        <w:tc>
          <w:tcPr>
            <w:tcW w:w="2196" w:type="dxa"/>
          </w:tcPr>
          <w:p w14:paraId="4F7BE0AF">
            <w:pPr>
              <w:pStyle w:val="68"/>
              <w:rPr>
                <w:rFonts w:ascii="宋体" w:hAnsi="宋体" w:cs="宋体"/>
                <w:color w:val="auto"/>
                <w:sz w:val="24"/>
                <w:highlight w:val="none"/>
              </w:rPr>
            </w:pPr>
          </w:p>
        </w:tc>
      </w:tr>
      <w:tr w14:paraId="37FE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14:paraId="42B4780B">
            <w:pPr>
              <w:pStyle w:val="68"/>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14</w:t>
            </w:r>
          </w:p>
        </w:tc>
        <w:tc>
          <w:tcPr>
            <w:tcW w:w="1114" w:type="dxa"/>
            <w:vAlign w:val="center"/>
          </w:tcPr>
          <w:p w14:paraId="28754E0F">
            <w:pPr>
              <w:pStyle w:val="68"/>
              <w:jc w:val="center"/>
              <w:rPr>
                <w:rFonts w:ascii="宋体" w:hAnsi="宋体" w:cs="宋体"/>
                <w:color w:val="auto"/>
                <w:sz w:val="24"/>
                <w:highlight w:val="none"/>
              </w:rPr>
            </w:pPr>
            <w:r>
              <w:rPr>
                <w:rFonts w:hint="eastAsia" w:ascii="宋体" w:hAnsi="宋体" w:cs="宋体"/>
                <w:color w:val="auto"/>
                <w:sz w:val="24"/>
                <w:highlight w:val="none"/>
              </w:rPr>
              <w:t>4.6.7</w:t>
            </w:r>
          </w:p>
        </w:tc>
        <w:tc>
          <w:tcPr>
            <w:tcW w:w="3534" w:type="dxa"/>
            <w:vAlign w:val="center"/>
          </w:tcPr>
          <w:p w14:paraId="0DB8A7CE">
            <w:pPr>
              <w:pStyle w:val="68"/>
              <w:rPr>
                <w:rFonts w:ascii="宋体" w:hAnsi="宋体" w:cs="宋体"/>
                <w:color w:val="auto"/>
                <w:sz w:val="24"/>
                <w:highlight w:val="none"/>
              </w:rPr>
            </w:pPr>
            <w:r>
              <w:rPr>
                <w:rFonts w:hint="eastAsia" w:ascii="宋体" w:hAnsi="宋体" w:cs="宋体"/>
                <w:color w:val="auto"/>
                <w:sz w:val="24"/>
                <w:highlight w:val="none"/>
              </w:rPr>
              <w:t>分项工程的施工员没在现场管理的</w:t>
            </w:r>
          </w:p>
        </w:tc>
        <w:tc>
          <w:tcPr>
            <w:tcW w:w="2029" w:type="dxa"/>
            <w:vAlign w:val="center"/>
          </w:tcPr>
          <w:p w14:paraId="10B8D4B1">
            <w:pPr>
              <w:pStyle w:val="68"/>
              <w:jc w:val="center"/>
              <w:rPr>
                <w:rFonts w:ascii="宋体" w:hAnsi="宋体" w:cs="宋体"/>
                <w:color w:val="auto"/>
                <w:sz w:val="24"/>
                <w:highlight w:val="none"/>
              </w:rPr>
            </w:pPr>
            <w:r>
              <w:rPr>
                <w:rFonts w:hint="eastAsia" w:ascii="宋体" w:hAnsi="宋体" w:cs="宋体"/>
                <w:color w:val="auto"/>
                <w:sz w:val="24"/>
                <w:highlight w:val="none"/>
              </w:rPr>
              <w:t>1000元/次</w:t>
            </w:r>
          </w:p>
        </w:tc>
        <w:tc>
          <w:tcPr>
            <w:tcW w:w="2196" w:type="dxa"/>
          </w:tcPr>
          <w:p w14:paraId="6A746038">
            <w:pPr>
              <w:pStyle w:val="68"/>
              <w:rPr>
                <w:rFonts w:ascii="宋体" w:hAnsi="宋体" w:cs="宋体"/>
                <w:color w:val="auto"/>
                <w:sz w:val="24"/>
                <w:highlight w:val="none"/>
              </w:rPr>
            </w:pPr>
          </w:p>
        </w:tc>
      </w:tr>
      <w:tr w14:paraId="76B0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1318F442">
            <w:pPr>
              <w:pStyle w:val="68"/>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114" w:type="dxa"/>
            <w:vAlign w:val="center"/>
          </w:tcPr>
          <w:p w14:paraId="42A215CD">
            <w:pPr>
              <w:pStyle w:val="68"/>
              <w:jc w:val="center"/>
              <w:rPr>
                <w:rFonts w:ascii="宋体" w:hAnsi="宋体" w:cs="宋体"/>
                <w:color w:val="auto"/>
                <w:sz w:val="24"/>
                <w:highlight w:val="none"/>
              </w:rPr>
            </w:pPr>
            <w:r>
              <w:rPr>
                <w:rFonts w:hint="eastAsia" w:ascii="宋体" w:hAnsi="宋体" w:cs="宋体"/>
                <w:color w:val="auto"/>
                <w:sz w:val="24"/>
                <w:highlight w:val="none"/>
              </w:rPr>
              <w:t>4.6.7</w:t>
            </w:r>
          </w:p>
        </w:tc>
        <w:tc>
          <w:tcPr>
            <w:tcW w:w="3534" w:type="dxa"/>
            <w:vAlign w:val="center"/>
          </w:tcPr>
          <w:p w14:paraId="41A29A0A">
            <w:pPr>
              <w:pStyle w:val="68"/>
              <w:rPr>
                <w:rFonts w:ascii="宋体" w:hAnsi="宋体" w:cs="宋体"/>
                <w:color w:val="auto"/>
                <w:sz w:val="24"/>
                <w:highlight w:val="none"/>
              </w:rPr>
            </w:pPr>
            <w:r>
              <w:rPr>
                <w:rFonts w:hint="eastAsia" w:ascii="宋体" w:hAnsi="宋体" w:cs="宋体"/>
                <w:color w:val="auto"/>
                <w:sz w:val="24"/>
                <w:highlight w:val="none"/>
              </w:rPr>
              <w:t>重要工序（桩基、面层施工等），没有施工员在现场管理的</w:t>
            </w:r>
          </w:p>
        </w:tc>
        <w:tc>
          <w:tcPr>
            <w:tcW w:w="2029" w:type="dxa"/>
            <w:vAlign w:val="center"/>
          </w:tcPr>
          <w:p w14:paraId="7A57CB45">
            <w:pPr>
              <w:pStyle w:val="68"/>
              <w:jc w:val="center"/>
              <w:rPr>
                <w:rFonts w:ascii="宋体" w:hAnsi="宋体" w:cs="宋体"/>
                <w:color w:val="auto"/>
                <w:sz w:val="24"/>
                <w:highlight w:val="none"/>
              </w:rPr>
            </w:pPr>
            <w:r>
              <w:rPr>
                <w:rFonts w:hint="eastAsia" w:ascii="宋体" w:hAnsi="宋体" w:cs="宋体"/>
                <w:color w:val="auto"/>
                <w:sz w:val="24"/>
                <w:highlight w:val="none"/>
              </w:rPr>
              <w:t>2000元/次</w:t>
            </w:r>
          </w:p>
        </w:tc>
        <w:tc>
          <w:tcPr>
            <w:tcW w:w="2196" w:type="dxa"/>
          </w:tcPr>
          <w:p w14:paraId="6DC363D3">
            <w:pPr>
              <w:pStyle w:val="68"/>
              <w:rPr>
                <w:rFonts w:ascii="宋体" w:hAnsi="宋体" w:cs="宋体"/>
                <w:color w:val="auto"/>
                <w:sz w:val="24"/>
                <w:highlight w:val="none"/>
              </w:rPr>
            </w:pPr>
          </w:p>
        </w:tc>
      </w:tr>
      <w:tr w14:paraId="7466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1C843A34">
            <w:pPr>
              <w:pStyle w:val="68"/>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114" w:type="dxa"/>
            <w:vAlign w:val="center"/>
          </w:tcPr>
          <w:p w14:paraId="5FC9F066">
            <w:pPr>
              <w:pStyle w:val="68"/>
              <w:jc w:val="center"/>
              <w:rPr>
                <w:rFonts w:ascii="宋体" w:hAnsi="宋体" w:cs="宋体"/>
                <w:color w:val="auto"/>
                <w:sz w:val="24"/>
                <w:highlight w:val="none"/>
              </w:rPr>
            </w:pPr>
            <w:r>
              <w:rPr>
                <w:rFonts w:hint="eastAsia" w:ascii="宋体" w:hAnsi="宋体" w:cs="宋体"/>
                <w:color w:val="auto"/>
                <w:sz w:val="24"/>
                <w:highlight w:val="none"/>
              </w:rPr>
              <w:t>4.6.7</w:t>
            </w:r>
          </w:p>
        </w:tc>
        <w:tc>
          <w:tcPr>
            <w:tcW w:w="3534" w:type="dxa"/>
            <w:vAlign w:val="center"/>
          </w:tcPr>
          <w:p w14:paraId="7E1B5132">
            <w:pPr>
              <w:pStyle w:val="68"/>
              <w:rPr>
                <w:rFonts w:ascii="宋体" w:hAnsi="宋体" w:cs="宋体"/>
                <w:color w:val="auto"/>
                <w:sz w:val="24"/>
                <w:highlight w:val="none"/>
              </w:rPr>
            </w:pPr>
            <w:r>
              <w:rPr>
                <w:rFonts w:hint="eastAsia" w:ascii="宋体" w:hAnsi="宋体" w:cs="宋体"/>
                <w:color w:val="auto"/>
                <w:sz w:val="24"/>
                <w:highlight w:val="none"/>
              </w:rPr>
              <w:t>超过24小时没有施工员在场而继续施工的</w:t>
            </w:r>
          </w:p>
        </w:tc>
        <w:tc>
          <w:tcPr>
            <w:tcW w:w="2029" w:type="dxa"/>
            <w:vAlign w:val="center"/>
          </w:tcPr>
          <w:p w14:paraId="177D479F">
            <w:pPr>
              <w:pStyle w:val="68"/>
              <w:jc w:val="center"/>
              <w:rPr>
                <w:rFonts w:ascii="宋体" w:hAnsi="宋体" w:cs="宋体"/>
                <w:color w:val="auto"/>
                <w:sz w:val="24"/>
                <w:highlight w:val="none"/>
              </w:rPr>
            </w:pPr>
            <w:r>
              <w:rPr>
                <w:rFonts w:hint="eastAsia" w:ascii="宋体" w:hAnsi="宋体" w:cs="宋体"/>
                <w:color w:val="auto"/>
                <w:sz w:val="24"/>
                <w:highlight w:val="none"/>
              </w:rPr>
              <w:t>5000元/次</w:t>
            </w:r>
          </w:p>
        </w:tc>
        <w:tc>
          <w:tcPr>
            <w:tcW w:w="2196" w:type="dxa"/>
          </w:tcPr>
          <w:p w14:paraId="21BB4C3E">
            <w:pPr>
              <w:pStyle w:val="68"/>
              <w:rPr>
                <w:rFonts w:ascii="宋体" w:hAnsi="宋体" w:cs="宋体"/>
                <w:color w:val="auto"/>
                <w:sz w:val="24"/>
                <w:highlight w:val="none"/>
              </w:rPr>
            </w:pPr>
          </w:p>
        </w:tc>
      </w:tr>
      <w:tr w14:paraId="6155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1FB83F64">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114" w:type="dxa"/>
            <w:vAlign w:val="center"/>
          </w:tcPr>
          <w:p w14:paraId="6073A17B">
            <w:pPr>
              <w:pStyle w:val="68"/>
              <w:jc w:val="center"/>
              <w:rPr>
                <w:rFonts w:hint="eastAsia" w:ascii="宋体" w:hAnsi="宋体" w:cs="宋体"/>
                <w:color w:val="auto"/>
                <w:sz w:val="24"/>
                <w:highlight w:val="none"/>
              </w:rPr>
            </w:pPr>
            <w:r>
              <w:rPr>
                <w:rFonts w:hint="eastAsia" w:ascii="宋体" w:hAnsi="宋体" w:cs="宋体"/>
                <w:color w:val="auto"/>
                <w:sz w:val="24"/>
                <w:highlight w:val="none"/>
              </w:rPr>
              <w:t>5.1.2</w:t>
            </w:r>
          </w:p>
        </w:tc>
        <w:tc>
          <w:tcPr>
            <w:tcW w:w="3534" w:type="dxa"/>
            <w:vAlign w:val="center"/>
          </w:tcPr>
          <w:p w14:paraId="7CBA97F3">
            <w:pPr>
              <w:pStyle w:val="68"/>
              <w:rPr>
                <w:rFonts w:hint="eastAsia" w:ascii="宋体" w:hAnsi="宋体" w:cs="宋体"/>
                <w:color w:val="auto"/>
                <w:sz w:val="24"/>
                <w:highlight w:val="none"/>
              </w:rPr>
            </w:pPr>
            <w:r>
              <w:rPr>
                <w:rFonts w:hint="eastAsia" w:ascii="宋体" w:hAnsi="宋体" w:cs="宋体"/>
                <w:color w:val="auto"/>
                <w:sz w:val="24"/>
                <w:highlight w:val="none"/>
              </w:rPr>
              <w:t>承包人应按照《投标人拟投入的关键设备承诺表》中所列的品牌进行采购，不得变更设备品牌。</w:t>
            </w:r>
          </w:p>
        </w:tc>
        <w:tc>
          <w:tcPr>
            <w:tcW w:w="2029" w:type="dxa"/>
            <w:vAlign w:val="center"/>
          </w:tcPr>
          <w:p w14:paraId="59C3480B">
            <w:pPr>
              <w:pStyle w:val="68"/>
              <w:jc w:val="center"/>
              <w:rPr>
                <w:rFonts w:hint="eastAsia" w:ascii="宋体" w:hAnsi="宋体" w:cs="宋体"/>
                <w:color w:val="auto"/>
                <w:sz w:val="24"/>
                <w:highlight w:val="none"/>
              </w:rPr>
            </w:pPr>
            <w:r>
              <w:rPr>
                <w:rFonts w:hint="eastAsia" w:ascii="宋体" w:hAnsi="宋体" w:cs="宋体"/>
                <w:color w:val="auto"/>
                <w:sz w:val="24"/>
                <w:highlight w:val="none"/>
              </w:rPr>
              <w:t>未按照《投标人</w:t>
            </w:r>
          </w:p>
          <w:p w14:paraId="068A8D78">
            <w:pPr>
              <w:pStyle w:val="68"/>
              <w:jc w:val="center"/>
              <w:rPr>
                <w:rFonts w:hint="eastAsia" w:ascii="宋体" w:hAnsi="宋体" w:cs="宋体"/>
                <w:color w:val="auto"/>
                <w:sz w:val="24"/>
                <w:highlight w:val="none"/>
              </w:rPr>
            </w:pPr>
            <w:r>
              <w:rPr>
                <w:rFonts w:hint="eastAsia" w:ascii="宋体" w:hAnsi="宋体" w:cs="宋体"/>
                <w:color w:val="auto"/>
                <w:sz w:val="24"/>
                <w:highlight w:val="none"/>
              </w:rPr>
              <w:t>拟投入的关键</w:t>
            </w:r>
          </w:p>
          <w:p w14:paraId="3ED6B384">
            <w:pPr>
              <w:pStyle w:val="68"/>
              <w:jc w:val="center"/>
              <w:rPr>
                <w:rFonts w:hint="eastAsia" w:ascii="宋体" w:hAnsi="宋体" w:cs="宋体"/>
                <w:color w:val="auto"/>
                <w:sz w:val="24"/>
                <w:highlight w:val="none"/>
              </w:rPr>
            </w:pPr>
            <w:r>
              <w:rPr>
                <w:rFonts w:hint="eastAsia" w:ascii="宋体" w:hAnsi="宋体" w:cs="宋体"/>
                <w:color w:val="auto"/>
                <w:sz w:val="24"/>
                <w:highlight w:val="none"/>
              </w:rPr>
              <w:t>设备承诺表》中</w:t>
            </w:r>
          </w:p>
          <w:p w14:paraId="6A388A9E">
            <w:pPr>
              <w:pStyle w:val="68"/>
              <w:jc w:val="center"/>
              <w:rPr>
                <w:rFonts w:hint="eastAsia" w:ascii="宋体" w:hAnsi="宋体" w:cs="宋体"/>
                <w:color w:val="auto"/>
                <w:sz w:val="24"/>
                <w:highlight w:val="none"/>
              </w:rPr>
            </w:pPr>
            <w:r>
              <w:rPr>
                <w:rFonts w:hint="eastAsia" w:ascii="宋体" w:hAnsi="宋体" w:cs="宋体"/>
                <w:color w:val="auto"/>
                <w:sz w:val="24"/>
                <w:highlight w:val="none"/>
              </w:rPr>
              <w:t>所列设备品牌</w:t>
            </w:r>
          </w:p>
          <w:p w14:paraId="17C89586">
            <w:pPr>
              <w:pStyle w:val="68"/>
              <w:jc w:val="center"/>
              <w:rPr>
                <w:rFonts w:hint="eastAsia" w:ascii="宋体" w:hAnsi="宋体" w:cs="宋体"/>
                <w:color w:val="auto"/>
                <w:sz w:val="24"/>
                <w:highlight w:val="none"/>
              </w:rPr>
            </w:pPr>
            <w:r>
              <w:rPr>
                <w:rFonts w:hint="eastAsia" w:ascii="宋体" w:hAnsi="宋体" w:cs="宋体"/>
                <w:color w:val="auto"/>
                <w:sz w:val="24"/>
                <w:highlight w:val="none"/>
              </w:rPr>
              <w:t>进行采购，按以</w:t>
            </w:r>
          </w:p>
          <w:p w14:paraId="05D36882">
            <w:pPr>
              <w:pStyle w:val="68"/>
              <w:jc w:val="center"/>
              <w:rPr>
                <w:rFonts w:hint="eastAsia" w:ascii="宋体" w:hAnsi="宋体" w:cs="宋体"/>
                <w:color w:val="auto"/>
                <w:sz w:val="24"/>
                <w:highlight w:val="none"/>
              </w:rPr>
            </w:pPr>
            <w:r>
              <w:rPr>
                <w:rFonts w:hint="eastAsia" w:ascii="宋体" w:hAnsi="宋体" w:cs="宋体"/>
                <w:color w:val="auto"/>
                <w:sz w:val="24"/>
                <w:highlight w:val="none"/>
              </w:rPr>
              <w:t>下标准向发包</w:t>
            </w:r>
          </w:p>
          <w:p w14:paraId="5951A406">
            <w:pPr>
              <w:pStyle w:val="68"/>
              <w:jc w:val="center"/>
              <w:rPr>
                <w:rFonts w:hint="eastAsia" w:ascii="宋体" w:hAnsi="宋体" w:cs="宋体"/>
                <w:color w:val="auto"/>
                <w:sz w:val="24"/>
                <w:highlight w:val="none"/>
              </w:rPr>
            </w:pPr>
            <w:r>
              <w:rPr>
                <w:rFonts w:hint="eastAsia" w:ascii="宋体" w:hAnsi="宋体" w:cs="宋体"/>
                <w:color w:val="auto"/>
                <w:sz w:val="24"/>
                <w:highlight w:val="none"/>
              </w:rPr>
              <w:t>人提交违约金：</w:t>
            </w:r>
          </w:p>
          <w:p w14:paraId="24BB319F">
            <w:pPr>
              <w:pStyle w:val="68"/>
              <w:jc w:val="center"/>
              <w:rPr>
                <w:rFonts w:hint="eastAsia" w:ascii="宋体" w:hAnsi="宋体" w:cs="宋体"/>
                <w:color w:val="auto"/>
                <w:sz w:val="24"/>
                <w:highlight w:val="none"/>
              </w:rPr>
            </w:pPr>
            <w:r>
              <w:rPr>
                <w:rFonts w:hint="eastAsia" w:ascii="宋体" w:hAnsi="宋体" w:cs="宋体"/>
                <w:color w:val="auto"/>
                <w:sz w:val="24"/>
                <w:highlight w:val="none"/>
              </w:rPr>
              <w:t>关键设备 80 万元/类，其他主要设备30万元/类。</w:t>
            </w:r>
          </w:p>
        </w:tc>
        <w:tc>
          <w:tcPr>
            <w:tcW w:w="2196" w:type="dxa"/>
          </w:tcPr>
          <w:p w14:paraId="0B18A4B6">
            <w:pPr>
              <w:pStyle w:val="68"/>
              <w:rPr>
                <w:rFonts w:ascii="宋体" w:hAnsi="宋体" w:cs="宋体"/>
                <w:color w:val="auto"/>
                <w:sz w:val="24"/>
                <w:highlight w:val="none"/>
              </w:rPr>
            </w:pPr>
            <w:r>
              <w:rPr>
                <w:rFonts w:hint="eastAsia" w:ascii="宋体" w:hAnsi="宋体" w:cs="宋体"/>
                <w:color w:val="auto"/>
                <w:sz w:val="24"/>
                <w:highlight w:val="none"/>
              </w:rPr>
              <w:t>本条可适用于机电工程（包括收费、监控、通信三大系统及通信管道、隧道消防和供配电等）采用设备选型评分的情形，由招标人自行选择设置相应内容。</w:t>
            </w:r>
          </w:p>
        </w:tc>
      </w:tr>
      <w:tr w14:paraId="61E6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7D8A4169">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114" w:type="dxa"/>
            <w:vAlign w:val="center"/>
          </w:tcPr>
          <w:p w14:paraId="14BAC508">
            <w:pPr>
              <w:pStyle w:val="68"/>
              <w:jc w:val="center"/>
              <w:rPr>
                <w:rFonts w:hint="eastAsia" w:ascii="宋体" w:hAnsi="宋体" w:cs="宋体"/>
                <w:color w:val="auto"/>
                <w:sz w:val="24"/>
                <w:highlight w:val="none"/>
              </w:rPr>
            </w:pPr>
            <w:r>
              <w:rPr>
                <w:rFonts w:hint="eastAsia" w:ascii="宋体" w:hAnsi="宋体" w:cs="宋体"/>
                <w:color w:val="auto"/>
                <w:sz w:val="24"/>
                <w:highlight w:val="none"/>
              </w:rPr>
              <w:t>5.3.1</w:t>
            </w:r>
          </w:p>
        </w:tc>
        <w:tc>
          <w:tcPr>
            <w:tcW w:w="3534" w:type="dxa"/>
            <w:vAlign w:val="center"/>
          </w:tcPr>
          <w:p w14:paraId="2305FB61">
            <w:pPr>
              <w:pStyle w:val="68"/>
              <w:rPr>
                <w:rFonts w:hint="eastAsia" w:ascii="宋体" w:hAnsi="宋体" w:cs="宋体"/>
                <w:color w:val="auto"/>
                <w:sz w:val="24"/>
                <w:highlight w:val="none"/>
              </w:rPr>
            </w:pPr>
            <w:r>
              <w:rPr>
                <w:rFonts w:hint="eastAsia" w:ascii="宋体" w:hAnsi="宋体" w:cs="宋体"/>
                <w:color w:val="auto"/>
                <w:sz w:val="24"/>
                <w:highlight w:val="none"/>
              </w:rPr>
              <w:t>未经监理人同意，承包人将专用于本工程的材料、工程设备、施工设备和临时设施运出施工场地或挪作他用</w:t>
            </w:r>
          </w:p>
        </w:tc>
        <w:tc>
          <w:tcPr>
            <w:tcW w:w="2029" w:type="dxa"/>
            <w:vAlign w:val="center"/>
          </w:tcPr>
          <w:p w14:paraId="62E1408F">
            <w:pPr>
              <w:pStyle w:val="68"/>
              <w:ind w:right="-118" w:rightChars="-56"/>
              <w:rPr>
                <w:rFonts w:hint="eastAsia" w:ascii="宋体" w:hAnsi="宋体" w:cs="宋体"/>
                <w:color w:val="auto"/>
                <w:sz w:val="24"/>
                <w:highlight w:val="none"/>
              </w:rPr>
            </w:pPr>
            <w:r>
              <w:rPr>
                <w:rFonts w:hint="eastAsia" w:ascii="宋体" w:hAnsi="宋体" w:cs="宋体"/>
                <w:color w:val="auto"/>
                <w:sz w:val="24"/>
                <w:highlight w:val="none"/>
              </w:rPr>
              <w:t>1万元/台同时处以1000元/天的罚款直至承包人纠正为止</w:t>
            </w:r>
          </w:p>
        </w:tc>
        <w:tc>
          <w:tcPr>
            <w:tcW w:w="2196" w:type="dxa"/>
          </w:tcPr>
          <w:p w14:paraId="55D9AC98">
            <w:pPr>
              <w:pStyle w:val="68"/>
              <w:rPr>
                <w:rFonts w:hint="eastAsia" w:ascii="宋体" w:hAnsi="宋体" w:cs="宋体"/>
                <w:color w:val="auto"/>
                <w:sz w:val="24"/>
                <w:highlight w:val="none"/>
              </w:rPr>
            </w:pPr>
          </w:p>
        </w:tc>
      </w:tr>
      <w:tr w14:paraId="439C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023AEA51">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114" w:type="dxa"/>
            <w:vAlign w:val="center"/>
          </w:tcPr>
          <w:p w14:paraId="7550A4EA">
            <w:pPr>
              <w:pStyle w:val="68"/>
              <w:jc w:val="center"/>
              <w:rPr>
                <w:rFonts w:hint="eastAsia" w:ascii="宋体" w:hAnsi="宋体" w:cs="宋体"/>
                <w:color w:val="auto"/>
                <w:sz w:val="24"/>
                <w:highlight w:val="none"/>
              </w:rPr>
            </w:pPr>
            <w:r>
              <w:rPr>
                <w:rFonts w:hint="eastAsia" w:ascii="宋体" w:hAnsi="宋体" w:cs="宋体"/>
                <w:color w:val="auto"/>
                <w:sz w:val="24"/>
                <w:highlight w:val="none"/>
              </w:rPr>
              <w:t>6.1.1</w:t>
            </w:r>
          </w:p>
        </w:tc>
        <w:tc>
          <w:tcPr>
            <w:tcW w:w="3534" w:type="dxa"/>
            <w:vAlign w:val="center"/>
          </w:tcPr>
          <w:p w14:paraId="39AEEAD1">
            <w:pPr>
              <w:pStyle w:val="68"/>
              <w:rPr>
                <w:rFonts w:hint="eastAsia" w:ascii="宋体" w:hAnsi="宋体" w:cs="宋体"/>
                <w:color w:val="auto"/>
                <w:sz w:val="24"/>
                <w:highlight w:val="none"/>
              </w:rPr>
            </w:pPr>
            <w:r>
              <w:rPr>
                <w:rFonts w:hint="eastAsia" w:ascii="宋体" w:hAnsi="宋体" w:cs="宋体"/>
                <w:color w:val="auto"/>
                <w:sz w:val="24"/>
                <w:highlight w:val="none"/>
              </w:rPr>
              <w:t>按施工进度计划须到位而未到位的主要设备，或擅自改变主要设备型号</w:t>
            </w:r>
          </w:p>
        </w:tc>
        <w:tc>
          <w:tcPr>
            <w:tcW w:w="2029" w:type="dxa"/>
            <w:vAlign w:val="center"/>
          </w:tcPr>
          <w:p w14:paraId="04D9CDAB">
            <w:pPr>
              <w:pStyle w:val="68"/>
              <w:ind w:right="-118" w:rightChars="-56"/>
              <w:rPr>
                <w:rFonts w:hint="eastAsia" w:ascii="宋体" w:hAnsi="宋体" w:cs="宋体"/>
                <w:color w:val="auto"/>
                <w:sz w:val="24"/>
                <w:highlight w:val="none"/>
              </w:rPr>
            </w:pPr>
            <w:r>
              <w:rPr>
                <w:rFonts w:hint="eastAsia" w:ascii="宋体" w:hAnsi="宋体" w:cs="宋体"/>
                <w:color w:val="auto"/>
                <w:sz w:val="24"/>
                <w:highlight w:val="none"/>
              </w:rPr>
              <w:t>1万元/台同时处以1000元/天的罚款直至承包人纠正为止</w:t>
            </w:r>
          </w:p>
        </w:tc>
        <w:tc>
          <w:tcPr>
            <w:tcW w:w="2196" w:type="dxa"/>
          </w:tcPr>
          <w:p w14:paraId="75FF6AB7">
            <w:pPr>
              <w:pStyle w:val="68"/>
              <w:rPr>
                <w:rFonts w:hint="eastAsia" w:ascii="宋体" w:hAnsi="宋体" w:cs="宋体"/>
                <w:color w:val="auto"/>
                <w:sz w:val="24"/>
                <w:highlight w:val="none"/>
              </w:rPr>
            </w:pPr>
          </w:p>
        </w:tc>
      </w:tr>
      <w:tr w14:paraId="77BF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2E72B1D2">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114" w:type="dxa"/>
            <w:vAlign w:val="center"/>
          </w:tcPr>
          <w:p w14:paraId="69C34AA3">
            <w:pPr>
              <w:pStyle w:val="68"/>
              <w:jc w:val="center"/>
              <w:rPr>
                <w:rFonts w:hint="eastAsia" w:ascii="宋体" w:hAnsi="宋体" w:cs="宋体"/>
                <w:color w:val="auto"/>
                <w:sz w:val="24"/>
                <w:highlight w:val="none"/>
              </w:rPr>
            </w:pPr>
            <w:r>
              <w:rPr>
                <w:rFonts w:hint="eastAsia" w:ascii="宋体" w:hAnsi="宋体" w:cs="宋体"/>
                <w:color w:val="auto"/>
                <w:sz w:val="24"/>
                <w:highlight w:val="none"/>
              </w:rPr>
              <w:t>6.3</w:t>
            </w:r>
          </w:p>
        </w:tc>
        <w:tc>
          <w:tcPr>
            <w:tcW w:w="3534" w:type="dxa"/>
            <w:vAlign w:val="center"/>
          </w:tcPr>
          <w:p w14:paraId="1D6B77DB">
            <w:pPr>
              <w:pStyle w:val="68"/>
              <w:rPr>
                <w:rFonts w:hint="eastAsia" w:ascii="宋体" w:hAnsi="宋体" w:cs="宋体"/>
                <w:color w:val="auto"/>
                <w:sz w:val="24"/>
                <w:highlight w:val="none"/>
              </w:rPr>
            </w:pPr>
            <w:r>
              <w:rPr>
                <w:rFonts w:hint="eastAsia" w:ascii="宋体" w:hAnsi="宋体" w:cs="宋体"/>
                <w:color w:val="auto"/>
                <w:sz w:val="24"/>
                <w:highlight w:val="none"/>
              </w:rPr>
              <w:t>承包人未按监理人要求增加或更换施工设备</w:t>
            </w:r>
          </w:p>
        </w:tc>
        <w:tc>
          <w:tcPr>
            <w:tcW w:w="2029" w:type="dxa"/>
            <w:vAlign w:val="center"/>
          </w:tcPr>
          <w:p w14:paraId="356E76AF">
            <w:pPr>
              <w:pStyle w:val="68"/>
              <w:ind w:right="-118" w:rightChars="-56"/>
              <w:rPr>
                <w:rFonts w:hint="eastAsia" w:ascii="宋体" w:hAnsi="宋体" w:cs="宋体"/>
                <w:color w:val="auto"/>
                <w:sz w:val="24"/>
                <w:highlight w:val="none"/>
              </w:rPr>
            </w:pPr>
            <w:r>
              <w:rPr>
                <w:rFonts w:hint="eastAsia" w:ascii="宋体" w:hAnsi="宋体" w:cs="宋体"/>
                <w:color w:val="auto"/>
                <w:sz w:val="24"/>
                <w:highlight w:val="none"/>
              </w:rPr>
              <w:t>1万元/台同时处以1000元/天的罚款直至承包人纠正为止</w:t>
            </w:r>
          </w:p>
        </w:tc>
        <w:tc>
          <w:tcPr>
            <w:tcW w:w="2196" w:type="dxa"/>
          </w:tcPr>
          <w:p w14:paraId="7AC97005">
            <w:pPr>
              <w:pStyle w:val="68"/>
              <w:rPr>
                <w:rFonts w:hint="eastAsia" w:ascii="宋体" w:hAnsi="宋体" w:cs="宋体"/>
                <w:color w:val="auto"/>
                <w:sz w:val="24"/>
                <w:highlight w:val="none"/>
              </w:rPr>
            </w:pPr>
          </w:p>
        </w:tc>
      </w:tr>
      <w:tr w14:paraId="5BEC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15377BAE">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114" w:type="dxa"/>
            <w:vAlign w:val="center"/>
          </w:tcPr>
          <w:p w14:paraId="0A3B6E2E">
            <w:pPr>
              <w:pStyle w:val="68"/>
              <w:jc w:val="center"/>
              <w:rPr>
                <w:rFonts w:hint="eastAsia" w:ascii="宋体" w:hAnsi="宋体" w:cs="宋体"/>
                <w:color w:val="auto"/>
                <w:sz w:val="24"/>
                <w:highlight w:val="none"/>
              </w:rPr>
            </w:pPr>
            <w:r>
              <w:rPr>
                <w:rFonts w:hint="eastAsia" w:ascii="宋体" w:hAnsi="宋体" w:cs="宋体"/>
                <w:color w:val="auto"/>
                <w:sz w:val="24"/>
                <w:highlight w:val="none"/>
              </w:rPr>
              <w:t>11.1.1</w:t>
            </w:r>
          </w:p>
        </w:tc>
        <w:tc>
          <w:tcPr>
            <w:tcW w:w="3534" w:type="dxa"/>
            <w:vAlign w:val="center"/>
          </w:tcPr>
          <w:p w14:paraId="4A6276B7">
            <w:pPr>
              <w:pStyle w:val="68"/>
              <w:rPr>
                <w:rFonts w:hint="eastAsia" w:ascii="宋体" w:hAnsi="宋体" w:cs="宋体"/>
                <w:color w:val="auto"/>
                <w:sz w:val="24"/>
                <w:highlight w:val="none"/>
              </w:rPr>
            </w:pPr>
            <w:r>
              <w:rPr>
                <w:rFonts w:hint="eastAsia" w:ascii="宋体" w:hAnsi="宋体" w:cs="宋体"/>
                <w:color w:val="auto"/>
                <w:sz w:val="24"/>
                <w:highlight w:val="none"/>
              </w:rPr>
              <w:t>承包人未按期开工</w:t>
            </w:r>
          </w:p>
        </w:tc>
        <w:tc>
          <w:tcPr>
            <w:tcW w:w="2029" w:type="dxa"/>
            <w:vAlign w:val="center"/>
          </w:tcPr>
          <w:p w14:paraId="6567B96D">
            <w:pPr>
              <w:pStyle w:val="68"/>
              <w:rPr>
                <w:rFonts w:hint="eastAsia" w:ascii="宋体" w:hAnsi="宋体" w:cs="宋体"/>
                <w:color w:val="auto"/>
                <w:sz w:val="24"/>
                <w:highlight w:val="none"/>
              </w:rPr>
            </w:pPr>
            <w:r>
              <w:rPr>
                <w:rFonts w:hint="eastAsia" w:ascii="宋体" w:hAnsi="宋体" w:cs="宋体"/>
                <w:color w:val="auto"/>
                <w:sz w:val="24"/>
                <w:highlight w:val="none"/>
              </w:rPr>
              <w:t>参照工期延误的标准扣除违约金</w:t>
            </w:r>
          </w:p>
        </w:tc>
        <w:tc>
          <w:tcPr>
            <w:tcW w:w="2196" w:type="dxa"/>
          </w:tcPr>
          <w:p w14:paraId="13FD081D">
            <w:pPr>
              <w:pStyle w:val="68"/>
              <w:rPr>
                <w:rFonts w:hint="eastAsia" w:ascii="宋体" w:hAnsi="宋体" w:cs="宋体"/>
                <w:color w:val="auto"/>
                <w:sz w:val="24"/>
                <w:highlight w:val="none"/>
              </w:rPr>
            </w:pPr>
          </w:p>
        </w:tc>
      </w:tr>
      <w:tr w14:paraId="4503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16806CBC">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1114" w:type="dxa"/>
            <w:vAlign w:val="center"/>
          </w:tcPr>
          <w:p w14:paraId="6394CF8A">
            <w:pPr>
              <w:pStyle w:val="68"/>
              <w:jc w:val="center"/>
              <w:rPr>
                <w:rFonts w:hint="eastAsia" w:ascii="宋体" w:hAnsi="宋体" w:cs="宋体"/>
                <w:color w:val="auto"/>
                <w:sz w:val="24"/>
                <w:highlight w:val="none"/>
              </w:rPr>
            </w:pPr>
            <w:r>
              <w:rPr>
                <w:rFonts w:hint="eastAsia" w:ascii="宋体" w:hAnsi="宋体" w:cs="宋体"/>
                <w:color w:val="auto"/>
                <w:sz w:val="24"/>
                <w:highlight w:val="none"/>
              </w:rPr>
              <w:t>11.5</w:t>
            </w:r>
          </w:p>
        </w:tc>
        <w:tc>
          <w:tcPr>
            <w:tcW w:w="3534" w:type="dxa"/>
            <w:vAlign w:val="center"/>
          </w:tcPr>
          <w:p w14:paraId="516EF8B1">
            <w:pPr>
              <w:pStyle w:val="68"/>
              <w:rPr>
                <w:rFonts w:hint="eastAsia" w:ascii="宋体" w:hAnsi="宋体" w:cs="宋体"/>
                <w:color w:val="auto"/>
                <w:sz w:val="24"/>
                <w:highlight w:val="none"/>
              </w:rPr>
            </w:pPr>
            <w:r>
              <w:rPr>
                <w:rFonts w:hint="eastAsia" w:ascii="宋体" w:hAnsi="宋体" w:cs="宋体"/>
                <w:color w:val="auto"/>
                <w:sz w:val="24"/>
                <w:highlight w:val="none"/>
              </w:rPr>
              <w:t>承包人的工期延误</w:t>
            </w:r>
          </w:p>
        </w:tc>
        <w:tc>
          <w:tcPr>
            <w:tcW w:w="2029" w:type="dxa"/>
            <w:vAlign w:val="center"/>
          </w:tcPr>
          <w:p w14:paraId="178AABC2">
            <w:pPr>
              <w:pStyle w:val="68"/>
              <w:rPr>
                <w:rFonts w:hint="eastAsia" w:ascii="宋体" w:hAnsi="宋体" w:cs="宋体"/>
                <w:color w:val="auto"/>
                <w:sz w:val="24"/>
                <w:highlight w:val="none"/>
              </w:rPr>
            </w:pPr>
            <w:r>
              <w:rPr>
                <w:rFonts w:hint="eastAsia" w:ascii="宋体" w:hAnsi="宋体" w:cs="宋体"/>
                <w:color w:val="auto"/>
                <w:sz w:val="24"/>
                <w:highlight w:val="none"/>
              </w:rPr>
              <w:t>按照项目专用条款数据表第11.5款规定的标准扣除</w:t>
            </w:r>
          </w:p>
        </w:tc>
        <w:tc>
          <w:tcPr>
            <w:tcW w:w="2196" w:type="dxa"/>
          </w:tcPr>
          <w:p w14:paraId="024517B4">
            <w:pPr>
              <w:pStyle w:val="68"/>
              <w:rPr>
                <w:rFonts w:hint="eastAsia" w:ascii="宋体" w:hAnsi="宋体" w:cs="宋体"/>
                <w:color w:val="auto"/>
                <w:sz w:val="24"/>
                <w:highlight w:val="none"/>
              </w:rPr>
            </w:pPr>
          </w:p>
        </w:tc>
      </w:tr>
    </w:tbl>
    <w:p w14:paraId="0D281151">
      <w:pPr>
        <w:pStyle w:val="68"/>
        <w:jc w:val="right"/>
        <w:rPr>
          <w:rFonts w:ascii="宋体" w:hAnsi="宋体" w:cs="宋体"/>
          <w:color w:val="auto"/>
          <w:sz w:val="24"/>
          <w:highlight w:val="none"/>
        </w:rPr>
      </w:pPr>
    </w:p>
    <w:p w14:paraId="4432150D">
      <w:pPr>
        <w:pStyle w:val="68"/>
        <w:jc w:val="right"/>
        <w:rPr>
          <w:rFonts w:ascii="宋体" w:hAnsi="宋体" w:cs="宋体"/>
          <w:color w:val="auto"/>
          <w:sz w:val="24"/>
          <w:highlight w:val="none"/>
        </w:rPr>
      </w:pPr>
      <w:r>
        <w:rPr>
          <w:rFonts w:hint="eastAsia" w:ascii="宋体" w:hAnsi="宋体" w:cs="宋体"/>
          <w:color w:val="auto"/>
          <w:sz w:val="24"/>
          <w:highlight w:val="none"/>
        </w:rPr>
        <w:br w:type="page"/>
      </w:r>
    </w:p>
    <w:p w14:paraId="70DD6B63">
      <w:pPr>
        <w:pStyle w:val="78"/>
        <w:spacing w:line="360" w:lineRule="auto"/>
        <w:rPr>
          <w:rFonts w:ascii="宋体" w:hAnsi="宋体"/>
          <w:color w:val="auto"/>
          <w:sz w:val="24"/>
          <w:szCs w:val="24"/>
          <w:highlight w:val="none"/>
        </w:rPr>
      </w:pPr>
      <w:bookmarkStart w:id="1719" w:name="_Toc12136"/>
      <w:bookmarkStart w:id="1720" w:name="_Toc451261389"/>
      <w:bookmarkStart w:id="1721" w:name="_Toc5359"/>
      <w:bookmarkStart w:id="1722" w:name="_Toc453056971"/>
      <w:bookmarkStart w:id="1723" w:name="_Toc452498668"/>
      <w:bookmarkStart w:id="1724" w:name="_Toc453057199"/>
      <w:bookmarkStart w:id="1725" w:name="_Toc452498898"/>
      <w:bookmarkStart w:id="1726" w:name="_Toc43476018"/>
      <w:r>
        <w:rPr>
          <w:rFonts w:hint="eastAsia"/>
          <w:bCs w:val="0"/>
          <w:color w:val="auto"/>
          <w:sz w:val="24"/>
          <w:szCs w:val="24"/>
          <w:highlight w:val="none"/>
        </w:rPr>
        <w:t>附件十二</w:t>
      </w:r>
      <w:bookmarkEnd w:id="1719"/>
      <w:bookmarkEnd w:id="1720"/>
      <w:bookmarkEnd w:id="1721"/>
      <w:bookmarkEnd w:id="1722"/>
      <w:bookmarkEnd w:id="1723"/>
      <w:bookmarkEnd w:id="1724"/>
      <w:bookmarkEnd w:id="1725"/>
      <w:r>
        <w:rPr>
          <w:rFonts w:hint="eastAsia"/>
          <w:bCs w:val="0"/>
          <w:color w:val="auto"/>
          <w:sz w:val="24"/>
          <w:szCs w:val="24"/>
          <w:highlight w:val="none"/>
        </w:rPr>
        <w:t>工程质量、安全及文明施工处罚项目一览表</w:t>
      </w:r>
      <w:bookmarkEnd w:id="1726"/>
    </w:p>
    <w:p w14:paraId="75F53A38">
      <w:pPr>
        <w:pStyle w:val="68"/>
        <w:rPr>
          <w:rFonts w:ascii="宋体" w:hAnsi="宋体" w:cs="宋体"/>
          <w:b/>
          <w:color w:val="auto"/>
          <w:sz w:val="28"/>
          <w:szCs w:val="28"/>
          <w:highlight w:val="none"/>
        </w:rPr>
      </w:pPr>
      <w:r>
        <w:rPr>
          <w:rFonts w:hint="eastAsia" w:ascii="宋体" w:hAnsi="宋体" w:cs="宋体"/>
          <w:b/>
          <w:color w:val="auto"/>
          <w:sz w:val="28"/>
          <w:szCs w:val="28"/>
          <w:highlight w:val="none"/>
        </w:rPr>
        <w:t>工程质量、安全及文明施工处罚项目一览表</w:t>
      </w:r>
    </w:p>
    <w:tbl>
      <w:tblPr>
        <w:tblStyle w:val="42"/>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14:paraId="01F2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14:paraId="312F6803">
            <w:pPr>
              <w:pStyle w:val="68"/>
              <w:jc w:val="center"/>
              <w:rPr>
                <w:rFonts w:ascii="宋体" w:hAnsi="宋体" w:cs="宋体"/>
                <w:color w:val="auto"/>
                <w:sz w:val="24"/>
                <w:highlight w:val="none"/>
              </w:rPr>
            </w:pPr>
            <w:r>
              <w:rPr>
                <w:rFonts w:hint="eastAsia" w:ascii="宋体" w:hAnsi="宋体" w:cs="宋体"/>
                <w:color w:val="auto"/>
                <w:sz w:val="24"/>
                <w:highlight w:val="none"/>
              </w:rPr>
              <w:t>类别</w:t>
            </w:r>
          </w:p>
        </w:tc>
        <w:tc>
          <w:tcPr>
            <w:tcW w:w="717" w:type="dxa"/>
            <w:vAlign w:val="center"/>
          </w:tcPr>
          <w:p w14:paraId="128DA7B1">
            <w:pPr>
              <w:pStyle w:val="68"/>
              <w:jc w:val="center"/>
              <w:rPr>
                <w:rFonts w:ascii="宋体" w:hAnsi="宋体" w:cs="宋体"/>
                <w:color w:val="auto"/>
                <w:sz w:val="24"/>
                <w:highlight w:val="none"/>
              </w:rPr>
            </w:pPr>
            <w:r>
              <w:rPr>
                <w:rFonts w:hint="eastAsia" w:ascii="宋体" w:hAnsi="宋体" w:cs="宋体"/>
                <w:color w:val="auto"/>
                <w:sz w:val="24"/>
                <w:highlight w:val="none"/>
              </w:rPr>
              <w:t>序号</w:t>
            </w:r>
          </w:p>
        </w:tc>
        <w:tc>
          <w:tcPr>
            <w:tcW w:w="8019" w:type="dxa"/>
            <w:vAlign w:val="center"/>
          </w:tcPr>
          <w:p w14:paraId="5485DA81">
            <w:pPr>
              <w:pStyle w:val="68"/>
              <w:jc w:val="center"/>
              <w:rPr>
                <w:rFonts w:ascii="宋体" w:hAnsi="宋体" w:cs="宋体"/>
                <w:color w:val="auto"/>
                <w:sz w:val="24"/>
                <w:highlight w:val="none"/>
              </w:rPr>
            </w:pPr>
            <w:r>
              <w:rPr>
                <w:rFonts w:hint="eastAsia" w:ascii="宋体" w:hAnsi="宋体" w:cs="宋体"/>
                <w:color w:val="auto"/>
                <w:sz w:val="24"/>
                <w:highlight w:val="none"/>
              </w:rPr>
              <w:t>处罚项目</w:t>
            </w:r>
          </w:p>
        </w:tc>
      </w:tr>
      <w:tr w14:paraId="68F6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14:paraId="592FD1FE">
            <w:pPr>
              <w:pStyle w:val="68"/>
              <w:jc w:val="center"/>
              <w:rPr>
                <w:rFonts w:ascii="宋体" w:hAnsi="宋体" w:cs="宋体"/>
                <w:color w:val="auto"/>
                <w:sz w:val="24"/>
                <w:highlight w:val="none"/>
              </w:rPr>
            </w:pPr>
            <w:r>
              <w:rPr>
                <w:rFonts w:hint="eastAsia" w:ascii="宋体" w:hAnsi="宋体" w:cs="宋体"/>
                <w:color w:val="auto"/>
                <w:sz w:val="24"/>
                <w:highlight w:val="none"/>
              </w:rPr>
              <w:t>路基及砌体工程</w:t>
            </w:r>
          </w:p>
        </w:tc>
        <w:tc>
          <w:tcPr>
            <w:tcW w:w="717" w:type="dxa"/>
            <w:vAlign w:val="center"/>
          </w:tcPr>
          <w:p w14:paraId="79B07A51">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19" w:type="dxa"/>
            <w:vAlign w:val="center"/>
          </w:tcPr>
          <w:p w14:paraId="0F50643F">
            <w:pPr>
              <w:pStyle w:val="68"/>
              <w:rPr>
                <w:rFonts w:ascii="宋体" w:hAnsi="宋体" w:cs="宋体"/>
                <w:color w:val="auto"/>
                <w:sz w:val="24"/>
                <w:highlight w:val="none"/>
              </w:rPr>
            </w:pPr>
            <w:r>
              <w:rPr>
                <w:rFonts w:hint="eastAsia" w:ascii="宋体" w:hAnsi="宋体" w:cs="宋体"/>
                <w:color w:val="auto"/>
                <w:sz w:val="24"/>
                <w:highlight w:val="none"/>
              </w:rPr>
              <w:t>填土没有路拱(要求2％～4％)，排水不畅的；路基施工未采取临时防护排水措施的，每处违约金2000元。</w:t>
            </w:r>
          </w:p>
        </w:tc>
      </w:tr>
      <w:tr w14:paraId="2889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14:paraId="39963D45">
            <w:pPr>
              <w:pStyle w:val="68"/>
              <w:jc w:val="center"/>
              <w:rPr>
                <w:rFonts w:ascii="宋体" w:hAnsi="宋体" w:cs="宋体"/>
                <w:color w:val="auto"/>
                <w:sz w:val="24"/>
                <w:highlight w:val="none"/>
              </w:rPr>
            </w:pPr>
          </w:p>
        </w:tc>
        <w:tc>
          <w:tcPr>
            <w:tcW w:w="717" w:type="dxa"/>
            <w:vAlign w:val="center"/>
          </w:tcPr>
          <w:p w14:paraId="3E77F6C5">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19" w:type="dxa"/>
            <w:vAlign w:val="center"/>
          </w:tcPr>
          <w:p w14:paraId="6C7AD3F8">
            <w:pPr>
              <w:pStyle w:val="68"/>
              <w:rPr>
                <w:rFonts w:ascii="宋体" w:hAnsi="宋体" w:cs="宋体"/>
                <w:color w:val="auto"/>
                <w:sz w:val="24"/>
                <w:highlight w:val="none"/>
              </w:rPr>
            </w:pPr>
            <w:r>
              <w:rPr>
                <w:rFonts w:hint="eastAsia" w:ascii="宋体" w:hAnsi="宋体" w:cs="宋体"/>
                <w:color w:val="auto"/>
                <w:sz w:val="24"/>
                <w:highlight w:val="none"/>
              </w:rPr>
              <w:t>路基平整度不符合规范要求的，每处违约金2000元。</w:t>
            </w:r>
          </w:p>
        </w:tc>
      </w:tr>
      <w:tr w14:paraId="0899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67DE13DF">
            <w:pPr>
              <w:pStyle w:val="68"/>
              <w:jc w:val="center"/>
              <w:rPr>
                <w:rFonts w:ascii="宋体" w:hAnsi="宋体" w:cs="宋体"/>
                <w:color w:val="auto"/>
                <w:sz w:val="24"/>
                <w:highlight w:val="none"/>
              </w:rPr>
            </w:pPr>
          </w:p>
        </w:tc>
        <w:tc>
          <w:tcPr>
            <w:tcW w:w="717" w:type="dxa"/>
            <w:vAlign w:val="center"/>
          </w:tcPr>
          <w:p w14:paraId="23A7C4C5">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19" w:type="dxa"/>
            <w:vAlign w:val="center"/>
          </w:tcPr>
          <w:p w14:paraId="4B22614D">
            <w:pPr>
              <w:pStyle w:val="68"/>
              <w:rPr>
                <w:rFonts w:ascii="宋体" w:hAnsi="宋体" w:cs="宋体"/>
                <w:color w:val="auto"/>
                <w:sz w:val="24"/>
                <w:highlight w:val="none"/>
              </w:rPr>
            </w:pPr>
            <w:r>
              <w:rPr>
                <w:rFonts w:hint="eastAsia" w:ascii="宋体" w:hAnsi="宋体" w:cs="宋体"/>
                <w:color w:val="auto"/>
                <w:sz w:val="24"/>
                <w:highlight w:val="none"/>
              </w:rPr>
              <w:t>路基填土未经平地机整平就进行压实施工的，每处违约金2000元。</w:t>
            </w:r>
          </w:p>
        </w:tc>
      </w:tr>
      <w:tr w14:paraId="647A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7F734A90">
            <w:pPr>
              <w:pStyle w:val="68"/>
              <w:jc w:val="center"/>
              <w:rPr>
                <w:rFonts w:ascii="宋体" w:hAnsi="宋体" w:cs="宋体"/>
                <w:color w:val="auto"/>
                <w:sz w:val="24"/>
                <w:highlight w:val="none"/>
              </w:rPr>
            </w:pPr>
          </w:p>
        </w:tc>
        <w:tc>
          <w:tcPr>
            <w:tcW w:w="717" w:type="dxa"/>
            <w:vAlign w:val="center"/>
          </w:tcPr>
          <w:p w14:paraId="501981EF">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19" w:type="dxa"/>
            <w:vAlign w:val="center"/>
          </w:tcPr>
          <w:p w14:paraId="0915A11B">
            <w:pPr>
              <w:pStyle w:val="68"/>
              <w:rPr>
                <w:rFonts w:ascii="宋体" w:hAnsi="宋体" w:cs="宋体"/>
                <w:color w:val="auto"/>
                <w:sz w:val="24"/>
                <w:highlight w:val="none"/>
              </w:rPr>
            </w:pPr>
            <w:r>
              <w:rPr>
                <w:rFonts w:hint="eastAsia" w:ascii="宋体" w:hAnsi="宋体" w:cs="宋体"/>
                <w:color w:val="auto"/>
                <w:sz w:val="24"/>
                <w:highlight w:val="none"/>
              </w:rPr>
              <w:t>填土松铺厚度或现场实测的压实层厚度超过试验段报告明确的松铺厚度或压实层厚时，每处违约金5000元。</w:t>
            </w:r>
          </w:p>
        </w:tc>
      </w:tr>
      <w:tr w14:paraId="1ABC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14:paraId="603619D0">
            <w:pPr>
              <w:pStyle w:val="68"/>
              <w:jc w:val="center"/>
              <w:rPr>
                <w:rFonts w:ascii="宋体" w:hAnsi="宋体" w:cs="宋体"/>
                <w:color w:val="auto"/>
                <w:sz w:val="24"/>
                <w:highlight w:val="none"/>
              </w:rPr>
            </w:pPr>
          </w:p>
        </w:tc>
        <w:tc>
          <w:tcPr>
            <w:tcW w:w="717" w:type="dxa"/>
            <w:vAlign w:val="center"/>
          </w:tcPr>
          <w:p w14:paraId="45EB82F2">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19" w:type="dxa"/>
            <w:vAlign w:val="center"/>
          </w:tcPr>
          <w:p w14:paraId="72DEA57A">
            <w:pPr>
              <w:pStyle w:val="68"/>
              <w:rPr>
                <w:rFonts w:ascii="宋体" w:hAnsi="宋体" w:cs="宋体"/>
                <w:color w:val="auto"/>
                <w:sz w:val="24"/>
                <w:highlight w:val="none"/>
              </w:rPr>
            </w:pPr>
            <w:r>
              <w:rPr>
                <w:rFonts w:hint="eastAsia" w:ascii="宋体" w:hAnsi="宋体" w:cs="宋体"/>
                <w:color w:val="auto"/>
                <w:sz w:val="24"/>
                <w:highlight w:val="none"/>
              </w:rPr>
              <w:t>路槽底面以下0—80cm范围内，填料最大粒径不超过l0cm，在80cm以下的填料最大粒径不超过15cm。违者每次违约金2000元。</w:t>
            </w:r>
          </w:p>
        </w:tc>
      </w:tr>
      <w:tr w14:paraId="7E09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14:paraId="1DCB7E84">
            <w:pPr>
              <w:pStyle w:val="68"/>
              <w:jc w:val="center"/>
              <w:rPr>
                <w:rFonts w:ascii="宋体" w:hAnsi="宋体" w:cs="宋体"/>
                <w:color w:val="auto"/>
                <w:sz w:val="24"/>
                <w:highlight w:val="none"/>
              </w:rPr>
            </w:pPr>
          </w:p>
        </w:tc>
        <w:tc>
          <w:tcPr>
            <w:tcW w:w="717" w:type="dxa"/>
            <w:vAlign w:val="center"/>
          </w:tcPr>
          <w:p w14:paraId="107A8A66">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19" w:type="dxa"/>
            <w:vAlign w:val="center"/>
          </w:tcPr>
          <w:p w14:paraId="588208BC">
            <w:pPr>
              <w:pStyle w:val="68"/>
              <w:rPr>
                <w:rFonts w:ascii="宋体" w:hAnsi="宋体" w:cs="宋体"/>
                <w:color w:val="auto"/>
                <w:sz w:val="24"/>
                <w:highlight w:val="none"/>
              </w:rPr>
            </w:pPr>
            <w:r>
              <w:rPr>
                <w:rFonts w:hint="eastAsia" w:ascii="宋体" w:hAnsi="宋体" w:cs="宋体"/>
                <w:color w:val="auto"/>
                <w:sz w:val="24"/>
                <w:highlight w:val="none"/>
              </w:rPr>
              <w:t>路基填土应按规定作液限、塑限指数及CBR值试验。违者每次违约金5000元。</w:t>
            </w:r>
          </w:p>
        </w:tc>
      </w:tr>
      <w:tr w14:paraId="65AA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14:paraId="116042B9">
            <w:pPr>
              <w:pStyle w:val="68"/>
              <w:jc w:val="center"/>
              <w:rPr>
                <w:rFonts w:ascii="宋体" w:hAnsi="宋体" w:cs="宋体"/>
                <w:color w:val="auto"/>
                <w:sz w:val="24"/>
                <w:highlight w:val="none"/>
              </w:rPr>
            </w:pPr>
          </w:p>
        </w:tc>
        <w:tc>
          <w:tcPr>
            <w:tcW w:w="717" w:type="dxa"/>
            <w:vAlign w:val="center"/>
          </w:tcPr>
          <w:p w14:paraId="1A51F48E">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19" w:type="dxa"/>
            <w:vAlign w:val="center"/>
          </w:tcPr>
          <w:p w14:paraId="0AF39C72">
            <w:pPr>
              <w:pStyle w:val="68"/>
              <w:rPr>
                <w:rFonts w:ascii="宋体" w:hAnsi="宋体" w:cs="宋体"/>
                <w:color w:val="auto"/>
                <w:sz w:val="24"/>
                <w:highlight w:val="none"/>
              </w:rPr>
            </w:pPr>
            <w:r>
              <w:rPr>
                <w:rFonts w:hint="eastAsia" w:ascii="宋体" w:hAnsi="宋体" w:cs="宋体"/>
                <w:color w:val="auto"/>
                <w:sz w:val="24"/>
                <w:highlight w:val="none"/>
              </w:rPr>
              <w:t>确保填方边坡碾压密实，边坡坡面要夯实，路基宽度在设计基础上每边超填不小于50cm，等植草前刷坡。违者每处违约金2000元。</w:t>
            </w:r>
          </w:p>
        </w:tc>
      </w:tr>
      <w:tr w14:paraId="6684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0BC0EB1E">
            <w:pPr>
              <w:pStyle w:val="68"/>
              <w:jc w:val="center"/>
              <w:rPr>
                <w:rFonts w:ascii="宋体" w:hAnsi="宋体" w:cs="宋体"/>
                <w:color w:val="auto"/>
                <w:sz w:val="24"/>
                <w:highlight w:val="none"/>
              </w:rPr>
            </w:pPr>
          </w:p>
        </w:tc>
        <w:tc>
          <w:tcPr>
            <w:tcW w:w="717" w:type="dxa"/>
            <w:vAlign w:val="center"/>
          </w:tcPr>
          <w:p w14:paraId="51D214C3">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19" w:type="dxa"/>
            <w:vAlign w:val="center"/>
          </w:tcPr>
          <w:p w14:paraId="5F915808">
            <w:pPr>
              <w:pStyle w:val="68"/>
              <w:rPr>
                <w:rFonts w:ascii="宋体" w:hAnsi="宋体" w:cs="宋体"/>
                <w:color w:val="auto"/>
                <w:sz w:val="24"/>
                <w:highlight w:val="none"/>
              </w:rPr>
            </w:pPr>
            <w:r>
              <w:rPr>
                <w:rFonts w:hint="eastAsia" w:ascii="宋体" w:hAnsi="宋体" w:cs="宋体"/>
                <w:color w:val="auto"/>
                <w:sz w:val="24"/>
                <w:highlight w:val="none"/>
              </w:rPr>
              <w:t>填土压实度达不到设计要求的，每检测段违约金2000元。</w:t>
            </w:r>
          </w:p>
        </w:tc>
      </w:tr>
      <w:tr w14:paraId="0E7C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7B9CE55B">
            <w:pPr>
              <w:pStyle w:val="68"/>
              <w:jc w:val="center"/>
              <w:rPr>
                <w:rFonts w:ascii="宋体" w:hAnsi="宋体" w:cs="宋体"/>
                <w:color w:val="auto"/>
                <w:sz w:val="24"/>
                <w:highlight w:val="none"/>
              </w:rPr>
            </w:pPr>
          </w:p>
        </w:tc>
        <w:tc>
          <w:tcPr>
            <w:tcW w:w="717" w:type="dxa"/>
            <w:vAlign w:val="center"/>
          </w:tcPr>
          <w:p w14:paraId="3E18F8C2">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8019" w:type="dxa"/>
            <w:vAlign w:val="center"/>
          </w:tcPr>
          <w:p w14:paraId="3AF9EA6D">
            <w:pPr>
              <w:pStyle w:val="68"/>
              <w:rPr>
                <w:rFonts w:ascii="宋体" w:hAnsi="宋体" w:cs="宋体"/>
                <w:color w:val="auto"/>
                <w:sz w:val="24"/>
                <w:highlight w:val="none"/>
              </w:rPr>
            </w:pPr>
            <w:r>
              <w:rPr>
                <w:rFonts w:hint="eastAsia" w:ascii="宋体" w:hAnsi="宋体" w:cs="宋体"/>
                <w:color w:val="auto"/>
                <w:sz w:val="24"/>
                <w:highlight w:val="none"/>
              </w:rPr>
              <w:t>石方路基靠近边坡范围采用光面爆破，爆破后及时清理险石、松石，违者每处违约金2000元。</w:t>
            </w:r>
          </w:p>
        </w:tc>
      </w:tr>
      <w:tr w14:paraId="4CE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14:paraId="6D7D9A46">
            <w:pPr>
              <w:pStyle w:val="68"/>
              <w:jc w:val="center"/>
              <w:rPr>
                <w:rFonts w:ascii="宋体" w:hAnsi="宋体" w:cs="宋体"/>
                <w:color w:val="auto"/>
                <w:sz w:val="24"/>
                <w:highlight w:val="none"/>
              </w:rPr>
            </w:pPr>
          </w:p>
        </w:tc>
        <w:tc>
          <w:tcPr>
            <w:tcW w:w="717" w:type="dxa"/>
            <w:vAlign w:val="center"/>
          </w:tcPr>
          <w:p w14:paraId="333E29AC">
            <w:pPr>
              <w:pStyle w:val="68"/>
              <w:jc w:val="center"/>
              <w:rPr>
                <w:rFonts w:ascii="宋体" w:hAnsi="宋体" w:cs="宋体"/>
                <w:color w:val="auto"/>
                <w:sz w:val="24"/>
                <w:highlight w:val="none"/>
              </w:rPr>
            </w:pPr>
            <w:r>
              <w:rPr>
                <w:rFonts w:hint="eastAsia" w:ascii="宋体" w:hAnsi="宋体" w:cs="宋体"/>
                <w:color w:val="auto"/>
                <w:sz w:val="24"/>
                <w:highlight w:val="none"/>
              </w:rPr>
              <w:t>10</w:t>
            </w:r>
          </w:p>
        </w:tc>
        <w:tc>
          <w:tcPr>
            <w:tcW w:w="8019" w:type="dxa"/>
            <w:vAlign w:val="center"/>
          </w:tcPr>
          <w:p w14:paraId="2AB31DE7">
            <w:pPr>
              <w:pStyle w:val="68"/>
              <w:rPr>
                <w:rFonts w:ascii="宋体" w:hAnsi="宋体" w:cs="宋体"/>
                <w:color w:val="auto"/>
                <w:sz w:val="24"/>
                <w:highlight w:val="none"/>
              </w:rPr>
            </w:pPr>
            <w:r>
              <w:rPr>
                <w:rFonts w:hint="eastAsia" w:ascii="宋体" w:hAnsi="宋体" w:cs="宋体"/>
                <w:color w:val="auto"/>
                <w:sz w:val="24"/>
                <w:highlight w:val="none"/>
              </w:rPr>
              <w:t>路堤填石要求逐层水平填筑石块，摆放平整，码砌边部，空隙用石渣石屑嵌压稳定，石块尺寸符合规范要求，违者每处违约金2000元。</w:t>
            </w:r>
          </w:p>
        </w:tc>
      </w:tr>
      <w:tr w14:paraId="6B90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14:paraId="3262BC41">
            <w:pPr>
              <w:pStyle w:val="68"/>
              <w:jc w:val="center"/>
              <w:rPr>
                <w:rFonts w:ascii="宋体" w:hAnsi="宋体" w:cs="宋体"/>
                <w:color w:val="auto"/>
                <w:sz w:val="24"/>
                <w:highlight w:val="none"/>
              </w:rPr>
            </w:pPr>
          </w:p>
        </w:tc>
        <w:tc>
          <w:tcPr>
            <w:tcW w:w="717" w:type="dxa"/>
            <w:vAlign w:val="center"/>
          </w:tcPr>
          <w:p w14:paraId="2B985773">
            <w:pPr>
              <w:pStyle w:val="68"/>
              <w:jc w:val="center"/>
              <w:rPr>
                <w:rFonts w:ascii="宋体" w:hAnsi="宋体" w:cs="宋体"/>
                <w:color w:val="auto"/>
                <w:sz w:val="24"/>
                <w:highlight w:val="none"/>
              </w:rPr>
            </w:pPr>
            <w:r>
              <w:rPr>
                <w:rFonts w:hint="eastAsia" w:ascii="宋体" w:hAnsi="宋体" w:cs="宋体"/>
                <w:color w:val="auto"/>
                <w:sz w:val="24"/>
                <w:highlight w:val="none"/>
              </w:rPr>
              <w:t>11</w:t>
            </w:r>
          </w:p>
        </w:tc>
        <w:tc>
          <w:tcPr>
            <w:tcW w:w="8019" w:type="dxa"/>
            <w:vAlign w:val="center"/>
          </w:tcPr>
          <w:p w14:paraId="7283DA68">
            <w:pPr>
              <w:pStyle w:val="68"/>
              <w:rPr>
                <w:rFonts w:ascii="宋体" w:hAnsi="宋体" w:cs="宋体"/>
                <w:color w:val="auto"/>
                <w:sz w:val="24"/>
                <w:highlight w:val="none"/>
              </w:rPr>
            </w:pPr>
            <w:r>
              <w:rPr>
                <w:rFonts w:hint="eastAsia" w:ascii="宋体" w:hAnsi="宋体" w:cs="宋体"/>
                <w:color w:val="auto"/>
                <w:sz w:val="24"/>
                <w:highlight w:val="none"/>
              </w:rPr>
              <w:t>粉喷桩应严格控制喷粉时间、停粉时间、水泥喷入量，不得中断喷粉，确保喷粉桩长度，桩身上部范围必须进行二次搅拌，违者每次违约金2000元。</w:t>
            </w:r>
          </w:p>
        </w:tc>
      </w:tr>
      <w:tr w14:paraId="22A8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14:paraId="1E7500B8">
            <w:pPr>
              <w:pStyle w:val="68"/>
              <w:jc w:val="center"/>
              <w:rPr>
                <w:rFonts w:ascii="宋体" w:hAnsi="宋体" w:cs="宋体"/>
                <w:color w:val="auto"/>
                <w:sz w:val="24"/>
                <w:highlight w:val="none"/>
              </w:rPr>
            </w:pPr>
          </w:p>
        </w:tc>
        <w:tc>
          <w:tcPr>
            <w:tcW w:w="717" w:type="dxa"/>
            <w:vAlign w:val="center"/>
          </w:tcPr>
          <w:p w14:paraId="4BE4B677">
            <w:pPr>
              <w:pStyle w:val="68"/>
              <w:jc w:val="center"/>
              <w:rPr>
                <w:rFonts w:ascii="宋体" w:hAnsi="宋体" w:cs="宋体"/>
                <w:color w:val="auto"/>
                <w:sz w:val="24"/>
                <w:highlight w:val="none"/>
              </w:rPr>
            </w:pPr>
            <w:r>
              <w:rPr>
                <w:rFonts w:hint="eastAsia" w:ascii="宋体" w:hAnsi="宋体" w:cs="宋体"/>
                <w:color w:val="auto"/>
                <w:sz w:val="24"/>
                <w:highlight w:val="none"/>
              </w:rPr>
              <w:t>12</w:t>
            </w:r>
          </w:p>
        </w:tc>
        <w:tc>
          <w:tcPr>
            <w:tcW w:w="8019" w:type="dxa"/>
            <w:vAlign w:val="center"/>
          </w:tcPr>
          <w:p w14:paraId="3ACF7528">
            <w:pPr>
              <w:pStyle w:val="68"/>
              <w:rPr>
                <w:rFonts w:ascii="宋体" w:hAnsi="宋体" w:cs="宋体"/>
                <w:color w:val="auto"/>
                <w:sz w:val="24"/>
                <w:highlight w:val="none"/>
              </w:rPr>
            </w:pPr>
            <w:r>
              <w:rPr>
                <w:rFonts w:hint="eastAsia" w:ascii="宋体" w:hAnsi="宋体" w:cs="宋体"/>
                <w:color w:val="auto"/>
                <w:sz w:val="24"/>
                <w:highlight w:val="none"/>
              </w:rPr>
              <w:t>软基换填处理未将软土清除干净就进行回填施工的，每处违约金2000元。</w:t>
            </w:r>
          </w:p>
        </w:tc>
      </w:tr>
      <w:tr w14:paraId="5FD3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14:paraId="6A32E939">
            <w:pPr>
              <w:pStyle w:val="68"/>
              <w:jc w:val="center"/>
              <w:rPr>
                <w:rFonts w:ascii="宋体" w:hAnsi="宋体" w:cs="宋体"/>
                <w:color w:val="auto"/>
                <w:sz w:val="24"/>
                <w:highlight w:val="none"/>
              </w:rPr>
            </w:pPr>
          </w:p>
        </w:tc>
        <w:tc>
          <w:tcPr>
            <w:tcW w:w="717" w:type="dxa"/>
            <w:vAlign w:val="center"/>
          </w:tcPr>
          <w:p w14:paraId="579AFC17">
            <w:pPr>
              <w:pStyle w:val="68"/>
              <w:jc w:val="center"/>
              <w:rPr>
                <w:rFonts w:ascii="宋体" w:hAnsi="宋体" w:cs="宋体"/>
                <w:color w:val="auto"/>
                <w:sz w:val="24"/>
                <w:highlight w:val="none"/>
              </w:rPr>
            </w:pPr>
            <w:r>
              <w:rPr>
                <w:rFonts w:hint="eastAsia" w:ascii="宋体" w:hAnsi="宋体" w:cs="宋体"/>
                <w:color w:val="auto"/>
                <w:sz w:val="24"/>
                <w:highlight w:val="none"/>
              </w:rPr>
              <w:t>13</w:t>
            </w:r>
          </w:p>
        </w:tc>
        <w:tc>
          <w:tcPr>
            <w:tcW w:w="8019" w:type="dxa"/>
            <w:vAlign w:val="center"/>
          </w:tcPr>
          <w:p w14:paraId="10D157DD">
            <w:pPr>
              <w:pStyle w:val="68"/>
              <w:rPr>
                <w:rFonts w:ascii="宋体" w:hAnsi="宋体" w:cs="宋体"/>
                <w:color w:val="auto"/>
                <w:sz w:val="24"/>
                <w:highlight w:val="none"/>
              </w:rPr>
            </w:pPr>
            <w:r>
              <w:rPr>
                <w:rFonts w:hint="eastAsia" w:ascii="宋体" w:hAnsi="宋体" w:cs="宋体"/>
                <w:color w:val="auto"/>
                <w:sz w:val="24"/>
                <w:highlight w:val="none"/>
              </w:rPr>
              <w:t>软基处理未按要求进行沉降和稳定性观测的，每次违约金2000元。</w:t>
            </w:r>
          </w:p>
        </w:tc>
      </w:tr>
      <w:tr w14:paraId="3F85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14:paraId="79E7B219">
            <w:pPr>
              <w:pStyle w:val="68"/>
              <w:jc w:val="center"/>
              <w:rPr>
                <w:rFonts w:ascii="宋体" w:hAnsi="宋体" w:cs="宋体"/>
                <w:color w:val="auto"/>
                <w:sz w:val="24"/>
                <w:highlight w:val="none"/>
              </w:rPr>
            </w:pPr>
          </w:p>
        </w:tc>
        <w:tc>
          <w:tcPr>
            <w:tcW w:w="717" w:type="dxa"/>
            <w:vAlign w:val="center"/>
          </w:tcPr>
          <w:p w14:paraId="6976A1E3">
            <w:pPr>
              <w:pStyle w:val="68"/>
              <w:jc w:val="center"/>
              <w:rPr>
                <w:rFonts w:ascii="宋体" w:hAnsi="宋体" w:cs="宋体"/>
                <w:color w:val="auto"/>
                <w:sz w:val="24"/>
                <w:highlight w:val="none"/>
              </w:rPr>
            </w:pPr>
            <w:r>
              <w:rPr>
                <w:rFonts w:hint="eastAsia" w:ascii="宋体" w:hAnsi="宋体" w:cs="宋体"/>
                <w:color w:val="auto"/>
                <w:sz w:val="24"/>
                <w:highlight w:val="none"/>
              </w:rPr>
              <w:t>14</w:t>
            </w:r>
          </w:p>
        </w:tc>
        <w:tc>
          <w:tcPr>
            <w:tcW w:w="8019" w:type="dxa"/>
            <w:vAlign w:val="center"/>
          </w:tcPr>
          <w:p w14:paraId="02006E44">
            <w:pPr>
              <w:pStyle w:val="68"/>
              <w:rPr>
                <w:rFonts w:ascii="宋体" w:hAnsi="宋体" w:cs="宋体"/>
                <w:color w:val="auto"/>
                <w:sz w:val="24"/>
                <w:highlight w:val="none"/>
              </w:rPr>
            </w:pPr>
            <w:r>
              <w:rPr>
                <w:rFonts w:hint="eastAsia" w:ascii="宋体" w:hAnsi="宋体" w:cs="宋体"/>
                <w:color w:val="auto"/>
                <w:sz w:val="24"/>
                <w:highlight w:val="none"/>
              </w:rPr>
              <w:t>软基路段施工前应调查软土分布范围、软土深度，进行土工试验，发现与设计不符的，应通知监理人，违者每次违约金5000元。</w:t>
            </w:r>
          </w:p>
        </w:tc>
      </w:tr>
      <w:tr w14:paraId="744D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14:paraId="23A780F6">
            <w:pPr>
              <w:pStyle w:val="68"/>
              <w:jc w:val="center"/>
              <w:rPr>
                <w:rFonts w:ascii="宋体" w:hAnsi="宋体" w:cs="宋体"/>
                <w:color w:val="auto"/>
                <w:sz w:val="24"/>
                <w:highlight w:val="none"/>
              </w:rPr>
            </w:pPr>
          </w:p>
        </w:tc>
        <w:tc>
          <w:tcPr>
            <w:tcW w:w="717" w:type="dxa"/>
            <w:vAlign w:val="center"/>
          </w:tcPr>
          <w:p w14:paraId="031D7C87">
            <w:pPr>
              <w:pStyle w:val="68"/>
              <w:jc w:val="center"/>
              <w:rPr>
                <w:rFonts w:ascii="宋体" w:hAnsi="宋体" w:cs="宋体"/>
                <w:color w:val="auto"/>
                <w:sz w:val="24"/>
                <w:highlight w:val="none"/>
              </w:rPr>
            </w:pPr>
            <w:r>
              <w:rPr>
                <w:rFonts w:hint="eastAsia" w:ascii="宋体" w:hAnsi="宋体" w:cs="宋体"/>
                <w:color w:val="auto"/>
                <w:sz w:val="24"/>
                <w:highlight w:val="none"/>
              </w:rPr>
              <w:t>15</w:t>
            </w:r>
          </w:p>
        </w:tc>
        <w:tc>
          <w:tcPr>
            <w:tcW w:w="8019" w:type="dxa"/>
            <w:vAlign w:val="center"/>
          </w:tcPr>
          <w:p w14:paraId="786A875D">
            <w:pPr>
              <w:pStyle w:val="68"/>
              <w:rPr>
                <w:rFonts w:ascii="宋体" w:hAnsi="宋体" w:cs="宋体"/>
                <w:color w:val="auto"/>
                <w:sz w:val="24"/>
                <w:highlight w:val="none"/>
              </w:rPr>
            </w:pPr>
            <w:r>
              <w:rPr>
                <w:rFonts w:hint="eastAsia" w:ascii="宋体" w:hAnsi="宋体" w:cs="宋体"/>
                <w:color w:val="auto"/>
                <w:sz w:val="24"/>
                <w:highlight w:val="none"/>
              </w:rPr>
              <w:t>袋装砂井施工中，砂袋末垂吊、灌沙不饱满的，每根违约金2000元。</w:t>
            </w:r>
          </w:p>
        </w:tc>
      </w:tr>
      <w:tr w14:paraId="672A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14:paraId="05D748F1">
            <w:pPr>
              <w:pStyle w:val="68"/>
              <w:jc w:val="center"/>
              <w:rPr>
                <w:rFonts w:ascii="宋体" w:hAnsi="宋体" w:cs="宋体"/>
                <w:color w:val="auto"/>
                <w:sz w:val="24"/>
                <w:highlight w:val="none"/>
              </w:rPr>
            </w:pPr>
          </w:p>
        </w:tc>
        <w:tc>
          <w:tcPr>
            <w:tcW w:w="717" w:type="dxa"/>
            <w:vAlign w:val="center"/>
          </w:tcPr>
          <w:p w14:paraId="2469375D">
            <w:pPr>
              <w:pStyle w:val="68"/>
              <w:jc w:val="center"/>
              <w:rPr>
                <w:rFonts w:ascii="宋体" w:hAnsi="宋体" w:cs="宋体"/>
                <w:color w:val="auto"/>
                <w:sz w:val="24"/>
                <w:highlight w:val="none"/>
              </w:rPr>
            </w:pPr>
            <w:r>
              <w:rPr>
                <w:rFonts w:hint="eastAsia" w:ascii="宋体" w:hAnsi="宋体" w:cs="宋体"/>
                <w:color w:val="auto"/>
                <w:sz w:val="24"/>
                <w:highlight w:val="none"/>
              </w:rPr>
              <w:t>16</w:t>
            </w:r>
          </w:p>
        </w:tc>
        <w:tc>
          <w:tcPr>
            <w:tcW w:w="8019" w:type="dxa"/>
            <w:vAlign w:val="center"/>
          </w:tcPr>
          <w:p w14:paraId="4D1EBCCF">
            <w:pPr>
              <w:pStyle w:val="68"/>
              <w:rPr>
                <w:rFonts w:ascii="宋体" w:hAnsi="宋体" w:cs="宋体"/>
                <w:color w:val="auto"/>
                <w:sz w:val="24"/>
                <w:highlight w:val="none"/>
              </w:rPr>
            </w:pPr>
            <w:r>
              <w:rPr>
                <w:rFonts w:hint="eastAsia" w:ascii="宋体" w:hAnsi="宋体" w:cs="宋体"/>
                <w:color w:val="auto"/>
                <w:sz w:val="24"/>
                <w:highlight w:val="none"/>
              </w:rPr>
              <w:t>袋装砂井、砂袋织物和塑料排水板的材料质量必须符合设计要求，违者每处违约金2000元。</w:t>
            </w:r>
          </w:p>
        </w:tc>
      </w:tr>
      <w:tr w14:paraId="7C98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14:paraId="363A9E8E">
            <w:pPr>
              <w:pStyle w:val="68"/>
              <w:jc w:val="center"/>
              <w:rPr>
                <w:rFonts w:ascii="宋体" w:hAnsi="宋体" w:cs="宋体"/>
                <w:color w:val="auto"/>
                <w:sz w:val="24"/>
                <w:highlight w:val="none"/>
              </w:rPr>
            </w:pPr>
          </w:p>
        </w:tc>
        <w:tc>
          <w:tcPr>
            <w:tcW w:w="717" w:type="dxa"/>
            <w:vAlign w:val="center"/>
          </w:tcPr>
          <w:p w14:paraId="7157B526">
            <w:pPr>
              <w:pStyle w:val="68"/>
              <w:jc w:val="center"/>
              <w:rPr>
                <w:rFonts w:ascii="宋体" w:hAnsi="宋体" w:cs="宋体"/>
                <w:color w:val="auto"/>
                <w:sz w:val="24"/>
                <w:highlight w:val="none"/>
              </w:rPr>
            </w:pPr>
            <w:r>
              <w:rPr>
                <w:rFonts w:hint="eastAsia" w:ascii="宋体" w:hAnsi="宋体" w:cs="宋体"/>
                <w:color w:val="auto"/>
                <w:sz w:val="24"/>
                <w:highlight w:val="none"/>
              </w:rPr>
              <w:t>17</w:t>
            </w:r>
          </w:p>
        </w:tc>
        <w:tc>
          <w:tcPr>
            <w:tcW w:w="8019" w:type="dxa"/>
            <w:vAlign w:val="center"/>
          </w:tcPr>
          <w:p w14:paraId="2A82F32E">
            <w:pPr>
              <w:pStyle w:val="68"/>
              <w:rPr>
                <w:rFonts w:ascii="宋体" w:hAnsi="宋体" w:cs="宋体"/>
                <w:color w:val="auto"/>
                <w:sz w:val="24"/>
                <w:highlight w:val="none"/>
              </w:rPr>
            </w:pPr>
            <w:r>
              <w:rPr>
                <w:rFonts w:hint="eastAsia" w:ascii="宋体" w:hAnsi="宋体" w:cs="宋体"/>
                <w:color w:val="auto"/>
                <w:sz w:val="24"/>
                <w:highlight w:val="none"/>
              </w:rPr>
              <w:t>土工格栅、土工布等土工材料质量不符合设计要求，搭接宽度、搭接方式不符合有关要求的，每处违约金2000元。</w:t>
            </w:r>
          </w:p>
        </w:tc>
      </w:tr>
      <w:tr w14:paraId="2354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524" w:type="dxa"/>
            <w:vMerge w:val="continue"/>
            <w:vAlign w:val="center"/>
          </w:tcPr>
          <w:p w14:paraId="53A49119">
            <w:pPr>
              <w:pStyle w:val="68"/>
              <w:jc w:val="center"/>
              <w:rPr>
                <w:rFonts w:ascii="宋体" w:hAnsi="宋体" w:cs="宋体"/>
                <w:color w:val="auto"/>
                <w:sz w:val="24"/>
                <w:highlight w:val="none"/>
              </w:rPr>
            </w:pPr>
          </w:p>
        </w:tc>
        <w:tc>
          <w:tcPr>
            <w:tcW w:w="717" w:type="dxa"/>
            <w:vAlign w:val="center"/>
          </w:tcPr>
          <w:p w14:paraId="385AB839">
            <w:pPr>
              <w:pStyle w:val="68"/>
              <w:jc w:val="center"/>
              <w:rPr>
                <w:rFonts w:ascii="宋体" w:hAnsi="宋体" w:cs="宋体"/>
                <w:color w:val="auto"/>
                <w:sz w:val="24"/>
                <w:highlight w:val="none"/>
              </w:rPr>
            </w:pPr>
            <w:r>
              <w:rPr>
                <w:rFonts w:hint="eastAsia" w:ascii="宋体" w:hAnsi="宋体" w:cs="宋体"/>
                <w:color w:val="auto"/>
                <w:sz w:val="24"/>
                <w:highlight w:val="none"/>
              </w:rPr>
              <w:t>18</w:t>
            </w:r>
          </w:p>
        </w:tc>
        <w:tc>
          <w:tcPr>
            <w:tcW w:w="8019" w:type="dxa"/>
            <w:vAlign w:val="center"/>
          </w:tcPr>
          <w:p w14:paraId="3ED4B788">
            <w:pPr>
              <w:pStyle w:val="68"/>
              <w:rPr>
                <w:rFonts w:ascii="宋体" w:hAnsi="宋体" w:cs="宋体"/>
                <w:color w:val="auto"/>
                <w:sz w:val="24"/>
                <w:highlight w:val="none"/>
              </w:rPr>
            </w:pPr>
            <w:r>
              <w:rPr>
                <w:rFonts w:hint="eastAsia" w:ascii="宋体" w:hAnsi="宋体" w:cs="宋体"/>
                <w:color w:val="auto"/>
                <w:sz w:val="24"/>
                <w:highlight w:val="none"/>
              </w:rPr>
              <w:t>结构物台背回填施工应符合以下要求，违者每次或每处违约金2000元：</w:t>
            </w:r>
          </w:p>
          <w:p w14:paraId="5767653E">
            <w:pPr>
              <w:pStyle w:val="68"/>
              <w:tabs>
                <w:tab w:val="left" w:pos="360"/>
              </w:tabs>
              <w:rPr>
                <w:rFonts w:ascii="宋体" w:hAnsi="宋体" w:cs="宋体"/>
                <w:color w:val="auto"/>
                <w:sz w:val="24"/>
                <w:highlight w:val="none"/>
              </w:rPr>
            </w:pPr>
            <w:r>
              <w:rPr>
                <w:rFonts w:hint="eastAsia" w:ascii="宋体" w:hAnsi="宋体" w:cs="宋体"/>
                <w:color w:val="auto"/>
                <w:sz w:val="24"/>
                <w:highlight w:val="none"/>
              </w:rPr>
              <w:t>（1）除肋式及桩柱式外，回填必须在上部结构安装完毕，结构物验收合格，且砼强度达到设计的85％后方可进行；</w:t>
            </w:r>
          </w:p>
          <w:p w14:paraId="0F191721">
            <w:pPr>
              <w:pStyle w:val="68"/>
              <w:tabs>
                <w:tab w:val="left" w:pos="360"/>
              </w:tabs>
              <w:rPr>
                <w:rFonts w:ascii="宋体" w:hAnsi="宋体" w:cs="宋体"/>
                <w:color w:val="auto"/>
                <w:sz w:val="24"/>
                <w:highlight w:val="none"/>
              </w:rPr>
            </w:pPr>
            <w:r>
              <w:rPr>
                <w:rFonts w:hint="eastAsia" w:ascii="宋体" w:hAnsi="宋体" w:cs="宋体"/>
                <w:color w:val="auto"/>
                <w:sz w:val="24"/>
                <w:highlight w:val="none"/>
              </w:rPr>
              <w:t>（2）回填必须在构造物两端对称填筑压实，以免产生变形、破坏，每层松铺厚度不大于20cm；</w:t>
            </w:r>
          </w:p>
          <w:p w14:paraId="2343019A">
            <w:pPr>
              <w:pStyle w:val="68"/>
              <w:tabs>
                <w:tab w:val="left" w:pos="360"/>
              </w:tabs>
              <w:rPr>
                <w:rFonts w:ascii="宋体" w:hAnsi="宋体" w:cs="宋体"/>
                <w:color w:val="auto"/>
                <w:sz w:val="24"/>
                <w:highlight w:val="none"/>
              </w:rPr>
            </w:pPr>
            <w:r>
              <w:rPr>
                <w:rFonts w:hint="eastAsia" w:ascii="宋体" w:hAnsi="宋体" w:cs="宋体"/>
                <w:color w:val="auto"/>
                <w:sz w:val="24"/>
                <w:highlight w:val="none"/>
              </w:rPr>
              <w:t>（3）回填界面路基填筑时必须超填50cm以上，超填部分回填施工前清除，保证界面密实；</w:t>
            </w:r>
          </w:p>
          <w:p w14:paraId="04DCD131">
            <w:pPr>
              <w:pStyle w:val="68"/>
              <w:tabs>
                <w:tab w:val="left" w:pos="360"/>
              </w:tabs>
              <w:rPr>
                <w:rFonts w:ascii="宋体" w:hAnsi="宋体" w:cs="宋体"/>
                <w:color w:val="auto"/>
                <w:sz w:val="24"/>
                <w:highlight w:val="none"/>
              </w:rPr>
            </w:pPr>
            <w:r>
              <w:rPr>
                <w:rFonts w:hint="eastAsia" w:ascii="宋体" w:hAnsi="宋体" w:cs="宋体"/>
                <w:color w:val="auto"/>
                <w:sz w:val="24"/>
                <w:highlight w:val="none"/>
              </w:rPr>
              <w:t>（4）回填砂施工采用水密法，配合插入式振捣捧小型夯实设备，小型压路机进行，必须达到设计压实度；</w:t>
            </w:r>
          </w:p>
          <w:p w14:paraId="682E1CB5">
            <w:pPr>
              <w:pStyle w:val="68"/>
              <w:tabs>
                <w:tab w:val="left" w:pos="360"/>
              </w:tabs>
              <w:rPr>
                <w:rFonts w:ascii="宋体" w:hAnsi="宋体" w:cs="宋体"/>
                <w:color w:val="auto"/>
                <w:sz w:val="24"/>
                <w:highlight w:val="none"/>
              </w:rPr>
            </w:pPr>
            <w:r>
              <w:rPr>
                <w:rFonts w:hint="eastAsia" w:ascii="宋体" w:hAnsi="宋体" w:cs="宋体"/>
                <w:color w:val="auto"/>
                <w:sz w:val="24"/>
                <w:highlight w:val="none"/>
              </w:rPr>
              <w:t xml:space="preserve"> (5)台背填料及回填断面应符合设计和规范要求。</w:t>
            </w:r>
          </w:p>
        </w:tc>
      </w:tr>
      <w:tr w14:paraId="332C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524" w:type="dxa"/>
            <w:vMerge w:val="continue"/>
            <w:vAlign w:val="center"/>
          </w:tcPr>
          <w:p w14:paraId="75236E78">
            <w:pPr>
              <w:pStyle w:val="68"/>
              <w:jc w:val="center"/>
              <w:rPr>
                <w:rFonts w:ascii="宋体" w:hAnsi="宋体" w:cs="宋体"/>
                <w:color w:val="auto"/>
                <w:sz w:val="24"/>
                <w:highlight w:val="none"/>
              </w:rPr>
            </w:pPr>
          </w:p>
        </w:tc>
        <w:tc>
          <w:tcPr>
            <w:tcW w:w="717" w:type="dxa"/>
            <w:vAlign w:val="center"/>
          </w:tcPr>
          <w:p w14:paraId="56A1E1AC">
            <w:pPr>
              <w:pStyle w:val="68"/>
              <w:jc w:val="center"/>
              <w:rPr>
                <w:rFonts w:ascii="宋体" w:hAnsi="宋体" w:cs="宋体"/>
                <w:color w:val="auto"/>
                <w:sz w:val="24"/>
                <w:highlight w:val="none"/>
              </w:rPr>
            </w:pPr>
            <w:r>
              <w:rPr>
                <w:rFonts w:hint="eastAsia" w:ascii="宋体" w:hAnsi="宋体" w:cs="宋体"/>
                <w:color w:val="auto"/>
                <w:sz w:val="24"/>
                <w:highlight w:val="none"/>
              </w:rPr>
              <w:t>19</w:t>
            </w:r>
          </w:p>
        </w:tc>
        <w:tc>
          <w:tcPr>
            <w:tcW w:w="8019" w:type="dxa"/>
            <w:vAlign w:val="center"/>
          </w:tcPr>
          <w:p w14:paraId="7DE25278">
            <w:pPr>
              <w:pStyle w:val="68"/>
              <w:ind w:firstLine="360" w:firstLineChars="150"/>
              <w:rPr>
                <w:rFonts w:ascii="宋体" w:hAnsi="宋体" w:cs="宋体"/>
                <w:color w:val="auto"/>
                <w:sz w:val="24"/>
                <w:highlight w:val="none"/>
              </w:rPr>
            </w:pPr>
            <w:r>
              <w:rPr>
                <w:rFonts w:hint="eastAsia" w:ascii="宋体" w:hAnsi="宋体" w:cs="宋体"/>
                <w:color w:val="auto"/>
                <w:sz w:val="24"/>
                <w:highlight w:val="none"/>
              </w:rPr>
              <w:t>砌体工程不满足下列规定者，每项违约金2000元，并作返工处理：</w:t>
            </w:r>
          </w:p>
          <w:p w14:paraId="68DB1DA6">
            <w:pPr>
              <w:pStyle w:val="68"/>
              <w:rPr>
                <w:rFonts w:ascii="宋体" w:hAnsi="宋体" w:cs="宋体"/>
                <w:color w:val="auto"/>
                <w:sz w:val="24"/>
                <w:highlight w:val="none"/>
              </w:rPr>
            </w:pPr>
            <w:r>
              <w:rPr>
                <w:rFonts w:hint="eastAsia" w:ascii="宋体" w:hAnsi="宋体" w:cs="宋体"/>
                <w:color w:val="auto"/>
                <w:sz w:val="24"/>
                <w:highlight w:val="none"/>
              </w:rPr>
              <w:t>（1）不得采用风化石，表面石料粒径需≥30cm；</w:t>
            </w:r>
          </w:p>
          <w:p w14:paraId="1A6C25C3">
            <w:pPr>
              <w:pStyle w:val="68"/>
              <w:rPr>
                <w:rFonts w:ascii="宋体" w:hAnsi="宋体" w:cs="宋体"/>
                <w:color w:val="auto"/>
                <w:sz w:val="24"/>
                <w:highlight w:val="none"/>
              </w:rPr>
            </w:pPr>
            <w:r>
              <w:rPr>
                <w:rFonts w:hint="eastAsia" w:ascii="宋体" w:hAnsi="宋体" w:cs="宋体"/>
                <w:color w:val="auto"/>
                <w:sz w:val="24"/>
                <w:highlight w:val="none"/>
              </w:rPr>
              <w:t>（2））构造物表面平顺，无凹凸扭曲现象，砂浆抹边的棱角线、平直度：2m拉线(直尺)检查≤l0mm；</w:t>
            </w:r>
          </w:p>
          <w:p w14:paraId="0D25306E">
            <w:pPr>
              <w:pStyle w:val="68"/>
              <w:rPr>
                <w:rFonts w:ascii="宋体" w:hAnsi="宋体" w:cs="宋体"/>
                <w:color w:val="auto"/>
                <w:sz w:val="24"/>
                <w:highlight w:val="none"/>
              </w:rPr>
            </w:pPr>
            <w:r>
              <w:rPr>
                <w:rFonts w:hint="eastAsia" w:ascii="宋体" w:hAnsi="宋体" w:cs="宋体"/>
                <w:color w:val="auto"/>
                <w:sz w:val="24"/>
                <w:highlight w:val="none"/>
              </w:rPr>
              <w:t>（3）上边坡护面墙砌体一律勾凹缝；</w:t>
            </w:r>
          </w:p>
          <w:p w14:paraId="081E55DD">
            <w:pPr>
              <w:pStyle w:val="68"/>
              <w:rPr>
                <w:rFonts w:ascii="宋体" w:hAnsi="宋体" w:cs="宋体"/>
                <w:color w:val="auto"/>
                <w:sz w:val="24"/>
                <w:highlight w:val="none"/>
              </w:rPr>
            </w:pPr>
            <w:r>
              <w:rPr>
                <w:rFonts w:hint="eastAsia" w:ascii="宋体" w:hAnsi="宋体" w:cs="宋体"/>
                <w:color w:val="auto"/>
                <w:sz w:val="24"/>
                <w:highlight w:val="none"/>
              </w:rPr>
              <w:t>（4）勾缝不得有瞎缝、丢缝、裂纹和脱落现象，缝宽统一；</w:t>
            </w:r>
          </w:p>
          <w:p w14:paraId="04B69765">
            <w:pPr>
              <w:pStyle w:val="68"/>
              <w:rPr>
                <w:rFonts w:ascii="宋体" w:hAnsi="宋体" w:cs="宋体"/>
                <w:color w:val="auto"/>
                <w:sz w:val="24"/>
                <w:highlight w:val="none"/>
              </w:rPr>
            </w:pPr>
            <w:r>
              <w:rPr>
                <w:rFonts w:hint="eastAsia" w:ascii="宋体" w:hAnsi="宋体" w:cs="宋体"/>
                <w:color w:val="auto"/>
                <w:sz w:val="24"/>
                <w:highlight w:val="none"/>
              </w:rPr>
              <w:t>（5）石缝不大于40mm，砌缝内砂浆均匀饱满，不得有空洞；</w:t>
            </w:r>
          </w:p>
          <w:p w14:paraId="205D2993">
            <w:pPr>
              <w:pStyle w:val="68"/>
              <w:rPr>
                <w:rFonts w:ascii="宋体" w:hAnsi="宋体" w:cs="宋体"/>
                <w:color w:val="auto"/>
                <w:sz w:val="24"/>
                <w:highlight w:val="none"/>
              </w:rPr>
            </w:pPr>
            <w:r>
              <w:rPr>
                <w:rFonts w:hint="eastAsia" w:ascii="宋体" w:hAnsi="宋体" w:cs="宋体"/>
                <w:color w:val="auto"/>
                <w:sz w:val="24"/>
                <w:highlight w:val="none"/>
              </w:rPr>
              <w:t>（6）层间错缝不大于80mm，三块石相接空隙不大于70mm；</w:t>
            </w:r>
          </w:p>
          <w:p w14:paraId="4FCCE3BA">
            <w:pPr>
              <w:pStyle w:val="68"/>
              <w:rPr>
                <w:rFonts w:ascii="宋体" w:hAnsi="宋体" w:cs="宋体"/>
                <w:color w:val="auto"/>
                <w:sz w:val="24"/>
                <w:highlight w:val="none"/>
              </w:rPr>
            </w:pPr>
            <w:r>
              <w:rPr>
                <w:rFonts w:hint="eastAsia" w:ascii="宋体" w:hAnsi="宋体" w:cs="宋体"/>
                <w:color w:val="auto"/>
                <w:sz w:val="24"/>
                <w:highlight w:val="none"/>
              </w:rPr>
              <w:t>（7）砂浆抹面，平整度用2m直尺检查≤8mm，不得有裂缝、空鼓现象；</w:t>
            </w:r>
          </w:p>
          <w:p w14:paraId="68179484">
            <w:pPr>
              <w:pStyle w:val="68"/>
              <w:rPr>
                <w:rFonts w:ascii="宋体" w:hAnsi="宋体" w:cs="宋体"/>
                <w:color w:val="auto"/>
                <w:sz w:val="24"/>
                <w:highlight w:val="none"/>
              </w:rPr>
            </w:pPr>
            <w:r>
              <w:rPr>
                <w:rFonts w:hint="eastAsia" w:ascii="宋体" w:hAnsi="宋体" w:cs="宋体"/>
                <w:color w:val="auto"/>
                <w:sz w:val="24"/>
                <w:highlight w:val="none"/>
              </w:rPr>
              <w:t>（8）泄水孔排列整齐、按设计设置坡度，无堵塞现象；</w:t>
            </w:r>
          </w:p>
          <w:p w14:paraId="05C06825">
            <w:pPr>
              <w:pStyle w:val="68"/>
              <w:rPr>
                <w:rFonts w:ascii="宋体" w:hAnsi="宋体" w:cs="宋体"/>
                <w:color w:val="auto"/>
                <w:sz w:val="24"/>
                <w:highlight w:val="none"/>
              </w:rPr>
            </w:pPr>
            <w:r>
              <w:rPr>
                <w:rFonts w:hint="eastAsia" w:ascii="宋体" w:hAnsi="宋体" w:cs="宋体"/>
                <w:color w:val="auto"/>
                <w:sz w:val="24"/>
                <w:highlight w:val="none"/>
              </w:rPr>
              <w:t>（9）截水沟与实际地形砌顺，要求线形顺畅，地形无变化时，不得出现弯曲。</w:t>
            </w:r>
          </w:p>
        </w:tc>
      </w:tr>
      <w:tr w14:paraId="4849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524" w:type="dxa"/>
            <w:vMerge w:val="continue"/>
            <w:vAlign w:val="center"/>
          </w:tcPr>
          <w:p w14:paraId="089FEE43">
            <w:pPr>
              <w:pStyle w:val="68"/>
              <w:jc w:val="center"/>
              <w:rPr>
                <w:rFonts w:ascii="宋体" w:hAnsi="宋体" w:cs="宋体"/>
                <w:color w:val="auto"/>
                <w:sz w:val="24"/>
                <w:highlight w:val="none"/>
              </w:rPr>
            </w:pPr>
          </w:p>
        </w:tc>
        <w:tc>
          <w:tcPr>
            <w:tcW w:w="717" w:type="dxa"/>
            <w:vAlign w:val="center"/>
          </w:tcPr>
          <w:p w14:paraId="601C04B9">
            <w:pPr>
              <w:pStyle w:val="68"/>
              <w:jc w:val="center"/>
              <w:rPr>
                <w:rFonts w:ascii="宋体" w:hAnsi="宋体" w:cs="宋体"/>
                <w:color w:val="auto"/>
                <w:sz w:val="24"/>
                <w:highlight w:val="none"/>
              </w:rPr>
            </w:pPr>
            <w:r>
              <w:rPr>
                <w:rFonts w:hint="eastAsia" w:ascii="宋体" w:hAnsi="宋体" w:cs="宋体"/>
                <w:color w:val="auto"/>
                <w:sz w:val="24"/>
                <w:highlight w:val="none"/>
              </w:rPr>
              <w:t>20</w:t>
            </w:r>
          </w:p>
        </w:tc>
        <w:tc>
          <w:tcPr>
            <w:tcW w:w="8019" w:type="dxa"/>
            <w:vAlign w:val="center"/>
          </w:tcPr>
          <w:p w14:paraId="70CA5F2B">
            <w:pPr>
              <w:pStyle w:val="68"/>
              <w:ind w:firstLine="240" w:firstLineChars="100"/>
              <w:rPr>
                <w:rFonts w:ascii="宋体" w:hAnsi="宋体" w:cs="宋体"/>
                <w:color w:val="auto"/>
                <w:sz w:val="24"/>
                <w:highlight w:val="none"/>
              </w:rPr>
            </w:pPr>
            <w:r>
              <w:rPr>
                <w:rFonts w:hint="eastAsia" w:ascii="宋体" w:hAnsi="宋体" w:cs="宋体"/>
                <w:color w:val="auto"/>
                <w:sz w:val="24"/>
                <w:highlight w:val="none"/>
              </w:rPr>
              <w:t>浆砌工程存在下列情况之一的，违约金2000元：</w:t>
            </w:r>
          </w:p>
          <w:p w14:paraId="554CC38C">
            <w:pPr>
              <w:pStyle w:val="68"/>
              <w:numPr>
                <w:ilvl w:val="0"/>
                <w:numId w:val="11"/>
              </w:numPr>
              <w:rPr>
                <w:rFonts w:ascii="宋体" w:hAnsi="宋体" w:cs="宋体"/>
                <w:color w:val="auto"/>
                <w:sz w:val="24"/>
                <w:highlight w:val="none"/>
              </w:rPr>
            </w:pPr>
            <w:r>
              <w:rPr>
                <w:rFonts w:hint="eastAsia" w:ascii="宋体" w:hAnsi="宋体" w:cs="宋体"/>
                <w:color w:val="auto"/>
                <w:sz w:val="24"/>
                <w:highlight w:val="none"/>
              </w:rPr>
              <w:t>铺砌厚度不满足要求；</w:t>
            </w:r>
          </w:p>
          <w:p w14:paraId="1081DC63">
            <w:pPr>
              <w:pStyle w:val="68"/>
              <w:numPr>
                <w:ilvl w:val="0"/>
                <w:numId w:val="11"/>
              </w:numPr>
              <w:rPr>
                <w:rFonts w:ascii="宋体" w:hAnsi="宋体" w:cs="宋体"/>
                <w:color w:val="auto"/>
                <w:sz w:val="24"/>
                <w:highlight w:val="none"/>
              </w:rPr>
            </w:pPr>
            <w:r>
              <w:rPr>
                <w:rFonts w:hint="eastAsia" w:ascii="宋体" w:hAnsi="宋体" w:cs="宋体"/>
                <w:color w:val="auto"/>
                <w:sz w:val="24"/>
                <w:highlight w:val="none"/>
              </w:rPr>
              <w:t>垫层厚度不满足要求的；</w:t>
            </w:r>
          </w:p>
          <w:p w14:paraId="5D49D36A">
            <w:pPr>
              <w:pStyle w:val="68"/>
              <w:numPr>
                <w:ilvl w:val="0"/>
                <w:numId w:val="11"/>
              </w:numPr>
              <w:rPr>
                <w:rFonts w:ascii="宋体" w:hAnsi="宋体" w:cs="宋体"/>
                <w:color w:val="auto"/>
                <w:sz w:val="24"/>
                <w:highlight w:val="none"/>
              </w:rPr>
            </w:pPr>
            <w:r>
              <w:rPr>
                <w:rFonts w:hint="eastAsia" w:ascii="宋体" w:hAnsi="宋体" w:cs="宋体"/>
                <w:color w:val="auto"/>
                <w:sz w:val="24"/>
                <w:highlight w:val="none"/>
              </w:rPr>
              <w:t>砌缝内砂浆不饱满的；</w:t>
            </w:r>
          </w:p>
          <w:p w14:paraId="2893152B">
            <w:pPr>
              <w:pStyle w:val="68"/>
              <w:numPr>
                <w:ilvl w:val="0"/>
                <w:numId w:val="11"/>
              </w:numPr>
              <w:rPr>
                <w:rFonts w:ascii="宋体" w:hAnsi="宋体" w:cs="宋体"/>
                <w:color w:val="auto"/>
                <w:sz w:val="24"/>
                <w:highlight w:val="none"/>
              </w:rPr>
            </w:pPr>
            <w:r>
              <w:rPr>
                <w:rFonts w:hint="eastAsia" w:ascii="宋体" w:hAnsi="宋体" w:cs="宋体"/>
                <w:color w:val="auto"/>
                <w:sz w:val="24"/>
                <w:highlight w:val="none"/>
              </w:rPr>
              <w:t>砂浆不采用机械拌和的</w:t>
            </w:r>
          </w:p>
          <w:p w14:paraId="6FA9E0FC">
            <w:pPr>
              <w:pStyle w:val="68"/>
              <w:numPr>
                <w:ilvl w:val="0"/>
                <w:numId w:val="11"/>
              </w:numPr>
              <w:rPr>
                <w:rFonts w:ascii="宋体" w:hAnsi="宋体" w:cs="宋体"/>
                <w:color w:val="auto"/>
                <w:sz w:val="24"/>
                <w:highlight w:val="none"/>
              </w:rPr>
            </w:pPr>
            <w:r>
              <w:rPr>
                <w:rFonts w:hint="eastAsia" w:ascii="宋体" w:hAnsi="宋体" w:cs="宋体"/>
                <w:color w:val="auto"/>
                <w:sz w:val="24"/>
                <w:highlight w:val="none"/>
              </w:rPr>
              <w:t>砌缝没有错开的：</w:t>
            </w:r>
          </w:p>
          <w:p w14:paraId="6E3AB2F2">
            <w:pPr>
              <w:pStyle w:val="68"/>
              <w:numPr>
                <w:ilvl w:val="0"/>
                <w:numId w:val="11"/>
              </w:numPr>
              <w:rPr>
                <w:rFonts w:ascii="宋体" w:hAnsi="宋体" w:cs="宋体"/>
                <w:color w:val="auto"/>
                <w:sz w:val="24"/>
                <w:highlight w:val="none"/>
              </w:rPr>
            </w:pPr>
            <w:r>
              <w:rPr>
                <w:rFonts w:hint="eastAsia" w:ascii="宋体" w:hAnsi="宋体" w:cs="宋体"/>
                <w:color w:val="auto"/>
                <w:sz w:val="24"/>
                <w:highlight w:val="none"/>
              </w:rPr>
              <w:t>砂浆强度达不到规定要求的：</w:t>
            </w:r>
          </w:p>
          <w:p w14:paraId="4E4E1FE6">
            <w:pPr>
              <w:pStyle w:val="68"/>
              <w:numPr>
                <w:ilvl w:val="0"/>
                <w:numId w:val="11"/>
              </w:numPr>
              <w:rPr>
                <w:rFonts w:ascii="宋体" w:hAnsi="宋体" w:cs="宋体"/>
                <w:color w:val="auto"/>
                <w:sz w:val="24"/>
                <w:highlight w:val="none"/>
              </w:rPr>
            </w:pPr>
            <w:r>
              <w:rPr>
                <w:rFonts w:hint="eastAsia" w:ascii="宋体" w:hAnsi="宋体" w:cs="宋体"/>
                <w:color w:val="auto"/>
                <w:sz w:val="24"/>
                <w:highlight w:val="none"/>
              </w:rPr>
              <w:t>沟底未清理干净，有浮土、泥浆等杂物的；</w:t>
            </w:r>
          </w:p>
          <w:p w14:paraId="70484561">
            <w:pPr>
              <w:pStyle w:val="68"/>
              <w:numPr>
                <w:ilvl w:val="0"/>
                <w:numId w:val="11"/>
              </w:numPr>
              <w:rPr>
                <w:rFonts w:ascii="宋体" w:hAnsi="宋体" w:cs="宋体"/>
                <w:color w:val="auto"/>
                <w:sz w:val="24"/>
                <w:highlight w:val="none"/>
              </w:rPr>
            </w:pPr>
            <w:r>
              <w:rPr>
                <w:rFonts w:hint="eastAsia" w:ascii="宋体" w:hAnsi="宋体" w:cs="宋体"/>
                <w:color w:val="auto"/>
                <w:sz w:val="24"/>
                <w:highlight w:val="none"/>
              </w:rPr>
              <w:t>施工后不进行养护的。</w:t>
            </w:r>
          </w:p>
        </w:tc>
      </w:tr>
      <w:tr w14:paraId="3BFB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14:paraId="0F52DB6D">
            <w:pPr>
              <w:pStyle w:val="68"/>
              <w:jc w:val="center"/>
              <w:rPr>
                <w:rFonts w:ascii="宋体" w:hAnsi="宋体" w:cs="宋体"/>
                <w:color w:val="auto"/>
                <w:sz w:val="24"/>
                <w:highlight w:val="none"/>
              </w:rPr>
            </w:pPr>
          </w:p>
        </w:tc>
        <w:tc>
          <w:tcPr>
            <w:tcW w:w="717" w:type="dxa"/>
            <w:tcBorders>
              <w:bottom w:val="single" w:color="auto" w:sz="4" w:space="0"/>
            </w:tcBorders>
            <w:vAlign w:val="center"/>
          </w:tcPr>
          <w:p w14:paraId="65E44D20">
            <w:pPr>
              <w:pStyle w:val="68"/>
              <w:jc w:val="center"/>
              <w:rPr>
                <w:rFonts w:ascii="宋体" w:hAnsi="宋体" w:cs="宋体"/>
                <w:color w:val="auto"/>
                <w:sz w:val="24"/>
                <w:highlight w:val="none"/>
              </w:rPr>
            </w:pPr>
            <w:r>
              <w:rPr>
                <w:rFonts w:hint="eastAsia" w:ascii="宋体" w:hAnsi="宋体" w:cs="宋体"/>
                <w:color w:val="auto"/>
                <w:sz w:val="24"/>
                <w:highlight w:val="none"/>
              </w:rPr>
              <w:t>21</w:t>
            </w:r>
          </w:p>
        </w:tc>
        <w:tc>
          <w:tcPr>
            <w:tcW w:w="8019" w:type="dxa"/>
            <w:tcBorders>
              <w:bottom w:val="single" w:color="auto" w:sz="4" w:space="0"/>
            </w:tcBorders>
            <w:vAlign w:val="center"/>
          </w:tcPr>
          <w:p w14:paraId="1EE19D41">
            <w:pPr>
              <w:pStyle w:val="68"/>
              <w:rPr>
                <w:rFonts w:ascii="宋体" w:hAnsi="宋体" w:cs="宋体"/>
                <w:color w:val="auto"/>
                <w:sz w:val="24"/>
                <w:highlight w:val="none"/>
              </w:rPr>
            </w:pPr>
            <w:r>
              <w:rPr>
                <w:rFonts w:hint="eastAsia" w:ascii="宋体" w:hAnsi="宋体" w:cs="宋体"/>
                <w:color w:val="auto"/>
                <w:sz w:val="24"/>
                <w:highlight w:val="none"/>
              </w:rPr>
              <w:t>排水盲沟断面不符合设计要求，回填碎石含泥量超标的，土工布铺设不符合要求的，违者每处违约金2000元</w:t>
            </w:r>
          </w:p>
        </w:tc>
      </w:tr>
    </w:tbl>
    <w:p w14:paraId="027B06C9">
      <w:pPr>
        <w:pStyle w:val="68"/>
        <w:rPr>
          <w:rFonts w:ascii="宋体" w:hAnsi="宋体" w:cs="宋体"/>
          <w:color w:val="auto"/>
          <w:sz w:val="24"/>
          <w:highlight w:val="none"/>
        </w:rPr>
      </w:pPr>
    </w:p>
    <w:p w14:paraId="31D946EB">
      <w:pPr>
        <w:pStyle w:val="68"/>
        <w:rPr>
          <w:rFonts w:ascii="宋体" w:hAnsi="宋体" w:cs="宋体"/>
          <w:color w:val="auto"/>
          <w:sz w:val="24"/>
          <w:highlight w:val="none"/>
        </w:rPr>
      </w:pPr>
    </w:p>
    <w:p w14:paraId="139C18F5">
      <w:pPr>
        <w:pStyle w:val="68"/>
        <w:rPr>
          <w:rFonts w:ascii="宋体" w:hAnsi="宋体" w:cs="宋体"/>
          <w:color w:val="auto"/>
          <w:sz w:val="24"/>
          <w:highlight w:val="none"/>
        </w:rPr>
      </w:pPr>
    </w:p>
    <w:p w14:paraId="4DE3F264">
      <w:pPr>
        <w:pStyle w:val="68"/>
        <w:rPr>
          <w:rFonts w:ascii="宋体" w:hAnsi="宋体" w:cs="宋体"/>
          <w:color w:val="auto"/>
          <w:sz w:val="24"/>
          <w:highlight w:val="none"/>
        </w:rPr>
      </w:pPr>
    </w:p>
    <w:p w14:paraId="63928BA4">
      <w:pPr>
        <w:pStyle w:val="68"/>
        <w:rPr>
          <w:rFonts w:ascii="宋体" w:hAnsi="宋体" w:cs="宋体"/>
          <w:color w:val="auto"/>
          <w:sz w:val="24"/>
          <w:highlight w:val="none"/>
        </w:rPr>
      </w:pPr>
    </w:p>
    <w:p w14:paraId="3E8402D3">
      <w:pPr>
        <w:pStyle w:val="68"/>
        <w:jc w:val="righ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续上表</w:t>
      </w:r>
    </w:p>
    <w:tbl>
      <w:tblPr>
        <w:tblStyle w:val="42"/>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14:paraId="3C6C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64C0F976">
            <w:pPr>
              <w:pStyle w:val="68"/>
              <w:jc w:val="center"/>
              <w:rPr>
                <w:rFonts w:ascii="宋体" w:hAnsi="宋体" w:cs="宋体"/>
                <w:color w:val="auto"/>
                <w:sz w:val="24"/>
                <w:highlight w:val="none"/>
              </w:rPr>
            </w:pPr>
            <w:r>
              <w:rPr>
                <w:rFonts w:hint="eastAsia" w:ascii="宋体" w:hAnsi="宋体" w:cs="宋体"/>
                <w:color w:val="auto"/>
                <w:sz w:val="24"/>
                <w:highlight w:val="none"/>
              </w:rPr>
              <w:t>桥</w:t>
            </w:r>
          </w:p>
          <w:p w14:paraId="23AC33D2">
            <w:pPr>
              <w:pStyle w:val="68"/>
              <w:jc w:val="center"/>
              <w:rPr>
                <w:rFonts w:ascii="宋体" w:hAnsi="宋体" w:cs="宋体"/>
                <w:color w:val="auto"/>
                <w:sz w:val="24"/>
                <w:highlight w:val="none"/>
              </w:rPr>
            </w:pPr>
            <w:r>
              <w:rPr>
                <w:rFonts w:hint="eastAsia" w:ascii="宋体" w:hAnsi="宋体" w:cs="宋体"/>
                <w:color w:val="auto"/>
                <w:sz w:val="24"/>
                <w:highlight w:val="none"/>
              </w:rPr>
              <w:t>涵</w:t>
            </w:r>
          </w:p>
          <w:p w14:paraId="4CA8B746">
            <w:pPr>
              <w:pStyle w:val="68"/>
              <w:jc w:val="center"/>
              <w:rPr>
                <w:rFonts w:ascii="宋体" w:hAnsi="宋体" w:cs="宋体"/>
                <w:color w:val="auto"/>
                <w:sz w:val="24"/>
                <w:highlight w:val="none"/>
              </w:rPr>
            </w:pPr>
            <w:r>
              <w:rPr>
                <w:rFonts w:hint="eastAsia" w:ascii="宋体" w:hAnsi="宋体" w:cs="宋体"/>
                <w:color w:val="auto"/>
                <w:sz w:val="24"/>
                <w:highlight w:val="none"/>
              </w:rPr>
              <w:t>工</w:t>
            </w:r>
          </w:p>
          <w:p w14:paraId="608D3965">
            <w:pPr>
              <w:pStyle w:val="68"/>
              <w:jc w:val="center"/>
              <w:rPr>
                <w:rFonts w:ascii="宋体" w:hAnsi="宋体" w:cs="宋体"/>
                <w:color w:val="auto"/>
                <w:sz w:val="24"/>
                <w:highlight w:val="none"/>
              </w:rPr>
            </w:pPr>
            <w:r>
              <w:rPr>
                <w:rFonts w:hint="eastAsia" w:ascii="宋体" w:hAnsi="宋体" w:cs="宋体"/>
                <w:color w:val="auto"/>
                <w:sz w:val="24"/>
                <w:highlight w:val="none"/>
              </w:rPr>
              <w:t>程</w:t>
            </w:r>
          </w:p>
        </w:tc>
        <w:tc>
          <w:tcPr>
            <w:tcW w:w="518" w:type="dxa"/>
            <w:vAlign w:val="center"/>
          </w:tcPr>
          <w:p w14:paraId="329CB28D">
            <w:pPr>
              <w:pStyle w:val="68"/>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8062" w:type="dxa"/>
            <w:vAlign w:val="center"/>
          </w:tcPr>
          <w:p w14:paraId="34C022D6">
            <w:pPr>
              <w:pStyle w:val="68"/>
              <w:rPr>
                <w:rFonts w:ascii="宋体" w:hAnsi="宋体" w:cs="宋体"/>
                <w:color w:val="auto"/>
                <w:sz w:val="24"/>
                <w:highlight w:val="none"/>
              </w:rPr>
            </w:pPr>
            <w:r>
              <w:rPr>
                <w:rFonts w:hint="eastAsia" w:ascii="宋体" w:hAnsi="宋体" w:cs="宋体"/>
                <w:color w:val="auto"/>
                <w:sz w:val="24"/>
                <w:highlight w:val="none"/>
              </w:rPr>
              <w:t>防撞栏出现大量麻面；线形有明显波折、错台；墙角或接缝漏浆；表面多处露筋，每十米违约金2000元。</w:t>
            </w:r>
          </w:p>
        </w:tc>
      </w:tr>
      <w:tr w14:paraId="4CFE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14:paraId="71AB60E5">
            <w:pPr>
              <w:pStyle w:val="68"/>
              <w:rPr>
                <w:rFonts w:ascii="宋体" w:hAnsi="宋体" w:cs="宋体"/>
                <w:color w:val="auto"/>
                <w:sz w:val="28"/>
                <w:szCs w:val="28"/>
                <w:highlight w:val="none"/>
              </w:rPr>
            </w:pPr>
          </w:p>
        </w:tc>
        <w:tc>
          <w:tcPr>
            <w:tcW w:w="518" w:type="dxa"/>
            <w:vAlign w:val="center"/>
          </w:tcPr>
          <w:p w14:paraId="3D3FF195">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4088EE6B">
            <w:pPr>
              <w:pStyle w:val="68"/>
              <w:rPr>
                <w:rFonts w:ascii="宋体" w:hAnsi="宋体" w:cs="宋体"/>
                <w:color w:val="auto"/>
                <w:sz w:val="24"/>
                <w:highlight w:val="none"/>
              </w:rPr>
            </w:pPr>
            <w:r>
              <w:rPr>
                <w:rFonts w:hint="eastAsia" w:ascii="宋体" w:hAnsi="宋体" w:cs="宋体"/>
                <w:color w:val="auto"/>
                <w:sz w:val="24"/>
                <w:highlight w:val="none"/>
              </w:rPr>
              <w:t>构造物不按要求进行养生的，每处违约金2000元。</w:t>
            </w:r>
          </w:p>
        </w:tc>
      </w:tr>
      <w:tr w14:paraId="323A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14:paraId="5312E707">
            <w:pPr>
              <w:pStyle w:val="68"/>
              <w:rPr>
                <w:rFonts w:ascii="宋体" w:hAnsi="宋体" w:cs="宋体"/>
                <w:color w:val="auto"/>
                <w:sz w:val="28"/>
                <w:szCs w:val="28"/>
                <w:highlight w:val="none"/>
              </w:rPr>
            </w:pPr>
          </w:p>
        </w:tc>
        <w:tc>
          <w:tcPr>
            <w:tcW w:w="518" w:type="dxa"/>
            <w:vAlign w:val="center"/>
          </w:tcPr>
          <w:p w14:paraId="3F650228">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768DED8F">
            <w:pPr>
              <w:pStyle w:val="68"/>
              <w:rPr>
                <w:rFonts w:ascii="宋体" w:hAnsi="宋体" w:cs="宋体"/>
                <w:color w:val="auto"/>
                <w:sz w:val="24"/>
                <w:highlight w:val="none"/>
              </w:rPr>
            </w:pPr>
            <w:r>
              <w:rPr>
                <w:rFonts w:hint="eastAsia" w:ascii="宋体" w:hAnsi="宋体" w:cs="宋体"/>
                <w:color w:val="auto"/>
                <w:sz w:val="24"/>
                <w:highlight w:val="none"/>
              </w:rPr>
              <w:t>构造物施工未采取措施保证钢筋保护层厚度就浇筑砼的，每次违约金2000元。</w:t>
            </w:r>
          </w:p>
        </w:tc>
      </w:tr>
      <w:tr w14:paraId="4AC6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B80D81B">
            <w:pPr>
              <w:pStyle w:val="68"/>
              <w:rPr>
                <w:rFonts w:ascii="宋体" w:hAnsi="宋体" w:cs="宋体"/>
                <w:color w:val="auto"/>
                <w:sz w:val="28"/>
                <w:szCs w:val="28"/>
                <w:highlight w:val="none"/>
              </w:rPr>
            </w:pPr>
          </w:p>
        </w:tc>
        <w:tc>
          <w:tcPr>
            <w:tcW w:w="518" w:type="dxa"/>
            <w:vAlign w:val="center"/>
          </w:tcPr>
          <w:p w14:paraId="002E0FBB">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53E01D38">
            <w:pPr>
              <w:pStyle w:val="68"/>
              <w:rPr>
                <w:rFonts w:ascii="宋体" w:hAnsi="宋体" w:cs="宋体"/>
                <w:color w:val="auto"/>
                <w:sz w:val="24"/>
                <w:highlight w:val="none"/>
              </w:rPr>
            </w:pPr>
            <w:r>
              <w:rPr>
                <w:rFonts w:hint="eastAsia" w:ascii="宋体" w:hAnsi="宋体" w:cs="宋体"/>
                <w:color w:val="auto"/>
                <w:sz w:val="24"/>
                <w:highlight w:val="none"/>
              </w:rPr>
              <w:t>下列情况，违者每次违约金2000元：</w:t>
            </w:r>
          </w:p>
          <w:p w14:paraId="0BF86070">
            <w:pPr>
              <w:pStyle w:val="68"/>
              <w:numPr>
                <w:ilvl w:val="0"/>
                <w:numId w:val="12"/>
              </w:numPr>
              <w:rPr>
                <w:rFonts w:ascii="宋体" w:hAnsi="宋体" w:cs="宋体"/>
                <w:color w:val="auto"/>
                <w:sz w:val="24"/>
                <w:highlight w:val="none"/>
              </w:rPr>
            </w:pPr>
            <w:r>
              <w:rPr>
                <w:rFonts w:hint="eastAsia" w:ascii="宋体" w:hAnsi="宋体" w:cs="宋体"/>
                <w:color w:val="auto"/>
                <w:sz w:val="24"/>
                <w:highlight w:val="none"/>
              </w:rPr>
              <w:t>伸缩缝位置必须保证满足设计要求，安装时必须按气温来确定安装宽度；</w:t>
            </w:r>
          </w:p>
          <w:p w14:paraId="71F62CBB">
            <w:pPr>
              <w:pStyle w:val="68"/>
              <w:numPr>
                <w:ilvl w:val="0"/>
                <w:numId w:val="12"/>
              </w:numPr>
              <w:rPr>
                <w:rFonts w:ascii="宋体" w:hAnsi="宋体" w:cs="宋体"/>
                <w:color w:val="auto"/>
                <w:sz w:val="24"/>
                <w:highlight w:val="none"/>
              </w:rPr>
            </w:pPr>
            <w:r>
              <w:rPr>
                <w:rFonts w:hint="eastAsia" w:ascii="宋体" w:hAnsi="宋体" w:cs="宋体"/>
                <w:color w:val="auto"/>
                <w:sz w:val="24"/>
                <w:highlight w:val="none"/>
              </w:rPr>
              <w:t>预留槽口底面的砼必须密实、平整；</w:t>
            </w:r>
          </w:p>
          <w:p w14:paraId="10B8969E">
            <w:pPr>
              <w:pStyle w:val="68"/>
              <w:numPr>
                <w:ilvl w:val="0"/>
                <w:numId w:val="12"/>
              </w:numPr>
              <w:rPr>
                <w:rFonts w:ascii="宋体" w:hAnsi="宋体" w:cs="宋体"/>
                <w:color w:val="auto"/>
                <w:sz w:val="24"/>
                <w:highlight w:val="none"/>
              </w:rPr>
            </w:pPr>
            <w:r>
              <w:rPr>
                <w:rFonts w:hint="eastAsia" w:ascii="宋体" w:hAnsi="宋体" w:cs="宋体"/>
                <w:color w:val="auto"/>
                <w:sz w:val="24"/>
                <w:highlight w:val="none"/>
              </w:rPr>
              <w:t>在填充前必须保证干净，不得有杂物。</w:t>
            </w:r>
          </w:p>
        </w:tc>
      </w:tr>
      <w:tr w14:paraId="7B60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30BE4AA">
            <w:pPr>
              <w:pStyle w:val="68"/>
              <w:rPr>
                <w:rFonts w:ascii="宋体" w:hAnsi="宋体" w:cs="宋体"/>
                <w:color w:val="auto"/>
                <w:sz w:val="28"/>
                <w:szCs w:val="28"/>
                <w:highlight w:val="none"/>
              </w:rPr>
            </w:pPr>
          </w:p>
        </w:tc>
        <w:tc>
          <w:tcPr>
            <w:tcW w:w="518" w:type="dxa"/>
            <w:vAlign w:val="center"/>
          </w:tcPr>
          <w:p w14:paraId="20BBDAFA">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14:paraId="1F403AC4">
            <w:pPr>
              <w:pStyle w:val="68"/>
              <w:rPr>
                <w:rFonts w:ascii="宋体" w:hAnsi="宋体" w:cs="宋体"/>
                <w:color w:val="auto"/>
                <w:sz w:val="24"/>
                <w:highlight w:val="none"/>
              </w:rPr>
            </w:pPr>
            <w:r>
              <w:rPr>
                <w:rFonts w:hint="eastAsia" w:ascii="宋体" w:hAnsi="宋体" w:cs="宋体"/>
                <w:color w:val="auto"/>
                <w:sz w:val="24"/>
                <w:highlight w:val="none"/>
              </w:rPr>
              <w:t>张拉千斤顶没有按规范要求标定，造成拉力不符设计要求的，每次违约金2000元。</w:t>
            </w:r>
          </w:p>
        </w:tc>
      </w:tr>
      <w:tr w14:paraId="21D4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14:paraId="07CEB1AD">
            <w:pPr>
              <w:pStyle w:val="68"/>
              <w:rPr>
                <w:rFonts w:ascii="宋体" w:hAnsi="宋体" w:cs="宋体"/>
                <w:color w:val="auto"/>
                <w:sz w:val="28"/>
                <w:szCs w:val="28"/>
                <w:highlight w:val="none"/>
              </w:rPr>
            </w:pPr>
          </w:p>
        </w:tc>
        <w:tc>
          <w:tcPr>
            <w:tcW w:w="518" w:type="dxa"/>
            <w:vAlign w:val="center"/>
          </w:tcPr>
          <w:p w14:paraId="45F8D4A1">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14:paraId="0E8CE642">
            <w:pPr>
              <w:pStyle w:val="68"/>
              <w:rPr>
                <w:rFonts w:ascii="宋体" w:hAnsi="宋体" w:cs="宋体"/>
                <w:color w:val="auto"/>
                <w:sz w:val="24"/>
                <w:highlight w:val="none"/>
              </w:rPr>
            </w:pPr>
            <w:r>
              <w:rPr>
                <w:rFonts w:hint="eastAsia" w:ascii="宋体" w:hAnsi="宋体" w:cs="宋体"/>
                <w:color w:val="auto"/>
                <w:sz w:val="24"/>
                <w:highlight w:val="none"/>
              </w:rPr>
              <w:t>预应力筋有烧伤或划伤，必须立即撤换，违者每次违约金5000元。</w:t>
            </w:r>
          </w:p>
        </w:tc>
      </w:tr>
      <w:tr w14:paraId="51D3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14:paraId="2EEDFDB3">
            <w:pPr>
              <w:pStyle w:val="68"/>
              <w:rPr>
                <w:rFonts w:ascii="宋体" w:hAnsi="宋体" w:cs="宋体"/>
                <w:color w:val="auto"/>
                <w:sz w:val="28"/>
                <w:szCs w:val="28"/>
                <w:highlight w:val="none"/>
              </w:rPr>
            </w:pPr>
          </w:p>
        </w:tc>
        <w:tc>
          <w:tcPr>
            <w:tcW w:w="518" w:type="dxa"/>
            <w:vAlign w:val="center"/>
          </w:tcPr>
          <w:p w14:paraId="0E9B04BE">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14:paraId="06BAC23A">
            <w:pPr>
              <w:pStyle w:val="68"/>
              <w:rPr>
                <w:rFonts w:ascii="宋体" w:hAnsi="宋体" w:cs="宋体"/>
                <w:color w:val="auto"/>
                <w:sz w:val="24"/>
                <w:highlight w:val="none"/>
              </w:rPr>
            </w:pPr>
            <w:r>
              <w:rPr>
                <w:rFonts w:hint="eastAsia" w:ascii="宋体" w:hAnsi="宋体" w:cs="宋体"/>
                <w:color w:val="auto"/>
                <w:sz w:val="24"/>
                <w:highlight w:val="none"/>
              </w:rPr>
              <w:t>预应力筋因施工不当造成断丝且无法补救时，每次违约金8000元。</w:t>
            </w:r>
          </w:p>
        </w:tc>
      </w:tr>
      <w:tr w14:paraId="0B97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FAB3783">
            <w:pPr>
              <w:pStyle w:val="68"/>
              <w:rPr>
                <w:rFonts w:ascii="宋体" w:hAnsi="宋体" w:cs="宋体"/>
                <w:color w:val="auto"/>
                <w:sz w:val="28"/>
                <w:szCs w:val="28"/>
                <w:highlight w:val="none"/>
              </w:rPr>
            </w:pPr>
          </w:p>
        </w:tc>
        <w:tc>
          <w:tcPr>
            <w:tcW w:w="518" w:type="dxa"/>
            <w:vAlign w:val="center"/>
          </w:tcPr>
          <w:p w14:paraId="48D10797">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14:paraId="2E728494">
            <w:pPr>
              <w:pStyle w:val="68"/>
              <w:rPr>
                <w:rFonts w:ascii="宋体" w:hAnsi="宋体" w:cs="宋体"/>
                <w:color w:val="auto"/>
                <w:sz w:val="24"/>
                <w:highlight w:val="none"/>
              </w:rPr>
            </w:pPr>
            <w:r>
              <w:rPr>
                <w:rFonts w:hint="eastAsia" w:ascii="宋体" w:hAnsi="宋体" w:cs="宋体"/>
                <w:color w:val="auto"/>
                <w:sz w:val="24"/>
                <w:highlight w:val="none"/>
              </w:rPr>
              <w:t>预制梁施工必须符合设计要求，吊装位置准确，标高误差±lcm，违者违约金2000元。</w:t>
            </w:r>
          </w:p>
        </w:tc>
      </w:tr>
      <w:tr w14:paraId="0558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D5E9641">
            <w:pPr>
              <w:pStyle w:val="68"/>
              <w:rPr>
                <w:rFonts w:ascii="宋体" w:hAnsi="宋体" w:cs="宋体"/>
                <w:color w:val="auto"/>
                <w:sz w:val="28"/>
                <w:szCs w:val="28"/>
                <w:highlight w:val="none"/>
              </w:rPr>
            </w:pPr>
          </w:p>
        </w:tc>
        <w:tc>
          <w:tcPr>
            <w:tcW w:w="518" w:type="dxa"/>
            <w:vAlign w:val="center"/>
          </w:tcPr>
          <w:p w14:paraId="5C1D571E">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vAlign w:val="center"/>
          </w:tcPr>
          <w:p w14:paraId="3011E5BA">
            <w:pPr>
              <w:pStyle w:val="68"/>
              <w:rPr>
                <w:rFonts w:ascii="宋体" w:hAnsi="宋体" w:cs="宋体"/>
                <w:color w:val="auto"/>
                <w:sz w:val="24"/>
                <w:highlight w:val="none"/>
              </w:rPr>
            </w:pPr>
            <w:r>
              <w:rPr>
                <w:rFonts w:hint="eastAsia" w:ascii="宋体" w:hAnsi="宋体" w:cs="宋体"/>
                <w:color w:val="auto"/>
                <w:sz w:val="24"/>
                <w:highlight w:val="none"/>
              </w:rPr>
              <w:t xml:space="preserve">一个经过自检的钢筋骨架中钢筋焊接长度不足及焊缝不饱满超过3处的，违约金 2000元。 </w:t>
            </w:r>
          </w:p>
        </w:tc>
      </w:tr>
      <w:tr w14:paraId="3377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4E14B4D">
            <w:pPr>
              <w:pStyle w:val="68"/>
              <w:rPr>
                <w:rFonts w:ascii="宋体" w:hAnsi="宋体" w:cs="宋体"/>
                <w:color w:val="auto"/>
                <w:sz w:val="28"/>
                <w:szCs w:val="28"/>
                <w:highlight w:val="none"/>
              </w:rPr>
            </w:pPr>
          </w:p>
        </w:tc>
        <w:tc>
          <w:tcPr>
            <w:tcW w:w="518" w:type="dxa"/>
            <w:vAlign w:val="center"/>
          </w:tcPr>
          <w:p w14:paraId="789E8A73">
            <w:pPr>
              <w:pStyle w:val="68"/>
              <w:jc w:val="center"/>
              <w:rPr>
                <w:rFonts w:ascii="宋体" w:hAnsi="宋体" w:cs="宋体"/>
                <w:color w:val="auto"/>
                <w:sz w:val="24"/>
                <w:highlight w:val="none"/>
              </w:rPr>
            </w:pPr>
            <w:r>
              <w:rPr>
                <w:rFonts w:hint="eastAsia" w:ascii="宋体" w:hAnsi="宋体" w:cs="宋体"/>
                <w:color w:val="auto"/>
                <w:sz w:val="24"/>
                <w:highlight w:val="none"/>
              </w:rPr>
              <w:t>10</w:t>
            </w:r>
          </w:p>
        </w:tc>
        <w:tc>
          <w:tcPr>
            <w:tcW w:w="8062" w:type="dxa"/>
            <w:vAlign w:val="center"/>
          </w:tcPr>
          <w:p w14:paraId="06137C24">
            <w:pPr>
              <w:pStyle w:val="68"/>
              <w:rPr>
                <w:rFonts w:ascii="宋体" w:hAnsi="宋体" w:cs="宋体"/>
                <w:color w:val="auto"/>
                <w:sz w:val="24"/>
                <w:highlight w:val="none"/>
              </w:rPr>
            </w:pPr>
            <w:r>
              <w:rPr>
                <w:rFonts w:hint="eastAsia" w:ascii="宋体" w:hAnsi="宋体" w:cs="宋体"/>
                <w:color w:val="auto"/>
                <w:sz w:val="24"/>
                <w:highlight w:val="none"/>
              </w:rPr>
              <w:t>一个经过自检的钢筋骨架有3处钢筋间距(包括土筋和构造筋)不符合规范要求的违约金2000元。</w:t>
            </w:r>
          </w:p>
        </w:tc>
      </w:tr>
      <w:tr w14:paraId="023B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14:paraId="52EAF248">
            <w:pPr>
              <w:pStyle w:val="68"/>
              <w:rPr>
                <w:rFonts w:ascii="宋体" w:hAnsi="宋体" w:cs="宋体"/>
                <w:color w:val="auto"/>
                <w:sz w:val="28"/>
                <w:szCs w:val="28"/>
                <w:highlight w:val="none"/>
              </w:rPr>
            </w:pPr>
          </w:p>
        </w:tc>
        <w:tc>
          <w:tcPr>
            <w:tcW w:w="518" w:type="dxa"/>
            <w:vAlign w:val="center"/>
          </w:tcPr>
          <w:p w14:paraId="540E4F00">
            <w:pPr>
              <w:pStyle w:val="68"/>
              <w:jc w:val="center"/>
              <w:rPr>
                <w:rFonts w:ascii="宋体" w:hAnsi="宋体" w:cs="宋体"/>
                <w:color w:val="auto"/>
                <w:sz w:val="24"/>
                <w:highlight w:val="none"/>
              </w:rPr>
            </w:pPr>
            <w:r>
              <w:rPr>
                <w:rFonts w:hint="eastAsia" w:ascii="宋体" w:hAnsi="宋体" w:cs="宋体"/>
                <w:color w:val="auto"/>
                <w:sz w:val="24"/>
                <w:highlight w:val="none"/>
              </w:rPr>
              <w:t>11</w:t>
            </w:r>
          </w:p>
        </w:tc>
        <w:tc>
          <w:tcPr>
            <w:tcW w:w="8062" w:type="dxa"/>
            <w:vAlign w:val="center"/>
          </w:tcPr>
          <w:p w14:paraId="7CF953A6">
            <w:pPr>
              <w:pStyle w:val="68"/>
              <w:rPr>
                <w:rFonts w:ascii="宋体" w:hAnsi="宋体" w:cs="宋体"/>
                <w:color w:val="auto"/>
                <w:sz w:val="24"/>
                <w:highlight w:val="none"/>
              </w:rPr>
            </w:pPr>
            <w:r>
              <w:rPr>
                <w:rFonts w:hint="eastAsia" w:ascii="宋体" w:hAnsi="宋体" w:cs="宋体"/>
                <w:color w:val="auto"/>
                <w:sz w:val="24"/>
                <w:highlight w:val="none"/>
              </w:rPr>
              <w:t>钢筋骨架己生锈，在浇筑砼前未作去锈处理的，每次违约金2000元。</w:t>
            </w:r>
          </w:p>
        </w:tc>
      </w:tr>
      <w:tr w14:paraId="6810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EEE8A27">
            <w:pPr>
              <w:pStyle w:val="68"/>
              <w:rPr>
                <w:rFonts w:ascii="宋体" w:hAnsi="宋体" w:cs="宋体"/>
                <w:color w:val="auto"/>
                <w:sz w:val="28"/>
                <w:szCs w:val="28"/>
                <w:highlight w:val="none"/>
              </w:rPr>
            </w:pPr>
          </w:p>
        </w:tc>
        <w:tc>
          <w:tcPr>
            <w:tcW w:w="518" w:type="dxa"/>
            <w:vAlign w:val="center"/>
          </w:tcPr>
          <w:p w14:paraId="45A08026">
            <w:pPr>
              <w:pStyle w:val="68"/>
              <w:jc w:val="center"/>
              <w:rPr>
                <w:rFonts w:ascii="宋体" w:hAnsi="宋体" w:cs="宋体"/>
                <w:color w:val="auto"/>
                <w:sz w:val="24"/>
                <w:highlight w:val="none"/>
              </w:rPr>
            </w:pPr>
            <w:r>
              <w:rPr>
                <w:rFonts w:hint="eastAsia" w:ascii="宋体" w:hAnsi="宋体" w:cs="宋体"/>
                <w:color w:val="auto"/>
                <w:sz w:val="24"/>
                <w:highlight w:val="none"/>
              </w:rPr>
              <w:t>12</w:t>
            </w:r>
          </w:p>
        </w:tc>
        <w:tc>
          <w:tcPr>
            <w:tcW w:w="8062" w:type="dxa"/>
            <w:vAlign w:val="center"/>
          </w:tcPr>
          <w:p w14:paraId="3085FAB4">
            <w:pPr>
              <w:pStyle w:val="68"/>
              <w:rPr>
                <w:rFonts w:ascii="宋体" w:hAnsi="宋体" w:cs="宋体"/>
                <w:color w:val="auto"/>
                <w:sz w:val="24"/>
                <w:highlight w:val="none"/>
              </w:rPr>
            </w:pPr>
            <w:r>
              <w:rPr>
                <w:rFonts w:hint="eastAsia" w:ascii="宋体" w:hAnsi="宋体" w:cs="宋体"/>
                <w:color w:val="auto"/>
                <w:sz w:val="24"/>
                <w:highlight w:val="none"/>
              </w:rPr>
              <w:t>在钻孔桩的施工中泥浆循环系统未设沉淀池的，或沉淀池规格不符合有关要求的，每处违约金2000元。</w:t>
            </w:r>
          </w:p>
        </w:tc>
      </w:tr>
      <w:tr w14:paraId="151E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E09C6E9">
            <w:pPr>
              <w:pStyle w:val="68"/>
              <w:rPr>
                <w:rFonts w:ascii="宋体" w:hAnsi="宋体" w:cs="宋体"/>
                <w:color w:val="auto"/>
                <w:sz w:val="28"/>
                <w:szCs w:val="28"/>
                <w:highlight w:val="none"/>
              </w:rPr>
            </w:pPr>
          </w:p>
        </w:tc>
        <w:tc>
          <w:tcPr>
            <w:tcW w:w="518" w:type="dxa"/>
            <w:vAlign w:val="center"/>
          </w:tcPr>
          <w:p w14:paraId="10742D7F">
            <w:pPr>
              <w:pStyle w:val="68"/>
              <w:jc w:val="center"/>
              <w:rPr>
                <w:rFonts w:ascii="宋体" w:hAnsi="宋体" w:cs="宋体"/>
                <w:color w:val="auto"/>
                <w:sz w:val="24"/>
                <w:highlight w:val="none"/>
              </w:rPr>
            </w:pPr>
            <w:r>
              <w:rPr>
                <w:rFonts w:hint="eastAsia" w:ascii="宋体" w:hAnsi="宋体" w:cs="宋体"/>
                <w:color w:val="auto"/>
                <w:sz w:val="24"/>
                <w:highlight w:val="none"/>
              </w:rPr>
              <w:t>13</w:t>
            </w:r>
          </w:p>
        </w:tc>
        <w:tc>
          <w:tcPr>
            <w:tcW w:w="8062" w:type="dxa"/>
            <w:vAlign w:val="center"/>
          </w:tcPr>
          <w:p w14:paraId="39751C4F">
            <w:pPr>
              <w:pStyle w:val="68"/>
              <w:rPr>
                <w:rFonts w:ascii="宋体" w:hAnsi="宋体" w:cs="宋体"/>
                <w:color w:val="auto"/>
                <w:sz w:val="24"/>
                <w:highlight w:val="none"/>
              </w:rPr>
            </w:pPr>
            <w:r>
              <w:rPr>
                <w:rFonts w:hint="eastAsia" w:ascii="宋体" w:hAnsi="宋体" w:cs="宋体"/>
                <w:color w:val="auto"/>
                <w:sz w:val="24"/>
                <w:highlight w:val="none"/>
              </w:rPr>
              <w:t>桩基检测评定为C类桩的，每根违约金2000元，出现不合格桩的，每根违约金5000元。</w:t>
            </w:r>
          </w:p>
        </w:tc>
      </w:tr>
      <w:tr w14:paraId="30D6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14:paraId="2BD1ACCE">
            <w:pPr>
              <w:pStyle w:val="68"/>
              <w:rPr>
                <w:rFonts w:ascii="宋体" w:hAnsi="宋体" w:cs="宋体"/>
                <w:color w:val="auto"/>
                <w:sz w:val="28"/>
                <w:szCs w:val="28"/>
                <w:highlight w:val="none"/>
              </w:rPr>
            </w:pPr>
          </w:p>
        </w:tc>
        <w:tc>
          <w:tcPr>
            <w:tcW w:w="518" w:type="dxa"/>
            <w:vAlign w:val="center"/>
          </w:tcPr>
          <w:p w14:paraId="1652FDD4">
            <w:pPr>
              <w:pStyle w:val="68"/>
              <w:jc w:val="center"/>
              <w:rPr>
                <w:rFonts w:ascii="宋体" w:hAnsi="宋体" w:cs="宋体"/>
                <w:color w:val="auto"/>
                <w:sz w:val="24"/>
                <w:highlight w:val="none"/>
              </w:rPr>
            </w:pPr>
            <w:r>
              <w:rPr>
                <w:rFonts w:hint="eastAsia" w:ascii="宋体" w:hAnsi="宋体" w:cs="宋体"/>
                <w:color w:val="auto"/>
                <w:sz w:val="24"/>
                <w:highlight w:val="none"/>
              </w:rPr>
              <w:t>14</w:t>
            </w:r>
          </w:p>
        </w:tc>
        <w:tc>
          <w:tcPr>
            <w:tcW w:w="8062" w:type="dxa"/>
            <w:vAlign w:val="center"/>
          </w:tcPr>
          <w:p w14:paraId="61693BC2">
            <w:pPr>
              <w:pStyle w:val="68"/>
              <w:rPr>
                <w:rFonts w:ascii="宋体" w:hAnsi="宋体" w:cs="宋体"/>
                <w:color w:val="auto"/>
                <w:sz w:val="24"/>
                <w:highlight w:val="none"/>
              </w:rPr>
            </w:pPr>
            <w:r>
              <w:rPr>
                <w:rFonts w:hint="eastAsia" w:ascii="宋体" w:hAnsi="宋体" w:cs="宋体"/>
                <w:color w:val="auto"/>
                <w:sz w:val="24"/>
                <w:highlight w:val="none"/>
              </w:rPr>
              <w:t>浇注砼时，自由下落高度超过2m而不用串筒的，每次违约金2000元。</w:t>
            </w:r>
          </w:p>
        </w:tc>
      </w:tr>
      <w:tr w14:paraId="498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14:paraId="78311748">
            <w:pPr>
              <w:pStyle w:val="68"/>
              <w:rPr>
                <w:rFonts w:ascii="宋体" w:hAnsi="宋体" w:cs="宋体"/>
                <w:color w:val="auto"/>
                <w:sz w:val="28"/>
                <w:szCs w:val="28"/>
                <w:highlight w:val="none"/>
              </w:rPr>
            </w:pPr>
          </w:p>
        </w:tc>
        <w:tc>
          <w:tcPr>
            <w:tcW w:w="518" w:type="dxa"/>
            <w:vAlign w:val="center"/>
          </w:tcPr>
          <w:p w14:paraId="5F32A725">
            <w:pPr>
              <w:pStyle w:val="68"/>
              <w:jc w:val="center"/>
              <w:rPr>
                <w:rFonts w:ascii="宋体" w:hAnsi="宋体" w:cs="宋体"/>
                <w:color w:val="auto"/>
                <w:sz w:val="24"/>
                <w:highlight w:val="none"/>
              </w:rPr>
            </w:pPr>
            <w:r>
              <w:rPr>
                <w:rFonts w:hint="eastAsia" w:ascii="宋体" w:hAnsi="宋体" w:cs="宋体"/>
                <w:color w:val="auto"/>
                <w:sz w:val="24"/>
                <w:highlight w:val="none"/>
              </w:rPr>
              <w:t>15</w:t>
            </w:r>
          </w:p>
        </w:tc>
        <w:tc>
          <w:tcPr>
            <w:tcW w:w="8062" w:type="dxa"/>
            <w:vAlign w:val="center"/>
          </w:tcPr>
          <w:p w14:paraId="676FF947">
            <w:pPr>
              <w:pStyle w:val="68"/>
              <w:rPr>
                <w:rFonts w:ascii="宋体" w:hAnsi="宋体" w:cs="宋体"/>
                <w:color w:val="auto"/>
                <w:sz w:val="24"/>
                <w:highlight w:val="none"/>
              </w:rPr>
            </w:pPr>
            <w:r>
              <w:rPr>
                <w:rFonts w:hint="eastAsia" w:ascii="宋体" w:hAnsi="宋体" w:cs="宋体"/>
                <w:color w:val="auto"/>
                <w:sz w:val="24"/>
                <w:highlight w:val="none"/>
              </w:rPr>
              <w:t>砼施工配合比不按重量比的，每次违约金5000元。</w:t>
            </w:r>
          </w:p>
        </w:tc>
      </w:tr>
      <w:tr w14:paraId="6197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14:paraId="145AECC8">
            <w:pPr>
              <w:pStyle w:val="68"/>
              <w:rPr>
                <w:rFonts w:ascii="宋体" w:hAnsi="宋体" w:cs="宋体"/>
                <w:color w:val="auto"/>
                <w:sz w:val="28"/>
                <w:szCs w:val="28"/>
                <w:highlight w:val="none"/>
              </w:rPr>
            </w:pPr>
          </w:p>
        </w:tc>
        <w:tc>
          <w:tcPr>
            <w:tcW w:w="518" w:type="dxa"/>
            <w:vAlign w:val="center"/>
          </w:tcPr>
          <w:p w14:paraId="7EE19852">
            <w:pPr>
              <w:pStyle w:val="68"/>
              <w:jc w:val="center"/>
              <w:rPr>
                <w:rFonts w:ascii="宋体" w:hAnsi="宋体" w:cs="宋体"/>
                <w:color w:val="auto"/>
                <w:sz w:val="24"/>
                <w:highlight w:val="none"/>
              </w:rPr>
            </w:pPr>
            <w:r>
              <w:rPr>
                <w:rFonts w:hint="eastAsia" w:ascii="宋体" w:hAnsi="宋体" w:cs="宋体"/>
                <w:color w:val="auto"/>
                <w:sz w:val="24"/>
                <w:highlight w:val="none"/>
              </w:rPr>
              <w:t>16</w:t>
            </w:r>
          </w:p>
        </w:tc>
        <w:tc>
          <w:tcPr>
            <w:tcW w:w="8062" w:type="dxa"/>
            <w:vAlign w:val="center"/>
          </w:tcPr>
          <w:p w14:paraId="3F957EA5">
            <w:pPr>
              <w:pStyle w:val="68"/>
              <w:rPr>
                <w:rFonts w:ascii="宋体" w:hAnsi="宋体" w:cs="宋体"/>
                <w:color w:val="auto"/>
                <w:sz w:val="24"/>
                <w:highlight w:val="none"/>
              </w:rPr>
            </w:pPr>
            <w:r>
              <w:rPr>
                <w:rFonts w:hint="eastAsia" w:ascii="宋体" w:hAnsi="宋体" w:cs="宋体"/>
                <w:color w:val="auto"/>
                <w:sz w:val="24"/>
                <w:highlight w:val="none"/>
              </w:rPr>
              <w:t>两梁板之间接缝不得有杂物，填充料符合设计要求，违者违约金2000元。</w:t>
            </w:r>
          </w:p>
        </w:tc>
      </w:tr>
      <w:tr w14:paraId="1C4F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8C3CB87">
            <w:pPr>
              <w:pStyle w:val="68"/>
              <w:rPr>
                <w:rFonts w:ascii="宋体" w:hAnsi="宋体" w:cs="宋体"/>
                <w:color w:val="auto"/>
                <w:sz w:val="28"/>
                <w:szCs w:val="28"/>
                <w:highlight w:val="none"/>
              </w:rPr>
            </w:pPr>
          </w:p>
        </w:tc>
        <w:tc>
          <w:tcPr>
            <w:tcW w:w="518" w:type="dxa"/>
            <w:vAlign w:val="center"/>
          </w:tcPr>
          <w:p w14:paraId="56745E8B">
            <w:pPr>
              <w:pStyle w:val="68"/>
              <w:jc w:val="center"/>
              <w:rPr>
                <w:rFonts w:ascii="宋体" w:hAnsi="宋体" w:cs="宋体"/>
                <w:color w:val="auto"/>
                <w:sz w:val="24"/>
                <w:highlight w:val="none"/>
              </w:rPr>
            </w:pPr>
            <w:r>
              <w:rPr>
                <w:rFonts w:hint="eastAsia" w:ascii="宋体" w:hAnsi="宋体" w:cs="宋体"/>
                <w:color w:val="auto"/>
                <w:sz w:val="24"/>
                <w:highlight w:val="none"/>
              </w:rPr>
              <w:t>17</w:t>
            </w:r>
          </w:p>
        </w:tc>
        <w:tc>
          <w:tcPr>
            <w:tcW w:w="8062" w:type="dxa"/>
            <w:vAlign w:val="center"/>
          </w:tcPr>
          <w:p w14:paraId="620122F8">
            <w:pPr>
              <w:pStyle w:val="68"/>
              <w:rPr>
                <w:rFonts w:ascii="宋体" w:hAnsi="宋体" w:cs="宋体"/>
                <w:color w:val="auto"/>
                <w:sz w:val="24"/>
                <w:highlight w:val="none"/>
              </w:rPr>
            </w:pPr>
            <w:r>
              <w:rPr>
                <w:rFonts w:hint="eastAsia" w:ascii="宋体" w:hAnsi="宋体" w:cs="宋体"/>
                <w:color w:val="auto"/>
                <w:sz w:val="24"/>
                <w:highlight w:val="none"/>
              </w:rPr>
              <w:t>砼拌和现场的称量和配水机械装置应维持良好状态，拌和机的容量要满足要求，桥梁施工要具备应急拌和机。正在施工的现场不满足上述要求的，每次违约金2000元</w:t>
            </w:r>
          </w:p>
        </w:tc>
      </w:tr>
      <w:tr w14:paraId="3ED2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14:paraId="581B6A6D">
            <w:pPr>
              <w:pStyle w:val="68"/>
              <w:rPr>
                <w:rFonts w:ascii="宋体" w:hAnsi="宋体" w:cs="宋体"/>
                <w:color w:val="auto"/>
                <w:sz w:val="28"/>
                <w:szCs w:val="28"/>
                <w:highlight w:val="none"/>
              </w:rPr>
            </w:pPr>
          </w:p>
        </w:tc>
        <w:tc>
          <w:tcPr>
            <w:tcW w:w="518" w:type="dxa"/>
            <w:vAlign w:val="center"/>
          </w:tcPr>
          <w:p w14:paraId="29B27118">
            <w:pPr>
              <w:pStyle w:val="68"/>
              <w:jc w:val="center"/>
              <w:rPr>
                <w:rFonts w:ascii="宋体" w:hAnsi="宋体" w:cs="宋体"/>
                <w:color w:val="auto"/>
                <w:sz w:val="24"/>
                <w:highlight w:val="none"/>
              </w:rPr>
            </w:pPr>
            <w:r>
              <w:rPr>
                <w:rFonts w:hint="eastAsia" w:ascii="宋体" w:hAnsi="宋体" w:cs="宋体"/>
                <w:color w:val="auto"/>
                <w:sz w:val="24"/>
                <w:highlight w:val="none"/>
              </w:rPr>
              <w:t>18</w:t>
            </w:r>
          </w:p>
        </w:tc>
        <w:tc>
          <w:tcPr>
            <w:tcW w:w="8062" w:type="dxa"/>
            <w:vAlign w:val="center"/>
          </w:tcPr>
          <w:p w14:paraId="58629F7B">
            <w:pPr>
              <w:pStyle w:val="68"/>
              <w:rPr>
                <w:rFonts w:ascii="宋体" w:hAnsi="宋体" w:cs="宋体"/>
                <w:color w:val="auto"/>
                <w:sz w:val="24"/>
                <w:highlight w:val="none"/>
              </w:rPr>
            </w:pPr>
            <w:r>
              <w:rPr>
                <w:rFonts w:hint="eastAsia" w:ascii="宋体" w:hAnsi="宋体" w:cs="宋体"/>
                <w:color w:val="auto"/>
                <w:sz w:val="24"/>
                <w:highlight w:val="none"/>
              </w:rPr>
              <w:t>压浆不按配合比制浆，水灰比失控，强度达不到要求的，每次违约金3000元。</w:t>
            </w:r>
          </w:p>
        </w:tc>
      </w:tr>
      <w:tr w14:paraId="2E07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14:paraId="5FF57011">
            <w:pPr>
              <w:pStyle w:val="68"/>
              <w:rPr>
                <w:rFonts w:ascii="宋体" w:hAnsi="宋体" w:cs="宋体"/>
                <w:color w:val="auto"/>
                <w:sz w:val="28"/>
                <w:szCs w:val="28"/>
                <w:highlight w:val="none"/>
              </w:rPr>
            </w:pPr>
          </w:p>
        </w:tc>
        <w:tc>
          <w:tcPr>
            <w:tcW w:w="518" w:type="dxa"/>
            <w:vAlign w:val="center"/>
          </w:tcPr>
          <w:p w14:paraId="028A5191">
            <w:pPr>
              <w:pStyle w:val="68"/>
              <w:jc w:val="center"/>
              <w:rPr>
                <w:rFonts w:ascii="宋体" w:hAnsi="宋体" w:cs="宋体"/>
                <w:color w:val="auto"/>
                <w:sz w:val="24"/>
                <w:highlight w:val="none"/>
              </w:rPr>
            </w:pPr>
            <w:r>
              <w:rPr>
                <w:rFonts w:hint="eastAsia" w:ascii="宋体" w:hAnsi="宋体" w:cs="宋体"/>
                <w:color w:val="auto"/>
                <w:sz w:val="24"/>
                <w:highlight w:val="none"/>
              </w:rPr>
              <w:t>19</w:t>
            </w:r>
          </w:p>
        </w:tc>
        <w:tc>
          <w:tcPr>
            <w:tcW w:w="8062" w:type="dxa"/>
            <w:vAlign w:val="center"/>
          </w:tcPr>
          <w:p w14:paraId="3D5199B7">
            <w:pPr>
              <w:pStyle w:val="68"/>
              <w:rPr>
                <w:rFonts w:ascii="宋体" w:hAnsi="宋体" w:cs="宋体"/>
                <w:color w:val="auto"/>
                <w:sz w:val="24"/>
                <w:highlight w:val="none"/>
              </w:rPr>
            </w:pPr>
            <w:r>
              <w:rPr>
                <w:rFonts w:hint="eastAsia" w:ascii="宋体" w:hAnsi="宋体" w:cs="宋体"/>
                <w:color w:val="auto"/>
                <w:sz w:val="24"/>
                <w:highlight w:val="none"/>
              </w:rPr>
              <w:t>压浆不饱满的，每条管违约金3000元。</w:t>
            </w:r>
          </w:p>
        </w:tc>
      </w:tr>
      <w:tr w14:paraId="35CD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69C49E7">
            <w:pPr>
              <w:pStyle w:val="68"/>
              <w:rPr>
                <w:rFonts w:ascii="宋体" w:hAnsi="宋体" w:cs="宋体"/>
                <w:color w:val="auto"/>
                <w:sz w:val="28"/>
                <w:szCs w:val="28"/>
                <w:highlight w:val="none"/>
              </w:rPr>
            </w:pPr>
          </w:p>
        </w:tc>
        <w:tc>
          <w:tcPr>
            <w:tcW w:w="518" w:type="dxa"/>
            <w:vAlign w:val="center"/>
          </w:tcPr>
          <w:p w14:paraId="48C37F97">
            <w:pPr>
              <w:pStyle w:val="68"/>
              <w:jc w:val="center"/>
              <w:rPr>
                <w:rFonts w:ascii="宋体" w:hAnsi="宋体" w:cs="宋体"/>
                <w:color w:val="auto"/>
                <w:sz w:val="24"/>
                <w:highlight w:val="none"/>
              </w:rPr>
            </w:pPr>
            <w:r>
              <w:rPr>
                <w:rFonts w:hint="eastAsia" w:ascii="宋体" w:hAnsi="宋体" w:cs="宋体"/>
                <w:color w:val="auto"/>
                <w:sz w:val="24"/>
                <w:highlight w:val="none"/>
              </w:rPr>
              <w:t>20</w:t>
            </w:r>
          </w:p>
        </w:tc>
        <w:tc>
          <w:tcPr>
            <w:tcW w:w="8062" w:type="dxa"/>
            <w:vAlign w:val="center"/>
          </w:tcPr>
          <w:p w14:paraId="4A2DB368">
            <w:pPr>
              <w:pStyle w:val="68"/>
              <w:rPr>
                <w:rFonts w:ascii="宋体" w:hAnsi="宋体" w:cs="宋体"/>
                <w:color w:val="auto"/>
                <w:sz w:val="24"/>
                <w:highlight w:val="none"/>
              </w:rPr>
            </w:pPr>
            <w:r>
              <w:rPr>
                <w:rFonts w:hint="eastAsia" w:ascii="宋体" w:hAnsi="宋体" w:cs="宋体"/>
                <w:color w:val="auto"/>
                <w:sz w:val="24"/>
                <w:highlight w:val="none"/>
              </w:rPr>
              <w:t>预制、现浇砼构件必须采用足够强度、大面积的钢板制模板，违者每次违约金3000元。</w:t>
            </w:r>
          </w:p>
        </w:tc>
      </w:tr>
      <w:tr w14:paraId="0A45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AA2755C">
            <w:pPr>
              <w:pStyle w:val="68"/>
              <w:rPr>
                <w:rFonts w:ascii="宋体" w:hAnsi="宋体" w:cs="宋体"/>
                <w:color w:val="auto"/>
                <w:sz w:val="28"/>
                <w:szCs w:val="28"/>
                <w:highlight w:val="none"/>
              </w:rPr>
            </w:pPr>
          </w:p>
        </w:tc>
        <w:tc>
          <w:tcPr>
            <w:tcW w:w="518" w:type="dxa"/>
            <w:vAlign w:val="center"/>
          </w:tcPr>
          <w:p w14:paraId="2AE79C9A">
            <w:pPr>
              <w:pStyle w:val="68"/>
              <w:jc w:val="center"/>
              <w:rPr>
                <w:rFonts w:ascii="宋体" w:hAnsi="宋体" w:cs="宋体"/>
                <w:color w:val="auto"/>
                <w:sz w:val="24"/>
                <w:highlight w:val="none"/>
              </w:rPr>
            </w:pPr>
            <w:r>
              <w:rPr>
                <w:rFonts w:hint="eastAsia" w:ascii="宋体" w:hAnsi="宋体" w:cs="宋体"/>
                <w:color w:val="auto"/>
                <w:sz w:val="24"/>
                <w:highlight w:val="none"/>
              </w:rPr>
              <w:t>21</w:t>
            </w:r>
          </w:p>
        </w:tc>
        <w:tc>
          <w:tcPr>
            <w:tcW w:w="8062" w:type="dxa"/>
            <w:vAlign w:val="center"/>
          </w:tcPr>
          <w:p w14:paraId="05234A54">
            <w:pPr>
              <w:pStyle w:val="68"/>
              <w:rPr>
                <w:rFonts w:ascii="宋体" w:hAnsi="宋体" w:cs="宋体"/>
                <w:color w:val="auto"/>
                <w:sz w:val="24"/>
                <w:highlight w:val="none"/>
              </w:rPr>
            </w:pPr>
            <w:r>
              <w:rPr>
                <w:rFonts w:hint="eastAsia" w:ascii="宋体" w:hAnsi="宋体" w:cs="宋体"/>
                <w:color w:val="auto"/>
                <w:sz w:val="24"/>
                <w:highlight w:val="none"/>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14:paraId="7113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46F95D1">
            <w:pPr>
              <w:pStyle w:val="68"/>
              <w:rPr>
                <w:rFonts w:ascii="宋体" w:hAnsi="宋体" w:cs="宋体"/>
                <w:color w:val="auto"/>
                <w:sz w:val="28"/>
                <w:szCs w:val="28"/>
                <w:highlight w:val="none"/>
              </w:rPr>
            </w:pPr>
          </w:p>
        </w:tc>
        <w:tc>
          <w:tcPr>
            <w:tcW w:w="518" w:type="dxa"/>
            <w:vAlign w:val="center"/>
          </w:tcPr>
          <w:p w14:paraId="71807AB2">
            <w:pPr>
              <w:pStyle w:val="68"/>
              <w:jc w:val="center"/>
              <w:rPr>
                <w:rFonts w:ascii="宋体" w:hAnsi="宋体" w:cs="宋体"/>
                <w:color w:val="auto"/>
                <w:sz w:val="24"/>
                <w:highlight w:val="none"/>
              </w:rPr>
            </w:pPr>
            <w:r>
              <w:rPr>
                <w:rFonts w:hint="eastAsia" w:ascii="宋体" w:hAnsi="宋体" w:cs="宋体"/>
                <w:color w:val="auto"/>
                <w:sz w:val="24"/>
                <w:highlight w:val="none"/>
              </w:rPr>
              <w:t>22</w:t>
            </w:r>
          </w:p>
        </w:tc>
        <w:tc>
          <w:tcPr>
            <w:tcW w:w="8062" w:type="dxa"/>
            <w:vAlign w:val="center"/>
          </w:tcPr>
          <w:p w14:paraId="66D0D655">
            <w:pPr>
              <w:pStyle w:val="68"/>
              <w:rPr>
                <w:rFonts w:ascii="宋体" w:hAnsi="宋体" w:cs="宋体"/>
                <w:color w:val="auto"/>
                <w:sz w:val="24"/>
                <w:highlight w:val="none"/>
              </w:rPr>
            </w:pPr>
            <w:r>
              <w:rPr>
                <w:rFonts w:hint="eastAsia" w:ascii="宋体" w:hAnsi="宋体" w:cs="宋体"/>
                <w:color w:val="auto"/>
                <w:sz w:val="24"/>
                <w:highlight w:val="none"/>
              </w:rPr>
              <w:t>各标段第一根立柱、盖梁和第一段防撞栏必须经发包人和监理人检查外观质量合格后，方可进行第二根立柱、盖梁和第二段防撞栏的施工，违者每次违约金5000元</w:t>
            </w:r>
          </w:p>
        </w:tc>
      </w:tr>
      <w:tr w14:paraId="2B95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14:paraId="71C13056">
            <w:pPr>
              <w:pStyle w:val="68"/>
              <w:rPr>
                <w:rFonts w:ascii="宋体" w:hAnsi="宋体" w:cs="宋体"/>
                <w:color w:val="auto"/>
                <w:sz w:val="28"/>
                <w:szCs w:val="28"/>
                <w:highlight w:val="none"/>
              </w:rPr>
            </w:pPr>
          </w:p>
        </w:tc>
        <w:tc>
          <w:tcPr>
            <w:tcW w:w="518" w:type="dxa"/>
            <w:vAlign w:val="center"/>
          </w:tcPr>
          <w:p w14:paraId="63C076B1">
            <w:pPr>
              <w:pStyle w:val="68"/>
              <w:jc w:val="center"/>
              <w:rPr>
                <w:rFonts w:ascii="宋体" w:hAnsi="宋体" w:cs="宋体"/>
                <w:color w:val="auto"/>
                <w:sz w:val="24"/>
                <w:highlight w:val="none"/>
              </w:rPr>
            </w:pPr>
            <w:r>
              <w:rPr>
                <w:rFonts w:hint="eastAsia" w:ascii="宋体" w:hAnsi="宋体" w:cs="宋体"/>
                <w:color w:val="auto"/>
                <w:sz w:val="24"/>
                <w:highlight w:val="none"/>
              </w:rPr>
              <w:t>23</w:t>
            </w:r>
          </w:p>
        </w:tc>
        <w:tc>
          <w:tcPr>
            <w:tcW w:w="8062" w:type="dxa"/>
            <w:vAlign w:val="center"/>
          </w:tcPr>
          <w:p w14:paraId="4F56BF3C">
            <w:pPr>
              <w:pStyle w:val="68"/>
              <w:rPr>
                <w:rFonts w:ascii="宋体" w:hAnsi="宋体" w:cs="宋体"/>
                <w:color w:val="auto"/>
                <w:sz w:val="24"/>
                <w:highlight w:val="none"/>
              </w:rPr>
            </w:pPr>
            <w:r>
              <w:rPr>
                <w:rFonts w:hint="eastAsia" w:ascii="宋体" w:hAnsi="宋体" w:cs="宋体"/>
                <w:color w:val="auto"/>
                <w:sz w:val="24"/>
                <w:highlight w:val="none"/>
              </w:rPr>
              <w:t>结构标高尺寸误差超出规范允许值，每处违约金2000元。</w:t>
            </w:r>
          </w:p>
        </w:tc>
      </w:tr>
      <w:tr w14:paraId="29D9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00693B5">
            <w:pPr>
              <w:pStyle w:val="68"/>
              <w:rPr>
                <w:rFonts w:ascii="宋体" w:hAnsi="宋体" w:cs="宋体"/>
                <w:color w:val="auto"/>
                <w:sz w:val="28"/>
                <w:szCs w:val="28"/>
                <w:highlight w:val="none"/>
              </w:rPr>
            </w:pPr>
          </w:p>
        </w:tc>
        <w:tc>
          <w:tcPr>
            <w:tcW w:w="518" w:type="dxa"/>
            <w:vAlign w:val="center"/>
          </w:tcPr>
          <w:p w14:paraId="33DCDCD0">
            <w:pPr>
              <w:pStyle w:val="68"/>
              <w:jc w:val="center"/>
              <w:rPr>
                <w:rFonts w:ascii="宋体" w:hAnsi="宋体" w:cs="宋体"/>
                <w:color w:val="auto"/>
                <w:sz w:val="24"/>
                <w:highlight w:val="none"/>
              </w:rPr>
            </w:pPr>
            <w:r>
              <w:rPr>
                <w:rFonts w:hint="eastAsia" w:ascii="宋体" w:hAnsi="宋体" w:cs="宋体"/>
                <w:color w:val="auto"/>
                <w:sz w:val="24"/>
                <w:highlight w:val="none"/>
              </w:rPr>
              <w:t>24</w:t>
            </w:r>
          </w:p>
        </w:tc>
        <w:tc>
          <w:tcPr>
            <w:tcW w:w="8062" w:type="dxa"/>
            <w:vAlign w:val="center"/>
          </w:tcPr>
          <w:p w14:paraId="22264133">
            <w:pPr>
              <w:pStyle w:val="68"/>
              <w:rPr>
                <w:rFonts w:ascii="宋体" w:hAnsi="宋体" w:cs="宋体"/>
                <w:color w:val="auto"/>
                <w:sz w:val="24"/>
                <w:highlight w:val="none"/>
              </w:rPr>
            </w:pPr>
            <w:r>
              <w:rPr>
                <w:rFonts w:hint="eastAsia" w:ascii="宋体" w:hAnsi="宋体" w:cs="宋体"/>
                <w:color w:val="auto"/>
                <w:sz w:val="24"/>
                <w:highlight w:val="none"/>
              </w:rPr>
              <w:t>桥面铺装应符合路面的要求，其强度、厚度、平整度、横坡、抗滑构造深度均应符合要求；桥面与伸缩缝的缝面必须结合良好，保证平整，违者每处违约金2000元。</w:t>
            </w:r>
          </w:p>
        </w:tc>
      </w:tr>
      <w:tr w14:paraId="51BE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F8DF869">
            <w:pPr>
              <w:pStyle w:val="68"/>
              <w:rPr>
                <w:rFonts w:ascii="宋体" w:hAnsi="宋体" w:cs="宋体"/>
                <w:color w:val="auto"/>
                <w:sz w:val="28"/>
                <w:szCs w:val="28"/>
                <w:highlight w:val="none"/>
              </w:rPr>
            </w:pPr>
          </w:p>
        </w:tc>
        <w:tc>
          <w:tcPr>
            <w:tcW w:w="518" w:type="dxa"/>
            <w:vAlign w:val="center"/>
          </w:tcPr>
          <w:p w14:paraId="04C4B0EC">
            <w:pPr>
              <w:pStyle w:val="68"/>
              <w:jc w:val="center"/>
              <w:rPr>
                <w:rFonts w:ascii="宋体" w:hAnsi="宋体" w:cs="宋体"/>
                <w:color w:val="auto"/>
                <w:sz w:val="24"/>
                <w:highlight w:val="none"/>
              </w:rPr>
            </w:pPr>
            <w:r>
              <w:rPr>
                <w:rFonts w:hint="eastAsia" w:ascii="宋体" w:hAnsi="宋体" w:cs="宋体"/>
                <w:color w:val="auto"/>
                <w:sz w:val="24"/>
                <w:highlight w:val="none"/>
              </w:rPr>
              <w:t>25</w:t>
            </w:r>
          </w:p>
        </w:tc>
        <w:tc>
          <w:tcPr>
            <w:tcW w:w="8062" w:type="dxa"/>
            <w:vAlign w:val="center"/>
          </w:tcPr>
          <w:p w14:paraId="035EAA18">
            <w:pPr>
              <w:pStyle w:val="68"/>
              <w:rPr>
                <w:rFonts w:ascii="宋体" w:hAnsi="宋体" w:cs="宋体"/>
                <w:color w:val="auto"/>
                <w:sz w:val="24"/>
                <w:highlight w:val="none"/>
              </w:rPr>
            </w:pPr>
            <w:r>
              <w:rPr>
                <w:rFonts w:hint="eastAsia" w:ascii="宋体" w:hAnsi="宋体" w:cs="宋体"/>
                <w:color w:val="auto"/>
                <w:sz w:val="24"/>
                <w:highlight w:val="none"/>
              </w:rPr>
              <w:t>达不到以下要求的，每处违约金2000元：</w:t>
            </w:r>
          </w:p>
          <w:p w14:paraId="3D4EFB59">
            <w:pPr>
              <w:pStyle w:val="68"/>
              <w:numPr>
                <w:ilvl w:val="0"/>
                <w:numId w:val="13"/>
              </w:numPr>
              <w:rPr>
                <w:rFonts w:ascii="宋体" w:hAnsi="宋体" w:cs="宋体"/>
                <w:color w:val="auto"/>
                <w:sz w:val="24"/>
                <w:highlight w:val="none"/>
              </w:rPr>
            </w:pPr>
            <w:r>
              <w:rPr>
                <w:rFonts w:hint="eastAsia" w:ascii="宋体" w:hAnsi="宋体" w:cs="宋体"/>
                <w:color w:val="auto"/>
                <w:sz w:val="24"/>
                <w:highlight w:val="none"/>
              </w:rPr>
              <w:t>钢模板大面平整、坚固，板面缝隙小，错台不大于lmm；</w:t>
            </w:r>
          </w:p>
          <w:p w14:paraId="069AA39E">
            <w:pPr>
              <w:pStyle w:val="68"/>
              <w:rPr>
                <w:rFonts w:ascii="宋体" w:hAnsi="宋体" w:cs="宋体"/>
                <w:color w:val="auto"/>
                <w:sz w:val="24"/>
                <w:highlight w:val="none"/>
              </w:rPr>
            </w:pPr>
            <w:r>
              <w:rPr>
                <w:rFonts w:hint="eastAsia" w:ascii="宋体" w:hAnsi="宋体" w:cs="宋体"/>
                <w:color w:val="auto"/>
                <w:sz w:val="24"/>
                <w:highlight w:val="none"/>
              </w:rPr>
              <w:t>在盖梁浇筑前，立柱应用薄膜包裹，并用胶布密封固定，防止漏浆损坏立柱外观质量；裸露在砼外的结构钢筋或施工用的临时钢构件，时间需超过一个月，必须采取防锈措施(包裹或油漆)。</w:t>
            </w:r>
          </w:p>
        </w:tc>
      </w:tr>
      <w:tr w14:paraId="568F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041E878">
            <w:pPr>
              <w:pStyle w:val="68"/>
              <w:rPr>
                <w:rFonts w:ascii="宋体" w:hAnsi="宋体" w:cs="宋体"/>
                <w:color w:val="auto"/>
                <w:sz w:val="28"/>
                <w:szCs w:val="28"/>
                <w:highlight w:val="none"/>
              </w:rPr>
            </w:pPr>
          </w:p>
        </w:tc>
        <w:tc>
          <w:tcPr>
            <w:tcW w:w="518" w:type="dxa"/>
            <w:vAlign w:val="center"/>
          </w:tcPr>
          <w:p w14:paraId="2BA8F491">
            <w:pPr>
              <w:pStyle w:val="68"/>
              <w:jc w:val="center"/>
              <w:rPr>
                <w:rFonts w:ascii="宋体" w:hAnsi="宋体" w:cs="宋体"/>
                <w:color w:val="auto"/>
                <w:sz w:val="24"/>
                <w:highlight w:val="none"/>
              </w:rPr>
            </w:pPr>
            <w:r>
              <w:rPr>
                <w:rFonts w:hint="eastAsia" w:ascii="宋体" w:hAnsi="宋体" w:cs="宋体"/>
                <w:color w:val="auto"/>
                <w:sz w:val="24"/>
                <w:highlight w:val="none"/>
              </w:rPr>
              <w:t>26</w:t>
            </w:r>
          </w:p>
        </w:tc>
        <w:tc>
          <w:tcPr>
            <w:tcW w:w="8062" w:type="dxa"/>
            <w:vAlign w:val="center"/>
          </w:tcPr>
          <w:p w14:paraId="34B22723">
            <w:pPr>
              <w:pStyle w:val="68"/>
              <w:rPr>
                <w:rFonts w:ascii="宋体" w:hAnsi="宋体" w:cs="宋体"/>
                <w:color w:val="auto"/>
                <w:sz w:val="24"/>
                <w:highlight w:val="none"/>
              </w:rPr>
            </w:pPr>
            <w:r>
              <w:rPr>
                <w:rFonts w:hint="eastAsia" w:ascii="宋体" w:hAnsi="宋体" w:cs="宋体"/>
                <w:color w:val="auto"/>
                <w:sz w:val="24"/>
                <w:highlight w:val="none"/>
              </w:rPr>
              <w:t>伸缩缝施工出现下列情况，违者每次或每处违约金2000元：</w:t>
            </w:r>
          </w:p>
          <w:p w14:paraId="598C9CD6">
            <w:pPr>
              <w:pStyle w:val="68"/>
              <w:rPr>
                <w:rFonts w:ascii="宋体" w:hAnsi="宋体" w:cs="宋体"/>
                <w:color w:val="auto"/>
                <w:sz w:val="24"/>
                <w:highlight w:val="none"/>
              </w:rPr>
            </w:pPr>
            <w:r>
              <w:rPr>
                <w:rFonts w:hint="eastAsia" w:ascii="宋体" w:hAnsi="宋体" w:cs="宋体"/>
                <w:color w:val="auto"/>
                <w:sz w:val="24"/>
                <w:highlight w:val="none"/>
              </w:rPr>
              <w:t>（1)伸缩缝位置必须保证满足设计要求，安装时必须按气温来确定安装宽度；</w:t>
            </w:r>
          </w:p>
          <w:p w14:paraId="7C4AA348">
            <w:pPr>
              <w:pStyle w:val="68"/>
              <w:rPr>
                <w:rFonts w:ascii="宋体" w:hAnsi="宋体" w:cs="宋体"/>
                <w:color w:val="auto"/>
                <w:sz w:val="24"/>
                <w:highlight w:val="none"/>
              </w:rPr>
            </w:pPr>
            <w:r>
              <w:rPr>
                <w:rFonts w:hint="eastAsia" w:ascii="宋体" w:hAnsi="宋体" w:cs="宋体"/>
                <w:color w:val="auto"/>
                <w:sz w:val="24"/>
                <w:highlight w:val="none"/>
              </w:rPr>
              <w:t>（2)预留槽口底面的砼必须密实、平整；在填充前必须保证干净，不得有杂物；</w:t>
            </w:r>
          </w:p>
          <w:p w14:paraId="228EA924">
            <w:pPr>
              <w:pStyle w:val="68"/>
              <w:rPr>
                <w:rFonts w:ascii="宋体" w:hAnsi="宋体" w:cs="宋体"/>
                <w:color w:val="auto"/>
                <w:sz w:val="24"/>
                <w:highlight w:val="none"/>
              </w:rPr>
            </w:pPr>
            <w:r>
              <w:rPr>
                <w:rFonts w:hint="eastAsia" w:ascii="宋体" w:hAnsi="宋体" w:cs="宋体"/>
                <w:color w:val="auto"/>
                <w:sz w:val="24"/>
                <w:highlight w:val="none"/>
              </w:rPr>
              <w:t>（3)预埋钢筋未按设计要求预埋。</w:t>
            </w:r>
          </w:p>
        </w:tc>
      </w:tr>
      <w:tr w14:paraId="08D4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4FF9DF1">
            <w:pPr>
              <w:pStyle w:val="68"/>
              <w:rPr>
                <w:rFonts w:ascii="宋体" w:hAnsi="宋体" w:cs="宋体"/>
                <w:color w:val="auto"/>
                <w:sz w:val="28"/>
                <w:szCs w:val="28"/>
                <w:highlight w:val="none"/>
              </w:rPr>
            </w:pPr>
          </w:p>
        </w:tc>
        <w:tc>
          <w:tcPr>
            <w:tcW w:w="518" w:type="dxa"/>
            <w:vAlign w:val="center"/>
          </w:tcPr>
          <w:p w14:paraId="7608D21C">
            <w:pPr>
              <w:pStyle w:val="68"/>
              <w:jc w:val="center"/>
              <w:rPr>
                <w:rFonts w:ascii="宋体" w:hAnsi="宋体" w:cs="宋体"/>
                <w:color w:val="auto"/>
                <w:sz w:val="24"/>
                <w:highlight w:val="none"/>
              </w:rPr>
            </w:pPr>
            <w:r>
              <w:rPr>
                <w:rFonts w:hint="eastAsia" w:ascii="宋体" w:hAnsi="宋体" w:cs="宋体"/>
                <w:color w:val="auto"/>
                <w:sz w:val="24"/>
                <w:highlight w:val="none"/>
              </w:rPr>
              <w:t>27</w:t>
            </w:r>
          </w:p>
        </w:tc>
        <w:tc>
          <w:tcPr>
            <w:tcW w:w="8062" w:type="dxa"/>
            <w:vAlign w:val="center"/>
          </w:tcPr>
          <w:p w14:paraId="44F3AA05">
            <w:pPr>
              <w:pStyle w:val="68"/>
              <w:rPr>
                <w:rFonts w:ascii="宋体" w:hAnsi="宋体" w:cs="宋体"/>
                <w:color w:val="auto"/>
                <w:sz w:val="24"/>
                <w:highlight w:val="none"/>
              </w:rPr>
            </w:pPr>
            <w:r>
              <w:rPr>
                <w:rFonts w:hint="eastAsia" w:ascii="宋体" w:hAnsi="宋体" w:cs="宋体"/>
                <w:color w:val="auto"/>
                <w:sz w:val="24"/>
                <w:highlight w:val="none"/>
              </w:rPr>
              <w:t>支座垫石标高误差超过±5mm，表面不清洁、不平整，有脱空松动的，每处违约金 2000元。</w:t>
            </w:r>
          </w:p>
        </w:tc>
      </w:tr>
      <w:tr w14:paraId="16E9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8DADC09">
            <w:pPr>
              <w:pStyle w:val="68"/>
              <w:rPr>
                <w:rFonts w:ascii="宋体" w:hAnsi="宋体" w:cs="宋体"/>
                <w:color w:val="auto"/>
                <w:sz w:val="28"/>
                <w:szCs w:val="28"/>
                <w:highlight w:val="none"/>
              </w:rPr>
            </w:pPr>
          </w:p>
        </w:tc>
        <w:tc>
          <w:tcPr>
            <w:tcW w:w="518" w:type="dxa"/>
            <w:vAlign w:val="center"/>
          </w:tcPr>
          <w:p w14:paraId="637C989D">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w:t>
            </w:r>
          </w:p>
        </w:tc>
        <w:tc>
          <w:tcPr>
            <w:tcW w:w="8062" w:type="dxa"/>
            <w:vAlign w:val="center"/>
          </w:tcPr>
          <w:p w14:paraId="0950FD6D">
            <w:pPr>
              <w:pStyle w:val="68"/>
              <w:rPr>
                <w:rFonts w:hint="eastAsia" w:ascii="宋体" w:hAnsi="宋体" w:cs="宋体"/>
                <w:color w:val="auto"/>
                <w:sz w:val="24"/>
                <w:highlight w:val="none"/>
              </w:rPr>
            </w:pPr>
            <w:r>
              <w:rPr>
                <w:rFonts w:hint="eastAsia" w:ascii="宋体" w:hAnsi="宋体" w:cs="宋体"/>
                <w:color w:val="auto"/>
                <w:sz w:val="24"/>
                <w:highlight w:val="none"/>
              </w:rPr>
              <w:t>检测发现混凝土强度不合格的构件，每处违约金 10,000 元。</w:t>
            </w:r>
          </w:p>
        </w:tc>
      </w:tr>
      <w:tr w14:paraId="182B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4B515580">
            <w:pPr>
              <w:pStyle w:val="68"/>
              <w:jc w:val="center"/>
              <w:rPr>
                <w:rFonts w:ascii="宋体" w:hAnsi="宋体" w:cs="宋体"/>
                <w:color w:val="auto"/>
                <w:sz w:val="24"/>
                <w:highlight w:val="none"/>
              </w:rPr>
            </w:pPr>
            <w:r>
              <w:rPr>
                <w:rFonts w:hint="eastAsia" w:ascii="宋体" w:hAnsi="宋体" w:cs="宋体"/>
                <w:color w:val="auto"/>
                <w:sz w:val="24"/>
                <w:highlight w:val="none"/>
              </w:rPr>
              <w:t>路</w:t>
            </w:r>
          </w:p>
          <w:p w14:paraId="57C461C3">
            <w:pPr>
              <w:pStyle w:val="68"/>
              <w:jc w:val="center"/>
              <w:rPr>
                <w:rFonts w:ascii="宋体" w:hAnsi="宋体" w:cs="宋体"/>
                <w:color w:val="auto"/>
                <w:sz w:val="28"/>
                <w:szCs w:val="28"/>
                <w:highlight w:val="none"/>
              </w:rPr>
            </w:pPr>
            <w:r>
              <w:rPr>
                <w:rFonts w:hint="eastAsia" w:ascii="宋体" w:hAnsi="宋体" w:cs="宋体"/>
                <w:color w:val="auto"/>
                <w:sz w:val="24"/>
                <w:highlight w:val="none"/>
              </w:rPr>
              <w:t>面工程</w:t>
            </w:r>
          </w:p>
        </w:tc>
        <w:tc>
          <w:tcPr>
            <w:tcW w:w="518" w:type="dxa"/>
            <w:vAlign w:val="center"/>
          </w:tcPr>
          <w:p w14:paraId="06F56F5D">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303E7979">
            <w:pPr>
              <w:pStyle w:val="68"/>
              <w:rPr>
                <w:rFonts w:ascii="宋体" w:hAnsi="宋体" w:cs="宋体"/>
                <w:color w:val="auto"/>
                <w:sz w:val="24"/>
                <w:highlight w:val="none"/>
              </w:rPr>
            </w:pPr>
            <w:r>
              <w:rPr>
                <w:rFonts w:hint="eastAsia" w:ascii="宋体" w:hAnsi="宋体" w:cs="宋体"/>
                <w:color w:val="auto"/>
                <w:sz w:val="24"/>
                <w:highlight w:val="none"/>
              </w:rPr>
              <w:t>路面基层必须碾压密实，表面干燥、清洁、无浮土，平整度和路拱度符合要求，违者每处违约金2000元。</w:t>
            </w:r>
          </w:p>
        </w:tc>
      </w:tr>
      <w:tr w14:paraId="5772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0606C8D">
            <w:pPr>
              <w:pStyle w:val="68"/>
              <w:rPr>
                <w:rFonts w:ascii="宋体" w:hAnsi="宋体" w:cs="宋体"/>
                <w:color w:val="auto"/>
                <w:sz w:val="28"/>
                <w:szCs w:val="28"/>
                <w:highlight w:val="none"/>
              </w:rPr>
            </w:pPr>
          </w:p>
        </w:tc>
        <w:tc>
          <w:tcPr>
            <w:tcW w:w="518" w:type="dxa"/>
            <w:vAlign w:val="center"/>
          </w:tcPr>
          <w:p w14:paraId="7BF7D96A">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098254CD">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水泥砼路面存在下列问题的，每处违约金1,000元：</w:t>
            </w:r>
          </w:p>
          <w:p w14:paraId="196DC025">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（1)粗细骨料不符合设计要求；</w:t>
            </w:r>
          </w:p>
          <w:p w14:paraId="16C16F88">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（2)基层和底基层压实度没有≥98%，表面坑洼，明显离析；</w:t>
            </w:r>
          </w:p>
          <w:p w14:paraId="6490CE24">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（3)基层和底基层没有清理杂物，有浮土；</w:t>
            </w:r>
          </w:p>
          <w:p w14:paraId="25D937EF">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（4)砼养生不及时；</w:t>
            </w:r>
          </w:p>
          <w:p w14:paraId="0B09590B">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（5)膨胀传力杆活动端与固定端方向没有相反；</w:t>
            </w:r>
          </w:p>
          <w:p w14:paraId="4BD99887">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（6)接缝填充料没有饱满或用料不符合设计要求。</w:t>
            </w:r>
          </w:p>
        </w:tc>
      </w:tr>
      <w:tr w14:paraId="0C45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28E9EA6">
            <w:pPr>
              <w:pStyle w:val="68"/>
              <w:rPr>
                <w:rFonts w:ascii="宋体" w:hAnsi="宋体" w:cs="宋体"/>
                <w:color w:val="auto"/>
                <w:sz w:val="28"/>
                <w:szCs w:val="28"/>
                <w:highlight w:val="none"/>
              </w:rPr>
            </w:pPr>
          </w:p>
        </w:tc>
        <w:tc>
          <w:tcPr>
            <w:tcW w:w="518" w:type="dxa"/>
            <w:vAlign w:val="center"/>
          </w:tcPr>
          <w:p w14:paraId="31AF42D3">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062" w:type="dxa"/>
            <w:vAlign w:val="center"/>
          </w:tcPr>
          <w:p w14:paraId="274E3968">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水泥砼路面检测发现混凝土强度不合格的构件，每处违约金 10,000 元。</w:t>
            </w:r>
          </w:p>
        </w:tc>
      </w:tr>
      <w:tr w14:paraId="34C6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99DA0FD">
            <w:pPr>
              <w:pStyle w:val="68"/>
              <w:rPr>
                <w:rFonts w:ascii="宋体" w:hAnsi="宋体" w:cs="宋体"/>
                <w:color w:val="auto"/>
                <w:sz w:val="28"/>
                <w:szCs w:val="28"/>
                <w:highlight w:val="none"/>
              </w:rPr>
            </w:pPr>
          </w:p>
        </w:tc>
        <w:tc>
          <w:tcPr>
            <w:tcW w:w="518" w:type="dxa"/>
            <w:vAlign w:val="center"/>
          </w:tcPr>
          <w:p w14:paraId="534AC742">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8062" w:type="dxa"/>
            <w:vAlign w:val="center"/>
          </w:tcPr>
          <w:p w14:paraId="1DAAE273">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沥青路面存在以下问题的，每处违约金 10000-50000 元：1）沥青及矿料质量及混合料级配及混合料指标不符合要求的；2）沥青混合料的拌合温度、摊铺温度、碾压温度不符合规范或设计要求；3）沥青混合料的生产，未按要求做抽提实验、筛分试验、马歇尔实验；4）拌和后的混合料不均匀一致，有花白、粗细料分离和结团成块现象；5）路面不平整密实，有泛油、松散、裂缝和明显离析现象；6)面层施工前未按要求对基层裂缝进行处理；7)面层和路缘石及其他构造物不密贴，有积水或漏水现象的；8)运输车辆未采取保温措施，运输过程中不加帆布遮盖的；9)下雨时摊铺，或雨后地面过湿而没有采取措施就摊铺的；10）纵横缝施工不符合规范要求的。</w:t>
            </w:r>
          </w:p>
        </w:tc>
      </w:tr>
      <w:tr w14:paraId="61BC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1FDEC04E">
            <w:pPr>
              <w:pStyle w:val="68"/>
              <w:jc w:val="center"/>
              <w:rPr>
                <w:rFonts w:ascii="宋体" w:hAnsi="宋体" w:cs="宋体"/>
                <w:color w:val="auto"/>
                <w:sz w:val="28"/>
                <w:szCs w:val="28"/>
                <w:highlight w:val="none"/>
              </w:rPr>
            </w:pPr>
            <w:r>
              <w:rPr>
                <w:rFonts w:hint="eastAsia" w:ascii="宋体" w:hAnsi="宋体" w:cs="宋体"/>
                <w:color w:val="auto"/>
                <w:sz w:val="24"/>
                <w:highlight w:val="none"/>
              </w:rPr>
              <w:t>隧道工程</w:t>
            </w:r>
          </w:p>
        </w:tc>
        <w:tc>
          <w:tcPr>
            <w:tcW w:w="518" w:type="dxa"/>
            <w:vAlign w:val="center"/>
          </w:tcPr>
          <w:p w14:paraId="02C26A45">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062" w:type="dxa"/>
            <w:vAlign w:val="center"/>
          </w:tcPr>
          <w:p w14:paraId="3F45CABB">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隧道工程出现以下情况,每处违约金 2,000 元：</w:t>
            </w:r>
          </w:p>
          <w:p w14:paraId="0BD9D8D3">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(1)隧道工程应严格控制超欠挖，超挖时必须用同级等强度的砼或同级片石砼回填密实，不得用土石或洞渣回填，违者每次处违约金 2,000 元；</w:t>
            </w:r>
          </w:p>
          <w:p w14:paraId="535927C9">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(2)周边收敛量测埋点、量测频率不符合规范，数据处理不及时每次违约金 2000元。</w:t>
            </w:r>
          </w:p>
        </w:tc>
      </w:tr>
      <w:tr w14:paraId="2AAD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1168404">
            <w:pPr>
              <w:pStyle w:val="68"/>
              <w:rPr>
                <w:rFonts w:hint="eastAsia" w:ascii="宋体" w:hAnsi="宋体" w:cs="宋体"/>
                <w:color w:val="auto"/>
                <w:sz w:val="24"/>
                <w:highlight w:val="none"/>
              </w:rPr>
            </w:pPr>
          </w:p>
        </w:tc>
        <w:tc>
          <w:tcPr>
            <w:tcW w:w="518" w:type="dxa"/>
            <w:vAlign w:val="center"/>
          </w:tcPr>
          <w:p w14:paraId="3A94B806">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062" w:type="dxa"/>
            <w:vAlign w:val="center"/>
          </w:tcPr>
          <w:p w14:paraId="6E7ECE2D">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隧道工程出现以下情况,每处违约金 1,000 元：</w:t>
            </w:r>
          </w:p>
          <w:p w14:paraId="0967CCA1">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(1)防水板破损穿孔、搭接漏焊；</w:t>
            </w:r>
          </w:p>
          <w:p w14:paraId="6F61CD1D">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(2)防水板漏水；</w:t>
            </w:r>
          </w:p>
          <w:p w14:paraId="2836A92C">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(3)锚垫板未按要求施工；</w:t>
            </w:r>
          </w:p>
          <w:p w14:paraId="6F905699">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(4)没有按要求进行光面爆破；</w:t>
            </w:r>
          </w:p>
          <w:p w14:paraId="2262E3BE">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(5)洞内装修工程未达到设计要求，没有保持线形平顺，误差超过 1cm；</w:t>
            </w:r>
          </w:p>
          <w:p w14:paraId="58AD9070">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(6)排水管没有保持畅通，出现渗水、滴水现象；</w:t>
            </w:r>
          </w:p>
          <w:p w14:paraId="7515CEC5">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(7)二次衬砌台车刚度不够，施工缝接合处理不好；</w:t>
            </w:r>
          </w:p>
          <w:p w14:paraId="429F4027">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(8）通风、照明、防尘措施、运行不符合要求；</w:t>
            </w:r>
          </w:p>
          <w:p w14:paraId="39440761">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(9）钢拱架与隔栅定位不合设计要求</w:t>
            </w:r>
          </w:p>
        </w:tc>
      </w:tr>
      <w:tr w14:paraId="56CC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55F32E2">
            <w:pPr>
              <w:pStyle w:val="68"/>
              <w:rPr>
                <w:rFonts w:hint="eastAsia" w:ascii="宋体" w:hAnsi="宋体" w:cs="宋体"/>
                <w:color w:val="auto"/>
                <w:sz w:val="24"/>
                <w:highlight w:val="none"/>
              </w:rPr>
            </w:pPr>
          </w:p>
        </w:tc>
        <w:tc>
          <w:tcPr>
            <w:tcW w:w="518" w:type="dxa"/>
            <w:vAlign w:val="center"/>
          </w:tcPr>
          <w:p w14:paraId="5C34B5C8">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062" w:type="dxa"/>
            <w:vAlign w:val="center"/>
          </w:tcPr>
          <w:p w14:paraId="1A989B8F">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隧道施工中承包人应加强监控量测，监控量测应达到指导施工、确保安全、为确定支护参数服务的目的。监控量测发现问题应采取紧急措施避免事态发展，若监控量测失职造成不良后果由进行监控的单位自负，并处以 10000 元/次的违约金。</w:t>
            </w:r>
          </w:p>
        </w:tc>
      </w:tr>
      <w:tr w14:paraId="00D2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FFDB94B">
            <w:pPr>
              <w:pStyle w:val="68"/>
              <w:rPr>
                <w:rFonts w:hint="eastAsia" w:ascii="宋体" w:hAnsi="宋体" w:cs="宋体"/>
                <w:color w:val="auto"/>
                <w:sz w:val="24"/>
                <w:highlight w:val="none"/>
              </w:rPr>
            </w:pPr>
          </w:p>
        </w:tc>
        <w:tc>
          <w:tcPr>
            <w:tcW w:w="518" w:type="dxa"/>
            <w:vAlign w:val="center"/>
          </w:tcPr>
          <w:p w14:paraId="41F8A0DF">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8062" w:type="dxa"/>
            <w:vAlign w:val="center"/>
          </w:tcPr>
          <w:p w14:paraId="24371566">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隧道开挖应采用“短进尺、少扰动、早喷锚、紧封闭”的原则，开挖及支护严格按技术规范规定进行控制，避免造成坍塌。若延误支护或初期支护超过规定的距离，由此带来的后果由承包人自负，并处以 10000 元的违约金。</w:t>
            </w:r>
          </w:p>
        </w:tc>
      </w:tr>
      <w:tr w14:paraId="202A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C38C1F5">
            <w:pPr>
              <w:pStyle w:val="68"/>
              <w:rPr>
                <w:rFonts w:hint="eastAsia" w:ascii="宋体" w:hAnsi="宋体" w:cs="宋体"/>
                <w:color w:val="auto"/>
                <w:sz w:val="24"/>
                <w:highlight w:val="none"/>
              </w:rPr>
            </w:pPr>
          </w:p>
        </w:tc>
        <w:tc>
          <w:tcPr>
            <w:tcW w:w="518" w:type="dxa"/>
            <w:vAlign w:val="center"/>
          </w:tcPr>
          <w:p w14:paraId="58CFDFD7">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062" w:type="dxa"/>
            <w:vAlign w:val="center"/>
          </w:tcPr>
          <w:p w14:paraId="3252BA1B">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隧道开挖应满足隧道净空及衬砌厚度的要求，控制超挖，严禁欠挖，不许有超限突石。一经发现，处以承包人 1000 元--10000 元的违约金，并要求处理合格。</w:t>
            </w:r>
          </w:p>
        </w:tc>
      </w:tr>
      <w:tr w14:paraId="65F6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B114193">
            <w:pPr>
              <w:pStyle w:val="68"/>
              <w:rPr>
                <w:rFonts w:hint="eastAsia" w:ascii="宋体" w:hAnsi="宋体" w:cs="宋体"/>
                <w:color w:val="auto"/>
                <w:sz w:val="24"/>
                <w:highlight w:val="none"/>
              </w:rPr>
            </w:pPr>
          </w:p>
        </w:tc>
        <w:tc>
          <w:tcPr>
            <w:tcW w:w="518" w:type="dxa"/>
            <w:vAlign w:val="center"/>
          </w:tcPr>
          <w:p w14:paraId="18C52317">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062" w:type="dxa"/>
            <w:vAlign w:val="center"/>
          </w:tcPr>
          <w:p w14:paraId="2F523D8A">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隧道拱墙范围内的超挖，要求用与拱圈同级强度的混凝土一次回填密实，衬砌背后的支撑块或其他杂物应清除干净，并按要求填塞紧密，否则，对承包人处以 10000 元的违约金。</w:t>
            </w:r>
          </w:p>
        </w:tc>
      </w:tr>
      <w:tr w14:paraId="1304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E3AA030">
            <w:pPr>
              <w:pStyle w:val="68"/>
              <w:rPr>
                <w:rFonts w:hint="eastAsia" w:ascii="宋体" w:hAnsi="宋体" w:cs="宋体"/>
                <w:color w:val="auto"/>
                <w:sz w:val="24"/>
                <w:highlight w:val="none"/>
              </w:rPr>
            </w:pPr>
          </w:p>
        </w:tc>
        <w:tc>
          <w:tcPr>
            <w:tcW w:w="518" w:type="dxa"/>
            <w:vAlign w:val="center"/>
          </w:tcPr>
          <w:p w14:paraId="38E243BD">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8062" w:type="dxa"/>
            <w:vAlign w:val="center"/>
          </w:tcPr>
          <w:p w14:paraId="670ED365">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衬砌混凝土强度应满足设计及《公路工程质量检验评定标准》要求，否则，除要求及时采取措施处理外，并处以承包人 10000 元的违约金。</w:t>
            </w:r>
          </w:p>
        </w:tc>
      </w:tr>
      <w:tr w14:paraId="0067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6CF721F">
            <w:pPr>
              <w:pStyle w:val="68"/>
              <w:rPr>
                <w:rFonts w:hint="eastAsia" w:ascii="宋体" w:hAnsi="宋体" w:cs="宋体"/>
                <w:color w:val="auto"/>
                <w:sz w:val="24"/>
                <w:highlight w:val="none"/>
              </w:rPr>
            </w:pPr>
          </w:p>
        </w:tc>
        <w:tc>
          <w:tcPr>
            <w:tcW w:w="518" w:type="dxa"/>
            <w:vAlign w:val="center"/>
          </w:tcPr>
          <w:p w14:paraId="4EAD79B1">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8062" w:type="dxa"/>
            <w:vAlign w:val="center"/>
          </w:tcPr>
          <w:p w14:paraId="314B5007">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不按照施工技术规范、施工图纸进行施工，偷工减料、粗制滥造的，一经查实，违约处理。锚杆少打或锚杆长度不够，每根处以违约金 500 元。格栅拱架（或钢拱架）每少安一榀处以违约金 5000 元；间距超过设计，在允许误差以外，每超过 1 厘米处以违约金 500 元。</w:t>
            </w:r>
          </w:p>
        </w:tc>
      </w:tr>
      <w:tr w14:paraId="78E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BAF4B57">
            <w:pPr>
              <w:pStyle w:val="68"/>
              <w:rPr>
                <w:rFonts w:hint="eastAsia" w:ascii="宋体" w:hAnsi="宋体" w:cs="宋体"/>
                <w:color w:val="auto"/>
                <w:sz w:val="24"/>
                <w:highlight w:val="none"/>
              </w:rPr>
            </w:pPr>
          </w:p>
        </w:tc>
        <w:tc>
          <w:tcPr>
            <w:tcW w:w="518" w:type="dxa"/>
            <w:vAlign w:val="center"/>
          </w:tcPr>
          <w:p w14:paraId="398C9E5C">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8062" w:type="dxa"/>
            <w:vAlign w:val="center"/>
          </w:tcPr>
          <w:p w14:paraId="2ACE854A">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小导管、大管棚每少打一根（或长度不够）分别处以违约金 2000 元-5000 元。其他偷工减料现象可根据具体情况处以 500 元-2000 元违约金。格栅拱架不垂直处以违约金 500 元/榀，并需按要求处理至监理人认可为止。</w:t>
            </w:r>
          </w:p>
        </w:tc>
      </w:tr>
      <w:tr w14:paraId="4D6B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4E1C867">
            <w:pPr>
              <w:pStyle w:val="68"/>
              <w:rPr>
                <w:rFonts w:hint="eastAsia" w:ascii="宋体" w:hAnsi="宋体" w:cs="宋体"/>
                <w:color w:val="auto"/>
                <w:sz w:val="24"/>
                <w:highlight w:val="none"/>
              </w:rPr>
            </w:pPr>
          </w:p>
        </w:tc>
        <w:tc>
          <w:tcPr>
            <w:tcW w:w="518" w:type="dxa"/>
            <w:vAlign w:val="center"/>
          </w:tcPr>
          <w:p w14:paraId="3B335644">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062" w:type="dxa"/>
            <w:vAlign w:val="center"/>
          </w:tcPr>
          <w:p w14:paraId="2424DF46">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隧道洞身施工完毕后，不得出现渗水、漏水现象，如出现以上问题，除要求施工单位予以补救外，处以 5000 元/处的违约金。</w:t>
            </w:r>
          </w:p>
        </w:tc>
      </w:tr>
      <w:tr w14:paraId="6754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072138B">
            <w:pPr>
              <w:pStyle w:val="68"/>
              <w:rPr>
                <w:rFonts w:hint="eastAsia" w:ascii="宋体" w:hAnsi="宋体" w:cs="宋体"/>
                <w:color w:val="auto"/>
                <w:sz w:val="24"/>
                <w:highlight w:val="none"/>
              </w:rPr>
            </w:pPr>
          </w:p>
        </w:tc>
        <w:tc>
          <w:tcPr>
            <w:tcW w:w="518" w:type="dxa"/>
            <w:vAlign w:val="center"/>
          </w:tcPr>
          <w:p w14:paraId="44CA41E9">
            <w:pPr>
              <w:pStyle w:val="68"/>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8062" w:type="dxa"/>
            <w:vAlign w:val="center"/>
          </w:tcPr>
          <w:p w14:paraId="6068E899">
            <w:pPr>
              <w:pStyle w:val="68"/>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按照规范，隧道作业未开启通风设备的违约金 10000 元/次</w:t>
            </w:r>
          </w:p>
        </w:tc>
      </w:tr>
      <w:tr w14:paraId="0A63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14:paraId="7B3D698F">
            <w:pPr>
              <w:pStyle w:val="68"/>
              <w:rPr>
                <w:rFonts w:ascii="宋体" w:hAnsi="宋体" w:cs="宋体"/>
                <w:color w:val="auto"/>
                <w:sz w:val="24"/>
                <w:highlight w:val="none"/>
              </w:rPr>
            </w:pPr>
            <w:r>
              <w:rPr>
                <w:rFonts w:hint="eastAsia" w:ascii="宋体" w:hAnsi="宋体" w:cs="宋体"/>
                <w:color w:val="auto"/>
                <w:sz w:val="24"/>
                <w:highlight w:val="none"/>
              </w:rPr>
              <w:t>绿化工程</w:t>
            </w:r>
          </w:p>
        </w:tc>
        <w:tc>
          <w:tcPr>
            <w:tcW w:w="518" w:type="dxa"/>
            <w:vAlign w:val="center"/>
          </w:tcPr>
          <w:p w14:paraId="1082B8D1">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1405D884">
            <w:pPr>
              <w:pStyle w:val="68"/>
              <w:rPr>
                <w:rFonts w:ascii="宋体" w:hAnsi="宋体" w:cs="宋体"/>
                <w:color w:val="auto"/>
                <w:sz w:val="24"/>
                <w:highlight w:val="none"/>
              </w:rPr>
            </w:pPr>
            <w:r>
              <w:rPr>
                <w:rFonts w:hint="eastAsia" w:ascii="宋体" w:hAnsi="宋体" w:cs="宋体"/>
                <w:color w:val="auto"/>
                <w:sz w:val="24"/>
                <w:highlight w:val="none"/>
              </w:rPr>
              <w:t>如果绿化工程质量不合格或造成质量隐患，按以下标准对承包人进行违约金：以清单单位为违约金依据，即1000元／丛、1000元／株、500元／㎡、500元／t以及10000元／个等。</w:t>
            </w:r>
          </w:p>
        </w:tc>
      </w:tr>
      <w:tr w14:paraId="6CFA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49800652">
            <w:pPr>
              <w:pStyle w:val="68"/>
              <w:jc w:val="center"/>
              <w:rPr>
                <w:rFonts w:ascii="宋体" w:hAnsi="宋体" w:cs="宋体"/>
                <w:color w:val="auto"/>
                <w:sz w:val="24"/>
                <w:highlight w:val="none"/>
              </w:rPr>
            </w:pPr>
            <w:r>
              <w:rPr>
                <w:rFonts w:hint="eastAsia" w:ascii="宋体" w:hAnsi="宋体" w:cs="宋体"/>
                <w:color w:val="auto"/>
                <w:sz w:val="24"/>
                <w:highlight w:val="none"/>
              </w:rPr>
              <w:t>安全生产</w:t>
            </w:r>
          </w:p>
        </w:tc>
        <w:tc>
          <w:tcPr>
            <w:tcW w:w="518" w:type="dxa"/>
            <w:vAlign w:val="center"/>
          </w:tcPr>
          <w:p w14:paraId="6B88429C">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599AB755">
            <w:pPr>
              <w:pStyle w:val="68"/>
              <w:rPr>
                <w:rFonts w:ascii="宋体" w:hAnsi="宋体" w:cs="宋体"/>
                <w:color w:val="auto"/>
                <w:sz w:val="24"/>
                <w:highlight w:val="none"/>
              </w:rPr>
            </w:pPr>
            <w:r>
              <w:rPr>
                <w:rFonts w:hint="eastAsia" w:ascii="宋体" w:hAnsi="宋体" w:cs="宋体"/>
                <w:color w:val="auto"/>
                <w:sz w:val="24"/>
                <w:highlight w:val="none"/>
              </w:rPr>
              <w:t>桥梁施工现场及构件预制场、钢筋加工场、搅拌站、施工驻地须悬挂安全生产标牌，违者每处违约金l000元。</w:t>
            </w:r>
          </w:p>
        </w:tc>
      </w:tr>
      <w:tr w14:paraId="12CC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C2D0369">
            <w:pPr>
              <w:pStyle w:val="68"/>
              <w:rPr>
                <w:rFonts w:ascii="宋体" w:hAnsi="宋体" w:cs="宋体"/>
                <w:color w:val="auto"/>
                <w:sz w:val="28"/>
                <w:szCs w:val="28"/>
                <w:highlight w:val="none"/>
              </w:rPr>
            </w:pPr>
          </w:p>
        </w:tc>
        <w:tc>
          <w:tcPr>
            <w:tcW w:w="518" w:type="dxa"/>
            <w:vAlign w:val="center"/>
          </w:tcPr>
          <w:p w14:paraId="0C723C8D">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62830320">
            <w:pPr>
              <w:pStyle w:val="68"/>
              <w:rPr>
                <w:rFonts w:ascii="宋体" w:hAnsi="宋体" w:cs="宋体"/>
                <w:color w:val="auto"/>
                <w:sz w:val="24"/>
                <w:highlight w:val="none"/>
              </w:rPr>
            </w:pPr>
            <w:r>
              <w:rPr>
                <w:rFonts w:hint="eastAsia" w:ascii="宋体" w:hAnsi="宋体" w:cs="宋体"/>
                <w:color w:val="auto"/>
                <w:sz w:val="24"/>
                <w:highlight w:val="none"/>
              </w:rPr>
              <w:t>基坑开挖未有效围护的，桩孔施工后未加盖的，每处违约金1000元。</w:t>
            </w:r>
          </w:p>
        </w:tc>
      </w:tr>
      <w:tr w14:paraId="1000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25D743C">
            <w:pPr>
              <w:pStyle w:val="68"/>
              <w:rPr>
                <w:rFonts w:ascii="宋体" w:hAnsi="宋体" w:cs="宋体"/>
                <w:color w:val="auto"/>
                <w:sz w:val="28"/>
                <w:szCs w:val="28"/>
                <w:highlight w:val="none"/>
              </w:rPr>
            </w:pPr>
          </w:p>
        </w:tc>
        <w:tc>
          <w:tcPr>
            <w:tcW w:w="518" w:type="dxa"/>
            <w:vAlign w:val="center"/>
          </w:tcPr>
          <w:p w14:paraId="54E2A2AA">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11E00458">
            <w:pPr>
              <w:pStyle w:val="68"/>
              <w:rPr>
                <w:rFonts w:ascii="宋体" w:hAnsi="宋体" w:cs="宋体"/>
                <w:color w:val="auto"/>
                <w:sz w:val="24"/>
                <w:highlight w:val="none"/>
              </w:rPr>
            </w:pPr>
            <w:r>
              <w:rPr>
                <w:rFonts w:hint="eastAsia" w:ascii="宋体" w:hAnsi="宋体" w:cs="宋体"/>
                <w:color w:val="auto"/>
                <w:sz w:val="24"/>
                <w:highlight w:val="none"/>
              </w:rPr>
              <w:t>电力线路架设零乱不牢固；电源线老化、绝缘损坏、接头处无包扎的；使用花线或劣质电线；不设电箱、漏电开关；施工现场未设安全警示牌，每处违约金1000元</w:t>
            </w:r>
          </w:p>
        </w:tc>
      </w:tr>
      <w:tr w14:paraId="6BF5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51B9FF2">
            <w:pPr>
              <w:pStyle w:val="68"/>
              <w:rPr>
                <w:rFonts w:ascii="宋体" w:hAnsi="宋体" w:cs="宋体"/>
                <w:color w:val="auto"/>
                <w:sz w:val="28"/>
                <w:szCs w:val="28"/>
                <w:highlight w:val="none"/>
              </w:rPr>
            </w:pPr>
          </w:p>
        </w:tc>
        <w:tc>
          <w:tcPr>
            <w:tcW w:w="518" w:type="dxa"/>
            <w:vAlign w:val="center"/>
          </w:tcPr>
          <w:p w14:paraId="0FDC7AFE">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287682FB">
            <w:pPr>
              <w:pStyle w:val="68"/>
              <w:rPr>
                <w:rFonts w:ascii="宋体" w:hAnsi="宋体" w:cs="宋体"/>
                <w:color w:val="auto"/>
                <w:sz w:val="24"/>
                <w:highlight w:val="none"/>
              </w:rPr>
            </w:pPr>
            <w:r>
              <w:rPr>
                <w:rFonts w:hint="eastAsia" w:ascii="宋体" w:hAnsi="宋体" w:cs="宋体"/>
                <w:color w:val="auto"/>
                <w:sz w:val="24"/>
                <w:highlight w:val="none"/>
              </w:rPr>
              <w:t>高空作业未设置稳固爬梯；不设围栏、安全网，每处违约金l000元。</w:t>
            </w:r>
          </w:p>
        </w:tc>
      </w:tr>
      <w:tr w14:paraId="7566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3118574">
            <w:pPr>
              <w:pStyle w:val="68"/>
              <w:rPr>
                <w:rFonts w:ascii="宋体" w:hAnsi="宋体" w:cs="宋体"/>
                <w:color w:val="auto"/>
                <w:sz w:val="28"/>
                <w:szCs w:val="28"/>
                <w:highlight w:val="none"/>
              </w:rPr>
            </w:pPr>
          </w:p>
        </w:tc>
        <w:tc>
          <w:tcPr>
            <w:tcW w:w="518" w:type="dxa"/>
            <w:vAlign w:val="center"/>
          </w:tcPr>
          <w:p w14:paraId="6D8798BB">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14:paraId="608B7F1E">
            <w:pPr>
              <w:pStyle w:val="68"/>
              <w:rPr>
                <w:rFonts w:ascii="宋体" w:hAnsi="宋体" w:cs="宋体"/>
                <w:color w:val="auto"/>
                <w:sz w:val="24"/>
                <w:highlight w:val="none"/>
              </w:rPr>
            </w:pPr>
            <w:r>
              <w:rPr>
                <w:rFonts w:hint="eastAsia" w:ascii="宋体" w:hAnsi="宋体" w:cs="宋体"/>
                <w:color w:val="auto"/>
                <w:sz w:val="24"/>
                <w:highlight w:val="none"/>
              </w:rPr>
              <w:t>爆破作业应按批准的爆破方案及施工安全技术规程的要求进行，并对人身、工程本身及所有财产采取保护措施，违者每次违约金2000元。</w:t>
            </w:r>
          </w:p>
        </w:tc>
      </w:tr>
      <w:tr w14:paraId="6078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243AB05">
            <w:pPr>
              <w:pStyle w:val="68"/>
              <w:rPr>
                <w:rFonts w:ascii="宋体" w:hAnsi="宋体" w:cs="宋体"/>
                <w:color w:val="auto"/>
                <w:sz w:val="28"/>
                <w:szCs w:val="28"/>
                <w:highlight w:val="none"/>
              </w:rPr>
            </w:pPr>
          </w:p>
        </w:tc>
        <w:tc>
          <w:tcPr>
            <w:tcW w:w="518" w:type="dxa"/>
            <w:vAlign w:val="center"/>
          </w:tcPr>
          <w:p w14:paraId="01348DFB">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14:paraId="72112BE9">
            <w:pPr>
              <w:pStyle w:val="68"/>
              <w:rPr>
                <w:rFonts w:ascii="宋体" w:hAnsi="宋体" w:cs="宋体"/>
                <w:color w:val="auto"/>
                <w:sz w:val="24"/>
                <w:highlight w:val="none"/>
              </w:rPr>
            </w:pPr>
            <w:r>
              <w:rPr>
                <w:rFonts w:hint="eastAsia" w:ascii="宋体" w:hAnsi="宋体" w:cs="宋体"/>
                <w:color w:val="auto"/>
                <w:sz w:val="24"/>
                <w:highlight w:val="none"/>
              </w:rPr>
              <w:t xml:space="preserve">爆破器材设专人保管，严格领用手续，违者每次违约金2000元。  </w:t>
            </w:r>
          </w:p>
        </w:tc>
      </w:tr>
      <w:tr w14:paraId="489A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E40E5A8">
            <w:pPr>
              <w:pStyle w:val="68"/>
              <w:rPr>
                <w:rFonts w:ascii="宋体" w:hAnsi="宋体" w:cs="宋体"/>
                <w:color w:val="auto"/>
                <w:sz w:val="28"/>
                <w:szCs w:val="28"/>
                <w:highlight w:val="none"/>
              </w:rPr>
            </w:pPr>
          </w:p>
        </w:tc>
        <w:tc>
          <w:tcPr>
            <w:tcW w:w="518" w:type="dxa"/>
            <w:vAlign w:val="center"/>
          </w:tcPr>
          <w:p w14:paraId="623DB1D8">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14:paraId="72A22AA1">
            <w:pPr>
              <w:pStyle w:val="68"/>
              <w:rPr>
                <w:rFonts w:ascii="宋体" w:hAnsi="宋体" w:cs="宋体"/>
                <w:color w:val="auto"/>
                <w:sz w:val="24"/>
                <w:highlight w:val="none"/>
              </w:rPr>
            </w:pPr>
            <w:r>
              <w:rPr>
                <w:rFonts w:hint="eastAsia" w:ascii="宋体" w:hAnsi="宋体" w:cs="宋体"/>
                <w:color w:val="auto"/>
                <w:sz w:val="24"/>
                <w:highlight w:val="none"/>
              </w:rPr>
              <w:t>对于安全风险大的高空作业、梁板吊装，要求制订安全预案，违者每次违约金2000元。</w:t>
            </w:r>
          </w:p>
        </w:tc>
      </w:tr>
      <w:tr w14:paraId="4E88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4DD6E30">
            <w:pPr>
              <w:pStyle w:val="68"/>
              <w:rPr>
                <w:rFonts w:ascii="宋体" w:hAnsi="宋体" w:cs="宋体"/>
                <w:color w:val="auto"/>
                <w:sz w:val="28"/>
                <w:szCs w:val="28"/>
                <w:highlight w:val="none"/>
              </w:rPr>
            </w:pPr>
          </w:p>
        </w:tc>
        <w:tc>
          <w:tcPr>
            <w:tcW w:w="518" w:type="dxa"/>
            <w:vAlign w:val="center"/>
          </w:tcPr>
          <w:p w14:paraId="177BD152">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14:paraId="26E17626">
            <w:pPr>
              <w:pStyle w:val="68"/>
              <w:rPr>
                <w:rFonts w:ascii="宋体" w:hAnsi="宋体" w:cs="宋体"/>
                <w:color w:val="auto"/>
                <w:sz w:val="24"/>
                <w:highlight w:val="none"/>
              </w:rPr>
            </w:pPr>
            <w:r>
              <w:rPr>
                <w:rFonts w:hint="eastAsia" w:ascii="宋体" w:hAnsi="宋体" w:cs="宋体"/>
                <w:color w:val="auto"/>
                <w:sz w:val="24"/>
                <w:highlight w:val="none"/>
              </w:rPr>
              <w:t>梁板吊运安装施工方案应经过监理人审批，吊车、龙门架、架桥机要经过安全生产管理部门检查合格，才能施工作业，违者每次违约金5000元。</w:t>
            </w:r>
          </w:p>
        </w:tc>
      </w:tr>
      <w:tr w14:paraId="5BB5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14:paraId="340A2E1A">
            <w:pPr>
              <w:pStyle w:val="68"/>
              <w:rPr>
                <w:rFonts w:ascii="宋体" w:hAnsi="宋体" w:cs="宋体"/>
                <w:color w:val="auto"/>
                <w:sz w:val="28"/>
                <w:szCs w:val="28"/>
                <w:highlight w:val="none"/>
              </w:rPr>
            </w:pPr>
          </w:p>
        </w:tc>
        <w:tc>
          <w:tcPr>
            <w:tcW w:w="518" w:type="dxa"/>
            <w:vAlign w:val="center"/>
          </w:tcPr>
          <w:p w14:paraId="486C40C4">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vAlign w:val="center"/>
          </w:tcPr>
          <w:p w14:paraId="0AE296C0">
            <w:pPr>
              <w:pStyle w:val="68"/>
              <w:rPr>
                <w:rFonts w:ascii="宋体" w:hAnsi="宋体" w:cs="宋体"/>
                <w:color w:val="auto"/>
                <w:sz w:val="24"/>
                <w:highlight w:val="none"/>
              </w:rPr>
            </w:pPr>
            <w:r>
              <w:rPr>
                <w:rFonts w:hint="eastAsia" w:ascii="宋体" w:hAnsi="宋体" w:cs="宋体"/>
                <w:color w:val="auto"/>
                <w:sz w:val="24"/>
                <w:highlight w:val="none"/>
              </w:rPr>
              <w:t>出现以下情况每次违约金2000元：</w:t>
            </w:r>
          </w:p>
          <w:p w14:paraId="1514555B">
            <w:pPr>
              <w:pStyle w:val="68"/>
              <w:numPr>
                <w:ilvl w:val="0"/>
                <w:numId w:val="14"/>
              </w:numPr>
              <w:rPr>
                <w:rFonts w:ascii="宋体" w:hAnsi="宋体" w:cs="宋体"/>
                <w:color w:val="auto"/>
                <w:sz w:val="24"/>
                <w:highlight w:val="none"/>
              </w:rPr>
            </w:pPr>
            <w:r>
              <w:rPr>
                <w:rFonts w:hint="eastAsia" w:ascii="宋体" w:hAnsi="宋体" w:cs="宋体"/>
                <w:color w:val="auto"/>
                <w:sz w:val="24"/>
                <w:highlight w:val="none"/>
              </w:rPr>
              <w:t>施工车辆和机械带病上岗，操作人员无证上岗和违反操作规程；</w:t>
            </w:r>
          </w:p>
          <w:p w14:paraId="4D25C5D8">
            <w:pPr>
              <w:pStyle w:val="68"/>
              <w:numPr>
                <w:ilvl w:val="0"/>
                <w:numId w:val="14"/>
              </w:numPr>
              <w:rPr>
                <w:rFonts w:ascii="宋体" w:hAnsi="宋体" w:cs="宋体"/>
                <w:color w:val="auto"/>
                <w:sz w:val="24"/>
                <w:highlight w:val="none"/>
              </w:rPr>
            </w:pPr>
            <w:r>
              <w:rPr>
                <w:rFonts w:hint="eastAsia" w:ascii="宋体" w:hAnsi="宋体" w:cs="宋体"/>
                <w:color w:val="auto"/>
                <w:sz w:val="24"/>
                <w:highlight w:val="none"/>
              </w:rPr>
              <w:t>发生各种事故苗头及事故未及时不整改和隐瞒不报</w:t>
            </w:r>
          </w:p>
          <w:p w14:paraId="23696A48">
            <w:pPr>
              <w:pStyle w:val="68"/>
              <w:numPr>
                <w:ilvl w:val="0"/>
                <w:numId w:val="14"/>
              </w:numPr>
              <w:rPr>
                <w:rFonts w:ascii="宋体" w:hAnsi="宋体" w:cs="宋体"/>
                <w:color w:val="auto"/>
                <w:sz w:val="24"/>
                <w:highlight w:val="none"/>
              </w:rPr>
            </w:pPr>
            <w:r>
              <w:rPr>
                <w:rFonts w:hint="eastAsia" w:ascii="宋体" w:hAnsi="宋体" w:cs="宋体"/>
                <w:color w:val="auto"/>
                <w:sz w:val="24"/>
                <w:highlight w:val="none"/>
              </w:rPr>
              <w:t>每月安全大检查，安全管理人员无故不在位；</w:t>
            </w:r>
          </w:p>
          <w:p w14:paraId="49B4AEB2">
            <w:pPr>
              <w:pStyle w:val="68"/>
              <w:numPr>
                <w:ilvl w:val="0"/>
                <w:numId w:val="14"/>
              </w:numPr>
              <w:rPr>
                <w:rFonts w:ascii="宋体" w:hAnsi="宋体" w:cs="宋体"/>
                <w:color w:val="auto"/>
                <w:sz w:val="24"/>
                <w:highlight w:val="none"/>
              </w:rPr>
            </w:pPr>
            <w:r>
              <w:rPr>
                <w:rFonts w:hint="eastAsia" w:ascii="宋体" w:hAnsi="宋体" w:cs="宋体"/>
                <w:color w:val="auto"/>
                <w:sz w:val="24"/>
                <w:highlight w:val="none"/>
              </w:rPr>
              <w:t>主要施工机械设备应悬挂操作规程；</w:t>
            </w:r>
          </w:p>
          <w:p w14:paraId="5946AC5C">
            <w:pPr>
              <w:pStyle w:val="68"/>
              <w:numPr>
                <w:ilvl w:val="0"/>
                <w:numId w:val="14"/>
              </w:numPr>
              <w:rPr>
                <w:rFonts w:ascii="宋体" w:hAnsi="宋体" w:cs="宋体"/>
                <w:color w:val="auto"/>
                <w:sz w:val="24"/>
                <w:highlight w:val="none"/>
              </w:rPr>
            </w:pPr>
            <w:r>
              <w:rPr>
                <w:rFonts w:hint="eastAsia" w:ascii="宋体" w:hAnsi="宋体" w:cs="宋体"/>
                <w:color w:val="auto"/>
                <w:sz w:val="24"/>
                <w:highlight w:val="none"/>
              </w:rPr>
              <w:t>作业人员酒后作业、机器设备带病作业的；</w:t>
            </w:r>
          </w:p>
          <w:p w14:paraId="2EEA583C">
            <w:pPr>
              <w:pStyle w:val="68"/>
              <w:numPr>
                <w:ilvl w:val="0"/>
                <w:numId w:val="14"/>
              </w:numPr>
              <w:rPr>
                <w:rFonts w:ascii="宋体" w:hAnsi="宋体" w:cs="宋体"/>
                <w:color w:val="auto"/>
                <w:sz w:val="24"/>
                <w:highlight w:val="none"/>
              </w:rPr>
            </w:pPr>
            <w:r>
              <w:rPr>
                <w:rFonts w:hint="eastAsia" w:ascii="宋体" w:hAnsi="宋体" w:cs="宋体"/>
                <w:color w:val="auto"/>
                <w:sz w:val="24"/>
                <w:highlight w:val="none"/>
              </w:rPr>
              <w:t>施工未进行安全交底，安全交底无记录的。</w:t>
            </w:r>
          </w:p>
        </w:tc>
      </w:tr>
      <w:tr w14:paraId="1F9D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55FB795">
            <w:pPr>
              <w:pStyle w:val="68"/>
              <w:rPr>
                <w:rFonts w:ascii="宋体" w:hAnsi="宋体" w:cs="宋体"/>
                <w:color w:val="auto"/>
                <w:sz w:val="28"/>
                <w:szCs w:val="28"/>
                <w:highlight w:val="none"/>
              </w:rPr>
            </w:pPr>
          </w:p>
        </w:tc>
        <w:tc>
          <w:tcPr>
            <w:tcW w:w="518" w:type="dxa"/>
            <w:vAlign w:val="center"/>
          </w:tcPr>
          <w:p w14:paraId="43959A90">
            <w:pPr>
              <w:pStyle w:val="68"/>
              <w:jc w:val="center"/>
              <w:rPr>
                <w:rFonts w:ascii="宋体" w:hAnsi="宋体" w:cs="宋体"/>
                <w:color w:val="auto"/>
                <w:sz w:val="24"/>
                <w:highlight w:val="none"/>
              </w:rPr>
            </w:pPr>
            <w:r>
              <w:rPr>
                <w:rFonts w:hint="eastAsia" w:ascii="宋体" w:hAnsi="宋体" w:cs="宋体"/>
                <w:color w:val="auto"/>
                <w:sz w:val="24"/>
                <w:highlight w:val="none"/>
              </w:rPr>
              <w:t>10</w:t>
            </w:r>
          </w:p>
        </w:tc>
        <w:tc>
          <w:tcPr>
            <w:tcW w:w="8062" w:type="dxa"/>
            <w:vAlign w:val="center"/>
          </w:tcPr>
          <w:p w14:paraId="5B8F0888">
            <w:pPr>
              <w:pStyle w:val="68"/>
              <w:rPr>
                <w:rFonts w:ascii="宋体" w:hAnsi="宋体" w:cs="宋体"/>
                <w:color w:val="auto"/>
                <w:sz w:val="24"/>
                <w:highlight w:val="none"/>
              </w:rPr>
            </w:pPr>
            <w:r>
              <w:rPr>
                <w:rFonts w:hint="eastAsia" w:ascii="宋体" w:hAnsi="宋体" w:cs="宋体"/>
                <w:color w:val="auto"/>
                <w:sz w:val="24"/>
                <w:highlight w:val="none"/>
              </w:rPr>
              <w:t>施工现场人员出现以下情况，每人／次违约金500元：</w:t>
            </w:r>
          </w:p>
          <w:p w14:paraId="5CC77D51">
            <w:pPr>
              <w:pStyle w:val="68"/>
              <w:numPr>
                <w:ilvl w:val="0"/>
                <w:numId w:val="15"/>
              </w:numPr>
              <w:rPr>
                <w:rFonts w:ascii="宋体" w:hAnsi="宋体" w:cs="宋体"/>
                <w:color w:val="auto"/>
                <w:sz w:val="24"/>
                <w:highlight w:val="none"/>
              </w:rPr>
            </w:pPr>
            <w:r>
              <w:rPr>
                <w:rFonts w:hint="eastAsia" w:ascii="宋体" w:hAnsi="宋体" w:cs="宋体"/>
                <w:color w:val="auto"/>
                <w:sz w:val="24"/>
                <w:highlight w:val="none"/>
              </w:rPr>
              <w:t>不戴安全帽；</w:t>
            </w:r>
          </w:p>
          <w:p w14:paraId="41D7C15C">
            <w:pPr>
              <w:pStyle w:val="68"/>
              <w:numPr>
                <w:ilvl w:val="0"/>
                <w:numId w:val="15"/>
              </w:numPr>
              <w:rPr>
                <w:rFonts w:ascii="宋体" w:hAnsi="宋体" w:cs="宋体"/>
                <w:color w:val="auto"/>
                <w:sz w:val="24"/>
                <w:highlight w:val="none"/>
              </w:rPr>
            </w:pPr>
            <w:r>
              <w:rPr>
                <w:rFonts w:hint="eastAsia" w:ascii="宋体" w:hAnsi="宋体" w:cs="宋体"/>
                <w:color w:val="auto"/>
                <w:sz w:val="24"/>
                <w:highlight w:val="none"/>
              </w:rPr>
              <w:t>高空作业不系安全带；</w:t>
            </w:r>
          </w:p>
          <w:p w14:paraId="30E13D18">
            <w:pPr>
              <w:pStyle w:val="68"/>
              <w:numPr>
                <w:ilvl w:val="0"/>
                <w:numId w:val="15"/>
              </w:numPr>
              <w:rPr>
                <w:rFonts w:ascii="宋体" w:hAnsi="宋体" w:cs="宋体"/>
                <w:color w:val="auto"/>
                <w:sz w:val="24"/>
                <w:highlight w:val="none"/>
              </w:rPr>
            </w:pPr>
            <w:r>
              <w:rPr>
                <w:rFonts w:hint="eastAsia" w:ascii="宋体" w:hAnsi="宋体" w:cs="宋体"/>
                <w:color w:val="auto"/>
                <w:sz w:val="24"/>
                <w:highlight w:val="none"/>
              </w:rPr>
              <w:t>水上作业不穿救生衣；</w:t>
            </w:r>
          </w:p>
          <w:p w14:paraId="6EC40D11">
            <w:pPr>
              <w:pStyle w:val="68"/>
              <w:numPr>
                <w:ilvl w:val="0"/>
                <w:numId w:val="15"/>
              </w:numPr>
              <w:rPr>
                <w:rFonts w:ascii="宋体" w:hAnsi="宋体" w:cs="宋体"/>
                <w:color w:val="auto"/>
                <w:sz w:val="24"/>
                <w:highlight w:val="none"/>
              </w:rPr>
            </w:pPr>
            <w:r>
              <w:rPr>
                <w:rFonts w:hint="eastAsia" w:ascii="宋体" w:hAnsi="宋体" w:cs="宋体"/>
                <w:color w:val="auto"/>
                <w:sz w:val="24"/>
                <w:highlight w:val="none"/>
              </w:rPr>
              <w:t>赤脚或穿拖鞋；</w:t>
            </w:r>
          </w:p>
          <w:p w14:paraId="1825CD7E">
            <w:pPr>
              <w:pStyle w:val="68"/>
              <w:numPr>
                <w:ilvl w:val="0"/>
                <w:numId w:val="15"/>
              </w:numPr>
              <w:rPr>
                <w:rFonts w:ascii="宋体" w:hAnsi="宋体" w:cs="宋体"/>
                <w:color w:val="auto"/>
                <w:sz w:val="24"/>
                <w:highlight w:val="none"/>
              </w:rPr>
            </w:pPr>
            <w:r>
              <w:rPr>
                <w:rFonts w:hint="eastAsia" w:ascii="宋体" w:hAnsi="宋体" w:cs="宋体"/>
                <w:color w:val="auto"/>
                <w:sz w:val="24"/>
                <w:highlight w:val="none"/>
              </w:rPr>
              <w:t>爆破员、安全员、电工、装载机司机、运输车司机、电焊工、砼工、吊车、架桥机等特殊工种未持证上岗的。</w:t>
            </w:r>
          </w:p>
        </w:tc>
      </w:tr>
      <w:tr w14:paraId="6244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F4B9396">
            <w:pPr>
              <w:pStyle w:val="68"/>
              <w:jc w:val="center"/>
              <w:rPr>
                <w:rFonts w:ascii="宋体" w:hAnsi="宋体" w:cs="宋体"/>
                <w:color w:val="auto"/>
                <w:sz w:val="28"/>
                <w:szCs w:val="28"/>
                <w:highlight w:val="none"/>
              </w:rPr>
            </w:pPr>
            <w:r>
              <w:rPr>
                <w:rFonts w:hint="eastAsia" w:ascii="宋体" w:hAnsi="宋体" w:cs="宋体"/>
                <w:color w:val="auto"/>
                <w:sz w:val="24"/>
                <w:highlight w:val="none"/>
              </w:rPr>
              <w:t>文明施工</w:t>
            </w:r>
          </w:p>
        </w:tc>
        <w:tc>
          <w:tcPr>
            <w:tcW w:w="518" w:type="dxa"/>
            <w:vAlign w:val="center"/>
          </w:tcPr>
          <w:p w14:paraId="6C9277A9">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30A62E37">
            <w:pPr>
              <w:pStyle w:val="68"/>
              <w:rPr>
                <w:rFonts w:ascii="宋体" w:hAnsi="宋体" w:cs="宋体"/>
                <w:color w:val="auto"/>
                <w:sz w:val="24"/>
                <w:highlight w:val="none"/>
              </w:rPr>
            </w:pPr>
            <w:r>
              <w:rPr>
                <w:rFonts w:hint="eastAsia" w:ascii="宋体" w:hAnsi="宋体" w:cs="宋体"/>
                <w:color w:val="auto"/>
                <w:sz w:val="24"/>
                <w:highlight w:val="none"/>
              </w:rPr>
              <w:t xml:space="preserve">承包人驻地建设应包括防护、围墙、临时便道和安全、卫生、防火设施，违者每项违约金5000元。   </w:t>
            </w:r>
          </w:p>
        </w:tc>
      </w:tr>
      <w:tr w14:paraId="2963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0E96568">
            <w:pPr>
              <w:pStyle w:val="68"/>
              <w:rPr>
                <w:rFonts w:ascii="宋体" w:hAnsi="宋体" w:cs="宋体"/>
                <w:color w:val="auto"/>
                <w:sz w:val="28"/>
                <w:szCs w:val="28"/>
                <w:highlight w:val="none"/>
              </w:rPr>
            </w:pPr>
          </w:p>
        </w:tc>
        <w:tc>
          <w:tcPr>
            <w:tcW w:w="518" w:type="dxa"/>
            <w:vAlign w:val="center"/>
          </w:tcPr>
          <w:p w14:paraId="35241D16">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17AF49CA">
            <w:pPr>
              <w:pStyle w:val="68"/>
              <w:rPr>
                <w:rFonts w:ascii="宋体" w:hAnsi="宋体" w:cs="宋体"/>
                <w:color w:val="auto"/>
                <w:sz w:val="24"/>
                <w:highlight w:val="none"/>
              </w:rPr>
            </w:pPr>
            <w:r>
              <w:rPr>
                <w:rFonts w:hint="eastAsia" w:ascii="宋体" w:hAnsi="宋体" w:cs="宋体"/>
                <w:color w:val="auto"/>
                <w:sz w:val="24"/>
                <w:highlight w:val="none"/>
              </w:rPr>
              <w:t>承包人项目经理部应按发包人统一要求设置组织机构、质量管理、安全生产等宣传牌，违者每项违约金5000元。</w:t>
            </w:r>
          </w:p>
        </w:tc>
      </w:tr>
      <w:tr w14:paraId="7EDE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757F039">
            <w:pPr>
              <w:pStyle w:val="68"/>
              <w:rPr>
                <w:rFonts w:ascii="宋体" w:hAnsi="宋体" w:cs="宋体"/>
                <w:color w:val="auto"/>
                <w:sz w:val="28"/>
                <w:szCs w:val="28"/>
                <w:highlight w:val="none"/>
              </w:rPr>
            </w:pPr>
          </w:p>
        </w:tc>
        <w:tc>
          <w:tcPr>
            <w:tcW w:w="518" w:type="dxa"/>
            <w:vAlign w:val="center"/>
          </w:tcPr>
          <w:p w14:paraId="54208839">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73BE9BBA">
            <w:pPr>
              <w:pStyle w:val="68"/>
              <w:rPr>
                <w:rFonts w:ascii="宋体" w:hAnsi="宋体" w:cs="宋体"/>
                <w:color w:val="auto"/>
                <w:sz w:val="24"/>
                <w:highlight w:val="none"/>
              </w:rPr>
            </w:pPr>
            <w:r>
              <w:rPr>
                <w:rFonts w:hint="eastAsia" w:ascii="宋体" w:hAnsi="宋体" w:cs="宋体"/>
                <w:color w:val="auto"/>
                <w:sz w:val="24"/>
                <w:highlight w:val="none"/>
              </w:rPr>
              <w:t>单项工程的施工现场未按要求设立标示牌的，施工点无安全员的，每处违约金500元。</w:t>
            </w:r>
          </w:p>
        </w:tc>
      </w:tr>
      <w:tr w14:paraId="6B59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F460C48">
            <w:pPr>
              <w:pStyle w:val="68"/>
              <w:rPr>
                <w:rFonts w:ascii="宋体" w:hAnsi="宋体" w:cs="宋体"/>
                <w:color w:val="auto"/>
                <w:sz w:val="28"/>
                <w:szCs w:val="28"/>
                <w:highlight w:val="none"/>
              </w:rPr>
            </w:pPr>
          </w:p>
        </w:tc>
        <w:tc>
          <w:tcPr>
            <w:tcW w:w="518" w:type="dxa"/>
            <w:vAlign w:val="center"/>
          </w:tcPr>
          <w:p w14:paraId="091DA893">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17142879">
            <w:pPr>
              <w:pStyle w:val="68"/>
              <w:rPr>
                <w:rFonts w:ascii="宋体" w:hAnsi="宋体" w:cs="宋体"/>
                <w:color w:val="auto"/>
                <w:sz w:val="24"/>
                <w:highlight w:val="none"/>
              </w:rPr>
            </w:pPr>
            <w:r>
              <w:rPr>
                <w:rFonts w:hint="eastAsia" w:ascii="宋体" w:hAnsi="宋体" w:cs="宋体"/>
                <w:color w:val="auto"/>
                <w:sz w:val="24"/>
                <w:highlight w:val="none"/>
              </w:rPr>
              <w:t xml:space="preserve">施工现场管理人员不佩带工作证，每人／次违约金200元。  </w:t>
            </w:r>
          </w:p>
        </w:tc>
      </w:tr>
      <w:tr w14:paraId="581A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68FC6B6">
            <w:pPr>
              <w:pStyle w:val="68"/>
              <w:rPr>
                <w:rFonts w:ascii="宋体" w:hAnsi="宋体" w:cs="宋体"/>
                <w:color w:val="auto"/>
                <w:sz w:val="28"/>
                <w:szCs w:val="28"/>
                <w:highlight w:val="none"/>
              </w:rPr>
            </w:pPr>
          </w:p>
        </w:tc>
        <w:tc>
          <w:tcPr>
            <w:tcW w:w="518" w:type="dxa"/>
            <w:vAlign w:val="center"/>
          </w:tcPr>
          <w:p w14:paraId="4D7891A0">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14:paraId="6CBE2777">
            <w:pPr>
              <w:pStyle w:val="68"/>
              <w:rPr>
                <w:rFonts w:ascii="宋体" w:hAnsi="宋体" w:cs="宋体"/>
                <w:color w:val="auto"/>
                <w:sz w:val="24"/>
                <w:highlight w:val="none"/>
              </w:rPr>
            </w:pPr>
            <w:r>
              <w:rPr>
                <w:rFonts w:hint="eastAsia" w:ascii="宋体" w:hAnsi="宋体" w:cs="宋体"/>
                <w:color w:val="auto"/>
                <w:sz w:val="24"/>
                <w:highlight w:val="none"/>
              </w:rPr>
              <w:t>路基施工作业面、便道不及时洒水降尘的，每次违约金3000元。</w:t>
            </w:r>
          </w:p>
        </w:tc>
      </w:tr>
      <w:tr w14:paraId="2FD6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F16CF5A">
            <w:pPr>
              <w:pStyle w:val="68"/>
              <w:rPr>
                <w:rFonts w:ascii="宋体" w:hAnsi="宋体" w:cs="宋体"/>
                <w:color w:val="auto"/>
                <w:sz w:val="28"/>
                <w:szCs w:val="28"/>
                <w:highlight w:val="none"/>
              </w:rPr>
            </w:pPr>
          </w:p>
        </w:tc>
        <w:tc>
          <w:tcPr>
            <w:tcW w:w="518" w:type="dxa"/>
            <w:vAlign w:val="center"/>
          </w:tcPr>
          <w:p w14:paraId="390C314F">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14:paraId="568BC6AE">
            <w:pPr>
              <w:pStyle w:val="68"/>
              <w:rPr>
                <w:rFonts w:ascii="宋体" w:hAnsi="宋体" w:cs="宋体"/>
                <w:color w:val="auto"/>
                <w:sz w:val="24"/>
                <w:highlight w:val="none"/>
              </w:rPr>
            </w:pPr>
            <w:r>
              <w:rPr>
                <w:rFonts w:hint="eastAsia" w:ascii="宋体" w:hAnsi="宋体" w:cs="宋体"/>
                <w:color w:val="auto"/>
                <w:sz w:val="24"/>
                <w:highlight w:val="none"/>
              </w:rPr>
              <w:t xml:space="preserve">桥梁施工过程中的泥浆及废弃物等，须在该项工程完工时即时清除干净，违者违约金30000元。   </w:t>
            </w:r>
          </w:p>
        </w:tc>
      </w:tr>
      <w:tr w14:paraId="18E8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4A10C2B">
            <w:pPr>
              <w:pStyle w:val="68"/>
              <w:rPr>
                <w:rFonts w:ascii="宋体" w:hAnsi="宋体" w:cs="宋体"/>
                <w:color w:val="auto"/>
                <w:sz w:val="28"/>
                <w:szCs w:val="28"/>
                <w:highlight w:val="none"/>
              </w:rPr>
            </w:pPr>
          </w:p>
        </w:tc>
        <w:tc>
          <w:tcPr>
            <w:tcW w:w="518" w:type="dxa"/>
            <w:vAlign w:val="center"/>
          </w:tcPr>
          <w:p w14:paraId="63853A6B">
            <w:pPr>
              <w:pStyle w:val="68"/>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8062" w:type="dxa"/>
            <w:vAlign w:val="center"/>
          </w:tcPr>
          <w:p w14:paraId="4001DD37">
            <w:pPr>
              <w:pStyle w:val="68"/>
              <w:rPr>
                <w:rFonts w:ascii="宋体" w:hAnsi="宋体" w:cs="宋体"/>
                <w:color w:val="auto"/>
                <w:sz w:val="24"/>
                <w:highlight w:val="none"/>
              </w:rPr>
            </w:pPr>
            <w:r>
              <w:rPr>
                <w:rFonts w:hint="eastAsia" w:ascii="宋体" w:hAnsi="宋体" w:cs="宋体"/>
                <w:color w:val="auto"/>
                <w:sz w:val="24"/>
                <w:highlight w:val="none"/>
              </w:rPr>
              <w:t>施工现场未采取有效措施，造成水源污染、空气污染等不良后果，引起群众抗议、投诉或有关行政主管部门处罚的，每次违约金10000元。</w:t>
            </w:r>
          </w:p>
        </w:tc>
      </w:tr>
      <w:tr w14:paraId="33E5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59A3DF2">
            <w:pPr>
              <w:pStyle w:val="68"/>
              <w:rPr>
                <w:rFonts w:ascii="宋体" w:hAnsi="宋体" w:cs="宋体"/>
                <w:color w:val="auto"/>
                <w:sz w:val="28"/>
                <w:szCs w:val="28"/>
                <w:highlight w:val="none"/>
              </w:rPr>
            </w:pPr>
          </w:p>
        </w:tc>
        <w:tc>
          <w:tcPr>
            <w:tcW w:w="518" w:type="dxa"/>
            <w:vAlign w:val="center"/>
          </w:tcPr>
          <w:p w14:paraId="514E63D7">
            <w:pPr>
              <w:pStyle w:val="68"/>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8062" w:type="dxa"/>
            <w:vAlign w:val="center"/>
          </w:tcPr>
          <w:p w14:paraId="44249AD7">
            <w:pPr>
              <w:pStyle w:val="68"/>
              <w:rPr>
                <w:rFonts w:ascii="宋体" w:hAnsi="宋体" w:cs="宋体"/>
                <w:color w:val="auto"/>
                <w:sz w:val="24"/>
                <w:highlight w:val="none"/>
              </w:rPr>
            </w:pPr>
            <w:r>
              <w:rPr>
                <w:rFonts w:hint="eastAsia" w:ascii="宋体" w:hAnsi="宋体" w:cs="宋体"/>
                <w:color w:val="auto"/>
                <w:sz w:val="24"/>
                <w:highlight w:val="none"/>
              </w:rPr>
              <w:t>弃土、弃渣占农田果园、堵塞水道以及造成水土流失的，每次违约金5000元。</w:t>
            </w:r>
          </w:p>
        </w:tc>
      </w:tr>
      <w:tr w14:paraId="0BCF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35D49B9">
            <w:pPr>
              <w:pStyle w:val="68"/>
              <w:rPr>
                <w:rFonts w:ascii="宋体" w:hAnsi="宋体" w:cs="宋体"/>
                <w:color w:val="auto"/>
                <w:sz w:val="28"/>
                <w:szCs w:val="28"/>
                <w:highlight w:val="none"/>
              </w:rPr>
            </w:pPr>
          </w:p>
        </w:tc>
        <w:tc>
          <w:tcPr>
            <w:tcW w:w="518" w:type="dxa"/>
            <w:vAlign w:val="center"/>
          </w:tcPr>
          <w:p w14:paraId="07CD3695">
            <w:pPr>
              <w:pStyle w:val="68"/>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8062" w:type="dxa"/>
            <w:vAlign w:val="center"/>
          </w:tcPr>
          <w:p w14:paraId="58E39227">
            <w:pPr>
              <w:pStyle w:val="68"/>
              <w:rPr>
                <w:rFonts w:ascii="宋体" w:hAnsi="宋体" w:cs="宋体"/>
                <w:color w:val="auto"/>
                <w:sz w:val="24"/>
                <w:highlight w:val="none"/>
              </w:rPr>
            </w:pPr>
            <w:r>
              <w:rPr>
                <w:rFonts w:hint="eastAsia" w:ascii="宋体" w:hAnsi="宋体" w:cs="宋体"/>
                <w:color w:val="auto"/>
                <w:sz w:val="24"/>
                <w:highlight w:val="none"/>
              </w:rPr>
              <w:t>水土保持防护措施不完善，造成水土流失，污染当地农田水利的，每次违约金5000元。</w:t>
            </w:r>
          </w:p>
        </w:tc>
      </w:tr>
      <w:tr w14:paraId="5AA1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0B0A1FDF">
            <w:pPr>
              <w:pStyle w:val="68"/>
              <w:jc w:val="center"/>
              <w:rPr>
                <w:rFonts w:hint="eastAsia" w:ascii="宋体" w:hAnsi="宋体" w:cs="宋体"/>
                <w:color w:val="auto"/>
                <w:sz w:val="24"/>
                <w:highlight w:val="none"/>
              </w:rPr>
            </w:pPr>
            <w:r>
              <w:rPr>
                <w:rFonts w:hint="eastAsia" w:ascii="宋体" w:hAnsi="宋体" w:cs="宋体"/>
                <w:color w:val="auto"/>
                <w:sz w:val="24"/>
                <w:highlight w:val="none"/>
              </w:rPr>
              <w:t>环 境保护</w:t>
            </w:r>
          </w:p>
          <w:p w14:paraId="32227693">
            <w:pPr>
              <w:pStyle w:val="68"/>
              <w:jc w:val="center"/>
              <w:rPr>
                <w:rFonts w:hint="eastAsia" w:ascii="宋体" w:hAnsi="宋体" w:cs="宋体"/>
                <w:color w:val="auto"/>
                <w:sz w:val="24"/>
                <w:highlight w:val="none"/>
              </w:rPr>
            </w:pPr>
          </w:p>
        </w:tc>
        <w:tc>
          <w:tcPr>
            <w:tcW w:w="518" w:type="dxa"/>
            <w:vAlign w:val="center"/>
          </w:tcPr>
          <w:p w14:paraId="59EACE8C">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tcPr>
          <w:p w14:paraId="4AA28989">
            <w:pPr>
              <w:pStyle w:val="80"/>
              <w:spacing w:before="86"/>
              <w:ind w:left="109"/>
              <w:rPr>
                <w:color w:val="auto"/>
                <w:sz w:val="24"/>
                <w:highlight w:val="none"/>
              </w:rPr>
            </w:pPr>
            <w:r>
              <w:rPr>
                <w:rFonts w:hint="eastAsia"/>
                <w:color w:val="auto"/>
                <w:sz w:val="24"/>
                <w:highlight w:val="none"/>
              </w:rPr>
              <w:t>未建立健全的环境保护管理机构，违约金 10,000 元，并限期纠正。</w:t>
            </w:r>
          </w:p>
        </w:tc>
      </w:tr>
      <w:tr w14:paraId="1FAB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17F625F">
            <w:pPr>
              <w:pStyle w:val="68"/>
              <w:rPr>
                <w:rFonts w:ascii="宋体" w:hAnsi="宋体" w:cs="宋体"/>
                <w:color w:val="auto"/>
                <w:sz w:val="28"/>
                <w:szCs w:val="28"/>
                <w:highlight w:val="none"/>
              </w:rPr>
            </w:pPr>
          </w:p>
        </w:tc>
        <w:tc>
          <w:tcPr>
            <w:tcW w:w="518" w:type="dxa"/>
            <w:vAlign w:val="center"/>
          </w:tcPr>
          <w:p w14:paraId="0750B3C8">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tcPr>
          <w:p w14:paraId="5C56F65A">
            <w:pPr>
              <w:pStyle w:val="80"/>
              <w:spacing w:before="85"/>
              <w:ind w:left="109"/>
              <w:rPr>
                <w:color w:val="auto"/>
                <w:sz w:val="24"/>
                <w:highlight w:val="none"/>
              </w:rPr>
            </w:pPr>
            <w:r>
              <w:rPr>
                <w:rFonts w:hint="eastAsia"/>
                <w:color w:val="auto"/>
                <w:sz w:val="24"/>
                <w:highlight w:val="none"/>
              </w:rPr>
              <w:t>环境保护规章制度不齐全，违约金 5,000 元，并限期纠正。</w:t>
            </w:r>
          </w:p>
        </w:tc>
      </w:tr>
      <w:tr w14:paraId="24C2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6591B66">
            <w:pPr>
              <w:pStyle w:val="68"/>
              <w:rPr>
                <w:rFonts w:ascii="宋体" w:hAnsi="宋体" w:cs="宋体"/>
                <w:color w:val="auto"/>
                <w:sz w:val="28"/>
                <w:szCs w:val="28"/>
                <w:highlight w:val="none"/>
              </w:rPr>
            </w:pPr>
          </w:p>
        </w:tc>
        <w:tc>
          <w:tcPr>
            <w:tcW w:w="518" w:type="dxa"/>
            <w:vAlign w:val="center"/>
          </w:tcPr>
          <w:p w14:paraId="5D068D47">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tcPr>
          <w:p w14:paraId="251E19B6">
            <w:pPr>
              <w:pStyle w:val="80"/>
              <w:spacing w:before="85"/>
              <w:ind w:left="109"/>
              <w:rPr>
                <w:color w:val="auto"/>
                <w:sz w:val="24"/>
                <w:highlight w:val="none"/>
              </w:rPr>
            </w:pPr>
            <w:r>
              <w:rPr>
                <w:rFonts w:hint="eastAsia"/>
                <w:color w:val="auto"/>
                <w:sz w:val="24"/>
                <w:highlight w:val="none"/>
              </w:rPr>
              <w:t>施工方案中没有环保措施，违约金 1,000 元，并限期纠正。</w:t>
            </w:r>
          </w:p>
        </w:tc>
      </w:tr>
      <w:tr w14:paraId="5CAF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71D65DA">
            <w:pPr>
              <w:pStyle w:val="68"/>
              <w:rPr>
                <w:rFonts w:ascii="宋体" w:hAnsi="宋体" w:cs="宋体"/>
                <w:color w:val="auto"/>
                <w:sz w:val="28"/>
                <w:szCs w:val="28"/>
                <w:highlight w:val="none"/>
              </w:rPr>
            </w:pPr>
          </w:p>
        </w:tc>
        <w:tc>
          <w:tcPr>
            <w:tcW w:w="518" w:type="dxa"/>
            <w:vAlign w:val="center"/>
          </w:tcPr>
          <w:p w14:paraId="0E3D1A88">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tcPr>
          <w:p w14:paraId="7AAA068A">
            <w:pPr>
              <w:pStyle w:val="80"/>
              <w:spacing w:before="85"/>
              <w:ind w:left="109"/>
              <w:rPr>
                <w:color w:val="auto"/>
                <w:sz w:val="24"/>
                <w:highlight w:val="none"/>
              </w:rPr>
            </w:pPr>
            <w:r>
              <w:rPr>
                <w:rFonts w:hint="eastAsia"/>
                <w:color w:val="auto"/>
                <w:sz w:val="24"/>
                <w:highlight w:val="none"/>
              </w:rPr>
              <w:t>未对可能造成环境污染的项目进行监测，违约金 1,000 元，并限期纠正。</w:t>
            </w:r>
          </w:p>
        </w:tc>
      </w:tr>
      <w:tr w14:paraId="2AB9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EF6D946">
            <w:pPr>
              <w:pStyle w:val="68"/>
              <w:rPr>
                <w:rFonts w:ascii="宋体" w:hAnsi="宋体" w:cs="宋体"/>
                <w:color w:val="auto"/>
                <w:sz w:val="28"/>
                <w:szCs w:val="28"/>
                <w:highlight w:val="none"/>
              </w:rPr>
            </w:pPr>
          </w:p>
        </w:tc>
        <w:tc>
          <w:tcPr>
            <w:tcW w:w="518" w:type="dxa"/>
            <w:vAlign w:val="center"/>
          </w:tcPr>
          <w:p w14:paraId="2DD71EF4">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tcPr>
          <w:p w14:paraId="66239778">
            <w:pPr>
              <w:pStyle w:val="80"/>
              <w:spacing w:before="85"/>
              <w:ind w:left="109"/>
              <w:rPr>
                <w:color w:val="auto"/>
                <w:sz w:val="24"/>
                <w:highlight w:val="none"/>
              </w:rPr>
            </w:pPr>
            <w:r>
              <w:rPr>
                <w:rFonts w:hint="eastAsia"/>
                <w:color w:val="auto"/>
                <w:sz w:val="24"/>
                <w:highlight w:val="none"/>
              </w:rPr>
              <w:t>未配备必要的环境保护监测仪器，违约金 1,000 元，并限期纠正。</w:t>
            </w:r>
          </w:p>
        </w:tc>
      </w:tr>
      <w:tr w14:paraId="501A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DAAC16A">
            <w:pPr>
              <w:pStyle w:val="68"/>
              <w:rPr>
                <w:rFonts w:ascii="宋体" w:hAnsi="宋体" w:cs="宋体"/>
                <w:color w:val="auto"/>
                <w:sz w:val="28"/>
                <w:szCs w:val="28"/>
                <w:highlight w:val="none"/>
              </w:rPr>
            </w:pPr>
          </w:p>
        </w:tc>
        <w:tc>
          <w:tcPr>
            <w:tcW w:w="518" w:type="dxa"/>
            <w:vAlign w:val="center"/>
          </w:tcPr>
          <w:p w14:paraId="3413F059">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tcPr>
          <w:p w14:paraId="06C53829">
            <w:pPr>
              <w:pStyle w:val="80"/>
              <w:spacing w:before="86"/>
              <w:ind w:left="108"/>
              <w:rPr>
                <w:color w:val="auto"/>
                <w:sz w:val="24"/>
                <w:highlight w:val="none"/>
              </w:rPr>
            </w:pPr>
            <w:r>
              <w:rPr>
                <w:rFonts w:hint="eastAsia"/>
                <w:color w:val="auto"/>
                <w:sz w:val="24"/>
                <w:highlight w:val="none"/>
              </w:rPr>
              <w:t>环境保护学习、宣传、教育、培训不健全，违约金 1,000 元，并限期纠正。</w:t>
            </w:r>
          </w:p>
        </w:tc>
      </w:tr>
      <w:tr w14:paraId="1E9E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C12F484">
            <w:pPr>
              <w:pStyle w:val="68"/>
              <w:rPr>
                <w:rFonts w:ascii="宋体" w:hAnsi="宋体" w:cs="宋体"/>
                <w:color w:val="auto"/>
                <w:sz w:val="28"/>
                <w:szCs w:val="28"/>
                <w:highlight w:val="none"/>
              </w:rPr>
            </w:pPr>
          </w:p>
        </w:tc>
        <w:tc>
          <w:tcPr>
            <w:tcW w:w="518" w:type="dxa"/>
            <w:vAlign w:val="center"/>
          </w:tcPr>
          <w:p w14:paraId="0EA0B4E0">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tcPr>
          <w:p w14:paraId="2846DE4D">
            <w:pPr>
              <w:pStyle w:val="80"/>
              <w:spacing w:before="86"/>
              <w:ind w:left="108"/>
              <w:rPr>
                <w:color w:val="auto"/>
                <w:sz w:val="24"/>
                <w:highlight w:val="none"/>
              </w:rPr>
            </w:pPr>
            <w:r>
              <w:rPr>
                <w:rFonts w:hint="eastAsia"/>
                <w:color w:val="auto"/>
                <w:sz w:val="24"/>
                <w:highlight w:val="none"/>
              </w:rPr>
              <w:t>未建立环境保护管理台帐，报送资料不及时，违约金 1,000 元，并限期纠正。</w:t>
            </w:r>
          </w:p>
        </w:tc>
      </w:tr>
      <w:tr w14:paraId="5DE1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A495E49">
            <w:pPr>
              <w:pStyle w:val="68"/>
              <w:rPr>
                <w:rFonts w:ascii="宋体" w:hAnsi="宋体" w:cs="宋体"/>
                <w:color w:val="auto"/>
                <w:sz w:val="28"/>
                <w:szCs w:val="28"/>
                <w:highlight w:val="none"/>
              </w:rPr>
            </w:pPr>
          </w:p>
        </w:tc>
        <w:tc>
          <w:tcPr>
            <w:tcW w:w="518" w:type="dxa"/>
            <w:vAlign w:val="center"/>
          </w:tcPr>
          <w:p w14:paraId="16942ADE">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tcPr>
          <w:p w14:paraId="60C78FC2">
            <w:pPr>
              <w:pStyle w:val="80"/>
              <w:spacing w:before="85"/>
              <w:ind w:left="108"/>
              <w:rPr>
                <w:color w:val="auto"/>
                <w:sz w:val="24"/>
                <w:highlight w:val="none"/>
              </w:rPr>
            </w:pPr>
            <w:r>
              <w:rPr>
                <w:rFonts w:hint="eastAsia"/>
                <w:color w:val="auto"/>
                <w:sz w:val="24"/>
                <w:highlight w:val="none"/>
              </w:rPr>
              <w:t>驻地环保设施不完善或设施缺乏维护而造成环境污染，视严重程度违约金</w:t>
            </w:r>
          </w:p>
          <w:p w14:paraId="43AFB4A2">
            <w:pPr>
              <w:pStyle w:val="80"/>
              <w:spacing w:before="3"/>
              <w:ind w:left="108"/>
              <w:rPr>
                <w:color w:val="auto"/>
                <w:sz w:val="24"/>
                <w:highlight w:val="none"/>
              </w:rPr>
            </w:pPr>
            <w:r>
              <w:rPr>
                <w:rFonts w:hint="eastAsia"/>
                <w:color w:val="auto"/>
                <w:sz w:val="24"/>
                <w:highlight w:val="none"/>
              </w:rPr>
              <w:t>1,000~10,000 元，并限期纠正。</w:t>
            </w:r>
          </w:p>
        </w:tc>
      </w:tr>
      <w:tr w14:paraId="1BA6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CE95886">
            <w:pPr>
              <w:pStyle w:val="68"/>
              <w:rPr>
                <w:rFonts w:ascii="宋体" w:hAnsi="宋体" w:cs="宋体"/>
                <w:color w:val="auto"/>
                <w:sz w:val="28"/>
                <w:szCs w:val="28"/>
                <w:highlight w:val="none"/>
              </w:rPr>
            </w:pPr>
          </w:p>
        </w:tc>
        <w:tc>
          <w:tcPr>
            <w:tcW w:w="518" w:type="dxa"/>
            <w:vAlign w:val="center"/>
          </w:tcPr>
          <w:p w14:paraId="17488ABB">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tcPr>
          <w:p w14:paraId="105C34A1">
            <w:pPr>
              <w:pStyle w:val="80"/>
              <w:spacing w:before="85"/>
              <w:ind w:left="108"/>
              <w:rPr>
                <w:color w:val="auto"/>
                <w:sz w:val="24"/>
                <w:highlight w:val="none"/>
              </w:rPr>
            </w:pPr>
            <w:r>
              <w:rPr>
                <w:rFonts w:hint="eastAsia"/>
                <w:color w:val="auto"/>
                <w:sz w:val="24"/>
                <w:highlight w:val="none"/>
              </w:rPr>
              <w:t>临近居民区施工噪声超标，违约金 1,000 元，并限期纠正。</w:t>
            </w:r>
          </w:p>
        </w:tc>
      </w:tr>
      <w:tr w14:paraId="5BF7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6B17412">
            <w:pPr>
              <w:pStyle w:val="68"/>
              <w:rPr>
                <w:rFonts w:ascii="宋体" w:hAnsi="宋体" w:cs="宋体"/>
                <w:color w:val="auto"/>
                <w:sz w:val="28"/>
                <w:szCs w:val="28"/>
                <w:highlight w:val="none"/>
              </w:rPr>
            </w:pPr>
          </w:p>
        </w:tc>
        <w:tc>
          <w:tcPr>
            <w:tcW w:w="518" w:type="dxa"/>
            <w:vAlign w:val="center"/>
          </w:tcPr>
          <w:p w14:paraId="56B77263">
            <w:pPr>
              <w:pStyle w:val="68"/>
              <w:jc w:val="center"/>
              <w:rPr>
                <w:rFonts w:ascii="宋体" w:hAnsi="宋体" w:cs="宋体"/>
                <w:color w:val="auto"/>
                <w:sz w:val="24"/>
                <w:highlight w:val="none"/>
              </w:rPr>
            </w:pPr>
            <w:r>
              <w:rPr>
                <w:rFonts w:hint="eastAsia" w:ascii="宋体" w:hAnsi="宋体" w:cs="宋体"/>
                <w:color w:val="auto"/>
                <w:sz w:val="24"/>
                <w:highlight w:val="none"/>
              </w:rPr>
              <w:t>10</w:t>
            </w:r>
          </w:p>
        </w:tc>
        <w:tc>
          <w:tcPr>
            <w:tcW w:w="8062" w:type="dxa"/>
          </w:tcPr>
          <w:p w14:paraId="3C4F3CCD">
            <w:pPr>
              <w:pStyle w:val="80"/>
              <w:spacing w:before="85" w:line="242" w:lineRule="auto"/>
              <w:ind w:left="108" w:right="6"/>
              <w:rPr>
                <w:color w:val="auto"/>
                <w:sz w:val="24"/>
                <w:highlight w:val="none"/>
              </w:rPr>
            </w:pPr>
            <w:r>
              <w:rPr>
                <w:rFonts w:hint="eastAsia"/>
                <w:color w:val="auto"/>
                <w:sz w:val="24"/>
                <w:highlight w:val="none"/>
              </w:rPr>
              <w:t>施工废料、废渣或弃土乱堆乱弃于施工现场而未运至弃土场，违约金 2,000 元，并限期纠正。</w:t>
            </w:r>
          </w:p>
        </w:tc>
      </w:tr>
      <w:tr w14:paraId="3D4C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91CBA26">
            <w:pPr>
              <w:pStyle w:val="68"/>
              <w:rPr>
                <w:rFonts w:ascii="宋体" w:hAnsi="宋体" w:cs="宋体"/>
                <w:color w:val="auto"/>
                <w:sz w:val="28"/>
                <w:szCs w:val="28"/>
                <w:highlight w:val="none"/>
              </w:rPr>
            </w:pPr>
          </w:p>
        </w:tc>
        <w:tc>
          <w:tcPr>
            <w:tcW w:w="518" w:type="dxa"/>
            <w:vAlign w:val="center"/>
          </w:tcPr>
          <w:p w14:paraId="3449CEC9">
            <w:pPr>
              <w:pStyle w:val="68"/>
              <w:jc w:val="center"/>
              <w:rPr>
                <w:rFonts w:ascii="宋体" w:hAnsi="宋体" w:cs="宋体"/>
                <w:color w:val="auto"/>
                <w:sz w:val="24"/>
                <w:highlight w:val="none"/>
              </w:rPr>
            </w:pPr>
            <w:r>
              <w:rPr>
                <w:rFonts w:hint="eastAsia" w:ascii="宋体" w:hAnsi="宋体" w:cs="宋体"/>
                <w:color w:val="auto"/>
                <w:sz w:val="24"/>
                <w:highlight w:val="none"/>
              </w:rPr>
              <w:t>11</w:t>
            </w:r>
          </w:p>
        </w:tc>
        <w:tc>
          <w:tcPr>
            <w:tcW w:w="8062" w:type="dxa"/>
          </w:tcPr>
          <w:p w14:paraId="111D8F94">
            <w:pPr>
              <w:pStyle w:val="80"/>
              <w:spacing w:before="85"/>
              <w:ind w:left="108"/>
              <w:rPr>
                <w:color w:val="auto"/>
                <w:sz w:val="24"/>
                <w:highlight w:val="none"/>
              </w:rPr>
            </w:pPr>
            <w:r>
              <w:rPr>
                <w:rFonts w:hint="eastAsia"/>
                <w:color w:val="auto"/>
                <w:sz w:val="24"/>
                <w:highlight w:val="none"/>
              </w:rPr>
              <w:t>施工废水排放未经处理而对周边造成污染，违约金 2,000 元，并限期纠正。</w:t>
            </w:r>
          </w:p>
        </w:tc>
      </w:tr>
      <w:tr w14:paraId="1677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9122942">
            <w:pPr>
              <w:pStyle w:val="68"/>
              <w:rPr>
                <w:rFonts w:ascii="宋体" w:hAnsi="宋体" w:cs="宋体"/>
                <w:color w:val="auto"/>
                <w:sz w:val="28"/>
                <w:szCs w:val="28"/>
                <w:highlight w:val="none"/>
              </w:rPr>
            </w:pPr>
          </w:p>
        </w:tc>
        <w:tc>
          <w:tcPr>
            <w:tcW w:w="518" w:type="dxa"/>
            <w:vAlign w:val="center"/>
          </w:tcPr>
          <w:p w14:paraId="75F5B44A">
            <w:pPr>
              <w:pStyle w:val="68"/>
              <w:jc w:val="center"/>
              <w:rPr>
                <w:rFonts w:ascii="宋体" w:hAnsi="宋体" w:cs="宋体"/>
                <w:color w:val="auto"/>
                <w:sz w:val="24"/>
                <w:highlight w:val="none"/>
              </w:rPr>
            </w:pPr>
            <w:r>
              <w:rPr>
                <w:rFonts w:hint="eastAsia" w:ascii="宋体" w:hAnsi="宋体" w:cs="宋体"/>
                <w:color w:val="auto"/>
                <w:sz w:val="24"/>
                <w:highlight w:val="none"/>
              </w:rPr>
              <w:t>12</w:t>
            </w:r>
          </w:p>
        </w:tc>
        <w:tc>
          <w:tcPr>
            <w:tcW w:w="8062" w:type="dxa"/>
          </w:tcPr>
          <w:p w14:paraId="14C2E4A3">
            <w:pPr>
              <w:pStyle w:val="80"/>
              <w:spacing w:before="85"/>
              <w:ind w:left="108"/>
              <w:rPr>
                <w:color w:val="auto"/>
                <w:sz w:val="24"/>
                <w:highlight w:val="none"/>
              </w:rPr>
            </w:pPr>
            <w:r>
              <w:rPr>
                <w:rFonts w:hint="eastAsia"/>
                <w:color w:val="auto"/>
                <w:sz w:val="24"/>
                <w:highlight w:val="none"/>
              </w:rPr>
              <w:t>施工废气排放未经处理而对周边造成污染，违约金 2,000 元，并限期纠正。</w:t>
            </w:r>
          </w:p>
        </w:tc>
      </w:tr>
      <w:tr w14:paraId="0FD7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7E8B5F6">
            <w:pPr>
              <w:pStyle w:val="68"/>
              <w:rPr>
                <w:rFonts w:ascii="宋体" w:hAnsi="宋体" w:cs="宋体"/>
                <w:color w:val="auto"/>
                <w:sz w:val="28"/>
                <w:szCs w:val="28"/>
                <w:highlight w:val="none"/>
              </w:rPr>
            </w:pPr>
          </w:p>
        </w:tc>
        <w:tc>
          <w:tcPr>
            <w:tcW w:w="518" w:type="dxa"/>
            <w:vAlign w:val="center"/>
          </w:tcPr>
          <w:p w14:paraId="2422F672">
            <w:pPr>
              <w:pStyle w:val="68"/>
              <w:jc w:val="center"/>
              <w:rPr>
                <w:rFonts w:ascii="宋体" w:hAnsi="宋体" w:cs="宋体"/>
                <w:color w:val="auto"/>
                <w:sz w:val="24"/>
                <w:highlight w:val="none"/>
              </w:rPr>
            </w:pPr>
            <w:r>
              <w:rPr>
                <w:rFonts w:hint="eastAsia" w:ascii="宋体" w:hAnsi="宋体" w:cs="宋体"/>
                <w:color w:val="auto"/>
                <w:sz w:val="24"/>
                <w:highlight w:val="none"/>
              </w:rPr>
              <w:t>13</w:t>
            </w:r>
          </w:p>
        </w:tc>
        <w:tc>
          <w:tcPr>
            <w:tcW w:w="8062" w:type="dxa"/>
          </w:tcPr>
          <w:p w14:paraId="3567AB46">
            <w:pPr>
              <w:pStyle w:val="80"/>
              <w:spacing w:before="85"/>
              <w:ind w:left="108"/>
              <w:rPr>
                <w:color w:val="auto"/>
                <w:sz w:val="24"/>
                <w:highlight w:val="none"/>
              </w:rPr>
            </w:pPr>
            <w:r>
              <w:rPr>
                <w:rFonts w:hint="eastAsia"/>
                <w:color w:val="auto"/>
                <w:sz w:val="24"/>
                <w:highlight w:val="none"/>
              </w:rPr>
              <w:t>施工粉尘未有效控制而对周边造成污染，违约金 2,000 元，并限期纠正。</w:t>
            </w:r>
          </w:p>
        </w:tc>
      </w:tr>
      <w:tr w14:paraId="70CF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54E09C0">
            <w:pPr>
              <w:pStyle w:val="68"/>
              <w:rPr>
                <w:rFonts w:ascii="宋体" w:hAnsi="宋体" w:cs="宋体"/>
                <w:color w:val="auto"/>
                <w:sz w:val="28"/>
                <w:szCs w:val="28"/>
                <w:highlight w:val="none"/>
              </w:rPr>
            </w:pPr>
          </w:p>
        </w:tc>
        <w:tc>
          <w:tcPr>
            <w:tcW w:w="518" w:type="dxa"/>
            <w:vAlign w:val="center"/>
          </w:tcPr>
          <w:p w14:paraId="1FB778E2">
            <w:pPr>
              <w:pStyle w:val="68"/>
              <w:jc w:val="center"/>
              <w:rPr>
                <w:rFonts w:ascii="宋体" w:hAnsi="宋体" w:cs="宋体"/>
                <w:color w:val="auto"/>
                <w:sz w:val="24"/>
                <w:highlight w:val="none"/>
              </w:rPr>
            </w:pPr>
            <w:r>
              <w:rPr>
                <w:rFonts w:hint="eastAsia" w:ascii="宋体" w:hAnsi="宋体" w:cs="宋体"/>
                <w:color w:val="auto"/>
                <w:sz w:val="24"/>
                <w:highlight w:val="none"/>
              </w:rPr>
              <w:t>14</w:t>
            </w:r>
          </w:p>
        </w:tc>
        <w:tc>
          <w:tcPr>
            <w:tcW w:w="8062" w:type="dxa"/>
          </w:tcPr>
          <w:p w14:paraId="0B371BFA">
            <w:pPr>
              <w:pStyle w:val="80"/>
              <w:spacing w:before="86"/>
              <w:ind w:left="108"/>
              <w:rPr>
                <w:color w:val="auto"/>
                <w:sz w:val="24"/>
                <w:highlight w:val="none"/>
              </w:rPr>
            </w:pPr>
            <w:r>
              <w:rPr>
                <w:rFonts w:hint="eastAsia"/>
                <w:color w:val="auto"/>
                <w:sz w:val="24"/>
                <w:highlight w:val="none"/>
              </w:rPr>
              <w:t>生活污水没有处理直接排放而造成污染，违约金 1,000 元，并限期纠正。</w:t>
            </w:r>
          </w:p>
        </w:tc>
      </w:tr>
      <w:tr w14:paraId="158B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4B9D202">
            <w:pPr>
              <w:pStyle w:val="68"/>
              <w:rPr>
                <w:rFonts w:ascii="宋体" w:hAnsi="宋体" w:cs="宋体"/>
                <w:color w:val="auto"/>
                <w:sz w:val="28"/>
                <w:szCs w:val="28"/>
                <w:highlight w:val="none"/>
              </w:rPr>
            </w:pPr>
          </w:p>
        </w:tc>
        <w:tc>
          <w:tcPr>
            <w:tcW w:w="518" w:type="dxa"/>
            <w:vAlign w:val="center"/>
          </w:tcPr>
          <w:p w14:paraId="0D057088">
            <w:pPr>
              <w:pStyle w:val="68"/>
              <w:jc w:val="center"/>
              <w:rPr>
                <w:rFonts w:ascii="宋体" w:hAnsi="宋体" w:cs="宋体"/>
                <w:color w:val="auto"/>
                <w:sz w:val="24"/>
                <w:highlight w:val="none"/>
              </w:rPr>
            </w:pPr>
            <w:r>
              <w:rPr>
                <w:rFonts w:hint="eastAsia" w:ascii="宋体" w:hAnsi="宋体" w:cs="宋体"/>
                <w:color w:val="auto"/>
                <w:sz w:val="24"/>
                <w:highlight w:val="none"/>
              </w:rPr>
              <w:t>15</w:t>
            </w:r>
          </w:p>
        </w:tc>
        <w:tc>
          <w:tcPr>
            <w:tcW w:w="8062" w:type="dxa"/>
          </w:tcPr>
          <w:p w14:paraId="259A5BEE">
            <w:pPr>
              <w:pStyle w:val="80"/>
              <w:spacing w:before="86"/>
              <w:ind w:left="108"/>
              <w:rPr>
                <w:color w:val="auto"/>
                <w:sz w:val="24"/>
                <w:highlight w:val="none"/>
              </w:rPr>
            </w:pPr>
            <w:r>
              <w:rPr>
                <w:rFonts w:hint="eastAsia"/>
                <w:color w:val="auto"/>
                <w:sz w:val="24"/>
                <w:highlight w:val="none"/>
              </w:rPr>
              <w:t>生活垃圾没有集中且定期运走而造成污染，违约金 1,000 元，并限期纠正。</w:t>
            </w:r>
          </w:p>
        </w:tc>
      </w:tr>
      <w:tr w14:paraId="7AC7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483D010">
            <w:pPr>
              <w:pStyle w:val="68"/>
              <w:rPr>
                <w:rFonts w:ascii="宋体" w:hAnsi="宋体" w:cs="宋体"/>
                <w:color w:val="auto"/>
                <w:sz w:val="28"/>
                <w:szCs w:val="28"/>
                <w:highlight w:val="none"/>
              </w:rPr>
            </w:pPr>
          </w:p>
        </w:tc>
        <w:tc>
          <w:tcPr>
            <w:tcW w:w="518" w:type="dxa"/>
            <w:vAlign w:val="center"/>
          </w:tcPr>
          <w:p w14:paraId="5AE4FFFE">
            <w:pPr>
              <w:pStyle w:val="68"/>
              <w:jc w:val="center"/>
              <w:rPr>
                <w:rFonts w:ascii="宋体" w:hAnsi="宋体" w:cs="宋体"/>
                <w:color w:val="auto"/>
                <w:sz w:val="24"/>
                <w:highlight w:val="none"/>
              </w:rPr>
            </w:pPr>
            <w:r>
              <w:rPr>
                <w:rFonts w:hint="eastAsia" w:ascii="宋体" w:hAnsi="宋体" w:cs="宋体"/>
                <w:color w:val="auto"/>
                <w:sz w:val="24"/>
                <w:highlight w:val="none"/>
              </w:rPr>
              <w:t>16</w:t>
            </w:r>
          </w:p>
        </w:tc>
        <w:tc>
          <w:tcPr>
            <w:tcW w:w="8062" w:type="dxa"/>
          </w:tcPr>
          <w:p w14:paraId="2C8E6CD5">
            <w:pPr>
              <w:pStyle w:val="80"/>
              <w:spacing w:before="86" w:line="242" w:lineRule="auto"/>
              <w:ind w:left="108" w:right="111"/>
              <w:rPr>
                <w:color w:val="auto"/>
                <w:sz w:val="24"/>
                <w:highlight w:val="none"/>
              </w:rPr>
            </w:pPr>
            <w:r>
              <w:rPr>
                <w:rFonts w:hint="eastAsia"/>
                <w:color w:val="auto"/>
                <w:sz w:val="24"/>
                <w:highlight w:val="none"/>
              </w:rPr>
              <w:t>驻地噪音超过有关的规定，影响当地居民的正常生活，违约金 1,000 元，并限期纠正。</w:t>
            </w:r>
          </w:p>
        </w:tc>
      </w:tr>
      <w:tr w14:paraId="653A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5CFC5B17">
            <w:pPr>
              <w:pStyle w:val="68"/>
              <w:jc w:val="center"/>
              <w:rPr>
                <w:rFonts w:hint="eastAsia" w:ascii="宋体" w:hAnsi="宋体" w:cs="宋体"/>
                <w:color w:val="auto"/>
                <w:sz w:val="24"/>
                <w:highlight w:val="none"/>
              </w:rPr>
            </w:pPr>
            <w:r>
              <w:rPr>
                <w:rFonts w:hint="eastAsia" w:ascii="宋体" w:hAnsi="宋体" w:cs="宋体"/>
                <w:color w:val="auto"/>
                <w:sz w:val="24"/>
                <w:highlight w:val="none"/>
              </w:rPr>
              <w:t>内业资料</w:t>
            </w:r>
          </w:p>
        </w:tc>
        <w:tc>
          <w:tcPr>
            <w:tcW w:w="518" w:type="dxa"/>
            <w:vAlign w:val="center"/>
          </w:tcPr>
          <w:p w14:paraId="0FC59ACE">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7EE41FF0">
            <w:pPr>
              <w:pStyle w:val="68"/>
              <w:rPr>
                <w:rFonts w:ascii="宋体" w:hAnsi="宋体" w:cs="宋体"/>
                <w:color w:val="auto"/>
                <w:sz w:val="24"/>
                <w:highlight w:val="none"/>
              </w:rPr>
            </w:pPr>
            <w:r>
              <w:rPr>
                <w:rFonts w:hint="eastAsia" w:ascii="宋体" w:hAnsi="宋体" w:cs="宋体"/>
                <w:color w:val="auto"/>
                <w:sz w:val="24"/>
                <w:highlight w:val="none"/>
              </w:rPr>
              <w:t>开工前须结合工程特点进行分项、分部和单位工程划分，现场质量检查、质量验收资料按照划分进行归纳收集，违者每次违约金2000元。</w:t>
            </w:r>
          </w:p>
        </w:tc>
      </w:tr>
      <w:tr w14:paraId="7589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C1FA6A8">
            <w:pPr>
              <w:pStyle w:val="68"/>
              <w:jc w:val="center"/>
              <w:rPr>
                <w:rFonts w:hint="eastAsia" w:ascii="宋体" w:hAnsi="宋体" w:cs="宋体"/>
                <w:color w:val="auto"/>
                <w:sz w:val="24"/>
                <w:highlight w:val="none"/>
              </w:rPr>
            </w:pPr>
          </w:p>
        </w:tc>
        <w:tc>
          <w:tcPr>
            <w:tcW w:w="518" w:type="dxa"/>
            <w:vAlign w:val="center"/>
          </w:tcPr>
          <w:p w14:paraId="16FD5EFA">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338783FE">
            <w:pPr>
              <w:pStyle w:val="68"/>
              <w:rPr>
                <w:rFonts w:ascii="宋体" w:hAnsi="宋体" w:cs="宋体"/>
                <w:color w:val="auto"/>
                <w:sz w:val="24"/>
                <w:highlight w:val="none"/>
              </w:rPr>
            </w:pPr>
            <w:r>
              <w:rPr>
                <w:rFonts w:hint="eastAsia" w:ascii="宋体" w:hAnsi="宋体" w:cs="宋体"/>
                <w:color w:val="auto"/>
                <w:sz w:val="24"/>
                <w:highlight w:val="none"/>
              </w:rPr>
              <w:t>内业原始资料弄虚作假的，不及时填写的，填写不完整规范的，每次违约金1000元。</w:t>
            </w:r>
          </w:p>
        </w:tc>
      </w:tr>
      <w:tr w14:paraId="04D1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A59A9C9">
            <w:pPr>
              <w:pStyle w:val="68"/>
              <w:jc w:val="center"/>
              <w:rPr>
                <w:rFonts w:hint="eastAsia" w:ascii="宋体" w:hAnsi="宋体" w:cs="宋体"/>
                <w:color w:val="auto"/>
                <w:sz w:val="24"/>
                <w:highlight w:val="none"/>
              </w:rPr>
            </w:pPr>
          </w:p>
        </w:tc>
        <w:tc>
          <w:tcPr>
            <w:tcW w:w="518" w:type="dxa"/>
            <w:vAlign w:val="center"/>
          </w:tcPr>
          <w:p w14:paraId="1F718F45">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23A386BC">
            <w:pPr>
              <w:pStyle w:val="68"/>
              <w:rPr>
                <w:rFonts w:ascii="宋体" w:hAnsi="宋体" w:cs="宋体"/>
                <w:color w:val="auto"/>
                <w:sz w:val="24"/>
                <w:highlight w:val="none"/>
              </w:rPr>
            </w:pPr>
            <w:r>
              <w:rPr>
                <w:rFonts w:hint="eastAsia" w:ascii="宋体" w:hAnsi="宋体" w:cs="宋体"/>
                <w:color w:val="auto"/>
                <w:sz w:val="24"/>
                <w:highlight w:val="none"/>
              </w:rPr>
              <w:t>内业原始资料和整理资料未按有关要求采用文件盒及时归档，每次违约金500元。</w:t>
            </w:r>
          </w:p>
        </w:tc>
      </w:tr>
      <w:tr w14:paraId="7CB3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E4937A9">
            <w:pPr>
              <w:pStyle w:val="68"/>
              <w:jc w:val="center"/>
              <w:rPr>
                <w:rFonts w:hint="eastAsia" w:ascii="宋体" w:hAnsi="宋体" w:cs="宋体"/>
                <w:color w:val="auto"/>
                <w:sz w:val="24"/>
                <w:highlight w:val="none"/>
              </w:rPr>
            </w:pPr>
          </w:p>
        </w:tc>
        <w:tc>
          <w:tcPr>
            <w:tcW w:w="518" w:type="dxa"/>
            <w:vAlign w:val="center"/>
          </w:tcPr>
          <w:p w14:paraId="6496B9DA">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251F8878">
            <w:pPr>
              <w:pStyle w:val="68"/>
              <w:rPr>
                <w:rFonts w:ascii="宋体" w:hAnsi="宋体" w:cs="宋体"/>
                <w:color w:val="auto"/>
                <w:sz w:val="24"/>
                <w:highlight w:val="none"/>
              </w:rPr>
            </w:pPr>
            <w:r>
              <w:rPr>
                <w:rFonts w:hint="eastAsia" w:ascii="宋体" w:hAnsi="宋体" w:cs="宋体"/>
                <w:color w:val="auto"/>
                <w:sz w:val="24"/>
                <w:highlight w:val="none"/>
              </w:rPr>
              <w:t>分部工程完成时，须将原始资料、施工记录、进度照片等资料整理归纳，装订成册，违者每次违约金2000元。</w:t>
            </w:r>
          </w:p>
        </w:tc>
      </w:tr>
      <w:tr w14:paraId="720C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14:paraId="6263611F">
            <w:pPr>
              <w:pStyle w:val="68"/>
              <w:jc w:val="center"/>
              <w:rPr>
                <w:rFonts w:hint="eastAsia" w:ascii="宋体" w:hAnsi="宋体" w:cs="宋体"/>
                <w:color w:val="auto"/>
                <w:sz w:val="24"/>
                <w:highlight w:val="none"/>
              </w:rPr>
            </w:pPr>
          </w:p>
        </w:tc>
        <w:tc>
          <w:tcPr>
            <w:tcW w:w="518" w:type="dxa"/>
            <w:vAlign w:val="center"/>
          </w:tcPr>
          <w:p w14:paraId="4B230D8B">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14:paraId="6FB88026">
            <w:pPr>
              <w:pStyle w:val="68"/>
              <w:rPr>
                <w:rFonts w:ascii="宋体" w:hAnsi="宋体" w:cs="宋体"/>
                <w:color w:val="auto"/>
                <w:sz w:val="24"/>
                <w:highlight w:val="none"/>
              </w:rPr>
            </w:pPr>
            <w:r>
              <w:rPr>
                <w:rFonts w:hint="eastAsia" w:ascii="宋体" w:hAnsi="宋体" w:cs="宋体"/>
                <w:color w:val="auto"/>
                <w:sz w:val="24"/>
                <w:highlight w:val="none"/>
              </w:rPr>
              <w:t>试验设备不齐全，未建立试验台帐，每次违约金5000元。</w:t>
            </w:r>
          </w:p>
        </w:tc>
      </w:tr>
      <w:tr w14:paraId="01E8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14:paraId="0F827F58">
            <w:pPr>
              <w:pStyle w:val="68"/>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518" w:type="dxa"/>
            <w:vAlign w:val="center"/>
          </w:tcPr>
          <w:p w14:paraId="4B6BAA94">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3746C1E5">
            <w:pPr>
              <w:pStyle w:val="68"/>
              <w:rPr>
                <w:rFonts w:ascii="宋体" w:hAnsi="宋体" w:cs="宋体"/>
                <w:color w:val="auto"/>
                <w:sz w:val="24"/>
                <w:highlight w:val="none"/>
              </w:rPr>
            </w:pPr>
            <w:r>
              <w:rPr>
                <w:rFonts w:hint="eastAsia" w:ascii="宋体" w:hAnsi="宋体" w:cs="宋体"/>
                <w:color w:val="auto"/>
                <w:sz w:val="24"/>
                <w:highlight w:val="none"/>
              </w:rPr>
              <w:t>不按照有关规定进行技术交底就进行施工作业的，每次违约金2000元。</w:t>
            </w:r>
          </w:p>
        </w:tc>
      </w:tr>
      <w:tr w14:paraId="2425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14:paraId="43B8884C">
            <w:pPr>
              <w:pStyle w:val="68"/>
              <w:rPr>
                <w:rFonts w:ascii="宋体" w:hAnsi="宋体" w:cs="宋体"/>
                <w:color w:val="auto"/>
                <w:sz w:val="28"/>
                <w:szCs w:val="28"/>
                <w:highlight w:val="none"/>
              </w:rPr>
            </w:pPr>
          </w:p>
        </w:tc>
        <w:tc>
          <w:tcPr>
            <w:tcW w:w="518" w:type="dxa"/>
            <w:vAlign w:val="center"/>
          </w:tcPr>
          <w:p w14:paraId="7857F1E6">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5A96CA77">
            <w:pPr>
              <w:pStyle w:val="68"/>
              <w:rPr>
                <w:rFonts w:ascii="宋体" w:hAnsi="宋体" w:cs="宋体"/>
                <w:color w:val="auto"/>
                <w:sz w:val="24"/>
                <w:highlight w:val="none"/>
              </w:rPr>
            </w:pPr>
            <w:r>
              <w:rPr>
                <w:rFonts w:hint="eastAsia" w:ascii="宋体" w:hAnsi="宋体" w:cs="宋体"/>
                <w:color w:val="auto"/>
                <w:sz w:val="24"/>
                <w:highlight w:val="none"/>
              </w:rPr>
              <w:t>上一道工序未经监理人签认就进行下一道工序施工的，每次违约金5000元。</w:t>
            </w:r>
          </w:p>
        </w:tc>
      </w:tr>
      <w:tr w14:paraId="0622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03A3B96">
            <w:pPr>
              <w:pStyle w:val="68"/>
              <w:rPr>
                <w:rFonts w:ascii="宋体" w:hAnsi="宋体" w:cs="宋体"/>
                <w:color w:val="auto"/>
                <w:sz w:val="28"/>
                <w:szCs w:val="28"/>
                <w:highlight w:val="none"/>
              </w:rPr>
            </w:pPr>
          </w:p>
        </w:tc>
        <w:tc>
          <w:tcPr>
            <w:tcW w:w="518" w:type="dxa"/>
            <w:vAlign w:val="center"/>
          </w:tcPr>
          <w:p w14:paraId="479AEEAB">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613BFB60">
            <w:pPr>
              <w:pStyle w:val="68"/>
              <w:rPr>
                <w:rFonts w:ascii="宋体" w:hAnsi="宋体" w:cs="宋体"/>
                <w:color w:val="auto"/>
                <w:sz w:val="24"/>
                <w:highlight w:val="none"/>
              </w:rPr>
            </w:pPr>
            <w:r>
              <w:rPr>
                <w:rFonts w:hint="eastAsia" w:ascii="宋体" w:hAnsi="宋体" w:cs="宋体"/>
                <w:color w:val="auto"/>
                <w:sz w:val="24"/>
                <w:highlight w:val="none"/>
              </w:rPr>
              <w:t>要求返工的工程未在规定的时间内进行返工或要求清除出施工现场材料未在规定的时间内清除出场的，每延误一天罚1000元。</w:t>
            </w:r>
          </w:p>
        </w:tc>
      </w:tr>
      <w:tr w14:paraId="300F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6AE1E1DB">
            <w:pPr>
              <w:pStyle w:val="68"/>
              <w:rPr>
                <w:rFonts w:ascii="宋体" w:hAnsi="宋体" w:cs="宋体"/>
                <w:color w:val="auto"/>
                <w:sz w:val="28"/>
                <w:szCs w:val="28"/>
                <w:highlight w:val="none"/>
              </w:rPr>
            </w:pPr>
          </w:p>
        </w:tc>
        <w:tc>
          <w:tcPr>
            <w:tcW w:w="518" w:type="dxa"/>
            <w:vAlign w:val="center"/>
          </w:tcPr>
          <w:p w14:paraId="1905A8F7">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7D36AEBA">
            <w:pPr>
              <w:pStyle w:val="68"/>
              <w:rPr>
                <w:rFonts w:ascii="宋体" w:hAnsi="宋体" w:cs="宋体"/>
                <w:color w:val="auto"/>
                <w:sz w:val="24"/>
                <w:highlight w:val="none"/>
              </w:rPr>
            </w:pPr>
            <w:r>
              <w:rPr>
                <w:rFonts w:hint="eastAsia" w:ascii="宋体" w:hAnsi="宋体" w:cs="宋体"/>
                <w:color w:val="auto"/>
                <w:sz w:val="24"/>
                <w:highlight w:val="none"/>
              </w:rPr>
              <w:t xml:space="preserve">水泥、钢筋、钢筋笼等存放不满足要求的，每次违约金2000元。  </w:t>
            </w:r>
          </w:p>
        </w:tc>
      </w:tr>
      <w:tr w14:paraId="5381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10F95AB7">
            <w:pPr>
              <w:pStyle w:val="68"/>
              <w:rPr>
                <w:rFonts w:ascii="宋体" w:hAnsi="宋体" w:cs="宋体"/>
                <w:color w:val="auto"/>
                <w:sz w:val="28"/>
                <w:szCs w:val="28"/>
                <w:highlight w:val="none"/>
              </w:rPr>
            </w:pPr>
          </w:p>
        </w:tc>
        <w:tc>
          <w:tcPr>
            <w:tcW w:w="518" w:type="dxa"/>
            <w:vAlign w:val="center"/>
          </w:tcPr>
          <w:p w14:paraId="6374A2F4">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14:paraId="3968F9D9">
            <w:pPr>
              <w:pStyle w:val="68"/>
              <w:rPr>
                <w:rFonts w:ascii="宋体" w:hAnsi="宋体" w:cs="宋体"/>
                <w:color w:val="auto"/>
                <w:sz w:val="24"/>
                <w:highlight w:val="none"/>
              </w:rPr>
            </w:pPr>
            <w:r>
              <w:rPr>
                <w:rFonts w:hint="eastAsia" w:ascii="宋体" w:hAnsi="宋体" w:cs="宋体"/>
                <w:color w:val="auto"/>
                <w:sz w:val="24"/>
                <w:highlight w:val="none"/>
              </w:rPr>
              <w:t>所有桩标须加固保护，树立易于识别得标志，违者每处违约金2000元。</w:t>
            </w:r>
          </w:p>
        </w:tc>
      </w:tr>
      <w:tr w14:paraId="2F78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14:paraId="748A51A5">
            <w:pPr>
              <w:pStyle w:val="68"/>
              <w:rPr>
                <w:rFonts w:ascii="宋体" w:hAnsi="宋体" w:cs="宋体"/>
                <w:color w:val="auto"/>
                <w:sz w:val="28"/>
                <w:szCs w:val="28"/>
                <w:highlight w:val="none"/>
              </w:rPr>
            </w:pPr>
          </w:p>
        </w:tc>
        <w:tc>
          <w:tcPr>
            <w:tcW w:w="518" w:type="dxa"/>
            <w:vAlign w:val="center"/>
          </w:tcPr>
          <w:p w14:paraId="466A1E76">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14:paraId="46A3DD07">
            <w:pPr>
              <w:pStyle w:val="68"/>
              <w:rPr>
                <w:rFonts w:ascii="宋体" w:hAnsi="宋体" w:cs="宋体"/>
                <w:color w:val="auto"/>
                <w:sz w:val="24"/>
                <w:highlight w:val="none"/>
              </w:rPr>
            </w:pPr>
            <w:r>
              <w:rPr>
                <w:rFonts w:hint="eastAsia" w:ascii="宋体" w:hAnsi="宋体" w:cs="宋体"/>
                <w:color w:val="auto"/>
                <w:sz w:val="24"/>
                <w:highlight w:val="none"/>
              </w:rPr>
              <w:t xml:space="preserve">实验及检测仪器未标定或标定不合格仍使用的，每次违约金2000元。  </w:t>
            </w:r>
          </w:p>
        </w:tc>
      </w:tr>
      <w:tr w14:paraId="52DD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8F90B50">
            <w:pPr>
              <w:pStyle w:val="68"/>
              <w:rPr>
                <w:rFonts w:ascii="宋体" w:hAnsi="宋体" w:cs="宋体"/>
                <w:color w:val="auto"/>
                <w:sz w:val="28"/>
                <w:szCs w:val="28"/>
                <w:highlight w:val="none"/>
              </w:rPr>
            </w:pPr>
          </w:p>
        </w:tc>
        <w:tc>
          <w:tcPr>
            <w:tcW w:w="518" w:type="dxa"/>
            <w:vAlign w:val="center"/>
          </w:tcPr>
          <w:p w14:paraId="70C14F7B">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14:paraId="0C3355D6">
            <w:pPr>
              <w:pStyle w:val="68"/>
              <w:rPr>
                <w:rFonts w:ascii="宋体" w:hAnsi="宋体" w:cs="宋体"/>
                <w:color w:val="auto"/>
                <w:sz w:val="24"/>
                <w:highlight w:val="none"/>
              </w:rPr>
            </w:pPr>
            <w:r>
              <w:rPr>
                <w:rFonts w:hint="eastAsia" w:ascii="宋体" w:hAnsi="宋体" w:cs="宋体"/>
                <w:color w:val="auto"/>
                <w:sz w:val="24"/>
                <w:highlight w:val="none"/>
              </w:rPr>
              <w:t>检验项目、方法、频率，没有按设计或规范要求执行；原材料送检和其它自检项目的试验(如钢筋焊接，土的重击实试验)不及时，频率未达到规定要求，每次违约金2000元。</w:t>
            </w:r>
          </w:p>
        </w:tc>
      </w:tr>
      <w:tr w14:paraId="5372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848C10C">
            <w:pPr>
              <w:pStyle w:val="68"/>
              <w:rPr>
                <w:rFonts w:ascii="宋体" w:hAnsi="宋体" w:cs="宋体"/>
                <w:color w:val="auto"/>
                <w:sz w:val="28"/>
                <w:szCs w:val="28"/>
                <w:highlight w:val="none"/>
              </w:rPr>
            </w:pPr>
          </w:p>
        </w:tc>
        <w:tc>
          <w:tcPr>
            <w:tcW w:w="518" w:type="dxa"/>
            <w:vAlign w:val="center"/>
          </w:tcPr>
          <w:p w14:paraId="5F18F8E1">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14:paraId="60110410">
            <w:pPr>
              <w:pStyle w:val="68"/>
              <w:rPr>
                <w:rFonts w:ascii="宋体" w:hAnsi="宋体" w:cs="宋体"/>
                <w:color w:val="auto"/>
                <w:sz w:val="24"/>
                <w:highlight w:val="none"/>
              </w:rPr>
            </w:pPr>
            <w:r>
              <w:rPr>
                <w:rFonts w:hint="eastAsia" w:ascii="宋体" w:hAnsi="宋体" w:cs="宋体"/>
                <w:color w:val="auto"/>
                <w:sz w:val="24"/>
                <w:highlight w:val="none"/>
              </w:rPr>
              <w:t>未经检验合格的材料(原材料、锚具等)用于施工的，每次违约金5000元。</w:t>
            </w:r>
          </w:p>
        </w:tc>
      </w:tr>
      <w:tr w14:paraId="174A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3C8743E">
            <w:pPr>
              <w:pStyle w:val="68"/>
              <w:rPr>
                <w:rFonts w:ascii="宋体" w:hAnsi="宋体" w:cs="宋体"/>
                <w:color w:val="auto"/>
                <w:sz w:val="28"/>
                <w:szCs w:val="28"/>
                <w:highlight w:val="none"/>
              </w:rPr>
            </w:pPr>
          </w:p>
        </w:tc>
        <w:tc>
          <w:tcPr>
            <w:tcW w:w="518" w:type="dxa"/>
            <w:vAlign w:val="center"/>
          </w:tcPr>
          <w:p w14:paraId="1E703523">
            <w:pPr>
              <w:pStyle w:val="6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8062" w:type="dxa"/>
            <w:vAlign w:val="center"/>
          </w:tcPr>
          <w:p w14:paraId="31020A53">
            <w:pPr>
              <w:pStyle w:val="68"/>
              <w:rPr>
                <w:rFonts w:hint="eastAsia" w:ascii="宋体" w:hAnsi="宋体" w:cs="宋体"/>
                <w:color w:val="auto"/>
                <w:sz w:val="24"/>
                <w:highlight w:val="none"/>
              </w:rPr>
            </w:pPr>
            <w:r>
              <w:rPr>
                <w:rFonts w:hint="eastAsia" w:ascii="宋体" w:hAnsi="宋体" w:cs="宋体"/>
                <w:color w:val="auto"/>
                <w:sz w:val="24"/>
                <w:highlight w:val="none"/>
              </w:rPr>
              <w:t>其他不按照《广东省公路施工标准化指南》和《广东省高速公路工程施工组织设计和施工方案标准化管理指南》有关规定进行管理或施工作业的，每次违约金 1,000--50,000 元，并限期纠正。</w:t>
            </w:r>
          </w:p>
        </w:tc>
      </w:tr>
    </w:tbl>
    <w:p w14:paraId="4AC0C376">
      <w:pPr>
        <w:rPr>
          <w:rFonts w:ascii="宋体" w:hAnsi="宋体" w:cs="宋体"/>
          <w:color w:val="auto"/>
          <w:sz w:val="24"/>
          <w:highlight w:val="none"/>
        </w:rPr>
      </w:pPr>
    </w:p>
    <w:p w14:paraId="77A8A20F">
      <w:pPr>
        <w:rPr>
          <w:rFonts w:ascii="宋体" w:hAnsi="宋体" w:cs="宋体"/>
          <w:color w:val="auto"/>
          <w:highlight w:val="none"/>
        </w:rPr>
      </w:pPr>
      <w:r>
        <w:rPr>
          <w:rFonts w:hint="eastAsia" w:ascii="宋体" w:hAnsi="宋体" w:cs="宋体"/>
          <w:color w:val="auto"/>
          <w:sz w:val="24"/>
          <w:highlight w:val="none"/>
        </w:rPr>
        <w:br w:type="page"/>
      </w:r>
    </w:p>
    <w:p w14:paraId="69242AD9">
      <w:pPr>
        <w:pStyle w:val="78"/>
        <w:spacing w:line="360" w:lineRule="auto"/>
        <w:rPr>
          <w:b w:val="0"/>
          <w:bCs w:val="0"/>
          <w:color w:val="auto"/>
          <w:sz w:val="24"/>
          <w:szCs w:val="24"/>
          <w:highlight w:val="none"/>
        </w:rPr>
      </w:pPr>
      <w:bookmarkStart w:id="1727" w:name="_Toc43476019"/>
      <w:r>
        <w:rPr>
          <w:rFonts w:hint="eastAsia"/>
          <w:bCs w:val="0"/>
          <w:color w:val="auto"/>
          <w:sz w:val="24"/>
          <w:szCs w:val="24"/>
          <w:highlight w:val="none"/>
        </w:rPr>
        <w:t>附件十三建设工程农民工工资支付保证书</w:t>
      </w:r>
      <w:bookmarkEnd w:id="1727"/>
    </w:p>
    <w:p w14:paraId="663C4CD7">
      <w:pPr>
        <w:spacing w:line="360" w:lineRule="exact"/>
        <w:jc w:val="center"/>
        <w:rPr>
          <w:rFonts w:hint="eastAsia" w:ascii="宋体" w:hAnsi="宋体" w:cs="宋体"/>
          <w:color w:val="auto"/>
          <w:sz w:val="30"/>
          <w:szCs w:val="30"/>
          <w:highlight w:val="none"/>
        </w:rPr>
      </w:pPr>
    </w:p>
    <w:p w14:paraId="6F0E55F2">
      <w:pPr>
        <w:spacing w:line="360" w:lineRule="exact"/>
        <w:jc w:val="center"/>
        <w:rPr>
          <w:rFonts w:ascii="宋体" w:hAnsi="宋体" w:cs="宋体"/>
          <w:b/>
          <w:bCs/>
          <w:color w:val="auto"/>
          <w:sz w:val="24"/>
          <w:highlight w:val="none"/>
        </w:rPr>
      </w:pPr>
      <w:r>
        <w:rPr>
          <w:rFonts w:hint="eastAsia" w:ascii="宋体" w:hAnsi="宋体" w:cs="宋体"/>
          <w:b/>
          <w:bCs/>
          <w:color w:val="auto"/>
          <w:sz w:val="30"/>
          <w:szCs w:val="30"/>
          <w:highlight w:val="none"/>
        </w:rPr>
        <w:t>建设工程农民工工资支付保证书</w:t>
      </w:r>
    </w:p>
    <w:p w14:paraId="34848204">
      <w:pPr>
        <w:spacing w:line="360" w:lineRule="exact"/>
        <w:ind w:firstLine="465"/>
        <w:rPr>
          <w:rFonts w:ascii="宋体" w:hAnsi="宋体" w:cs="宋体"/>
          <w:color w:val="auto"/>
          <w:sz w:val="24"/>
          <w:highlight w:val="none"/>
        </w:rPr>
      </w:pPr>
    </w:p>
    <w:p w14:paraId="4D3513AC">
      <w:pPr>
        <w:pStyle w:val="104"/>
        <w:spacing w:line="360" w:lineRule="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p>
    <w:p w14:paraId="302CE3F5">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(以下简称“承包人”)拟与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(以下简称“发包人”)签订</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标类（或标段）</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施工承包合同，为规范本项目农民工工资的支付行为，预防和解决施工承包人拖欠或克扣农民工工资问题，切实保障农民工的合法利益，维护社会稳定，根据《中华人民共和国劳动合同法》《中华人民共和国建筑法》《保障农民工工资支付条例》《广东省建设工程领域工人工资支付专用账户管理办法》《广东省建设工程领域用工实名制管理暂行办法》《广东省交通运输厅关于加强交通建设工程从业人员实名制管理和作业工人工资支付管理的通知》等有关法律、法规，结合本项目建设管理的具体情况，承包人在此承诺：</w:t>
      </w:r>
    </w:p>
    <w:p w14:paraId="68154BD5">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14:paraId="539890A6">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二、决不违反有关规定，将工程转包、分包给不具备用工主体资格的组织或个人，并独自承担因违反上述规定而引发的民工工资纠纷等所有民事及刑事的法律连带责任。</w:t>
      </w:r>
    </w:p>
    <w:p w14:paraId="755B8E40">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14:paraId="775A0594">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四、承诺在工地现场宣传栏中公布发包人关于农民工工资管理的有关法律法规、制度，公开发包人的投诉电话。</w:t>
      </w:r>
    </w:p>
    <w:p w14:paraId="201E9465">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14:paraId="5876073E">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六、承诺指定专人负责对农民工工资进行发放，实行专户管理，以银行转账方式按月直接支付工资（原则上是当月支付，最多不超过拖欠两个月）。</w:t>
      </w:r>
    </w:p>
    <w:p w14:paraId="25F5675B">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八、承诺在收到中标通知书后且合同签署前，按规定向发包人缴纳工资保障金，</w:t>
      </w:r>
      <w:r>
        <w:rPr>
          <w:rFonts w:hint="eastAsia" w:ascii="宋体" w:hAnsi="宋体" w:cs="宋体"/>
          <w:color w:val="auto"/>
          <w:sz w:val="24"/>
          <w:highlight w:val="none"/>
          <w:u w:val="single"/>
        </w:rPr>
        <w:t>金额为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元人民币</w:t>
      </w:r>
      <w:r>
        <w:rPr>
          <w:rFonts w:hint="eastAsia" w:ascii="宋体" w:hAnsi="宋体" w:cs="宋体"/>
          <w:color w:val="auto"/>
          <w:sz w:val="24"/>
          <w:highlight w:val="none"/>
        </w:rPr>
        <w:t>，用于支付拖欠的农民工工资，如工资保障金不足，发包人有权利在应支付给承包人的工程款或是履约保证金中划扣支付。该保障金余额发包人将于本项目施工完毕，并交工验收合格后退还。</w:t>
      </w:r>
    </w:p>
    <w:p w14:paraId="45855F4C">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14:paraId="334E7286">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十、在合同工程实施过程中如有发生</w:t>
      </w:r>
    </w:p>
    <w:p w14:paraId="4BFDEC84">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(1)不按规定签订劳动合同或签订劳动合同不规范情况；或</w:t>
      </w:r>
    </w:p>
    <w:p w14:paraId="4404AD88">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(2)拖欠农民工工资、侵害农民工合法权益、农民工劳动安全保护欠缺的情况；或</w:t>
      </w:r>
    </w:p>
    <w:p w14:paraId="36F1406C">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(3)因欠薪导致的闹事、打斗、死伤、上访事件，</w:t>
      </w:r>
    </w:p>
    <w:p w14:paraId="5AF8E0E5">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行政处罚等违约金表示理解并无条件接受。</w:t>
      </w:r>
    </w:p>
    <w:p w14:paraId="2FAE12B4">
      <w:pPr>
        <w:pStyle w:val="104"/>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十一、本保证书作为本项目施工承包合同的有效组成部分，纳入合同一并签署，在承包人法定代表人或委托代理人签署并加盖公章后生效，并保证在施工承包合同有效期内一直保持有效。</w:t>
      </w:r>
    </w:p>
    <w:p w14:paraId="34336C4A">
      <w:pPr>
        <w:pStyle w:val="104"/>
        <w:spacing w:line="360" w:lineRule="auto"/>
        <w:ind w:firstLine="480" w:firstLineChars="200"/>
        <w:rPr>
          <w:rFonts w:hint="eastAsia" w:ascii="宋体" w:hAnsi="宋体" w:cs="宋体"/>
          <w:color w:val="auto"/>
          <w:sz w:val="24"/>
          <w:highlight w:val="none"/>
        </w:rPr>
      </w:pPr>
    </w:p>
    <w:p w14:paraId="22E4D684">
      <w:pPr>
        <w:pStyle w:val="104"/>
        <w:spacing w:line="360" w:lineRule="auto"/>
        <w:ind w:firstLine="480" w:firstLineChars="200"/>
        <w:rPr>
          <w:rFonts w:hint="eastAsia" w:ascii="宋体" w:hAnsi="宋体" w:cs="宋体"/>
          <w:color w:val="auto"/>
          <w:sz w:val="24"/>
          <w:highlight w:val="none"/>
        </w:rPr>
      </w:pPr>
    </w:p>
    <w:p w14:paraId="693920EE">
      <w:pPr>
        <w:pStyle w:val="104"/>
        <w:spacing w:line="360" w:lineRule="auto"/>
        <w:ind w:firstLine="480" w:firstLineChars="200"/>
        <w:rPr>
          <w:rFonts w:hint="eastAsia" w:ascii="宋体" w:hAnsi="宋体" w:cs="宋体"/>
          <w:color w:val="auto"/>
          <w:sz w:val="24"/>
          <w:highlight w:val="none"/>
        </w:rPr>
      </w:pPr>
    </w:p>
    <w:p w14:paraId="69C6F278">
      <w:pPr>
        <w:pStyle w:val="15"/>
        <w:tabs>
          <w:tab w:val="left" w:pos="6543"/>
        </w:tabs>
        <w:spacing w:before="1"/>
        <w:ind w:left="2974"/>
        <w:jc w:val="center"/>
        <w:rPr>
          <w:rFonts w:ascii="宋体" w:hAnsi="宋体" w:cs="宋体"/>
          <w:color w:val="auto"/>
          <w:sz w:val="24"/>
          <w:highlight w:val="none"/>
        </w:rPr>
      </w:pPr>
      <w:r>
        <w:rPr>
          <w:rFonts w:hint="eastAsia" w:ascii="宋体" w:hAnsi="宋体" w:cs="宋体"/>
          <w:color w:val="auto"/>
          <w:sz w:val="24"/>
          <w:highlight w:val="none"/>
        </w:rPr>
        <w:t>承 包 人</w:t>
      </w:r>
      <w:r>
        <w:rPr>
          <w:rFonts w:hint="eastAsia" w:ascii="宋体" w:hAnsi="宋体" w:cs="宋体"/>
          <w:color w:val="auto"/>
          <w:spacing w:val="-2"/>
          <w:sz w:val="24"/>
          <w:highlight w:val="none"/>
        </w:rPr>
        <w:t>（</w:t>
      </w:r>
      <w:r>
        <w:rPr>
          <w:rFonts w:hint="eastAsia" w:ascii="宋体" w:hAnsi="宋体" w:cs="宋体"/>
          <w:color w:val="auto"/>
          <w:sz w:val="24"/>
          <w:highlight w:val="none"/>
        </w:rPr>
        <w:t>盖章</w:t>
      </w:r>
      <w:r>
        <w:rPr>
          <w:rFonts w:hint="eastAsia" w:ascii="宋体" w:hAnsi="宋体" w:cs="宋体"/>
          <w:color w:val="auto"/>
          <w:spacing w:val="-105"/>
          <w:sz w:val="24"/>
          <w:highlight w:val="none"/>
        </w:rPr>
        <w:t>）</w:t>
      </w:r>
      <w:r>
        <w:rPr>
          <w:rFonts w:hint="eastAsia" w:ascii="宋体" w:hAnsi="宋体" w:cs="宋体"/>
          <w:color w:val="auto"/>
          <w:spacing w:val="-1"/>
          <w:sz w:val="24"/>
          <w:highlight w:val="none"/>
        </w:rPr>
        <w:t>：</w:t>
      </w:r>
      <w:r>
        <w:rPr>
          <w:rFonts w:hint="eastAsia" w:ascii="宋体" w:hAnsi="宋体" w:cs="宋体"/>
          <w:color w:val="auto"/>
          <w:sz w:val="24"/>
          <w:highlight w:val="none"/>
          <w:u w:val="single"/>
        </w:rPr>
        <w:tab/>
      </w:r>
    </w:p>
    <w:p w14:paraId="7A345743">
      <w:pPr>
        <w:pStyle w:val="15"/>
        <w:tabs>
          <w:tab w:val="left" w:pos="8055"/>
        </w:tabs>
        <w:spacing w:before="138"/>
        <w:ind w:left="3037"/>
        <w:jc w:val="center"/>
        <w:rPr>
          <w:rFonts w:ascii="宋体" w:hAnsi="宋体" w:cs="宋体"/>
          <w:color w:val="auto"/>
          <w:sz w:val="24"/>
          <w:highlight w:val="none"/>
        </w:rPr>
      </w:pPr>
      <w:r>
        <w:rPr>
          <w:rFonts w:hint="eastAsia" w:ascii="宋体" w:hAnsi="宋体" w:cs="宋体"/>
          <w:color w:val="auto"/>
          <w:sz w:val="24"/>
          <w:highlight w:val="none"/>
        </w:rPr>
        <w:t>法定代表</w:t>
      </w:r>
      <w:r>
        <w:rPr>
          <w:rFonts w:hint="eastAsia" w:ascii="宋体" w:hAnsi="宋体" w:cs="宋体"/>
          <w:color w:val="auto"/>
          <w:spacing w:val="-2"/>
          <w:sz w:val="24"/>
          <w:highlight w:val="none"/>
        </w:rPr>
        <w:t>人</w:t>
      </w:r>
      <w:r>
        <w:rPr>
          <w:rFonts w:hint="eastAsia" w:ascii="宋体" w:hAnsi="宋体" w:cs="宋体"/>
          <w:color w:val="auto"/>
          <w:sz w:val="24"/>
          <w:highlight w:val="none"/>
        </w:rPr>
        <w:t>或其委托代理人</w:t>
      </w:r>
      <w:r>
        <w:rPr>
          <w:rFonts w:hint="eastAsia" w:ascii="宋体" w:hAnsi="宋体" w:cs="宋体"/>
          <w:color w:val="auto"/>
          <w:spacing w:val="-105"/>
          <w:sz w:val="24"/>
          <w:highlight w:val="none"/>
        </w:rPr>
        <w:t>：</w:t>
      </w:r>
      <w:r>
        <w:rPr>
          <w:rFonts w:hint="eastAsia" w:ascii="宋体" w:hAnsi="宋体" w:cs="宋体"/>
          <w:color w:val="auto"/>
          <w:spacing w:val="-1"/>
          <w:sz w:val="24"/>
          <w:highlight w:val="none"/>
        </w:rPr>
        <w:t>（签字</w:t>
      </w:r>
      <w:r>
        <w:rPr>
          <w:rFonts w:hint="eastAsia" w:ascii="宋体" w:hAnsi="宋体" w:cs="宋体"/>
          <w:color w:val="auto"/>
          <w:sz w:val="24"/>
          <w:highlight w:val="none"/>
        </w:rPr>
        <w:t>）</w:t>
      </w:r>
      <w:r>
        <w:rPr>
          <w:rFonts w:hint="eastAsia" w:ascii="宋体" w:hAnsi="宋体" w:cs="宋体"/>
          <w:color w:val="auto"/>
          <w:sz w:val="24"/>
          <w:highlight w:val="none"/>
          <w:u w:val="single"/>
        </w:rPr>
        <w:tab/>
      </w:r>
    </w:p>
    <w:p w14:paraId="097F8039">
      <w:pPr>
        <w:pStyle w:val="105"/>
        <w:spacing w:line="360" w:lineRule="auto"/>
        <w:ind w:firstLine="4800" w:firstLineChars="2000"/>
        <w:rPr>
          <w:rFonts w:ascii="宋体" w:hAnsi="宋体" w:cs="宋体"/>
          <w:color w:val="auto"/>
          <w:spacing w:val="-5"/>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rPr>
        <w:tab/>
      </w:r>
      <w:r>
        <w:rPr>
          <w:rFonts w:hint="eastAsia" w:ascii="宋体" w:hAnsi="宋体" w:cs="宋体"/>
          <w:color w:val="auto"/>
          <w:sz w:val="24"/>
          <w:szCs w:val="24"/>
          <w:highlight w:val="none"/>
        </w:rPr>
        <w:t>月</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54946BBF">
      <w:pPr>
        <w:pStyle w:val="106"/>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4F4F5B69">
      <w:pPr>
        <w:pStyle w:val="78"/>
        <w:spacing w:line="360" w:lineRule="auto"/>
        <w:rPr>
          <w:b w:val="0"/>
          <w:bCs w:val="0"/>
          <w:color w:val="auto"/>
          <w:sz w:val="24"/>
          <w:szCs w:val="24"/>
          <w:highlight w:val="none"/>
        </w:rPr>
      </w:pPr>
      <w:bookmarkStart w:id="1728" w:name="_Toc43476020"/>
      <w:r>
        <w:rPr>
          <w:rFonts w:hint="eastAsia"/>
          <w:bCs w:val="0"/>
          <w:color w:val="auto"/>
          <w:sz w:val="24"/>
          <w:szCs w:val="24"/>
          <w:highlight w:val="none"/>
        </w:rPr>
        <w:t>附件十四房屋建筑工程质量保修书</w:t>
      </w:r>
      <w:bookmarkEnd w:id="1728"/>
    </w:p>
    <w:p w14:paraId="5D1D0C99">
      <w:pPr>
        <w:pStyle w:val="2"/>
        <w:spacing w:beforeLines="50" w:line="400" w:lineRule="exact"/>
        <w:ind w:firstLine="3373" w:firstLineChars="1400"/>
        <w:rPr>
          <w:rFonts w:ascii="黑体" w:hAnsi="宋体" w:eastAsia="黑体"/>
          <w:color w:val="auto"/>
          <w:sz w:val="24"/>
          <w:szCs w:val="24"/>
          <w:highlight w:val="none"/>
        </w:rPr>
      </w:pPr>
      <w:bookmarkStart w:id="1729" w:name="_Toc28756"/>
      <w:bookmarkStart w:id="1730" w:name="_Toc43476021"/>
      <w:r>
        <w:rPr>
          <w:rFonts w:hint="eastAsia" w:ascii="黑体" w:hAnsi="宋体" w:eastAsia="黑体"/>
          <w:color w:val="auto"/>
          <w:sz w:val="24"/>
          <w:szCs w:val="24"/>
          <w:highlight w:val="none"/>
        </w:rPr>
        <w:t>房屋建筑工程质量保修书</w:t>
      </w:r>
      <w:bookmarkEnd w:id="1729"/>
      <w:bookmarkEnd w:id="1730"/>
    </w:p>
    <w:p w14:paraId="13CD9EBD">
      <w:pPr>
        <w:pStyle w:val="106"/>
        <w:jc w:val="center"/>
        <w:rPr>
          <w:rFonts w:ascii="宋体" w:hAnsi="宋体"/>
          <w:color w:val="auto"/>
          <w:sz w:val="24"/>
          <w:szCs w:val="20"/>
          <w:highlight w:val="none"/>
        </w:rPr>
      </w:pPr>
      <w:r>
        <w:rPr>
          <w:rFonts w:hint="eastAsia" w:ascii="宋体" w:hAnsi="宋体"/>
          <w:color w:val="auto"/>
          <w:sz w:val="24"/>
          <w:szCs w:val="20"/>
          <w:highlight w:val="none"/>
        </w:rPr>
        <w:t>（仅适用于附属区房建工程）</w:t>
      </w:r>
    </w:p>
    <w:p w14:paraId="476E8CD1">
      <w:pPr>
        <w:pStyle w:val="106"/>
        <w:jc w:val="left"/>
        <w:rPr>
          <w:rFonts w:ascii="宋体" w:hAnsi="宋体"/>
          <w:color w:val="auto"/>
          <w:sz w:val="24"/>
          <w:szCs w:val="20"/>
          <w:highlight w:val="none"/>
          <w:u w:val="single"/>
        </w:rPr>
      </w:pPr>
      <w:r>
        <w:rPr>
          <w:rFonts w:hint="eastAsia" w:ascii="宋体" w:hAnsi="宋体"/>
          <w:color w:val="auto"/>
          <w:sz w:val="24"/>
          <w:szCs w:val="20"/>
          <w:highlight w:val="none"/>
        </w:rPr>
        <w:t>发包人（全称）：</w:t>
      </w:r>
    </w:p>
    <w:p w14:paraId="1F291FC5">
      <w:pPr>
        <w:pStyle w:val="106"/>
        <w:jc w:val="left"/>
        <w:rPr>
          <w:rFonts w:ascii="宋体" w:hAnsi="宋体"/>
          <w:color w:val="auto"/>
          <w:sz w:val="24"/>
          <w:szCs w:val="20"/>
          <w:highlight w:val="none"/>
        </w:rPr>
      </w:pPr>
      <w:r>
        <w:rPr>
          <w:rFonts w:hint="eastAsia" w:ascii="宋体" w:hAnsi="宋体"/>
          <w:color w:val="auto"/>
          <w:sz w:val="24"/>
          <w:szCs w:val="20"/>
          <w:highlight w:val="none"/>
        </w:rPr>
        <w:t>承包人（全称）：</w:t>
      </w:r>
    </w:p>
    <w:p w14:paraId="166A051D">
      <w:pPr>
        <w:pStyle w:val="106"/>
        <w:keepNext w:val="0"/>
        <w:keepLines w:val="0"/>
        <w:pageBreakBefore w:val="0"/>
        <w:widowControl w:val="0"/>
        <w:kinsoku/>
        <w:wordWrap/>
        <w:overflowPunct/>
        <w:topLinePunct w:val="0"/>
        <w:autoSpaceDE/>
        <w:autoSpaceDN/>
        <w:bidi w:val="0"/>
        <w:adjustRightInd/>
        <w:snapToGrid/>
        <w:ind w:firstLine="480"/>
        <w:jc w:val="left"/>
        <w:textAlignment w:val="auto"/>
        <w:rPr>
          <w:rFonts w:hint="eastAsia" w:ascii="宋体" w:hAnsi="宋体"/>
          <w:color w:val="auto"/>
          <w:sz w:val="24"/>
          <w:szCs w:val="20"/>
          <w:highlight w:val="none"/>
        </w:rPr>
      </w:pPr>
      <w:r>
        <w:rPr>
          <w:rFonts w:hint="eastAsia" w:ascii="宋体" w:hAnsi="宋体"/>
          <w:color w:val="auto"/>
          <w:sz w:val="24"/>
          <w:szCs w:val="20"/>
          <w:highlight w:val="none"/>
        </w:rPr>
        <w:t>发包人、承包人根据据《中华人民共和国建筑法》、《建设工程质量管理条例》和《房屋建筑工程质量保修办法》，经协商一致，对</w:t>
      </w:r>
      <w:r>
        <w:rPr>
          <w:rFonts w:hint="eastAsia" w:ascii="宋体" w:hAnsi="宋体"/>
          <w:color w:val="auto"/>
          <w:sz w:val="24"/>
          <w:szCs w:val="20"/>
          <w:highlight w:val="none"/>
          <w:u w:val="single"/>
          <w:lang w:val="en-US" w:eastAsia="zh-CN"/>
        </w:rPr>
        <w:t xml:space="preserve">      （工程全称）   </w:t>
      </w:r>
      <w:r>
        <w:rPr>
          <w:rFonts w:hint="eastAsia" w:ascii="宋体" w:hAnsi="宋体"/>
          <w:color w:val="auto"/>
          <w:sz w:val="24"/>
          <w:szCs w:val="20"/>
          <w:highlight w:val="none"/>
        </w:rPr>
        <w:t>签定工程质量保修书。</w:t>
      </w:r>
    </w:p>
    <w:p w14:paraId="344FA137">
      <w:pPr>
        <w:pStyle w:val="106"/>
        <w:keepNext w:val="0"/>
        <w:keepLines w:val="0"/>
        <w:pageBreakBefore w:val="0"/>
        <w:widowControl w:val="0"/>
        <w:numPr>
          <w:ilvl w:val="0"/>
          <w:numId w:val="16"/>
        </w:numPr>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rPr>
      </w:pPr>
      <w:r>
        <w:rPr>
          <w:rFonts w:hint="eastAsia" w:ascii="宋体" w:hAnsi="宋体"/>
          <w:color w:val="auto"/>
          <w:sz w:val="24"/>
          <w:szCs w:val="20"/>
          <w:highlight w:val="none"/>
        </w:rPr>
        <w:t>工程质量保修范围和内容</w:t>
      </w:r>
    </w:p>
    <w:p w14:paraId="50683FA6">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rPr>
      </w:pPr>
      <w:r>
        <w:rPr>
          <w:rFonts w:hint="eastAsia" w:ascii="宋体" w:hAnsi="宋体"/>
          <w:color w:val="auto"/>
          <w:sz w:val="24"/>
          <w:szCs w:val="20"/>
          <w:highlight w:val="none"/>
        </w:rPr>
        <w:t>承包人在质量保修期内，按照有关法律、法规、规规章的管理规定和双方约定，承担本工程质量保修责任。</w:t>
      </w:r>
    </w:p>
    <w:p w14:paraId="50639836">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u w:val="single"/>
        </w:rPr>
      </w:pPr>
      <w:r>
        <w:rPr>
          <w:rFonts w:hint="eastAsia" w:ascii="宋体" w:hAnsi="宋体"/>
          <w:color w:val="auto"/>
          <w:sz w:val="24"/>
          <w:szCs w:val="20"/>
          <w:highlight w:val="none"/>
        </w:rPr>
        <w:t>质量保修范围包括地基基础工程、主体结构工程，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auto"/>
          <w:sz w:val="24"/>
          <w:szCs w:val="20"/>
          <w:highlight w:val="none"/>
          <w:u w:val="single"/>
          <w:lang w:val="en-US" w:eastAsia="zh-CN"/>
        </w:rPr>
        <w:t xml:space="preserve">                   </w:t>
      </w:r>
      <w:r>
        <w:rPr>
          <w:rFonts w:hint="eastAsia" w:ascii="宋体" w:hAnsi="宋体"/>
          <w:color w:val="auto"/>
          <w:sz w:val="24"/>
          <w:szCs w:val="20"/>
          <w:highlight w:val="none"/>
          <w:u w:val="none"/>
          <w:lang w:val="en-US" w:eastAsia="zh-CN"/>
        </w:rPr>
        <w:t>。</w:t>
      </w:r>
    </w:p>
    <w:p w14:paraId="5D7461E6">
      <w:pPr>
        <w:pStyle w:val="106"/>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sz w:val="24"/>
          <w:szCs w:val="20"/>
          <w:highlight w:val="none"/>
        </w:rPr>
      </w:pPr>
      <w:r>
        <w:rPr>
          <w:rFonts w:hint="eastAsia" w:ascii="宋体" w:hAnsi="宋体"/>
          <w:color w:val="auto"/>
          <w:sz w:val="24"/>
          <w:szCs w:val="20"/>
          <w:highlight w:val="none"/>
        </w:rPr>
        <w:t>第二条</w:t>
      </w:r>
      <w:r>
        <w:rPr>
          <w:rFonts w:hint="eastAsia" w:ascii="宋体" w:hAnsi="宋体"/>
          <w:color w:val="auto"/>
          <w:sz w:val="24"/>
          <w:szCs w:val="20"/>
          <w:highlight w:val="none"/>
          <w:lang w:val="en-US" w:eastAsia="zh-CN"/>
        </w:rPr>
        <w:t xml:space="preserve"> </w:t>
      </w:r>
      <w:r>
        <w:rPr>
          <w:rFonts w:hint="eastAsia" w:ascii="宋体" w:hAnsi="宋体"/>
          <w:color w:val="auto"/>
          <w:sz w:val="24"/>
          <w:szCs w:val="20"/>
          <w:highlight w:val="none"/>
        </w:rPr>
        <w:t>工程质量保修范围和内容</w:t>
      </w:r>
    </w:p>
    <w:p w14:paraId="418C7CC3">
      <w:pPr>
        <w:pStyle w:val="106"/>
        <w:keepNext w:val="0"/>
        <w:keepLines w:val="0"/>
        <w:pageBreakBefore w:val="0"/>
        <w:widowControl w:val="0"/>
        <w:kinsoku/>
        <w:wordWrap/>
        <w:overflowPunct/>
        <w:topLinePunct w:val="0"/>
        <w:autoSpaceDE/>
        <w:autoSpaceDN/>
        <w:bidi w:val="0"/>
        <w:adjustRightInd/>
        <w:snapToGrid/>
        <w:jc w:val="center"/>
        <w:textAlignment w:val="auto"/>
        <w:rPr>
          <w:rFonts w:ascii="宋体" w:hAnsi="宋体"/>
          <w:color w:val="auto"/>
          <w:sz w:val="24"/>
          <w:szCs w:val="20"/>
          <w:highlight w:val="none"/>
        </w:rPr>
      </w:pPr>
      <w:r>
        <w:rPr>
          <w:rFonts w:hint="eastAsia" w:ascii="宋体" w:hAnsi="宋体"/>
          <w:color w:val="auto"/>
          <w:sz w:val="24"/>
          <w:szCs w:val="20"/>
          <w:highlight w:val="none"/>
        </w:rPr>
        <w:t xml:space="preserve">    双方根据据《建设工程质量管理条例》及有关规定，约定本工程的质量保修期如下：</w:t>
      </w:r>
    </w:p>
    <w:p w14:paraId="42A44752">
      <w:pPr>
        <w:pStyle w:val="106"/>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sz w:val="24"/>
          <w:szCs w:val="20"/>
          <w:highlight w:val="none"/>
        </w:rPr>
      </w:pPr>
      <w:r>
        <w:rPr>
          <w:rFonts w:hint="eastAsia" w:ascii="宋体" w:hAnsi="宋体"/>
          <w:color w:val="auto"/>
          <w:sz w:val="24"/>
          <w:szCs w:val="20"/>
          <w:highlight w:val="none"/>
        </w:rPr>
        <w:t>1.地基基础工程和主体结构工程为设计文件规定的该工程合理使用年限；</w:t>
      </w:r>
    </w:p>
    <w:p w14:paraId="53FB86F0">
      <w:pPr>
        <w:pStyle w:val="106"/>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sz w:val="24"/>
          <w:szCs w:val="20"/>
          <w:highlight w:val="none"/>
        </w:rPr>
      </w:pPr>
      <w:r>
        <w:rPr>
          <w:rFonts w:hint="eastAsia" w:ascii="宋体" w:hAnsi="宋体"/>
          <w:color w:val="auto"/>
          <w:sz w:val="24"/>
          <w:szCs w:val="20"/>
          <w:highlight w:val="none"/>
        </w:rPr>
        <w:t>2.屋面防水工程、有防水要求的卫生间、房间和外墙面的防渗漏为</w:t>
      </w:r>
      <w:r>
        <w:rPr>
          <w:rFonts w:hint="eastAsia" w:ascii="宋体" w:hAnsi="宋体"/>
          <w:color w:val="auto"/>
          <w:sz w:val="24"/>
          <w:szCs w:val="20"/>
          <w:highlight w:val="none"/>
          <w:u w:val="single"/>
        </w:rPr>
        <w:t>5</w:t>
      </w:r>
      <w:r>
        <w:rPr>
          <w:rFonts w:hint="eastAsia" w:ascii="宋体" w:hAnsi="宋体"/>
          <w:color w:val="auto"/>
          <w:sz w:val="24"/>
          <w:szCs w:val="20"/>
          <w:highlight w:val="none"/>
        </w:rPr>
        <w:t>年；</w:t>
      </w:r>
    </w:p>
    <w:p w14:paraId="30D6EF40">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rPr>
      </w:pPr>
      <w:r>
        <w:rPr>
          <w:rFonts w:hint="eastAsia" w:ascii="宋体" w:hAnsi="宋体"/>
          <w:color w:val="auto"/>
          <w:sz w:val="24"/>
          <w:szCs w:val="20"/>
          <w:highlight w:val="none"/>
        </w:rPr>
        <w:t>3.装修工程为</w:t>
      </w:r>
      <w:r>
        <w:rPr>
          <w:rFonts w:hint="eastAsia" w:ascii="宋体" w:hAnsi="宋体"/>
          <w:color w:val="auto"/>
          <w:sz w:val="24"/>
          <w:szCs w:val="20"/>
          <w:highlight w:val="none"/>
          <w:u w:val="single"/>
        </w:rPr>
        <w:t>2</w:t>
      </w:r>
      <w:r>
        <w:rPr>
          <w:rFonts w:hint="eastAsia" w:ascii="宋体" w:hAnsi="宋体"/>
          <w:color w:val="auto"/>
          <w:sz w:val="24"/>
          <w:szCs w:val="20"/>
          <w:highlight w:val="none"/>
        </w:rPr>
        <w:t>年</w:t>
      </w:r>
    </w:p>
    <w:p w14:paraId="16C382C0">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rPr>
      </w:pPr>
      <w:r>
        <w:rPr>
          <w:rFonts w:hint="eastAsia" w:ascii="宋体" w:hAnsi="宋体"/>
          <w:color w:val="auto"/>
          <w:sz w:val="24"/>
          <w:szCs w:val="20"/>
          <w:highlight w:val="none"/>
        </w:rPr>
        <w:t>4.电气管线、给排水管道、设备安装工程为</w:t>
      </w:r>
      <w:r>
        <w:rPr>
          <w:rFonts w:hint="eastAsia" w:ascii="宋体" w:hAnsi="宋体"/>
          <w:color w:val="auto"/>
          <w:sz w:val="24"/>
          <w:szCs w:val="20"/>
          <w:highlight w:val="none"/>
          <w:u w:val="single"/>
        </w:rPr>
        <w:t>2</w:t>
      </w:r>
      <w:r>
        <w:rPr>
          <w:rFonts w:hint="eastAsia" w:ascii="宋体" w:hAnsi="宋体"/>
          <w:color w:val="auto"/>
          <w:sz w:val="24"/>
          <w:szCs w:val="20"/>
          <w:highlight w:val="none"/>
        </w:rPr>
        <w:t>年；</w:t>
      </w:r>
    </w:p>
    <w:p w14:paraId="6722C66A">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rPr>
      </w:pPr>
      <w:r>
        <w:rPr>
          <w:rFonts w:hint="eastAsia" w:ascii="宋体" w:hAnsi="宋体"/>
          <w:color w:val="auto"/>
          <w:sz w:val="24"/>
          <w:szCs w:val="20"/>
          <w:highlight w:val="none"/>
        </w:rPr>
        <w:t>5.供热与供冷系统为2个采暖期、供冷期；</w:t>
      </w:r>
    </w:p>
    <w:p w14:paraId="7F4A7E84">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rPr>
      </w:pPr>
      <w:r>
        <w:rPr>
          <w:rFonts w:hint="eastAsia" w:ascii="宋体" w:hAnsi="宋体"/>
          <w:color w:val="auto"/>
          <w:sz w:val="24"/>
          <w:szCs w:val="20"/>
          <w:highlight w:val="none"/>
        </w:rPr>
        <w:t>6.住宅小区内的给排水设施、道路等配套工程为</w:t>
      </w:r>
      <w:r>
        <w:rPr>
          <w:rFonts w:hint="eastAsia" w:ascii="宋体" w:hAnsi="宋体"/>
          <w:color w:val="auto"/>
          <w:sz w:val="24"/>
          <w:szCs w:val="20"/>
          <w:highlight w:val="none"/>
          <w:u w:val="single"/>
        </w:rPr>
        <w:t>2</w:t>
      </w:r>
      <w:r>
        <w:rPr>
          <w:rFonts w:hint="eastAsia" w:ascii="宋体" w:hAnsi="宋体"/>
          <w:color w:val="auto"/>
          <w:sz w:val="24"/>
          <w:szCs w:val="20"/>
          <w:highlight w:val="none"/>
        </w:rPr>
        <w:t>年；</w:t>
      </w:r>
    </w:p>
    <w:p w14:paraId="15084636">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olor w:val="auto"/>
          <w:sz w:val="24"/>
          <w:szCs w:val="20"/>
          <w:highlight w:val="none"/>
          <w:u w:val="single"/>
          <w:lang w:eastAsia="zh-CN"/>
        </w:rPr>
      </w:pPr>
      <w:r>
        <w:rPr>
          <w:rFonts w:hint="eastAsia" w:ascii="宋体" w:hAnsi="宋体"/>
          <w:color w:val="auto"/>
          <w:sz w:val="24"/>
          <w:szCs w:val="20"/>
          <w:highlight w:val="none"/>
        </w:rPr>
        <w:t>7.其他项目保修期限约定如下：</w:t>
      </w:r>
      <w:r>
        <w:rPr>
          <w:rFonts w:hint="eastAsia" w:ascii="宋体" w:hAnsi="宋体"/>
          <w:color w:val="auto"/>
          <w:sz w:val="24"/>
          <w:szCs w:val="20"/>
          <w:highlight w:val="none"/>
          <w:u w:val="single"/>
          <w:lang w:val="en-US" w:eastAsia="zh-CN"/>
        </w:rPr>
        <w:t xml:space="preserve">                     </w:t>
      </w:r>
      <w:r>
        <w:rPr>
          <w:rFonts w:hint="eastAsia" w:ascii="宋体" w:hAnsi="宋体"/>
          <w:color w:val="auto"/>
          <w:sz w:val="24"/>
          <w:szCs w:val="20"/>
          <w:highlight w:val="none"/>
          <w:u w:val="none"/>
          <w:lang w:eastAsia="zh-CN"/>
        </w:rPr>
        <w:t>。</w:t>
      </w:r>
    </w:p>
    <w:p w14:paraId="428FB096">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olor w:val="auto"/>
          <w:sz w:val="24"/>
          <w:szCs w:val="20"/>
          <w:highlight w:val="none"/>
        </w:rPr>
      </w:pPr>
      <w:r>
        <w:rPr>
          <w:rFonts w:hint="eastAsia" w:ascii="宋体" w:hAnsi="宋体"/>
          <w:color w:val="auto"/>
          <w:sz w:val="24"/>
          <w:szCs w:val="20"/>
          <w:highlight w:val="none"/>
        </w:rPr>
        <w:t>质量保修期自工程竣工验收合格之日起计算</w:t>
      </w:r>
    </w:p>
    <w:p w14:paraId="1F94DA0C">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rPr>
      </w:pPr>
      <w:r>
        <w:rPr>
          <w:rFonts w:hint="eastAsia" w:ascii="宋体" w:hAnsi="宋体"/>
          <w:color w:val="auto"/>
          <w:sz w:val="24"/>
          <w:szCs w:val="20"/>
          <w:highlight w:val="none"/>
        </w:rPr>
        <w:t>第三条</w:t>
      </w:r>
      <w:r>
        <w:rPr>
          <w:rFonts w:hint="eastAsia" w:ascii="宋体" w:hAnsi="宋体"/>
          <w:color w:val="auto"/>
          <w:sz w:val="24"/>
          <w:szCs w:val="20"/>
          <w:highlight w:val="none"/>
          <w:lang w:val="en-US" w:eastAsia="zh-CN"/>
        </w:rPr>
        <w:t xml:space="preserve"> </w:t>
      </w:r>
      <w:r>
        <w:rPr>
          <w:rFonts w:hint="eastAsia" w:ascii="宋体" w:hAnsi="宋体"/>
          <w:color w:val="auto"/>
          <w:sz w:val="24"/>
          <w:szCs w:val="20"/>
          <w:highlight w:val="none"/>
        </w:rPr>
        <w:t>质量保修责任</w:t>
      </w:r>
    </w:p>
    <w:p w14:paraId="3108E4E8">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olor w:val="auto"/>
          <w:sz w:val="24"/>
          <w:szCs w:val="20"/>
          <w:highlight w:val="none"/>
        </w:rPr>
      </w:pPr>
      <w:r>
        <w:rPr>
          <w:rFonts w:hint="eastAsia" w:ascii="宋体" w:hAnsi="宋体"/>
          <w:color w:val="auto"/>
          <w:sz w:val="24"/>
          <w:szCs w:val="20"/>
          <w:highlight w:val="none"/>
          <w:lang w:val="en-US" w:eastAsia="zh-CN"/>
        </w:rPr>
        <w:t>1.</w:t>
      </w:r>
      <w:r>
        <w:rPr>
          <w:rFonts w:hint="eastAsia" w:ascii="宋体" w:hAnsi="宋体"/>
          <w:color w:val="auto"/>
          <w:sz w:val="24"/>
          <w:szCs w:val="20"/>
          <w:highlight w:val="none"/>
        </w:rPr>
        <w:t>属于保修范围、内容的项目，承包人应当在接到保修通知之日起7天内派人保修。承包人不在约定期限内派人保修的，发包人可以委托他人修理。</w:t>
      </w:r>
    </w:p>
    <w:p w14:paraId="37716D49">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rPr>
      </w:pPr>
      <w:r>
        <w:rPr>
          <w:rFonts w:hint="eastAsia" w:ascii="宋体" w:hAnsi="宋体"/>
          <w:color w:val="auto"/>
          <w:sz w:val="24"/>
          <w:szCs w:val="20"/>
          <w:highlight w:val="none"/>
        </w:rPr>
        <w:t>2</w:t>
      </w:r>
      <w:r>
        <w:rPr>
          <w:rFonts w:hint="eastAsia" w:ascii="宋体" w:hAnsi="宋体"/>
          <w:color w:val="auto"/>
          <w:sz w:val="24"/>
          <w:szCs w:val="20"/>
          <w:highlight w:val="none"/>
          <w:lang w:val="en-US" w:eastAsia="zh-CN"/>
        </w:rPr>
        <w:t>.</w:t>
      </w:r>
      <w:r>
        <w:rPr>
          <w:rFonts w:hint="eastAsia" w:ascii="宋体" w:hAnsi="宋体"/>
          <w:color w:val="auto"/>
          <w:sz w:val="24"/>
          <w:szCs w:val="20"/>
          <w:highlight w:val="none"/>
        </w:rPr>
        <w:t>发生紧急抢修事故的，承包人在接到事故通知后，应当立即到达事故现场抢修。</w:t>
      </w:r>
    </w:p>
    <w:p w14:paraId="7CA72957">
      <w:pPr>
        <w:pStyle w:val="106"/>
        <w:keepNext w:val="0"/>
        <w:keepLines w:val="0"/>
        <w:pageBreakBefore w:val="0"/>
        <w:widowControl w:val="0"/>
        <w:kinsoku/>
        <w:wordWrap/>
        <w:overflowPunct/>
        <w:topLinePunct w:val="0"/>
        <w:autoSpaceDE/>
        <w:autoSpaceDN/>
        <w:bidi w:val="0"/>
        <w:adjustRightInd/>
        <w:snapToGrid/>
        <w:jc w:val="center"/>
        <w:textAlignment w:val="auto"/>
        <w:rPr>
          <w:rFonts w:ascii="宋体" w:hAnsi="宋体"/>
          <w:color w:val="auto"/>
          <w:sz w:val="24"/>
          <w:szCs w:val="20"/>
          <w:highlight w:val="none"/>
        </w:rPr>
      </w:pPr>
      <w:r>
        <w:rPr>
          <w:rFonts w:hint="eastAsia" w:ascii="宋体" w:hAnsi="宋体"/>
          <w:color w:val="auto"/>
          <w:sz w:val="24"/>
          <w:szCs w:val="20"/>
          <w:highlight w:val="none"/>
        </w:rPr>
        <w:t xml:space="preserve">  3</w:t>
      </w:r>
      <w:r>
        <w:rPr>
          <w:rFonts w:hint="eastAsia" w:ascii="宋体" w:hAnsi="宋体"/>
          <w:color w:val="auto"/>
          <w:sz w:val="24"/>
          <w:szCs w:val="20"/>
          <w:highlight w:val="none"/>
          <w:lang w:val="en-US" w:eastAsia="zh-CN"/>
        </w:rPr>
        <w:t>.</w:t>
      </w:r>
      <w:r>
        <w:rPr>
          <w:rFonts w:hint="eastAsia" w:ascii="宋体" w:hAnsi="宋体"/>
          <w:color w:val="auto"/>
          <w:sz w:val="24"/>
          <w:szCs w:val="20"/>
          <w:highlight w:val="none"/>
        </w:rPr>
        <w:t>对于涉及结构安全的质量问题，应当按照《房屋建筑工程质量保修办法》的规定，</w:t>
      </w:r>
    </w:p>
    <w:p w14:paraId="2E879637">
      <w:pPr>
        <w:pStyle w:val="106"/>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olor w:val="auto"/>
          <w:sz w:val="24"/>
          <w:szCs w:val="20"/>
          <w:highlight w:val="none"/>
          <w:lang w:eastAsia="zh-CN"/>
        </w:rPr>
      </w:pPr>
      <w:r>
        <w:rPr>
          <w:rFonts w:hint="eastAsia" w:ascii="宋体" w:hAnsi="宋体"/>
          <w:color w:val="auto"/>
          <w:sz w:val="24"/>
          <w:szCs w:val="20"/>
          <w:highlight w:val="none"/>
        </w:rPr>
        <w:t>立即向当地建设行政主管部门报告，采取安全防范措施；由原设计单位或者具有相应资质等级的设计单位提出保修方案，承包人实施保修</w:t>
      </w:r>
      <w:r>
        <w:rPr>
          <w:rFonts w:hint="eastAsia" w:ascii="宋体" w:hAnsi="宋体"/>
          <w:color w:val="auto"/>
          <w:sz w:val="24"/>
          <w:szCs w:val="20"/>
          <w:highlight w:val="none"/>
          <w:lang w:eastAsia="zh-CN"/>
        </w:rPr>
        <w:t>。</w:t>
      </w:r>
    </w:p>
    <w:p w14:paraId="3AA7FC50">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olor w:val="auto"/>
          <w:sz w:val="24"/>
          <w:szCs w:val="20"/>
          <w:highlight w:val="none"/>
        </w:rPr>
      </w:pPr>
      <w:r>
        <w:rPr>
          <w:rFonts w:hint="eastAsia" w:ascii="宋体" w:hAnsi="宋体"/>
          <w:color w:val="auto"/>
          <w:sz w:val="24"/>
          <w:szCs w:val="20"/>
          <w:highlight w:val="none"/>
        </w:rPr>
        <w:t>4.质量保修完成后，由发包人组织验收。</w:t>
      </w:r>
    </w:p>
    <w:p w14:paraId="57386ECC">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rPr>
      </w:pPr>
      <w:r>
        <w:rPr>
          <w:rFonts w:hint="eastAsia" w:ascii="宋体" w:hAnsi="宋体"/>
          <w:color w:val="auto"/>
          <w:sz w:val="24"/>
          <w:szCs w:val="20"/>
          <w:highlight w:val="none"/>
        </w:rPr>
        <w:t>第四条</w:t>
      </w:r>
      <w:r>
        <w:rPr>
          <w:rFonts w:hint="eastAsia" w:ascii="宋体" w:hAnsi="宋体"/>
          <w:color w:val="auto"/>
          <w:sz w:val="24"/>
          <w:szCs w:val="20"/>
          <w:highlight w:val="none"/>
          <w:lang w:val="en-US" w:eastAsia="zh-CN"/>
        </w:rPr>
        <w:t xml:space="preserve"> </w:t>
      </w:r>
      <w:r>
        <w:rPr>
          <w:rFonts w:hint="eastAsia" w:ascii="宋体" w:hAnsi="宋体"/>
          <w:color w:val="auto"/>
          <w:sz w:val="24"/>
          <w:szCs w:val="20"/>
          <w:highlight w:val="none"/>
        </w:rPr>
        <w:t>保修费用</w:t>
      </w:r>
    </w:p>
    <w:p w14:paraId="253B282F">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olor w:val="auto"/>
          <w:sz w:val="24"/>
          <w:szCs w:val="20"/>
          <w:highlight w:val="none"/>
        </w:rPr>
      </w:pPr>
      <w:r>
        <w:rPr>
          <w:rFonts w:hint="eastAsia" w:ascii="宋体" w:hAnsi="宋体"/>
          <w:color w:val="auto"/>
          <w:sz w:val="24"/>
          <w:szCs w:val="20"/>
          <w:highlight w:val="none"/>
        </w:rPr>
        <w:t>保修费用由造成质量缺陷的责任方承担。</w:t>
      </w:r>
    </w:p>
    <w:p w14:paraId="5FBE0095">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rPr>
      </w:pPr>
      <w:r>
        <w:rPr>
          <w:rFonts w:hint="eastAsia" w:ascii="宋体" w:hAnsi="宋体"/>
          <w:color w:val="auto"/>
          <w:sz w:val="24"/>
          <w:szCs w:val="20"/>
          <w:highlight w:val="none"/>
        </w:rPr>
        <w:t>第五条</w:t>
      </w:r>
      <w:r>
        <w:rPr>
          <w:rFonts w:hint="eastAsia" w:ascii="宋体" w:hAnsi="宋体"/>
          <w:color w:val="auto"/>
          <w:sz w:val="24"/>
          <w:szCs w:val="20"/>
          <w:highlight w:val="none"/>
          <w:lang w:val="en-US" w:eastAsia="zh-CN"/>
        </w:rPr>
        <w:t xml:space="preserve"> </w:t>
      </w:r>
      <w:r>
        <w:rPr>
          <w:rFonts w:hint="eastAsia" w:ascii="宋体" w:hAnsi="宋体"/>
          <w:color w:val="auto"/>
          <w:sz w:val="24"/>
          <w:szCs w:val="20"/>
          <w:highlight w:val="none"/>
        </w:rPr>
        <w:t>其他</w:t>
      </w:r>
    </w:p>
    <w:p w14:paraId="3CC2D4C4">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olor w:val="auto"/>
          <w:sz w:val="24"/>
          <w:szCs w:val="20"/>
          <w:highlight w:val="none"/>
          <w:u w:val="single"/>
          <w:lang w:eastAsia="zh-CN"/>
        </w:rPr>
      </w:pPr>
      <w:r>
        <w:rPr>
          <w:rFonts w:hint="eastAsia" w:ascii="宋体" w:hAnsi="宋体"/>
          <w:color w:val="auto"/>
          <w:sz w:val="24"/>
          <w:szCs w:val="20"/>
          <w:highlight w:val="none"/>
        </w:rPr>
        <w:t>双方约定的其他工程质量保修事项：</w:t>
      </w:r>
      <w:r>
        <w:rPr>
          <w:rFonts w:hint="eastAsia" w:ascii="宋体" w:hAnsi="宋体"/>
          <w:color w:val="auto"/>
          <w:sz w:val="24"/>
          <w:szCs w:val="20"/>
          <w:highlight w:val="none"/>
          <w:u w:val="single"/>
          <w:lang w:val="en-US" w:eastAsia="zh-CN"/>
        </w:rPr>
        <w:t xml:space="preserve">                             </w:t>
      </w:r>
      <w:r>
        <w:rPr>
          <w:rFonts w:hint="eastAsia" w:ascii="宋体" w:hAnsi="宋体"/>
          <w:color w:val="auto"/>
          <w:sz w:val="24"/>
          <w:szCs w:val="20"/>
          <w:highlight w:val="none"/>
          <w:u w:val="none"/>
          <w:lang w:eastAsia="zh-CN"/>
        </w:rPr>
        <w:t>。</w:t>
      </w:r>
    </w:p>
    <w:p w14:paraId="26AE16AE">
      <w:pPr>
        <w:pStyle w:val="106"/>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olor w:val="auto"/>
          <w:sz w:val="24"/>
          <w:szCs w:val="20"/>
          <w:highlight w:val="none"/>
        </w:rPr>
      </w:pPr>
      <w:r>
        <w:rPr>
          <w:rFonts w:hint="eastAsia" w:ascii="宋体" w:hAnsi="宋体"/>
          <w:color w:val="auto"/>
          <w:sz w:val="24"/>
          <w:szCs w:val="20"/>
          <w:highlight w:val="none"/>
        </w:rPr>
        <w:t>本工程质量保修书，由施工合同发包人、承包人双方在竣工验收前共同签署，作为施工合同附件，其有效期限至保修期满</w:t>
      </w:r>
    </w:p>
    <w:p w14:paraId="7686EF22">
      <w:pPr>
        <w:pStyle w:val="106"/>
        <w:ind w:firstLine="480" w:firstLineChars="200"/>
        <w:jc w:val="left"/>
        <w:rPr>
          <w:rFonts w:ascii="宋体" w:hAnsi="宋体"/>
          <w:color w:val="auto"/>
          <w:sz w:val="24"/>
          <w:szCs w:val="20"/>
          <w:highlight w:val="none"/>
        </w:rPr>
      </w:pPr>
    </w:p>
    <w:p w14:paraId="23397079">
      <w:pPr>
        <w:pStyle w:val="106"/>
        <w:jc w:val="left"/>
        <w:rPr>
          <w:rFonts w:hint="eastAsia" w:ascii="宋体" w:hAnsi="宋体"/>
          <w:color w:val="auto"/>
          <w:sz w:val="24"/>
          <w:szCs w:val="20"/>
          <w:highlight w:val="none"/>
          <w:lang w:eastAsia="zh-CN"/>
        </w:rPr>
      </w:pPr>
      <w:r>
        <w:rPr>
          <w:rFonts w:hint="eastAsia" w:ascii="宋体" w:hAnsi="宋体"/>
          <w:color w:val="auto"/>
          <w:sz w:val="24"/>
          <w:szCs w:val="20"/>
          <w:highlight w:val="none"/>
        </w:rPr>
        <w:t>承包人（公章）</w:t>
      </w:r>
      <w:r>
        <w:rPr>
          <w:rFonts w:hint="eastAsia" w:ascii="宋体" w:hAnsi="宋体"/>
          <w:color w:val="auto"/>
          <w:sz w:val="24"/>
          <w:szCs w:val="20"/>
          <w:highlight w:val="none"/>
          <w:lang w:eastAsia="zh-CN"/>
        </w:rPr>
        <w:t>：</w:t>
      </w:r>
      <w:r>
        <w:rPr>
          <w:rFonts w:hint="eastAsia" w:ascii="宋体" w:hAnsi="宋体"/>
          <w:color w:val="auto"/>
          <w:sz w:val="24"/>
          <w:szCs w:val="20"/>
          <w:highlight w:val="none"/>
        </w:rPr>
        <w:t xml:space="preserve">                             发包人（公章）</w:t>
      </w:r>
      <w:r>
        <w:rPr>
          <w:rFonts w:hint="eastAsia" w:ascii="宋体" w:hAnsi="宋体"/>
          <w:color w:val="auto"/>
          <w:sz w:val="24"/>
          <w:szCs w:val="20"/>
          <w:highlight w:val="none"/>
          <w:lang w:eastAsia="zh-CN"/>
        </w:rPr>
        <w:t>：</w:t>
      </w:r>
    </w:p>
    <w:p w14:paraId="569B5C82">
      <w:pPr>
        <w:pStyle w:val="106"/>
        <w:jc w:val="left"/>
        <w:rPr>
          <w:rFonts w:ascii="宋体" w:hAnsi="宋体"/>
          <w:color w:val="auto"/>
          <w:sz w:val="24"/>
          <w:szCs w:val="20"/>
          <w:highlight w:val="none"/>
        </w:rPr>
      </w:pPr>
      <w:r>
        <w:rPr>
          <w:rFonts w:hint="eastAsia" w:ascii="宋体" w:hAnsi="宋体"/>
          <w:color w:val="auto"/>
          <w:sz w:val="24"/>
          <w:szCs w:val="20"/>
          <w:highlight w:val="none"/>
        </w:rPr>
        <w:t>法定代表人                                   法定代表人</w:t>
      </w:r>
    </w:p>
    <w:p w14:paraId="44DA47A8">
      <w:pPr>
        <w:pStyle w:val="106"/>
        <w:ind w:firstLine="960" w:firstLineChars="400"/>
        <w:jc w:val="left"/>
        <w:rPr>
          <w:rFonts w:ascii="宋体" w:hAnsi="宋体"/>
          <w:color w:val="auto"/>
          <w:sz w:val="24"/>
          <w:szCs w:val="20"/>
          <w:highlight w:val="none"/>
        </w:rPr>
      </w:pPr>
      <w:r>
        <w:rPr>
          <w:rFonts w:hint="eastAsia" w:ascii="宋体" w:hAnsi="宋体"/>
          <w:color w:val="auto"/>
          <w:sz w:val="24"/>
          <w:szCs w:val="20"/>
          <w:highlight w:val="none"/>
        </w:rPr>
        <w:t>或                                           或</w:t>
      </w:r>
    </w:p>
    <w:p w14:paraId="4945C056">
      <w:pPr>
        <w:pStyle w:val="106"/>
        <w:jc w:val="left"/>
        <w:rPr>
          <w:rFonts w:ascii="宋体" w:hAnsi="宋体"/>
          <w:color w:val="auto"/>
          <w:sz w:val="24"/>
          <w:szCs w:val="20"/>
          <w:highlight w:val="none"/>
        </w:rPr>
      </w:pPr>
      <w:r>
        <w:rPr>
          <w:rFonts w:hint="eastAsia" w:ascii="宋体" w:hAnsi="宋体"/>
          <w:color w:val="auto"/>
          <w:sz w:val="24"/>
          <w:szCs w:val="20"/>
          <w:highlight w:val="none"/>
        </w:rPr>
        <w:t>其委托代理人                                 其委托代理人：</w:t>
      </w:r>
    </w:p>
    <w:p w14:paraId="2BDEA75D">
      <w:pPr>
        <w:pStyle w:val="106"/>
        <w:jc w:val="left"/>
        <w:rPr>
          <w:rFonts w:hint="eastAsia" w:ascii="宋体" w:hAnsi="宋体"/>
          <w:color w:val="auto"/>
          <w:sz w:val="24"/>
          <w:szCs w:val="20"/>
          <w:highlight w:val="none"/>
        </w:rPr>
      </w:pPr>
    </w:p>
    <w:p w14:paraId="34FEAAA7">
      <w:pPr>
        <w:pStyle w:val="106"/>
        <w:jc w:val="left"/>
        <w:rPr>
          <w:rFonts w:ascii="宋体" w:hAnsi="宋体"/>
          <w:color w:val="auto"/>
          <w:sz w:val="24"/>
          <w:szCs w:val="2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lang w:val="en-US" w:eastAsia="zh-CN"/>
        </w:rPr>
        <w:t xml:space="preserve">    </w:t>
      </w:r>
      <w:r>
        <w:rPr>
          <w:rFonts w:hint="eastAsia" w:ascii="宋体" w:hAnsi="宋体"/>
          <w:color w:val="auto"/>
          <w:sz w:val="24"/>
          <w:szCs w:val="20"/>
          <w:highlight w:val="none"/>
        </w:rPr>
        <w:t>年   月   日                       日期：</w:t>
      </w:r>
      <w:r>
        <w:rPr>
          <w:rFonts w:hint="eastAsia" w:ascii="宋体" w:hAnsi="宋体"/>
          <w:color w:val="auto"/>
          <w:sz w:val="24"/>
          <w:szCs w:val="20"/>
          <w:highlight w:val="none"/>
          <w:lang w:val="en-US" w:eastAsia="zh-CN"/>
        </w:rPr>
        <w:t xml:space="preserve">   </w:t>
      </w:r>
      <w:r>
        <w:rPr>
          <w:rFonts w:hint="eastAsia" w:ascii="宋体" w:hAnsi="宋体"/>
          <w:color w:val="auto"/>
          <w:sz w:val="24"/>
          <w:szCs w:val="20"/>
          <w:highlight w:val="none"/>
        </w:rPr>
        <w:t>年   月   日</w:t>
      </w:r>
    </w:p>
    <w:p w14:paraId="6B8FEFEB">
      <w:pPr>
        <w:pStyle w:val="106"/>
        <w:jc w:val="center"/>
        <w:rPr>
          <w:rFonts w:ascii="宋体" w:hAnsi="宋体"/>
          <w:color w:val="auto"/>
          <w:sz w:val="24"/>
          <w:szCs w:val="20"/>
          <w:highlight w:val="none"/>
        </w:rPr>
      </w:pPr>
    </w:p>
    <w:p w14:paraId="292DE76A">
      <w:pPr>
        <w:spacing w:line="360" w:lineRule="exact"/>
        <w:jc w:val="left"/>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3FF698A0">
      <w:pPr>
        <w:pStyle w:val="78"/>
        <w:spacing w:line="360" w:lineRule="auto"/>
        <w:rPr>
          <w:bCs w:val="0"/>
          <w:color w:val="auto"/>
          <w:sz w:val="24"/>
          <w:szCs w:val="24"/>
          <w:highlight w:val="none"/>
        </w:rPr>
      </w:pPr>
      <w:bookmarkStart w:id="1731" w:name="_Toc43476022"/>
      <w:r>
        <w:rPr>
          <w:rFonts w:hint="eastAsia"/>
          <w:bCs w:val="0"/>
          <w:color w:val="auto"/>
          <w:sz w:val="24"/>
          <w:szCs w:val="24"/>
          <w:highlight w:val="none"/>
        </w:rPr>
        <w:t>附件十五</w:t>
      </w:r>
      <w:r>
        <w:rPr>
          <w:rFonts w:hint="eastAsia"/>
          <w:bCs w:val="0"/>
          <w:color w:val="auto"/>
          <w:sz w:val="24"/>
          <w:szCs w:val="24"/>
          <w:highlight w:val="none"/>
          <w:lang w:val="en-US" w:eastAsia="zh-CN"/>
        </w:rPr>
        <w:t xml:space="preserve"> </w:t>
      </w:r>
      <w:r>
        <w:rPr>
          <w:rFonts w:hint="eastAsia"/>
          <w:bCs w:val="0"/>
          <w:color w:val="auto"/>
          <w:sz w:val="24"/>
          <w:szCs w:val="24"/>
          <w:highlight w:val="none"/>
        </w:rPr>
        <w:t>工程结算协议</w:t>
      </w:r>
      <w:bookmarkEnd w:id="1731"/>
    </w:p>
    <w:p w14:paraId="69CB4437">
      <w:pPr>
        <w:spacing w:line="360" w:lineRule="exact"/>
        <w:jc w:val="center"/>
        <w:rPr>
          <w:rFonts w:ascii="宋体" w:hAnsi="宋体" w:cs="宋体"/>
          <w:b/>
          <w:bCs/>
          <w:color w:val="auto"/>
          <w:sz w:val="24"/>
          <w:highlight w:val="none"/>
        </w:rPr>
      </w:pPr>
      <w:r>
        <w:rPr>
          <w:rFonts w:hint="eastAsia" w:ascii="宋体" w:hAnsi="宋体" w:cs="宋体"/>
          <w:b/>
          <w:bCs/>
          <w:color w:val="auto"/>
          <w:sz w:val="30"/>
          <w:szCs w:val="30"/>
          <w:highlight w:val="none"/>
        </w:rPr>
        <w:t>工程结算协议</w:t>
      </w:r>
    </w:p>
    <w:p w14:paraId="443A3C7A">
      <w:pPr>
        <w:spacing w:line="360" w:lineRule="exact"/>
        <w:ind w:firstLine="465"/>
        <w:rPr>
          <w:rFonts w:ascii="宋体" w:hAnsi="宋体" w:cs="宋体"/>
          <w:color w:val="auto"/>
          <w:sz w:val="24"/>
          <w:highlight w:val="none"/>
        </w:rPr>
      </w:pPr>
    </w:p>
    <w:p w14:paraId="59E9C790">
      <w:pPr>
        <w:pStyle w:val="104"/>
        <w:spacing w:line="24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甲方（发包人）</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p>
    <w:p w14:paraId="284434E1">
      <w:pPr>
        <w:pStyle w:val="104"/>
        <w:spacing w:line="24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地址：</w:t>
      </w:r>
      <w:r>
        <w:rPr>
          <w:rFonts w:hint="eastAsia" w:ascii="宋体" w:hAnsi="宋体" w:cs="宋体"/>
          <w:i/>
          <w:iCs/>
          <w:color w:val="auto"/>
          <w:sz w:val="24"/>
          <w:highlight w:val="none"/>
          <w:u w:val="single"/>
        </w:rPr>
        <w:tab/>
      </w:r>
      <w:r>
        <w:rPr>
          <w:rFonts w:hint="eastAsia" w:ascii="宋体" w:hAnsi="宋体" w:cs="宋体"/>
          <w:i/>
          <w:iCs/>
          <w:color w:val="auto"/>
          <w:sz w:val="24"/>
          <w:highlight w:val="none"/>
          <w:u w:val="single"/>
        </w:rPr>
        <w:tab/>
      </w:r>
      <w:r>
        <w:rPr>
          <w:rFonts w:hint="eastAsia" w:ascii="宋体" w:hAnsi="宋体" w:cs="宋体"/>
          <w:i/>
          <w:iCs/>
          <w:color w:val="auto"/>
          <w:sz w:val="24"/>
          <w:highlight w:val="none"/>
          <w:u w:val="singl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法定代表人：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p>
    <w:p w14:paraId="300FECA5">
      <w:pPr>
        <w:pStyle w:val="104"/>
        <w:spacing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乙方（承包人）：</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p>
    <w:p w14:paraId="7676AD49">
      <w:pPr>
        <w:pStyle w:val="104"/>
        <w:spacing w:line="24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地址：</w:t>
      </w:r>
      <w:r>
        <w:rPr>
          <w:rFonts w:hint="eastAsia" w:ascii="宋体" w:hAnsi="宋体" w:cs="宋体"/>
          <w:i/>
          <w:iCs/>
          <w:color w:val="auto"/>
          <w:sz w:val="24"/>
          <w:highlight w:val="none"/>
          <w:u w:val="single"/>
        </w:rPr>
        <w:tab/>
      </w:r>
      <w:r>
        <w:rPr>
          <w:rFonts w:hint="eastAsia" w:ascii="宋体" w:hAnsi="宋体" w:cs="宋体"/>
          <w:i/>
          <w:iCs/>
          <w:color w:val="auto"/>
          <w:sz w:val="24"/>
          <w:highlight w:val="none"/>
          <w:u w:val="single"/>
        </w:rPr>
        <w:tab/>
      </w:r>
      <w:r>
        <w:rPr>
          <w:rFonts w:hint="eastAsia" w:ascii="宋体" w:hAnsi="宋体" w:cs="宋体"/>
          <w:i/>
          <w:iCs/>
          <w:color w:val="auto"/>
          <w:sz w:val="24"/>
          <w:highlight w:val="none"/>
          <w:u w:val="singl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法定代表人：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p>
    <w:p w14:paraId="4BB6C58B">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p>
    <w:p w14:paraId="6068E1F6">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color w:val="auto"/>
          <w:sz w:val="24"/>
          <w:highlight w:val="none"/>
        </w:rPr>
        <w:t>日，甲方与乙方签订了《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合同》（下简称“合同”），约定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（注：填写乙方负责承包的工程内容）。</w:t>
      </w:r>
    </w:p>
    <w:p w14:paraId="00B45B99">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color w:val="auto"/>
          <w:sz w:val="24"/>
          <w:highlight w:val="none"/>
        </w:rPr>
        <w:t xml:space="preserve">日，乙方承包的 </w:t>
      </w:r>
      <w:r>
        <w:rPr>
          <w:rFonts w:hint="eastAsia" w:ascii="宋体" w:hAnsi="宋体" w:cs="宋体"/>
          <w:color w:val="auto"/>
          <w:sz w:val="24"/>
          <w:highlight w:val="none"/>
        </w:rPr>
        <w:tab/>
      </w:r>
      <w:r>
        <w:rPr>
          <w:rFonts w:hint="eastAsia" w:ascii="宋体" w:hAnsi="宋体" w:cs="宋体"/>
          <w:color w:val="auto"/>
          <w:sz w:val="24"/>
          <w:highlight w:val="none"/>
        </w:rPr>
        <w:t>工程已完成交工验收，且乙方已取得上述工程交工证书。基于上述，甲、乙双方经协商一致，特就乙方承包的 工程的结算事宜订立本协议，以共同遵守。</w:t>
      </w:r>
    </w:p>
    <w:p w14:paraId="3900540F">
      <w:pPr>
        <w:pStyle w:val="104"/>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一、乙方承包的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工程（以下简称“本工程”）结算价暂定为人民币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483E3102">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若政府审计部门之后进行审计，且作出的审计决定和行业主管部门造价审查结果不一致，双方同意按以下原则处理：</w:t>
      </w:r>
    </w:p>
    <w:p w14:paraId="4D99040B">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行业主管部门和审计部门对不同内容进行核减的，综合行业主管部门和审计部门的意见进行调整。</w:t>
      </w:r>
    </w:p>
    <w:p w14:paraId="3C7E2EBE">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二、甲、乙双方确认，截至</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日</w:t>
      </w:r>
      <w:r>
        <w:rPr>
          <w:rFonts w:hint="eastAsia" w:ascii="宋体" w:hAnsi="宋体" w:cs="宋体"/>
          <w:color w:val="auto"/>
          <w:sz w:val="24"/>
          <w:highlight w:val="none"/>
        </w:rPr>
        <w:t>，甲方就本工程已向乙方支付款项累计</w:t>
      </w:r>
      <w:r>
        <w:rPr>
          <w:rFonts w:hint="eastAsia" w:ascii="宋体" w:hAnsi="宋体" w:cs="宋体"/>
          <w:color w:val="auto"/>
          <w:sz w:val="24"/>
          <w:highlight w:val="none"/>
          <w:u w:val="single"/>
        </w:rPr>
        <w:t>人民币  元</w:t>
      </w:r>
      <w:r>
        <w:rPr>
          <w:rFonts w:hint="eastAsia" w:ascii="宋体" w:hAnsi="宋体" w:cs="宋体"/>
          <w:color w:val="auto"/>
          <w:sz w:val="24"/>
          <w:highlight w:val="none"/>
        </w:rPr>
        <w:t>。甲方将在本结算书生效后 15 个工作日内向乙方支付至结算金额的 100％，即</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元</w:t>
      </w:r>
      <w:r>
        <w:rPr>
          <w:rFonts w:hint="eastAsia" w:ascii="宋体" w:hAnsi="宋体" w:cs="宋体"/>
          <w:color w:val="auto"/>
          <w:sz w:val="24"/>
          <w:highlight w:val="none"/>
        </w:rPr>
        <w:t>。项目完成竣工决算审查备案和竣工决算审计，且发包人和承包人最终确定结算金额后 30 天内，发包人退还剩余质量保证金的 80%给承包人。通过竣工验收后 30 天内，发包人将质量保证金的余额一次性退还给承包人。</w:t>
      </w:r>
    </w:p>
    <w:p w14:paraId="206172DF">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三、甲方向乙方退还全部质量保证金需同时满足以下条件：</w:t>
      </w:r>
    </w:p>
    <w:p w14:paraId="7BCE3C2D">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1、乙方承包的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工程的缺陷责任期已届满，并由监理人出具了该工程缺陷责任期届满的证明；</w:t>
      </w:r>
    </w:p>
    <w:p w14:paraId="0EFD688F">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2、在缺陷责任期内按合同约定进行了缺陷工程的修复且项目完成竣工验收。</w:t>
      </w:r>
    </w:p>
    <w:p w14:paraId="2FCC3505">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如甲方已付款项少于本协议第一条的核准的金额，则甲方应在乙方满足了质量保证金退还的全部条件后</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天</w:t>
      </w:r>
      <w:r>
        <w:rPr>
          <w:rFonts w:hint="eastAsia" w:ascii="宋体" w:hAnsi="宋体" w:cs="宋体"/>
          <w:color w:val="auto"/>
          <w:sz w:val="24"/>
          <w:highlight w:val="none"/>
        </w:rPr>
        <w:t>内将少付工程款（含质量保证金）支付予乙方。</w:t>
      </w:r>
    </w:p>
    <w:p w14:paraId="069A17A8">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如甲方已付款项超过本协议第一条的核准的金额，则乙方应在收到甲方发出的还款通知后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天内将超出核准金额的工程款返还给甲方，且甲方无需将质量保证金退还给乙方。</w:t>
      </w:r>
    </w:p>
    <w:p w14:paraId="269674D2">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四、如甲方或乙方未按本协议约定履行付款义务，则每延迟一天，违约方需向对方支付相当于未付款项的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w:t>
      </w:r>
      <w:r>
        <w:rPr>
          <w:rFonts w:hint="eastAsia" w:ascii="宋体" w:hAnsi="宋体" w:cs="宋体"/>
          <w:color w:val="auto"/>
          <w:sz w:val="24"/>
          <w:highlight w:val="none"/>
        </w:rPr>
        <w:t>作为违约金。</w:t>
      </w:r>
    </w:p>
    <w:p w14:paraId="2003522E">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五、本协议条款与合同如有冲突，以本协议为准。</w:t>
      </w:r>
    </w:p>
    <w:p w14:paraId="1AF9A989">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六、本协议经双方法定代表人（负责人）或授权代表签字并加盖公章后生效。</w:t>
      </w:r>
    </w:p>
    <w:p w14:paraId="237FF339">
      <w:pPr>
        <w:pStyle w:val="104"/>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七、本协议一式</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份</w:t>
      </w:r>
      <w:r>
        <w:rPr>
          <w:rFonts w:hint="eastAsia" w:ascii="宋体" w:hAnsi="宋体" w:cs="宋体"/>
          <w:color w:val="auto"/>
          <w:sz w:val="24"/>
          <w:highlight w:val="none"/>
        </w:rPr>
        <w:t>，甲、乙双方各执</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份</w:t>
      </w:r>
      <w:r>
        <w:rPr>
          <w:rFonts w:hint="eastAsia" w:ascii="宋体" w:hAnsi="宋体" w:cs="宋体"/>
          <w:color w:val="auto"/>
          <w:sz w:val="24"/>
          <w:highlight w:val="none"/>
        </w:rPr>
        <w:t>。</w:t>
      </w:r>
    </w:p>
    <w:p w14:paraId="182D339D">
      <w:pPr>
        <w:pStyle w:val="104"/>
        <w:spacing w:line="360" w:lineRule="auto"/>
        <w:rPr>
          <w:rFonts w:ascii="宋体" w:hAnsi="宋体" w:cs="宋体"/>
          <w:color w:val="auto"/>
          <w:sz w:val="24"/>
          <w:highlight w:val="none"/>
        </w:rPr>
      </w:pPr>
    </w:p>
    <w:p w14:paraId="14C2B0B6">
      <w:pPr>
        <w:pStyle w:val="104"/>
        <w:spacing w:line="360" w:lineRule="auto"/>
        <w:rPr>
          <w:rFonts w:ascii="宋体" w:hAnsi="宋体" w:cs="宋体"/>
          <w:color w:val="auto"/>
          <w:sz w:val="24"/>
          <w:highlight w:val="none"/>
        </w:rPr>
      </w:pPr>
    </w:p>
    <w:p w14:paraId="7F5F0DD5">
      <w:pPr>
        <w:pStyle w:val="104"/>
        <w:spacing w:line="360" w:lineRule="auto"/>
        <w:rPr>
          <w:rFonts w:ascii="宋体" w:hAnsi="宋体" w:cs="宋体"/>
          <w:color w:val="auto"/>
          <w:sz w:val="24"/>
          <w:highlight w:val="none"/>
        </w:rPr>
      </w:pPr>
      <w:r>
        <w:rPr>
          <w:rFonts w:hint="eastAsia" w:ascii="宋体" w:hAnsi="宋体" w:cs="宋体"/>
          <w:color w:val="auto"/>
          <w:sz w:val="24"/>
          <w:highlight w:val="none"/>
        </w:rPr>
        <w:t xml:space="preserve">甲  方：（盖章）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乙  方：（盖章）</w:t>
      </w:r>
    </w:p>
    <w:p w14:paraId="6D84D20F">
      <w:pPr>
        <w:pStyle w:val="104"/>
        <w:spacing w:line="360" w:lineRule="auto"/>
        <w:rPr>
          <w:rFonts w:ascii="宋体" w:hAnsi="宋体" w:cs="宋体"/>
          <w:color w:val="auto"/>
          <w:sz w:val="24"/>
          <w:highlight w:val="none"/>
        </w:rPr>
      </w:pPr>
      <w:r>
        <w:rPr>
          <w:rFonts w:hint="eastAsia" w:ascii="宋体" w:hAnsi="宋体" w:cs="宋体"/>
          <w:color w:val="auto"/>
          <w:sz w:val="24"/>
          <w:highlight w:val="none"/>
        </w:rPr>
        <w:t xml:space="preserve">签署代表：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签署代表：</w:t>
      </w:r>
    </w:p>
    <w:p w14:paraId="0F3B6FD7">
      <w:pPr>
        <w:pStyle w:val="104"/>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签署日期：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签署日期：</w:t>
      </w:r>
    </w:p>
    <w:p w14:paraId="12BD19A8">
      <w:pPr>
        <w:pStyle w:val="104"/>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br w:type="page"/>
      </w:r>
    </w:p>
    <w:p w14:paraId="35C4D7D8">
      <w:pPr>
        <w:pStyle w:val="107"/>
        <w:rPr>
          <w:rFonts w:hAnsi="宋体" w:cs="宋体"/>
          <w:b/>
          <w:color w:val="auto"/>
          <w:sz w:val="28"/>
          <w:szCs w:val="28"/>
          <w:highlight w:val="none"/>
        </w:rPr>
      </w:pPr>
      <w:r>
        <w:rPr>
          <w:rFonts w:hint="eastAsia" w:hAnsi="宋体" w:cs="宋体"/>
          <w:b/>
          <w:color w:val="auto"/>
          <w:sz w:val="28"/>
          <w:szCs w:val="28"/>
          <w:highlight w:val="none"/>
        </w:rPr>
        <w:t>附件十六：分包合同</w:t>
      </w:r>
    </w:p>
    <w:p w14:paraId="53181D7A">
      <w:pPr>
        <w:pStyle w:val="107"/>
        <w:jc w:val="center"/>
        <w:rPr>
          <w:rFonts w:hAnsi="宋体" w:cs="宋体"/>
          <w:color w:val="auto"/>
          <w:sz w:val="32"/>
          <w:szCs w:val="32"/>
          <w:highlight w:val="none"/>
        </w:rPr>
      </w:pPr>
    </w:p>
    <w:p w14:paraId="27A524D1">
      <w:pPr>
        <w:pStyle w:val="107"/>
        <w:jc w:val="center"/>
        <w:rPr>
          <w:rFonts w:hAnsi="宋体" w:cs="宋体"/>
          <w:color w:val="auto"/>
          <w:sz w:val="32"/>
          <w:szCs w:val="32"/>
          <w:highlight w:val="none"/>
        </w:rPr>
      </w:pPr>
    </w:p>
    <w:p w14:paraId="089566F9">
      <w:pPr>
        <w:pStyle w:val="107"/>
        <w:jc w:val="center"/>
        <w:rPr>
          <w:rFonts w:hAnsi="宋体" w:cs="宋体"/>
          <w:color w:val="auto"/>
          <w:sz w:val="32"/>
          <w:szCs w:val="32"/>
          <w:highlight w:val="none"/>
        </w:rPr>
      </w:pPr>
    </w:p>
    <w:p w14:paraId="18732559">
      <w:pPr>
        <w:pStyle w:val="107"/>
        <w:jc w:val="center"/>
        <w:rPr>
          <w:rFonts w:hAnsi="宋体" w:cs="宋体"/>
          <w:color w:val="auto"/>
          <w:sz w:val="32"/>
          <w:szCs w:val="32"/>
          <w:highlight w:val="none"/>
        </w:rPr>
      </w:pPr>
    </w:p>
    <w:p w14:paraId="4F0AC374">
      <w:pPr>
        <w:pStyle w:val="107"/>
        <w:jc w:val="center"/>
        <w:rPr>
          <w:rFonts w:hAnsi="宋体" w:cs="宋体"/>
          <w:color w:val="auto"/>
          <w:sz w:val="52"/>
          <w:szCs w:val="52"/>
          <w:highlight w:val="none"/>
        </w:rPr>
      </w:pPr>
      <w:r>
        <w:rPr>
          <w:rFonts w:hint="eastAsia" w:hAnsi="宋体" w:cs="宋体"/>
          <w:color w:val="auto"/>
          <w:sz w:val="52"/>
          <w:szCs w:val="52"/>
          <w:highlight w:val="none"/>
        </w:rPr>
        <w:t>公路工程施工分包合同</w:t>
      </w:r>
    </w:p>
    <w:p w14:paraId="29DA0DB4">
      <w:pPr>
        <w:pStyle w:val="107"/>
        <w:jc w:val="center"/>
        <w:rPr>
          <w:rFonts w:hAnsi="宋体" w:cs="宋体"/>
          <w:color w:val="auto"/>
          <w:sz w:val="32"/>
          <w:szCs w:val="32"/>
          <w:highlight w:val="none"/>
        </w:rPr>
      </w:pPr>
    </w:p>
    <w:p w14:paraId="0A140122">
      <w:pPr>
        <w:pStyle w:val="107"/>
        <w:jc w:val="center"/>
        <w:rPr>
          <w:rFonts w:hAnsi="宋体" w:cs="宋体"/>
          <w:color w:val="auto"/>
          <w:sz w:val="44"/>
          <w:szCs w:val="44"/>
          <w:highlight w:val="none"/>
        </w:rPr>
      </w:pPr>
      <w:r>
        <w:rPr>
          <w:rFonts w:hint="eastAsia" w:hAnsi="宋体" w:cs="宋体"/>
          <w:color w:val="auto"/>
          <w:sz w:val="44"/>
          <w:szCs w:val="44"/>
          <w:highlight w:val="none"/>
        </w:rPr>
        <w:t>（示范文本）</w:t>
      </w:r>
    </w:p>
    <w:p w14:paraId="3F6D7D50">
      <w:pPr>
        <w:pStyle w:val="107"/>
        <w:jc w:val="center"/>
        <w:rPr>
          <w:rFonts w:hAnsi="宋体" w:cs="宋体"/>
          <w:color w:val="auto"/>
          <w:sz w:val="32"/>
          <w:szCs w:val="32"/>
          <w:highlight w:val="none"/>
        </w:rPr>
      </w:pPr>
    </w:p>
    <w:p w14:paraId="1A7AB070">
      <w:pPr>
        <w:pStyle w:val="107"/>
        <w:jc w:val="center"/>
        <w:rPr>
          <w:rFonts w:hAnsi="宋体" w:cs="宋体"/>
          <w:color w:val="auto"/>
          <w:sz w:val="32"/>
          <w:szCs w:val="32"/>
          <w:highlight w:val="none"/>
        </w:rPr>
      </w:pPr>
    </w:p>
    <w:p w14:paraId="071B558D">
      <w:pPr>
        <w:pStyle w:val="107"/>
        <w:jc w:val="center"/>
        <w:rPr>
          <w:rFonts w:hAnsi="宋体" w:cs="宋体"/>
          <w:color w:val="auto"/>
          <w:sz w:val="32"/>
          <w:szCs w:val="32"/>
          <w:highlight w:val="none"/>
        </w:rPr>
      </w:pPr>
    </w:p>
    <w:p w14:paraId="47B01B34">
      <w:pPr>
        <w:pStyle w:val="107"/>
        <w:jc w:val="center"/>
        <w:rPr>
          <w:rFonts w:hAnsi="宋体" w:cs="宋体"/>
          <w:color w:val="auto"/>
          <w:sz w:val="32"/>
          <w:szCs w:val="32"/>
          <w:highlight w:val="none"/>
        </w:rPr>
      </w:pPr>
    </w:p>
    <w:p w14:paraId="7019061C">
      <w:pPr>
        <w:pStyle w:val="107"/>
        <w:jc w:val="center"/>
        <w:rPr>
          <w:rFonts w:hAnsi="宋体" w:cs="宋体"/>
          <w:color w:val="auto"/>
          <w:sz w:val="32"/>
          <w:szCs w:val="32"/>
          <w:highlight w:val="none"/>
        </w:rPr>
      </w:pPr>
    </w:p>
    <w:p w14:paraId="30B82FB9">
      <w:pPr>
        <w:pStyle w:val="107"/>
        <w:jc w:val="center"/>
        <w:rPr>
          <w:rFonts w:hAnsi="宋体" w:cs="宋体"/>
          <w:color w:val="auto"/>
          <w:sz w:val="32"/>
          <w:szCs w:val="32"/>
          <w:highlight w:val="none"/>
        </w:rPr>
      </w:pPr>
    </w:p>
    <w:p w14:paraId="6C39A916">
      <w:pPr>
        <w:pStyle w:val="107"/>
        <w:jc w:val="center"/>
        <w:rPr>
          <w:rFonts w:hAnsi="宋体" w:cs="宋体"/>
          <w:color w:val="auto"/>
          <w:sz w:val="32"/>
          <w:szCs w:val="32"/>
          <w:highlight w:val="none"/>
        </w:rPr>
      </w:pPr>
    </w:p>
    <w:p w14:paraId="3E614336">
      <w:pPr>
        <w:pStyle w:val="107"/>
        <w:jc w:val="center"/>
        <w:rPr>
          <w:rFonts w:hAnsi="宋体" w:cs="宋体"/>
          <w:color w:val="auto"/>
          <w:sz w:val="32"/>
          <w:szCs w:val="32"/>
          <w:highlight w:val="none"/>
        </w:rPr>
      </w:pPr>
    </w:p>
    <w:p w14:paraId="568AF3F1">
      <w:pPr>
        <w:pStyle w:val="107"/>
        <w:jc w:val="center"/>
        <w:rPr>
          <w:rFonts w:hAnsi="宋体" w:cs="宋体"/>
          <w:color w:val="auto"/>
          <w:sz w:val="32"/>
          <w:szCs w:val="32"/>
          <w:highlight w:val="none"/>
        </w:rPr>
      </w:pPr>
    </w:p>
    <w:p w14:paraId="4C2F75A7">
      <w:pPr>
        <w:pStyle w:val="107"/>
        <w:jc w:val="center"/>
        <w:rPr>
          <w:rFonts w:hAnsi="宋体" w:cs="宋体"/>
          <w:color w:val="auto"/>
          <w:sz w:val="32"/>
          <w:szCs w:val="32"/>
          <w:highlight w:val="none"/>
        </w:rPr>
      </w:pPr>
    </w:p>
    <w:p w14:paraId="2588F677">
      <w:pPr>
        <w:pStyle w:val="107"/>
        <w:jc w:val="center"/>
        <w:rPr>
          <w:rFonts w:hAnsi="宋体" w:cs="宋体"/>
          <w:color w:val="auto"/>
          <w:sz w:val="44"/>
          <w:szCs w:val="44"/>
          <w:highlight w:val="none"/>
        </w:rPr>
      </w:pPr>
    </w:p>
    <w:p w14:paraId="19B96EAE">
      <w:pPr>
        <w:pStyle w:val="107"/>
        <w:jc w:val="center"/>
        <w:rPr>
          <w:rFonts w:hAnsi="宋体" w:cs="宋体"/>
          <w:color w:val="auto"/>
          <w:sz w:val="44"/>
          <w:szCs w:val="44"/>
          <w:highlight w:val="none"/>
        </w:rPr>
      </w:pPr>
      <w:r>
        <w:rPr>
          <w:rFonts w:hint="eastAsia" w:hAnsi="宋体" w:cs="宋体"/>
          <w:color w:val="auto"/>
          <w:sz w:val="44"/>
          <w:szCs w:val="44"/>
          <w:highlight w:val="none"/>
        </w:rPr>
        <w:t>20   年  月</w:t>
      </w:r>
    </w:p>
    <w:p w14:paraId="0F5629F1">
      <w:pPr>
        <w:pStyle w:val="107"/>
        <w:jc w:val="center"/>
        <w:rPr>
          <w:rFonts w:hAnsi="宋体" w:cs="宋体"/>
          <w:color w:val="auto"/>
          <w:sz w:val="44"/>
          <w:szCs w:val="44"/>
          <w:highlight w:val="none"/>
        </w:rPr>
      </w:pPr>
      <w:r>
        <w:rPr>
          <w:rFonts w:hint="eastAsia" w:hAnsi="宋体" w:cs="宋体"/>
          <w:color w:val="auto"/>
          <w:sz w:val="44"/>
          <w:szCs w:val="44"/>
          <w:highlight w:val="none"/>
        </w:rPr>
        <w:br w:type="page"/>
      </w:r>
    </w:p>
    <w:p w14:paraId="4BF29105">
      <w:pPr>
        <w:pStyle w:val="107"/>
        <w:jc w:val="center"/>
        <w:rPr>
          <w:rFonts w:hAnsi="宋体" w:cs="宋体"/>
          <w:b/>
          <w:bCs/>
          <w:color w:val="auto"/>
          <w:sz w:val="28"/>
          <w:szCs w:val="28"/>
          <w:highlight w:val="none"/>
        </w:rPr>
      </w:pPr>
      <w:r>
        <w:rPr>
          <w:rFonts w:hint="eastAsia" w:hAnsi="宋体" w:cs="宋体"/>
          <w:b/>
          <w:bCs/>
          <w:color w:val="auto"/>
          <w:sz w:val="32"/>
          <w:szCs w:val="32"/>
          <w:highlight w:val="none"/>
        </w:rPr>
        <w:t>公路工程施工分包合同</w:t>
      </w:r>
    </w:p>
    <w:p w14:paraId="13BF7088">
      <w:pPr>
        <w:pStyle w:val="107"/>
        <w:spacing w:line="280" w:lineRule="exact"/>
        <w:ind w:right="630"/>
        <w:jc w:val="right"/>
        <w:rPr>
          <w:rFonts w:hAnsi="宋体" w:cs="宋体"/>
          <w:color w:val="auto"/>
          <w:szCs w:val="21"/>
          <w:highlight w:val="none"/>
        </w:rPr>
      </w:pPr>
    </w:p>
    <w:p w14:paraId="651C2820">
      <w:pPr>
        <w:pStyle w:val="107"/>
        <w:ind w:right="1380" w:firstLine="5400" w:firstLineChars="2250"/>
        <w:rPr>
          <w:rFonts w:hAnsi="宋体" w:cs="宋体"/>
          <w:color w:val="auto"/>
          <w:highlight w:val="none"/>
        </w:rPr>
      </w:pPr>
      <w:r>
        <w:rPr>
          <w:rFonts w:hint="eastAsia" w:hAnsi="宋体" w:cs="宋体"/>
          <w:color w:val="auto"/>
          <w:highlight w:val="none"/>
        </w:rPr>
        <w:t>分包合同编号：</w:t>
      </w:r>
    </w:p>
    <w:p w14:paraId="136C4BFF">
      <w:pPr>
        <w:pStyle w:val="107"/>
        <w:rPr>
          <w:rFonts w:hAnsi="宋体" w:cs="宋体"/>
          <w:color w:val="auto"/>
          <w:highlight w:val="none"/>
        </w:rPr>
      </w:pPr>
      <w:r>
        <w:rPr>
          <w:rFonts w:hint="eastAsia" w:hAnsi="宋体" w:cs="宋体"/>
          <w:color w:val="auto"/>
          <w:highlight w:val="none"/>
        </w:rPr>
        <w:t xml:space="preserve">工程项目：  </w:t>
      </w:r>
      <w:r>
        <w:rPr>
          <w:rFonts w:hint="eastAsia" w:hAnsi="宋体" w:cs="宋体"/>
          <w:color w:val="auto"/>
          <w:highlight w:val="none"/>
          <w:lang w:val="en-US" w:eastAsia="zh-CN"/>
        </w:rPr>
        <w:t xml:space="preserve">           </w:t>
      </w:r>
      <w:r>
        <w:rPr>
          <w:rFonts w:hint="eastAsia" w:hAnsi="宋体" w:cs="宋体"/>
          <w:color w:val="auto"/>
          <w:highlight w:val="none"/>
        </w:rPr>
        <w:t>合同段：</w:t>
      </w:r>
    </w:p>
    <w:p w14:paraId="5DDD60D6">
      <w:pPr>
        <w:pStyle w:val="107"/>
        <w:rPr>
          <w:rFonts w:hAnsi="宋体" w:cs="宋体"/>
          <w:color w:val="auto"/>
          <w:highlight w:val="none"/>
          <w:u w:val="single"/>
        </w:rPr>
      </w:pPr>
      <w:r>
        <w:rPr>
          <w:rFonts w:hint="eastAsia" w:hAnsi="宋体" w:cs="宋体"/>
          <w:color w:val="auto"/>
          <w:highlight w:val="none"/>
        </w:rPr>
        <w:t>甲方(承包人) ：</w:t>
      </w:r>
    </w:p>
    <w:p w14:paraId="6659CE9F">
      <w:pPr>
        <w:pStyle w:val="107"/>
        <w:rPr>
          <w:rFonts w:hAnsi="宋体" w:cs="宋体"/>
          <w:color w:val="auto"/>
          <w:highlight w:val="none"/>
        </w:rPr>
      </w:pPr>
      <w:r>
        <w:rPr>
          <w:rFonts w:hint="eastAsia" w:hAnsi="宋体" w:cs="宋体"/>
          <w:color w:val="auto"/>
          <w:highlight w:val="none"/>
        </w:rPr>
        <w:t>乙方(分包人) ：</w:t>
      </w:r>
    </w:p>
    <w:p w14:paraId="75B53902">
      <w:pPr>
        <w:pStyle w:val="107"/>
        <w:rPr>
          <w:rFonts w:hAnsi="宋体" w:cs="宋体"/>
          <w:color w:val="auto"/>
          <w:highlight w:val="none"/>
        </w:rPr>
      </w:pPr>
    </w:p>
    <w:p w14:paraId="70314E78">
      <w:pPr>
        <w:pStyle w:val="107"/>
        <w:ind w:firstLine="422"/>
        <w:rPr>
          <w:rFonts w:hAnsi="宋体" w:cs="宋体"/>
          <w:color w:val="auto"/>
          <w:highlight w:val="none"/>
        </w:rPr>
      </w:pPr>
      <w:r>
        <w:rPr>
          <w:rFonts w:hint="eastAsia" w:hAnsi="宋体" w:cs="宋体"/>
          <w:color w:val="auto"/>
          <w:highlight w:val="none"/>
        </w:rPr>
        <w:t>依照《</w:t>
      </w:r>
      <w:r>
        <w:rPr>
          <w:rFonts w:hint="eastAsia" w:hAnsi="宋体" w:cs="宋体"/>
          <w:color w:val="auto"/>
          <w:highlight w:val="none"/>
          <w:lang w:eastAsia="zh-CN"/>
        </w:rPr>
        <w:t>中华人民共和国民法典</w:t>
      </w:r>
      <w:r>
        <w:rPr>
          <w:rFonts w:hint="eastAsia" w:hAnsi="宋体" w:cs="宋体"/>
          <w:color w:val="auto"/>
          <w:highlight w:val="none"/>
        </w:rPr>
        <w:t>》、《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14:paraId="2E871D5F">
      <w:pPr>
        <w:pStyle w:val="107"/>
        <w:ind w:firstLine="422"/>
        <w:jc w:val="left"/>
        <w:rPr>
          <w:rFonts w:hAnsi="宋体" w:cs="宋体"/>
          <w:b/>
          <w:color w:val="auto"/>
          <w:highlight w:val="none"/>
        </w:rPr>
      </w:pPr>
      <w:r>
        <w:rPr>
          <w:rFonts w:hint="eastAsia" w:hAnsi="宋体" w:cs="宋体"/>
          <w:b/>
          <w:color w:val="auto"/>
          <w:highlight w:val="none"/>
        </w:rPr>
        <w:t>1.  分包人情况</w:t>
      </w:r>
    </w:p>
    <w:p w14:paraId="29802A74">
      <w:pPr>
        <w:pStyle w:val="107"/>
        <w:ind w:firstLine="422"/>
        <w:rPr>
          <w:rFonts w:hAnsi="宋体" w:cs="宋体"/>
          <w:color w:val="auto"/>
          <w:highlight w:val="none"/>
        </w:rPr>
      </w:pPr>
      <w:r>
        <w:rPr>
          <w:rFonts w:hint="eastAsia" w:hAnsi="宋体" w:cs="宋体"/>
          <w:color w:val="auto"/>
          <w:highlight w:val="none"/>
        </w:rPr>
        <w:t>1.1分包人名称：；注册地址：；</w:t>
      </w:r>
    </w:p>
    <w:p w14:paraId="57CCE6F9">
      <w:pPr>
        <w:pStyle w:val="107"/>
        <w:ind w:firstLine="720" w:firstLineChars="300"/>
        <w:rPr>
          <w:rFonts w:hAnsi="宋体" w:cs="宋体"/>
          <w:color w:val="auto"/>
          <w:highlight w:val="none"/>
        </w:rPr>
      </w:pPr>
      <w:r>
        <w:rPr>
          <w:rFonts w:hint="eastAsia" w:hAnsi="宋体" w:cs="宋体"/>
          <w:color w:val="auto"/>
          <w:highlight w:val="none"/>
        </w:rPr>
        <w:t>法定代表人姓名：，职称：，职务：。</w:t>
      </w:r>
    </w:p>
    <w:p w14:paraId="4E641421">
      <w:pPr>
        <w:pStyle w:val="107"/>
        <w:ind w:firstLine="422"/>
        <w:rPr>
          <w:rFonts w:hint="eastAsia" w:hAnsi="宋体" w:eastAsia="宋体" w:cs="宋体"/>
          <w:color w:val="auto"/>
          <w:highlight w:val="none"/>
          <w:lang w:eastAsia="zh-CN"/>
        </w:rPr>
      </w:pPr>
      <w:r>
        <w:rPr>
          <w:rFonts w:hint="eastAsia" w:hAnsi="宋体" w:cs="宋体"/>
          <w:color w:val="auto"/>
          <w:highlight w:val="none"/>
        </w:rPr>
        <w:t>1.2分包项目负责人姓名，职称：，资格：</w:t>
      </w:r>
      <w:r>
        <w:rPr>
          <w:rFonts w:hint="eastAsia" w:hAnsi="宋体" w:cs="宋体"/>
          <w:color w:val="auto"/>
          <w:highlight w:val="none"/>
          <w:lang w:eastAsia="zh-CN"/>
        </w:rPr>
        <w:t>；</w:t>
      </w:r>
      <w:r>
        <w:rPr>
          <w:rFonts w:hint="eastAsia" w:hAnsi="宋体" w:cs="宋体"/>
          <w:color w:val="auto"/>
          <w:highlight w:val="none"/>
        </w:rPr>
        <w:t>分包技术负责人姓名：职称：，资格：</w:t>
      </w:r>
      <w:r>
        <w:rPr>
          <w:rFonts w:hint="eastAsia" w:hAnsi="宋体" w:cs="宋体"/>
          <w:color w:val="auto"/>
          <w:highlight w:val="none"/>
          <w:lang w:eastAsia="zh-CN"/>
        </w:rPr>
        <w:t>；</w:t>
      </w:r>
    </w:p>
    <w:p w14:paraId="3E753AC9">
      <w:pPr>
        <w:pStyle w:val="107"/>
        <w:ind w:firstLine="422"/>
        <w:rPr>
          <w:rFonts w:hAnsi="宋体" w:cs="宋体"/>
          <w:color w:val="auto"/>
          <w:highlight w:val="none"/>
        </w:rPr>
      </w:pPr>
      <w:r>
        <w:rPr>
          <w:rFonts w:hint="eastAsia" w:hAnsi="宋体" w:cs="宋体"/>
          <w:color w:val="auto"/>
          <w:highlight w:val="none"/>
        </w:rPr>
        <w:t>1.3分包人拟投入的主要管理人员（见附表1）</w:t>
      </w:r>
    </w:p>
    <w:p w14:paraId="2BB294B1">
      <w:pPr>
        <w:pStyle w:val="107"/>
        <w:ind w:firstLine="422"/>
        <w:rPr>
          <w:rFonts w:hAnsi="宋体" w:cs="宋体"/>
          <w:color w:val="auto"/>
          <w:highlight w:val="none"/>
        </w:rPr>
      </w:pPr>
      <w:r>
        <w:rPr>
          <w:rFonts w:hint="eastAsia" w:hAnsi="宋体" w:cs="宋体"/>
          <w:color w:val="auto"/>
          <w:highlight w:val="none"/>
        </w:rPr>
        <w:t>1.4分包人拟投入的主要机械设备（见附表2)</w:t>
      </w:r>
    </w:p>
    <w:p w14:paraId="12B8FB13">
      <w:pPr>
        <w:pStyle w:val="107"/>
        <w:ind w:firstLine="422"/>
        <w:jc w:val="left"/>
        <w:rPr>
          <w:rFonts w:hAnsi="宋体" w:cs="宋体"/>
          <w:b/>
          <w:color w:val="auto"/>
          <w:highlight w:val="none"/>
        </w:rPr>
      </w:pPr>
    </w:p>
    <w:p w14:paraId="4B07A963">
      <w:pPr>
        <w:pStyle w:val="107"/>
        <w:ind w:firstLine="422"/>
        <w:jc w:val="left"/>
        <w:rPr>
          <w:rFonts w:hAnsi="宋体" w:cs="宋体"/>
          <w:b/>
          <w:color w:val="auto"/>
          <w:highlight w:val="none"/>
        </w:rPr>
      </w:pPr>
      <w:r>
        <w:rPr>
          <w:rFonts w:hint="eastAsia" w:hAnsi="宋体" w:cs="宋体"/>
          <w:b/>
          <w:color w:val="auto"/>
          <w:highlight w:val="none"/>
        </w:rPr>
        <w:t>2.分包专项工程概况</w:t>
      </w:r>
    </w:p>
    <w:p w14:paraId="1A277CAB">
      <w:pPr>
        <w:pStyle w:val="107"/>
        <w:ind w:firstLine="422"/>
        <w:rPr>
          <w:rFonts w:hAnsi="宋体" w:cs="宋体"/>
          <w:color w:val="auto"/>
          <w:highlight w:val="none"/>
        </w:rPr>
      </w:pPr>
      <w:r>
        <w:rPr>
          <w:rFonts w:hint="eastAsia" w:hAnsi="宋体" w:cs="宋体"/>
          <w:color w:val="auto"/>
          <w:highlight w:val="none"/>
        </w:rPr>
        <w:t>2.1分包专项工程名称及地点</w:t>
      </w:r>
    </w:p>
    <w:p w14:paraId="244B6E8F">
      <w:pPr>
        <w:pStyle w:val="107"/>
        <w:ind w:firstLine="422"/>
        <w:rPr>
          <w:rFonts w:hAnsi="宋体" w:cs="宋体"/>
          <w:color w:val="auto"/>
          <w:highlight w:val="none"/>
        </w:rPr>
      </w:pPr>
      <w:r>
        <w:rPr>
          <w:rFonts w:hint="eastAsia" w:hAnsi="宋体" w:cs="宋体"/>
          <w:color w:val="auto"/>
          <w:highlight w:val="none"/>
        </w:rPr>
        <w:t xml:space="preserve">2.2 分包专项工程范围、内容： </w:t>
      </w:r>
    </w:p>
    <w:p w14:paraId="3A98BE1E">
      <w:pPr>
        <w:pStyle w:val="107"/>
        <w:ind w:firstLine="422"/>
        <w:rPr>
          <w:rFonts w:hAnsi="宋体" w:cs="宋体"/>
          <w:color w:val="auto"/>
          <w:highlight w:val="none"/>
        </w:rPr>
      </w:pPr>
      <w:r>
        <w:rPr>
          <w:rFonts w:hint="eastAsia" w:hAnsi="宋体" w:cs="宋体"/>
          <w:color w:val="auto"/>
          <w:highlight w:val="none"/>
        </w:rPr>
        <w:t>2.3 分包方式：</w:t>
      </w:r>
    </w:p>
    <w:p w14:paraId="4D19FA0E">
      <w:pPr>
        <w:pStyle w:val="107"/>
        <w:ind w:firstLine="422"/>
        <w:jc w:val="left"/>
        <w:rPr>
          <w:rFonts w:hAnsi="宋体" w:cs="宋体"/>
          <w:b/>
          <w:color w:val="auto"/>
          <w:highlight w:val="none"/>
        </w:rPr>
      </w:pPr>
    </w:p>
    <w:p w14:paraId="36F6138B">
      <w:pPr>
        <w:pStyle w:val="107"/>
        <w:ind w:firstLine="422"/>
        <w:jc w:val="left"/>
        <w:rPr>
          <w:rFonts w:hAnsi="宋体" w:cs="宋体"/>
          <w:b/>
          <w:color w:val="auto"/>
          <w:highlight w:val="none"/>
        </w:rPr>
      </w:pPr>
      <w:r>
        <w:rPr>
          <w:rFonts w:hint="eastAsia" w:hAnsi="宋体" w:cs="宋体"/>
          <w:b/>
          <w:color w:val="auto"/>
          <w:highlight w:val="none"/>
        </w:rPr>
        <w:t>3.分包合同有关款项</w:t>
      </w:r>
    </w:p>
    <w:p w14:paraId="465A6A18">
      <w:pPr>
        <w:pStyle w:val="107"/>
        <w:ind w:firstLine="422"/>
        <w:rPr>
          <w:rFonts w:hAnsi="宋体" w:cs="宋体"/>
          <w:b/>
          <w:color w:val="auto"/>
          <w:highlight w:val="none"/>
        </w:rPr>
      </w:pPr>
      <w:r>
        <w:rPr>
          <w:rFonts w:hint="eastAsia" w:hAnsi="宋体" w:cs="宋体"/>
          <w:b/>
          <w:color w:val="auto"/>
          <w:highlight w:val="none"/>
        </w:rPr>
        <w:t>3.1 分包价款</w:t>
      </w:r>
    </w:p>
    <w:p w14:paraId="76351CEA">
      <w:pPr>
        <w:pStyle w:val="107"/>
        <w:ind w:firstLine="422"/>
        <w:rPr>
          <w:rFonts w:hAnsi="宋体" w:cs="宋体"/>
          <w:color w:val="auto"/>
          <w:highlight w:val="none"/>
        </w:rPr>
      </w:pPr>
      <w:r>
        <w:rPr>
          <w:rFonts w:hint="eastAsia" w:hAnsi="宋体" w:cs="宋体"/>
          <w:color w:val="auto"/>
          <w:highlight w:val="none"/>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14:paraId="6F6D742D">
      <w:pPr>
        <w:pStyle w:val="107"/>
        <w:ind w:firstLine="422"/>
        <w:rPr>
          <w:rFonts w:hAnsi="宋体" w:cs="宋体"/>
          <w:color w:val="auto"/>
          <w:highlight w:val="none"/>
        </w:rPr>
      </w:pPr>
      <w:r>
        <w:rPr>
          <w:rFonts w:hint="eastAsia" w:hAnsi="宋体" w:cs="宋体"/>
          <w:color w:val="auto"/>
          <w:highlight w:val="none"/>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14:paraId="6CF45BB4">
      <w:pPr>
        <w:pStyle w:val="107"/>
        <w:ind w:firstLine="422"/>
        <w:rPr>
          <w:rFonts w:hAnsi="宋体" w:cs="宋体"/>
          <w:color w:val="auto"/>
          <w:highlight w:val="none"/>
        </w:rPr>
      </w:pPr>
      <w:r>
        <w:rPr>
          <w:rFonts w:hint="eastAsia" w:hAnsi="宋体" w:cs="宋体"/>
          <w:color w:val="auto"/>
          <w:highlight w:val="none"/>
        </w:rPr>
        <w:t xml:space="preserve">3.1.3（税费内容约定）。 </w:t>
      </w:r>
    </w:p>
    <w:p w14:paraId="7E82503C">
      <w:pPr>
        <w:pStyle w:val="107"/>
        <w:ind w:firstLine="422"/>
        <w:rPr>
          <w:rFonts w:hAnsi="宋体" w:cs="宋体"/>
          <w:b/>
          <w:color w:val="auto"/>
          <w:highlight w:val="none"/>
        </w:rPr>
      </w:pPr>
      <w:r>
        <w:rPr>
          <w:rFonts w:hint="eastAsia" w:hAnsi="宋体" w:cs="宋体"/>
          <w:b/>
          <w:color w:val="auto"/>
          <w:highlight w:val="none"/>
        </w:rPr>
        <w:t>3.2履约保函或保证金：</w:t>
      </w:r>
    </w:p>
    <w:p w14:paraId="1E85ECB7">
      <w:pPr>
        <w:pStyle w:val="107"/>
        <w:ind w:firstLine="422"/>
        <w:rPr>
          <w:rFonts w:hAnsi="宋体" w:cs="宋体"/>
          <w:color w:val="auto"/>
          <w:highlight w:val="none"/>
        </w:rPr>
      </w:pPr>
      <w:r>
        <w:rPr>
          <w:rFonts w:hint="eastAsia" w:hAnsi="宋体" w:cs="宋体"/>
          <w:color w:val="auto"/>
          <w:highlight w:val="none"/>
        </w:rPr>
        <w:t>3.2.1乙方与甲方签订合同后的天内，应向甲方交纳：（b履约保函；b履约保证金），即：</w:t>
      </w:r>
    </w:p>
    <w:p w14:paraId="19F5ED35">
      <w:pPr>
        <w:pStyle w:val="107"/>
        <w:ind w:firstLine="424" w:firstLineChars="177"/>
        <w:rPr>
          <w:rFonts w:hAnsi="宋体" w:cs="宋体"/>
          <w:color w:val="auto"/>
          <w:highlight w:val="none"/>
        </w:rPr>
      </w:pPr>
      <w:r>
        <w:rPr>
          <w:rFonts w:hint="eastAsia" w:hAnsi="宋体" w:cs="宋体"/>
          <w:color w:val="auto"/>
          <w:highlight w:val="none"/>
        </w:rPr>
        <w:t>a.分包合同价的％履约保函和分包合同价的％质量保函。</w:t>
      </w:r>
    </w:p>
    <w:p w14:paraId="24B97FFD">
      <w:pPr>
        <w:pStyle w:val="107"/>
        <w:ind w:firstLine="422"/>
        <w:rPr>
          <w:rFonts w:hAnsi="宋体" w:cs="宋体"/>
          <w:color w:val="auto"/>
          <w:highlight w:val="none"/>
        </w:rPr>
      </w:pPr>
      <w:r>
        <w:rPr>
          <w:rFonts w:hint="eastAsia" w:hAnsi="宋体" w:cs="宋体"/>
          <w:color w:val="auto"/>
          <w:highlight w:val="none"/>
        </w:rPr>
        <w:t>b.分包合同价的％履约保证金计元和分包合同价的％质量保证金计元。</w:t>
      </w:r>
    </w:p>
    <w:p w14:paraId="32DADC9E">
      <w:pPr>
        <w:pStyle w:val="107"/>
        <w:ind w:firstLine="422"/>
        <w:rPr>
          <w:rFonts w:hAnsi="宋体" w:cs="宋体"/>
          <w:color w:val="auto"/>
          <w:highlight w:val="none"/>
        </w:rPr>
      </w:pPr>
      <w:r>
        <w:rPr>
          <w:rFonts w:hint="eastAsia" w:hAnsi="宋体" w:cs="宋体"/>
          <w:color w:val="auto"/>
          <w:highlight w:val="none"/>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14:paraId="71C37ABB">
      <w:pPr>
        <w:pStyle w:val="107"/>
        <w:ind w:firstLine="422"/>
        <w:rPr>
          <w:rFonts w:hAnsi="宋体" w:cs="宋体"/>
          <w:b/>
          <w:color w:val="auto"/>
          <w:highlight w:val="none"/>
        </w:rPr>
      </w:pPr>
      <w:r>
        <w:rPr>
          <w:rFonts w:hint="eastAsia" w:hAnsi="宋体" w:cs="宋体"/>
          <w:b/>
          <w:color w:val="auto"/>
          <w:highlight w:val="none"/>
        </w:rPr>
        <w:t>3.3有关本分包专项工程款项约定</w:t>
      </w:r>
    </w:p>
    <w:p w14:paraId="2AD05553">
      <w:pPr>
        <w:pStyle w:val="107"/>
        <w:ind w:firstLine="422"/>
        <w:rPr>
          <w:rFonts w:hAnsi="宋体" w:cs="宋体"/>
          <w:color w:val="auto"/>
          <w:highlight w:val="none"/>
        </w:rPr>
      </w:pPr>
      <w:r>
        <w:rPr>
          <w:rFonts w:hint="eastAsia" w:hAnsi="宋体" w:cs="宋体"/>
          <w:color w:val="auto"/>
          <w:highlight w:val="none"/>
        </w:rPr>
        <w:t>3.3.1动员预付款元，甲方在发包人动员预付款支付后，并乙方交纳上述保函或保证金后的    天内向乙方支付；</w:t>
      </w:r>
    </w:p>
    <w:p w14:paraId="50D39BC6">
      <w:pPr>
        <w:pStyle w:val="107"/>
        <w:ind w:firstLine="422"/>
        <w:rPr>
          <w:rFonts w:hAnsi="宋体" w:cs="宋体"/>
          <w:color w:val="auto"/>
          <w:highlight w:val="none"/>
        </w:rPr>
      </w:pPr>
      <w:r>
        <w:rPr>
          <w:rFonts w:hint="eastAsia" w:hAnsi="宋体" w:cs="宋体"/>
          <w:color w:val="auto"/>
          <w:highlight w:val="none"/>
        </w:rPr>
        <w:t>3.3.2质量保证金限额为合同总价％。质量保证金参照总包合同中的规定执行。若在缺陷责任期内发生涉及乙方施工项目的维修费用，则由乙方全额承担，并在质量保证金中扣除。</w:t>
      </w:r>
    </w:p>
    <w:p w14:paraId="3818498A">
      <w:pPr>
        <w:pStyle w:val="107"/>
        <w:ind w:firstLine="422"/>
        <w:rPr>
          <w:rFonts w:hAnsi="宋体" w:cs="宋体"/>
          <w:bCs/>
          <w:color w:val="auto"/>
          <w:highlight w:val="none"/>
        </w:rPr>
      </w:pPr>
      <w:r>
        <w:rPr>
          <w:rFonts w:hint="eastAsia" w:hAnsi="宋体" w:cs="宋体"/>
          <w:color w:val="auto"/>
          <w:highlight w:val="none"/>
        </w:rPr>
        <w:t>3.3.3安全生产费用按总包合同的专用条款的规定进行计量支付，按实投入使用，</w:t>
      </w:r>
      <w:r>
        <w:rPr>
          <w:rFonts w:hint="eastAsia" w:hAnsi="宋体" w:cs="宋体"/>
          <w:bCs/>
          <w:color w:val="auto"/>
          <w:highlight w:val="none"/>
        </w:rPr>
        <w:t>承建工程竣工后，最终由甲乙双方结算。</w:t>
      </w:r>
    </w:p>
    <w:p w14:paraId="26F31130">
      <w:pPr>
        <w:pStyle w:val="107"/>
        <w:ind w:firstLine="422"/>
        <w:rPr>
          <w:rFonts w:hAnsi="宋体" w:cs="宋体"/>
          <w:color w:val="auto"/>
          <w:highlight w:val="none"/>
        </w:rPr>
      </w:pPr>
      <w:r>
        <w:rPr>
          <w:rFonts w:hint="eastAsia" w:hAnsi="宋体" w:cs="宋体"/>
          <w:color w:val="auto"/>
          <w:highlight w:val="none"/>
        </w:rPr>
        <w:t>3.3.4农民工工资支付保证金按项目专用条款或发包人规定的比例在计量支付时提取，在乙方项目完工并出具无拖欠农民工工资承诺后退还。</w:t>
      </w:r>
    </w:p>
    <w:p w14:paraId="256971A7">
      <w:pPr>
        <w:pStyle w:val="107"/>
        <w:ind w:firstLine="422"/>
        <w:rPr>
          <w:rFonts w:hAnsi="宋体" w:cs="宋体"/>
          <w:color w:val="auto"/>
          <w:highlight w:val="none"/>
        </w:rPr>
      </w:pPr>
      <w:r>
        <w:rPr>
          <w:rFonts w:hint="eastAsia" w:hAnsi="宋体" w:cs="宋体"/>
          <w:color w:val="auto"/>
          <w:highlight w:val="none"/>
        </w:rPr>
        <w:t>3.3.5本合同约定的所有保证金、保留金等到期无争议需要返还的，均不计利息。</w:t>
      </w:r>
    </w:p>
    <w:p w14:paraId="2FC9F986">
      <w:pPr>
        <w:pStyle w:val="107"/>
        <w:ind w:firstLine="422"/>
        <w:rPr>
          <w:rFonts w:hAnsi="宋体" w:cs="宋体"/>
          <w:color w:val="auto"/>
          <w:highlight w:val="none"/>
        </w:rPr>
      </w:pPr>
      <w:r>
        <w:rPr>
          <w:rFonts w:hint="eastAsia" w:hAnsi="宋体" w:cs="宋体"/>
          <w:color w:val="auto"/>
          <w:highlight w:val="none"/>
        </w:rPr>
        <w:t>3.3.3（质量和进度考核相关条款）。</w:t>
      </w:r>
    </w:p>
    <w:p w14:paraId="114B82E9">
      <w:pPr>
        <w:pStyle w:val="107"/>
        <w:ind w:firstLine="422"/>
        <w:jc w:val="left"/>
        <w:rPr>
          <w:rFonts w:hAnsi="宋体" w:cs="宋体"/>
          <w:b/>
          <w:color w:val="auto"/>
          <w:highlight w:val="none"/>
        </w:rPr>
      </w:pPr>
    </w:p>
    <w:p w14:paraId="52B5F1C3">
      <w:pPr>
        <w:pStyle w:val="107"/>
        <w:ind w:firstLine="482" w:firstLineChars="200"/>
        <w:rPr>
          <w:rFonts w:hAnsi="宋体" w:cs="宋体"/>
          <w:b/>
          <w:color w:val="auto"/>
          <w:highlight w:val="none"/>
        </w:rPr>
      </w:pPr>
      <w:r>
        <w:rPr>
          <w:rFonts w:hint="eastAsia" w:hAnsi="宋体" w:cs="宋体"/>
          <w:b/>
          <w:color w:val="auto"/>
          <w:highlight w:val="none"/>
        </w:rPr>
        <w:t>4.双方责任</w:t>
      </w:r>
    </w:p>
    <w:p w14:paraId="62DA55A2">
      <w:pPr>
        <w:pStyle w:val="107"/>
        <w:ind w:firstLine="480" w:firstLineChars="200"/>
        <w:rPr>
          <w:rFonts w:hAnsi="宋体" w:cs="宋体"/>
          <w:color w:val="auto"/>
          <w:highlight w:val="none"/>
        </w:rPr>
      </w:pPr>
      <w:r>
        <w:rPr>
          <w:rFonts w:hint="eastAsia" w:hAnsi="宋体" w:cs="宋体"/>
          <w:color w:val="auto"/>
          <w:highlight w:val="none"/>
        </w:rPr>
        <w:t>4.1甲方责任</w:t>
      </w:r>
    </w:p>
    <w:p w14:paraId="5D28B3C3">
      <w:pPr>
        <w:pStyle w:val="107"/>
        <w:ind w:firstLine="480" w:firstLineChars="200"/>
        <w:rPr>
          <w:rFonts w:hAnsi="宋体" w:cs="宋体"/>
          <w:color w:val="auto"/>
          <w:highlight w:val="none"/>
        </w:rPr>
      </w:pPr>
      <w:r>
        <w:rPr>
          <w:rFonts w:hint="eastAsia" w:hAnsi="宋体" w:cs="宋体"/>
          <w:color w:val="auto"/>
          <w:highlight w:val="none"/>
        </w:rPr>
        <w:t>4.1.1及时向乙方提供施工设计图及有关技术资料。</w:t>
      </w:r>
    </w:p>
    <w:p w14:paraId="7C6BCFCD">
      <w:pPr>
        <w:pStyle w:val="107"/>
        <w:ind w:firstLine="480" w:firstLineChars="200"/>
        <w:rPr>
          <w:rFonts w:hAnsi="宋体" w:cs="宋体"/>
          <w:color w:val="auto"/>
          <w:highlight w:val="none"/>
        </w:rPr>
      </w:pPr>
      <w:r>
        <w:rPr>
          <w:rFonts w:hint="eastAsia" w:hAnsi="宋体" w:cs="宋体"/>
          <w:color w:val="auto"/>
          <w:highlight w:val="none"/>
        </w:rPr>
        <w:t>4.1.2协调建设单位，办理永久征地手续，提供乙方使用。</w:t>
      </w:r>
    </w:p>
    <w:p w14:paraId="6A4DE726">
      <w:pPr>
        <w:pStyle w:val="107"/>
        <w:ind w:firstLine="480" w:firstLineChars="200"/>
        <w:rPr>
          <w:rFonts w:hAnsi="宋体" w:cs="宋体"/>
          <w:color w:val="auto"/>
          <w:highlight w:val="none"/>
        </w:rPr>
      </w:pPr>
      <w:r>
        <w:rPr>
          <w:rFonts w:hint="eastAsia" w:hAnsi="宋体" w:cs="宋体"/>
          <w:color w:val="auto"/>
          <w:highlight w:val="none"/>
        </w:rPr>
        <w:t>4.1.3开工前由甲方牵头联系建设单位和设计单位对乙方进行交桩，负责完成线路复测、控制桩复测及加密等工作，乙方配合。</w:t>
      </w:r>
    </w:p>
    <w:p w14:paraId="6694C17F">
      <w:pPr>
        <w:pStyle w:val="107"/>
        <w:ind w:firstLine="480" w:firstLineChars="200"/>
        <w:rPr>
          <w:rFonts w:hAnsi="宋体" w:cs="宋体"/>
          <w:color w:val="auto"/>
          <w:highlight w:val="none"/>
        </w:rPr>
      </w:pPr>
      <w:r>
        <w:rPr>
          <w:rFonts w:hint="eastAsia" w:hAnsi="宋体" w:cs="宋体"/>
          <w:color w:val="auto"/>
          <w:highlight w:val="none"/>
        </w:rPr>
        <w:t>4.1.4监督、协助乙方办理临时用地，但不承担因临时用地造成的任何费用及责任。</w:t>
      </w:r>
    </w:p>
    <w:p w14:paraId="142924B4">
      <w:pPr>
        <w:pStyle w:val="107"/>
        <w:ind w:firstLine="480" w:firstLineChars="200"/>
        <w:rPr>
          <w:rFonts w:hAnsi="宋体" w:cs="宋体"/>
          <w:color w:val="auto"/>
          <w:highlight w:val="none"/>
        </w:rPr>
      </w:pPr>
      <w:r>
        <w:rPr>
          <w:rFonts w:hint="eastAsia" w:hAnsi="宋体" w:cs="宋体"/>
          <w:color w:val="auto"/>
          <w:highlight w:val="none"/>
        </w:rPr>
        <w:t>4.1.5按招标文件和建设单位规章制度对乙方施工进行监控，监督乙方文明施工、质量管理、安全生产、施工进度。</w:t>
      </w:r>
    </w:p>
    <w:p w14:paraId="7FC2FB99">
      <w:pPr>
        <w:pStyle w:val="107"/>
        <w:ind w:firstLine="480" w:firstLineChars="200"/>
        <w:rPr>
          <w:rFonts w:hAnsi="宋体" w:cs="宋体"/>
          <w:color w:val="auto"/>
          <w:highlight w:val="none"/>
        </w:rPr>
      </w:pPr>
      <w:r>
        <w:rPr>
          <w:rFonts w:hint="eastAsia" w:hAnsi="宋体" w:cs="宋体"/>
          <w:color w:val="auto"/>
          <w:highlight w:val="none"/>
        </w:rPr>
        <w:t>4.1.6负责牵头联系建设单位、设计单位、监理单位有关工作。</w:t>
      </w:r>
    </w:p>
    <w:p w14:paraId="7EFA06B4">
      <w:pPr>
        <w:pStyle w:val="107"/>
        <w:ind w:firstLine="480" w:firstLineChars="200"/>
        <w:rPr>
          <w:rFonts w:hAnsi="宋体" w:cs="宋体"/>
          <w:color w:val="auto"/>
          <w:highlight w:val="none"/>
        </w:rPr>
      </w:pPr>
      <w:r>
        <w:rPr>
          <w:rFonts w:hint="eastAsia" w:hAnsi="宋体" w:cs="宋体"/>
          <w:color w:val="auto"/>
          <w:highlight w:val="none"/>
        </w:rPr>
        <w:t>4.1.7负责转发政府、建设、设计、监理等相关单位，甲方认为有必要传达的文件、通知及其他资料。</w:t>
      </w:r>
    </w:p>
    <w:p w14:paraId="77D817B0">
      <w:pPr>
        <w:pStyle w:val="107"/>
        <w:ind w:firstLine="480" w:firstLineChars="200"/>
        <w:rPr>
          <w:rFonts w:hAnsi="宋体" w:cs="宋体"/>
          <w:color w:val="auto"/>
          <w:highlight w:val="none"/>
        </w:rPr>
      </w:pPr>
      <w:r>
        <w:rPr>
          <w:rFonts w:hint="eastAsia" w:hAnsi="宋体" w:cs="宋体"/>
          <w:color w:val="auto"/>
          <w:highlight w:val="none"/>
        </w:rPr>
        <w:t>4.1.8负责成立中心试验室，并承担需要中心试验室负责的试验、检测工作，依照甲乙双方协商的工程试验检测费用支付。</w:t>
      </w:r>
    </w:p>
    <w:p w14:paraId="2037830C">
      <w:pPr>
        <w:pStyle w:val="107"/>
        <w:ind w:firstLine="480" w:firstLineChars="200"/>
        <w:rPr>
          <w:rFonts w:hAnsi="宋体" w:cs="宋体"/>
          <w:color w:val="auto"/>
          <w:highlight w:val="none"/>
        </w:rPr>
      </w:pPr>
      <w:r>
        <w:rPr>
          <w:rFonts w:hint="eastAsia" w:hAnsi="宋体" w:cs="宋体"/>
          <w:color w:val="auto"/>
          <w:highlight w:val="none"/>
        </w:rPr>
        <w:t>4.1.9负责建设拌和站，并按商品砼约定价格及供货方式提供砼，砼使用搅拌运输车提供至“可以安全送达”的施工区域。</w:t>
      </w:r>
    </w:p>
    <w:p w14:paraId="7FD36E9D">
      <w:pPr>
        <w:pStyle w:val="107"/>
        <w:ind w:firstLine="480" w:firstLineChars="200"/>
        <w:rPr>
          <w:rFonts w:hAnsi="宋体" w:cs="宋体"/>
          <w:color w:val="auto"/>
          <w:highlight w:val="none"/>
        </w:rPr>
      </w:pPr>
      <w:r>
        <w:rPr>
          <w:rFonts w:hint="eastAsia" w:hAnsi="宋体" w:cs="宋体"/>
          <w:color w:val="auto"/>
          <w:highlight w:val="none"/>
        </w:rPr>
        <w:t>4.1.10负责对乙方临时设施及标示标牌的统一规划，但不承担所发生的费用。</w:t>
      </w:r>
    </w:p>
    <w:p w14:paraId="51F2E8CA">
      <w:pPr>
        <w:pStyle w:val="107"/>
        <w:ind w:firstLine="480" w:firstLineChars="200"/>
        <w:rPr>
          <w:rFonts w:hAnsi="宋体" w:cs="宋体"/>
          <w:color w:val="auto"/>
          <w:highlight w:val="none"/>
        </w:rPr>
      </w:pPr>
      <w:r>
        <w:rPr>
          <w:rFonts w:hint="eastAsia" w:hAnsi="宋体" w:cs="宋体"/>
          <w:color w:val="auto"/>
          <w:highlight w:val="none"/>
        </w:rPr>
        <w:t>4.1.11负责对建设单位计量工作（按乙方当期实际进度完成情况上报建设单位审批），负责办理乙方中间结算和完工决算，并拨付工程款。</w:t>
      </w:r>
    </w:p>
    <w:p w14:paraId="58FF1E37">
      <w:pPr>
        <w:pStyle w:val="107"/>
        <w:ind w:left="1" w:firstLine="480" w:firstLineChars="200"/>
        <w:rPr>
          <w:rFonts w:hAnsi="宋体" w:cs="宋体"/>
          <w:color w:val="auto"/>
          <w:highlight w:val="none"/>
        </w:rPr>
      </w:pPr>
      <w:r>
        <w:rPr>
          <w:rFonts w:hint="eastAsia" w:hAnsi="宋体" w:cs="宋体"/>
          <w:color w:val="auto"/>
          <w:highlight w:val="none"/>
        </w:rPr>
        <w:t>4.1.12负责制定并下达有关“技术、质量、安全、环保、文明施工、试验、资料”等有关管理规定，提供乙方使用。</w:t>
      </w:r>
    </w:p>
    <w:p w14:paraId="16BEF833">
      <w:pPr>
        <w:pStyle w:val="107"/>
        <w:ind w:firstLine="480" w:firstLineChars="200"/>
        <w:rPr>
          <w:rFonts w:hAnsi="宋体" w:cs="宋体"/>
          <w:color w:val="auto"/>
          <w:highlight w:val="none"/>
        </w:rPr>
      </w:pPr>
      <w:r>
        <w:rPr>
          <w:rFonts w:hint="eastAsia" w:hAnsi="宋体" w:cs="宋体"/>
          <w:color w:val="auto"/>
          <w:highlight w:val="none"/>
        </w:rPr>
        <w:t>4.1.13负责下达年、季、月施工计划，并对乙方施工进行全方位监控。</w:t>
      </w:r>
    </w:p>
    <w:p w14:paraId="5824B0F4">
      <w:pPr>
        <w:pStyle w:val="107"/>
        <w:ind w:firstLine="480" w:firstLineChars="200"/>
        <w:rPr>
          <w:rFonts w:hAnsi="宋体" w:cs="宋体"/>
          <w:color w:val="auto"/>
          <w:highlight w:val="none"/>
        </w:rPr>
      </w:pPr>
      <w:r>
        <w:rPr>
          <w:rFonts w:hint="eastAsia" w:hAnsi="宋体" w:cs="宋体"/>
          <w:color w:val="auto"/>
          <w:highlight w:val="none"/>
        </w:rPr>
        <w:t>4.1.14负责根据进度计划，及时提供甲供材料。</w:t>
      </w:r>
    </w:p>
    <w:p w14:paraId="51F63C5F">
      <w:pPr>
        <w:pStyle w:val="107"/>
        <w:ind w:firstLine="480" w:firstLineChars="200"/>
        <w:rPr>
          <w:rFonts w:hAnsi="宋体" w:cs="宋体"/>
          <w:color w:val="auto"/>
          <w:highlight w:val="none"/>
        </w:rPr>
      </w:pPr>
      <w:r>
        <w:rPr>
          <w:rFonts w:hint="eastAsia" w:hAnsi="宋体" w:cs="宋体"/>
          <w:color w:val="auto"/>
          <w:highlight w:val="none"/>
        </w:rPr>
        <w:t>4.1.15施工过程中，负责对乙方主要管理人员（项目经理、副经理、总工、现场技术主管、专职安全员、资料员等）进行考核和评估，对不符合要求的管理人员有权下达限期更换指令。</w:t>
      </w:r>
    </w:p>
    <w:p w14:paraId="29A75BDC">
      <w:pPr>
        <w:pStyle w:val="107"/>
        <w:ind w:firstLine="480" w:firstLineChars="200"/>
        <w:rPr>
          <w:rFonts w:hAnsi="宋体" w:cs="宋体"/>
          <w:color w:val="auto"/>
          <w:highlight w:val="none"/>
        </w:rPr>
      </w:pPr>
      <w:r>
        <w:rPr>
          <w:rFonts w:hint="eastAsia" w:hAnsi="宋体" w:cs="宋体"/>
          <w:color w:val="auto"/>
          <w:highlight w:val="none"/>
        </w:rPr>
        <w:t>4.1.16合同履行过程中，甲方有权对乙方的资金去向进行监控，并对擅自挪用的资金提出整改意见，并视造成的后果进行必要处罚。</w:t>
      </w:r>
    </w:p>
    <w:p w14:paraId="7BAEE649">
      <w:pPr>
        <w:pStyle w:val="107"/>
        <w:ind w:firstLine="480" w:firstLineChars="200"/>
        <w:rPr>
          <w:rFonts w:hAnsi="宋体" w:cs="宋体"/>
          <w:color w:val="auto"/>
          <w:highlight w:val="none"/>
        </w:rPr>
      </w:pPr>
      <w:r>
        <w:rPr>
          <w:rFonts w:hint="eastAsia" w:hAnsi="宋体" w:cs="宋体"/>
          <w:color w:val="auto"/>
          <w:highlight w:val="none"/>
        </w:rPr>
        <w:t>4.1.17施工过程中，甲方有权监督乙方的农民工管理及工资发放，如果出现乙方无理由拖欠农民工工资，甲方有权直接代发，所代发工资直接从乙方工程款中扣除。</w:t>
      </w:r>
    </w:p>
    <w:p w14:paraId="17EE26FE">
      <w:pPr>
        <w:pStyle w:val="107"/>
        <w:ind w:firstLine="480" w:firstLineChars="200"/>
        <w:rPr>
          <w:rFonts w:hAnsi="宋体" w:cs="宋体"/>
          <w:color w:val="auto"/>
          <w:highlight w:val="none"/>
        </w:rPr>
      </w:pPr>
      <w:r>
        <w:rPr>
          <w:rFonts w:hint="eastAsia" w:hAnsi="宋体" w:cs="宋体"/>
          <w:color w:val="auto"/>
          <w:highlight w:val="none"/>
        </w:rPr>
        <w:t>4.1.18协助乙方办理相关工程施工事宜，传达下发上级所发的本合同相关文件和信息。</w:t>
      </w:r>
    </w:p>
    <w:p w14:paraId="67D85F6B">
      <w:pPr>
        <w:pStyle w:val="107"/>
        <w:ind w:firstLine="480" w:firstLineChars="200"/>
        <w:rPr>
          <w:rFonts w:hAnsi="宋体" w:cs="宋体"/>
          <w:color w:val="auto"/>
          <w:highlight w:val="none"/>
        </w:rPr>
      </w:pPr>
      <w:r>
        <w:rPr>
          <w:rFonts w:hint="eastAsia" w:hAnsi="宋体" w:cs="宋体"/>
          <w:color w:val="auto"/>
          <w:highlight w:val="none"/>
        </w:rPr>
        <w:t>4.2乙方责任</w:t>
      </w:r>
    </w:p>
    <w:p w14:paraId="4D840513">
      <w:pPr>
        <w:pStyle w:val="107"/>
        <w:ind w:firstLine="480" w:firstLineChars="200"/>
        <w:rPr>
          <w:rFonts w:hAnsi="宋体" w:cs="宋体"/>
          <w:color w:val="auto"/>
          <w:highlight w:val="none"/>
        </w:rPr>
      </w:pPr>
      <w:r>
        <w:rPr>
          <w:rFonts w:hint="eastAsia" w:hAnsi="宋体" w:cs="宋体"/>
          <w:color w:val="auto"/>
          <w:highlight w:val="none"/>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14:paraId="53B5592D">
      <w:pPr>
        <w:pStyle w:val="107"/>
        <w:ind w:firstLine="480" w:firstLineChars="200"/>
        <w:rPr>
          <w:rFonts w:hAnsi="宋体" w:cs="宋体"/>
          <w:color w:val="auto"/>
          <w:highlight w:val="none"/>
        </w:rPr>
      </w:pPr>
      <w:r>
        <w:rPr>
          <w:rFonts w:hint="eastAsia" w:hAnsi="宋体" w:cs="宋体"/>
          <w:color w:val="auto"/>
          <w:highlight w:val="none"/>
        </w:rPr>
        <w:t>4.2.2乙方应配合甲方完成线路复测、控制桩复测及加密等工作，交桩后由乙方对控制桩、加密桩等进行妥善保护，并自行负责施工过程中的测量工作，并承担全部费用。</w:t>
      </w:r>
    </w:p>
    <w:p w14:paraId="77896A6B">
      <w:pPr>
        <w:pStyle w:val="107"/>
        <w:ind w:firstLine="480" w:firstLineChars="200"/>
        <w:rPr>
          <w:rFonts w:hAnsi="宋体" w:cs="宋体"/>
          <w:color w:val="auto"/>
          <w:highlight w:val="none"/>
        </w:rPr>
      </w:pPr>
      <w:r>
        <w:rPr>
          <w:rFonts w:hint="eastAsia" w:hAnsi="宋体" w:cs="宋体"/>
          <w:color w:val="auto"/>
          <w:highlight w:val="none"/>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14:paraId="3118E024">
      <w:pPr>
        <w:pStyle w:val="107"/>
        <w:ind w:firstLine="480" w:firstLineChars="200"/>
        <w:rPr>
          <w:rFonts w:hAnsi="宋体" w:cs="宋体"/>
          <w:color w:val="auto"/>
          <w:highlight w:val="none"/>
        </w:rPr>
      </w:pPr>
      <w:r>
        <w:rPr>
          <w:rFonts w:hint="eastAsia" w:hAnsi="宋体" w:cs="宋体"/>
          <w:color w:val="auto"/>
          <w:highlight w:val="none"/>
        </w:rPr>
        <w:t>4.2.4乙方主要管理人员（项目负责人、技术负责人）必须坚守工地，严格请销假制度，未经甲方同意，乙方主要人员擅离工作岗位，处以元/人·日的罚款。</w:t>
      </w:r>
    </w:p>
    <w:p w14:paraId="4AADF8D4">
      <w:pPr>
        <w:pStyle w:val="107"/>
        <w:ind w:firstLine="480" w:firstLineChars="200"/>
        <w:rPr>
          <w:rFonts w:hAnsi="宋体" w:cs="宋体"/>
          <w:color w:val="auto"/>
          <w:highlight w:val="none"/>
        </w:rPr>
      </w:pPr>
      <w:r>
        <w:rPr>
          <w:rFonts w:hint="eastAsia" w:hAnsi="宋体" w:cs="宋体"/>
          <w:color w:val="auto"/>
          <w:highlight w:val="none"/>
        </w:rPr>
        <w:t>4.2.5乙方应按照合同要求为其履行合同所雇用的全部人员缴纳工伤保险费、在整个施工期间为其现场机构雇用的全部人员投保人身意外伤害险并为其施工设备办理保险，其费用由乙方承担。</w:t>
      </w:r>
    </w:p>
    <w:p w14:paraId="43337442">
      <w:pPr>
        <w:pStyle w:val="107"/>
        <w:ind w:firstLine="480" w:firstLineChars="200"/>
        <w:rPr>
          <w:rFonts w:hAnsi="宋体" w:cs="宋体"/>
          <w:color w:val="auto"/>
          <w:highlight w:val="none"/>
        </w:rPr>
      </w:pPr>
      <w:r>
        <w:rPr>
          <w:rFonts w:hint="eastAsia" w:hAnsi="宋体" w:cs="宋体"/>
          <w:color w:val="auto"/>
          <w:highlight w:val="none"/>
        </w:rPr>
        <w:t>4.2.6乙方应按照甲方统一规划方案进行临时设施的建设及标示并承担费用。</w:t>
      </w:r>
    </w:p>
    <w:p w14:paraId="6BCF0253">
      <w:pPr>
        <w:pStyle w:val="107"/>
        <w:ind w:firstLine="480" w:firstLineChars="200"/>
        <w:rPr>
          <w:rFonts w:hAnsi="宋体" w:cs="宋体"/>
          <w:color w:val="auto"/>
          <w:highlight w:val="none"/>
        </w:rPr>
      </w:pPr>
      <w:r>
        <w:rPr>
          <w:rFonts w:hint="eastAsia" w:hAnsi="宋体" w:cs="宋体"/>
          <w:color w:val="auto"/>
          <w:highlight w:val="none"/>
        </w:rPr>
        <w:t>4.2.7甲方未提供规划方案的临时设施，乙方自行建设，但严格按照甲方转发的相关“标准化管理规定”自行负责修建、管理、养护及拆除。</w:t>
      </w:r>
    </w:p>
    <w:p w14:paraId="79207BF3">
      <w:pPr>
        <w:pStyle w:val="107"/>
        <w:ind w:firstLine="480" w:firstLineChars="200"/>
        <w:rPr>
          <w:rFonts w:hAnsi="宋体" w:cs="宋体"/>
          <w:color w:val="auto"/>
          <w:highlight w:val="none"/>
        </w:rPr>
      </w:pPr>
      <w:r>
        <w:rPr>
          <w:rFonts w:hint="eastAsia" w:hAnsi="宋体" w:cs="宋体"/>
          <w:color w:val="auto"/>
          <w:highlight w:val="none"/>
        </w:rPr>
        <w:t>4.2.8乙方施工工地宣传标识以及对外的舆论宣传必须以甲方的名义进行。</w:t>
      </w:r>
    </w:p>
    <w:p w14:paraId="4CFE9254">
      <w:pPr>
        <w:pStyle w:val="107"/>
        <w:ind w:firstLine="480" w:firstLineChars="200"/>
        <w:rPr>
          <w:rFonts w:hAnsi="宋体" w:cs="宋体"/>
          <w:color w:val="auto"/>
          <w:highlight w:val="none"/>
        </w:rPr>
      </w:pPr>
      <w:r>
        <w:rPr>
          <w:rFonts w:hint="eastAsia" w:hAnsi="宋体" w:cs="宋体"/>
          <w:color w:val="auto"/>
          <w:highlight w:val="none"/>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14:paraId="27211A68">
      <w:pPr>
        <w:pStyle w:val="107"/>
        <w:ind w:firstLine="480" w:firstLineChars="200"/>
        <w:rPr>
          <w:rFonts w:hAnsi="宋体" w:cs="宋体"/>
          <w:color w:val="auto"/>
          <w:highlight w:val="none"/>
        </w:rPr>
      </w:pPr>
      <w:r>
        <w:rPr>
          <w:rFonts w:hint="eastAsia" w:hAnsi="宋体" w:cs="宋体"/>
          <w:color w:val="auto"/>
          <w:highlight w:val="none"/>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14:paraId="0DDF7BCB">
      <w:pPr>
        <w:pStyle w:val="107"/>
        <w:ind w:firstLine="480" w:firstLineChars="200"/>
        <w:rPr>
          <w:rFonts w:hAnsi="宋体" w:cs="宋体"/>
          <w:color w:val="auto"/>
          <w:highlight w:val="none"/>
        </w:rPr>
      </w:pPr>
      <w:r>
        <w:rPr>
          <w:rFonts w:hint="eastAsia" w:hAnsi="宋体" w:cs="宋体"/>
          <w:color w:val="auto"/>
          <w:highlight w:val="none"/>
        </w:rPr>
        <w:t>4.2.11乙方自行购置的路基、路面、桥梁附属工程的砂、碎石、等主要原材料，必须符合国家现行标准并报经甲方试验部门同意后方可用于本工程，不得擅自更换。</w:t>
      </w:r>
    </w:p>
    <w:p w14:paraId="7156B1C9">
      <w:pPr>
        <w:pStyle w:val="107"/>
        <w:ind w:firstLine="480" w:firstLineChars="200"/>
        <w:rPr>
          <w:rFonts w:hAnsi="宋体" w:cs="宋体"/>
          <w:color w:val="auto"/>
          <w:highlight w:val="none"/>
        </w:rPr>
      </w:pPr>
      <w:r>
        <w:rPr>
          <w:rFonts w:hint="eastAsia" w:hAnsi="宋体" w:cs="宋体"/>
          <w:color w:val="auto"/>
          <w:highlight w:val="none"/>
        </w:rPr>
        <w:t>4.2.12负责本合同承包范围内工程的实施、完成及缺陷修复等工作并承担相应费用，接受甲方的领导、整体协调以及施工中的监督、指令、检查。</w:t>
      </w:r>
    </w:p>
    <w:p w14:paraId="58E61657">
      <w:pPr>
        <w:pStyle w:val="107"/>
        <w:ind w:firstLine="480" w:firstLineChars="200"/>
        <w:rPr>
          <w:rFonts w:hAnsi="宋体" w:cs="宋体"/>
          <w:color w:val="auto"/>
          <w:highlight w:val="none"/>
        </w:rPr>
      </w:pPr>
      <w:r>
        <w:rPr>
          <w:rFonts w:hint="eastAsia" w:hAnsi="宋体" w:cs="宋体"/>
          <w:color w:val="auto"/>
          <w:highlight w:val="none"/>
        </w:rPr>
        <w:t>4.2.13在施工中及时按甲方要求调整生产要素，并在规定时间内上报各种文件、资料和报表。</w:t>
      </w:r>
    </w:p>
    <w:p w14:paraId="1C60C7BF">
      <w:pPr>
        <w:pStyle w:val="107"/>
        <w:ind w:firstLine="480" w:firstLineChars="200"/>
        <w:rPr>
          <w:rFonts w:hAnsi="宋体" w:cs="宋体"/>
          <w:color w:val="auto"/>
          <w:highlight w:val="none"/>
        </w:rPr>
      </w:pPr>
      <w:r>
        <w:rPr>
          <w:rFonts w:hint="eastAsia" w:hAnsi="宋体" w:cs="宋体"/>
          <w:color w:val="auto"/>
          <w:highlight w:val="none"/>
        </w:rPr>
        <w:t>4.2.14服从甲方管理，参加甲方组织的各种工程施工会议和甲方开展的工程管理活动，否则，甲方有权对乙方实施经济处罚。</w:t>
      </w:r>
    </w:p>
    <w:p w14:paraId="4B0A1625">
      <w:pPr>
        <w:pStyle w:val="107"/>
        <w:ind w:firstLine="480" w:firstLineChars="200"/>
        <w:rPr>
          <w:rFonts w:hAnsi="宋体" w:cs="宋体"/>
          <w:color w:val="auto"/>
          <w:highlight w:val="none"/>
        </w:rPr>
      </w:pPr>
      <w:r>
        <w:rPr>
          <w:rFonts w:hint="eastAsia" w:hAnsi="宋体" w:cs="宋体"/>
          <w:color w:val="auto"/>
          <w:highlight w:val="none"/>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14:paraId="70A5650C">
      <w:pPr>
        <w:pStyle w:val="107"/>
        <w:ind w:firstLine="480" w:firstLineChars="200"/>
        <w:rPr>
          <w:rFonts w:hAnsi="宋体" w:cs="宋体"/>
          <w:color w:val="auto"/>
          <w:highlight w:val="none"/>
        </w:rPr>
      </w:pPr>
      <w:r>
        <w:rPr>
          <w:rFonts w:hint="eastAsia" w:hAnsi="宋体" w:cs="宋体"/>
          <w:color w:val="auto"/>
          <w:highlight w:val="none"/>
        </w:rPr>
        <w:t>4.2.16乙方须按文明施工，环境保护标准组织施工。在业主组织的工地检查和为迎接政府视察及甲方组织的工地检查中，要按要求组织整理施工现场，检查中如被批评、处罚，责任及费用全部由乙方承担。</w:t>
      </w:r>
    </w:p>
    <w:p w14:paraId="11C4E349">
      <w:pPr>
        <w:pStyle w:val="107"/>
        <w:ind w:firstLine="480" w:firstLineChars="200"/>
        <w:rPr>
          <w:rFonts w:hAnsi="宋体" w:cs="宋体"/>
          <w:color w:val="auto"/>
          <w:highlight w:val="none"/>
        </w:rPr>
      </w:pPr>
      <w:r>
        <w:rPr>
          <w:rFonts w:hint="eastAsia" w:hAnsi="宋体" w:cs="宋体"/>
          <w:color w:val="auto"/>
          <w:highlight w:val="none"/>
        </w:rPr>
        <w:t>4.2.17乙方应积极配合甲方进行结算，及时提供相应资料，因“乙方原因造成计量不能按时批复”或者“建设单位资金不足”，工程款支付不到位，乙方必须自行解决资金问题，确保工期目标的实现，并承担全部责任。</w:t>
      </w:r>
    </w:p>
    <w:p w14:paraId="41E4991E">
      <w:pPr>
        <w:pStyle w:val="107"/>
        <w:tabs>
          <w:tab w:val="left" w:pos="2745"/>
        </w:tabs>
        <w:ind w:firstLine="480" w:firstLineChars="200"/>
        <w:rPr>
          <w:rFonts w:hAnsi="宋体" w:cs="宋体"/>
          <w:color w:val="auto"/>
          <w:highlight w:val="none"/>
        </w:rPr>
      </w:pPr>
      <w:r>
        <w:rPr>
          <w:rFonts w:hint="eastAsia" w:hAnsi="宋体" w:cs="宋体"/>
          <w:color w:val="auto"/>
          <w:highlight w:val="none"/>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14:paraId="030F1298">
      <w:pPr>
        <w:pStyle w:val="107"/>
        <w:ind w:firstLine="480" w:firstLineChars="200"/>
        <w:rPr>
          <w:rFonts w:hAnsi="宋体" w:cs="宋体"/>
          <w:color w:val="auto"/>
          <w:highlight w:val="none"/>
        </w:rPr>
      </w:pPr>
      <w:r>
        <w:rPr>
          <w:rFonts w:hint="eastAsia" w:hAnsi="宋体" w:cs="宋体"/>
          <w:color w:val="auto"/>
          <w:highlight w:val="none"/>
        </w:rPr>
        <w:t>4.2.19工程完工后，乙方应进行场地清理平整，做到工完场清，并提供竣工验收有关资料，在工程未交付前，应负责已完工程的保护工作，若有损坏，应自费予以修复。</w:t>
      </w:r>
    </w:p>
    <w:p w14:paraId="5888EC1B">
      <w:pPr>
        <w:pStyle w:val="107"/>
        <w:ind w:firstLine="480" w:firstLineChars="200"/>
        <w:rPr>
          <w:rFonts w:hAnsi="宋体" w:cs="宋体"/>
          <w:color w:val="auto"/>
          <w:highlight w:val="none"/>
        </w:rPr>
      </w:pPr>
      <w:r>
        <w:rPr>
          <w:rFonts w:hint="eastAsia" w:hAnsi="宋体" w:cs="宋体"/>
          <w:color w:val="auto"/>
          <w:highlight w:val="none"/>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14:paraId="1CDD0FEF">
      <w:pPr>
        <w:pStyle w:val="107"/>
        <w:ind w:firstLine="480" w:firstLineChars="200"/>
        <w:rPr>
          <w:rFonts w:hAnsi="宋体" w:cs="宋体"/>
          <w:color w:val="auto"/>
          <w:highlight w:val="none"/>
        </w:rPr>
      </w:pPr>
      <w:r>
        <w:rPr>
          <w:rFonts w:hint="eastAsia" w:hAnsi="宋体" w:cs="宋体"/>
          <w:color w:val="auto"/>
          <w:highlight w:val="none"/>
        </w:rPr>
        <w:t>4.2.21乙方委派专人（有乙方的授权委托书）与甲方办理各种涉及合同、经济、财务等方面的手续。</w:t>
      </w:r>
    </w:p>
    <w:p w14:paraId="4302C5A1">
      <w:pPr>
        <w:pStyle w:val="107"/>
        <w:snapToGrid w:val="0"/>
        <w:ind w:firstLine="480" w:firstLineChars="200"/>
        <w:rPr>
          <w:rFonts w:hAnsi="宋体" w:cs="宋体"/>
          <w:color w:val="auto"/>
          <w:highlight w:val="none"/>
        </w:rPr>
      </w:pPr>
      <w:r>
        <w:rPr>
          <w:rFonts w:hint="eastAsia" w:hAnsi="宋体" w:cs="宋体"/>
          <w:color w:val="auto"/>
          <w:highlight w:val="none"/>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14:paraId="54C02CE5">
      <w:pPr>
        <w:pStyle w:val="107"/>
        <w:snapToGrid w:val="0"/>
        <w:ind w:firstLine="480" w:firstLineChars="200"/>
        <w:rPr>
          <w:rFonts w:hAnsi="宋体" w:cs="宋体"/>
          <w:color w:val="auto"/>
          <w:highlight w:val="none"/>
        </w:rPr>
      </w:pPr>
      <w:r>
        <w:rPr>
          <w:rFonts w:hint="eastAsia" w:hAnsi="宋体" w:cs="宋体"/>
          <w:color w:val="auto"/>
          <w:highlight w:val="none"/>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14:paraId="192AC60F">
      <w:pPr>
        <w:pStyle w:val="107"/>
        <w:ind w:firstLine="480" w:firstLineChars="200"/>
        <w:rPr>
          <w:rFonts w:hAnsi="宋体" w:cs="宋体"/>
          <w:color w:val="auto"/>
          <w:highlight w:val="none"/>
        </w:rPr>
      </w:pPr>
      <w:r>
        <w:rPr>
          <w:rFonts w:hint="eastAsia" w:hAnsi="宋体" w:cs="宋体"/>
          <w:color w:val="auto"/>
          <w:highlight w:val="none"/>
        </w:rPr>
        <w:t>4.2.24乙方在施工中与第三方产生的债权债务及纠纷等问题由乙方自行负责处理，并承担全部责任和费用。</w:t>
      </w:r>
    </w:p>
    <w:p w14:paraId="12BE4206">
      <w:pPr>
        <w:pStyle w:val="107"/>
        <w:ind w:firstLine="480" w:firstLineChars="200"/>
        <w:rPr>
          <w:rFonts w:hAnsi="宋体" w:cs="宋体"/>
          <w:color w:val="auto"/>
          <w:highlight w:val="none"/>
        </w:rPr>
      </w:pPr>
      <w:r>
        <w:rPr>
          <w:rFonts w:hint="eastAsia" w:hAnsi="宋体" w:cs="宋体"/>
          <w:color w:val="auto"/>
          <w:highlight w:val="none"/>
        </w:rPr>
        <w:t>4.2.25乙方应不折不扣地按合同文件规定承担本合同工程的实施、完成、维护及缺陷的修复；甲方不承担任何停工及窝工损失费；由于建设单位原因造成的停工或窝工，乙方配合甲方向建设单位争取费用补偿。</w:t>
      </w:r>
    </w:p>
    <w:p w14:paraId="534E3C87">
      <w:pPr>
        <w:pStyle w:val="107"/>
        <w:ind w:firstLine="422"/>
        <w:jc w:val="left"/>
        <w:rPr>
          <w:rFonts w:hAnsi="宋体" w:cs="宋体"/>
          <w:b/>
          <w:color w:val="auto"/>
          <w:highlight w:val="none"/>
        </w:rPr>
      </w:pPr>
      <w:r>
        <w:rPr>
          <w:rFonts w:hint="eastAsia" w:hAnsi="宋体" w:cs="宋体"/>
          <w:color w:val="auto"/>
          <w:highlight w:val="none"/>
        </w:rPr>
        <w:t>4.2.26乙方应自行组织工程施工，不得将工程转包或分包，否则甲方有权终止合同，乙方承担违约责任。</w:t>
      </w:r>
    </w:p>
    <w:p w14:paraId="6568E23F">
      <w:pPr>
        <w:pStyle w:val="107"/>
        <w:ind w:firstLine="422"/>
        <w:jc w:val="left"/>
        <w:rPr>
          <w:rFonts w:hAnsi="宋体" w:cs="宋体"/>
          <w:b/>
          <w:color w:val="auto"/>
          <w:highlight w:val="none"/>
        </w:rPr>
      </w:pPr>
    </w:p>
    <w:p w14:paraId="5F512B28">
      <w:pPr>
        <w:pStyle w:val="107"/>
        <w:ind w:firstLine="422"/>
        <w:jc w:val="left"/>
        <w:rPr>
          <w:rFonts w:hAnsi="宋体" w:cs="宋体"/>
          <w:b/>
          <w:color w:val="auto"/>
          <w:highlight w:val="none"/>
        </w:rPr>
      </w:pPr>
      <w:r>
        <w:rPr>
          <w:rFonts w:hint="eastAsia" w:hAnsi="宋体" w:cs="宋体"/>
          <w:b/>
          <w:color w:val="auto"/>
          <w:highlight w:val="none"/>
        </w:rPr>
        <w:t>5 合同工期和要求</w:t>
      </w:r>
    </w:p>
    <w:p w14:paraId="5F6313B3">
      <w:pPr>
        <w:pStyle w:val="107"/>
        <w:ind w:firstLine="422"/>
        <w:rPr>
          <w:rFonts w:hAnsi="宋体" w:cs="宋体"/>
          <w:color w:val="auto"/>
          <w:highlight w:val="none"/>
        </w:rPr>
      </w:pPr>
      <w:r>
        <w:rPr>
          <w:rFonts w:hint="eastAsia" w:hAnsi="宋体" w:cs="宋体"/>
          <w:color w:val="auto"/>
          <w:highlight w:val="none"/>
        </w:rPr>
        <w:t>5.1根据甲方的总体施工计划要求，乙方完成分包专项工程的合同工期天，自年   月   日开工，至年   月   日完工。</w:t>
      </w:r>
    </w:p>
    <w:p w14:paraId="5AB8856F">
      <w:pPr>
        <w:pStyle w:val="107"/>
        <w:ind w:firstLine="422"/>
        <w:rPr>
          <w:rFonts w:hAnsi="宋体" w:cs="宋体"/>
          <w:color w:val="auto"/>
          <w:highlight w:val="none"/>
        </w:rPr>
      </w:pPr>
      <w:r>
        <w:rPr>
          <w:rFonts w:hint="eastAsia" w:hAnsi="宋体" w:cs="宋体"/>
          <w:color w:val="auto"/>
          <w:highlight w:val="none"/>
        </w:rPr>
        <w:t>5.2如甲方总体施工计划调整时，乙方应作相应的调整，由此增加的费用由甲乙双方协商解决。</w:t>
      </w:r>
    </w:p>
    <w:p w14:paraId="5A65BFBB">
      <w:pPr>
        <w:pStyle w:val="107"/>
        <w:ind w:firstLine="422"/>
        <w:rPr>
          <w:rFonts w:hAnsi="宋体" w:cs="宋体"/>
          <w:color w:val="auto"/>
          <w:highlight w:val="none"/>
        </w:rPr>
      </w:pPr>
      <w:r>
        <w:rPr>
          <w:rFonts w:hint="eastAsia" w:hAnsi="宋体" w:cs="宋体"/>
          <w:color w:val="auto"/>
          <w:highlight w:val="none"/>
        </w:rPr>
        <w:t>5.3如因乙方原因未能按时开工或延误工期，由此引起的损失由乙方承担，必要时，甲方有权单方面终止合同。因发包人原因或不可抗力造成的工期延误，则按照发包人同意的相应工期予以顺延。</w:t>
      </w:r>
    </w:p>
    <w:p w14:paraId="308EA123">
      <w:pPr>
        <w:pStyle w:val="107"/>
        <w:ind w:firstLine="422"/>
        <w:rPr>
          <w:rFonts w:hAnsi="宋体" w:cs="宋体"/>
          <w:color w:val="auto"/>
          <w:highlight w:val="none"/>
        </w:rPr>
      </w:pPr>
    </w:p>
    <w:p w14:paraId="33ED53D5">
      <w:pPr>
        <w:pStyle w:val="107"/>
        <w:ind w:firstLine="422"/>
        <w:jc w:val="left"/>
        <w:rPr>
          <w:rFonts w:hAnsi="宋体" w:cs="宋体"/>
          <w:b/>
          <w:color w:val="auto"/>
          <w:highlight w:val="none"/>
        </w:rPr>
      </w:pPr>
      <w:r>
        <w:rPr>
          <w:rFonts w:hint="eastAsia" w:hAnsi="宋体" w:cs="宋体"/>
          <w:b/>
          <w:color w:val="auto"/>
          <w:highlight w:val="none"/>
        </w:rPr>
        <w:t>6工程质量及质量保修</w:t>
      </w:r>
    </w:p>
    <w:p w14:paraId="637A02BE">
      <w:pPr>
        <w:pStyle w:val="107"/>
        <w:ind w:firstLine="422"/>
        <w:rPr>
          <w:rFonts w:hAnsi="宋体" w:cs="宋体"/>
          <w:color w:val="auto"/>
          <w:highlight w:val="none"/>
        </w:rPr>
      </w:pPr>
      <w:r>
        <w:rPr>
          <w:rFonts w:hint="eastAsia" w:hAnsi="宋体" w:cs="宋体"/>
          <w:color w:val="auto"/>
          <w:highlight w:val="none"/>
        </w:rPr>
        <w:t>6.1乙方应向甲方负责其分包工程的质量。甲方应对乙方分包的工程进行全面有效质量管理。</w:t>
      </w:r>
    </w:p>
    <w:p w14:paraId="7189EE33">
      <w:pPr>
        <w:pStyle w:val="107"/>
        <w:ind w:firstLine="422"/>
        <w:rPr>
          <w:rFonts w:hAnsi="宋体" w:cs="宋体"/>
          <w:color w:val="auto"/>
          <w:highlight w:val="none"/>
        </w:rPr>
      </w:pPr>
      <w:r>
        <w:rPr>
          <w:rFonts w:hint="eastAsia" w:hAnsi="宋体" w:cs="宋体"/>
          <w:color w:val="auto"/>
          <w:highlight w:val="none"/>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14:paraId="6AD64F5D">
      <w:pPr>
        <w:pStyle w:val="107"/>
        <w:ind w:firstLine="422"/>
        <w:rPr>
          <w:rFonts w:hAnsi="宋体" w:cs="宋体"/>
          <w:color w:val="auto"/>
          <w:highlight w:val="none"/>
        </w:rPr>
      </w:pPr>
      <w:r>
        <w:rPr>
          <w:rFonts w:hint="eastAsia" w:hAnsi="宋体" w:cs="宋体"/>
          <w:color w:val="auto"/>
          <w:highlight w:val="none"/>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14:paraId="3614EF5E">
      <w:pPr>
        <w:pStyle w:val="107"/>
        <w:ind w:firstLine="422"/>
        <w:rPr>
          <w:rFonts w:hAnsi="宋体" w:cs="宋体"/>
          <w:color w:val="auto"/>
          <w:highlight w:val="none"/>
        </w:rPr>
      </w:pPr>
      <w:r>
        <w:rPr>
          <w:rFonts w:hint="eastAsia" w:hAnsi="宋体" w:cs="宋体"/>
          <w:color w:val="auto"/>
          <w:highlight w:val="none"/>
        </w:rPr>
        <w:t>6.4乙方的各项试验和检测内容应到甲方的试验室或甲方认可的有资质的试验检测机构完成，其费用由方承担。试验检测的频率、方法、操作规程等，应严格按照相关的技术标准执行。</w:t>
      </w:r>
    </w:p>
    <w:p w14:paraId="184FD74A">
      <w:pPr>
        <w:pStyle w:val="107"/>
        <w:ind w:firstLine="422"/>
        <w:rPr>
          <w:rFonts w:hAnsi="宋体" w:cs="宋体"/>
          <w:color w:val="auto"/>
          <w:highlight w:val="none"/>
        </w:rPr>
      </w:pPr>
      <w:r>
        <w:rPr>
          <w:rFonts w:hint="eastAsia" w:hAnsi="宋体" w:cs="宋体"/>
          <w:color w:val="auto"/>
          <w:highlight w:val="none"/>
        </w:rPr>
        <w:t>6.5甲方按照现行的验收办法、评定标准、施工技术规范及施工图等报请发包人组织验收。分包专项工程涉及的竣工资料（a.由甲方统一编制，乙方承担竣工资料编制费用；b.由乙方编制，乙方承担竣工资料编制费用；）。</w:t>
      </w:r>
    </w:p>
    <w:p w14:paraId="1507C850">
      <w:pPr>
        <w:pStyle w:val="107"/>
        <w:ind w:firstLine="422"/>
        <w:rPr>
          <w:rFonts w:hAnsi="宋体" w:cs="宋体"/>
          <w:color w:val="auto"/>
          <w:highlight w:val="none"/>
        </w:rPr>
      </w:pPr>
      <w:r>
        <w:rPr>
          <w:rFonts w:hint="eastAsia" w:hAnsi="宋体" w:cs="宋体"/>
          <w:color w:val="auto"/>
          <w:highlight w:val="none"/>
        </w:rPr>
        <w:t>6.6乙方分包专项工程的质量保修期等同于发包人要求甲方的保修期，保修期间发生在乙方工作范围内的保修费用由乙方承担。</w:t>
      </w:r>
    </w:p>
    <w:p w14:paraId="4CA54F2A">
      <w:pPr>
        <w:pStyle w:val="107"/>
        <w:ind w:firstLine="422"/>
        <w:jc w:val="center"/>
        <w:rPr>
          <w:rFonts w:hAnsi="宋体" w:cs="宋体"/>
          <w:color w:val="auto"/>
          <w:highlight w:val="none"/>
        </w:rPr>
      </w:pPr>
    </w:p>
    <w:p w14:paraId="6A0CD139">
      <w:pPr>
        <w:pStyle w:val="107"/>
        <w:ind w:firstLine="422"/>
        <w:jc w:val="left"/>
        <w:rPr>
          <w:rFonts w:hAnsi="宋体" w:cs="宋体"/>
          <w:color w:val="auto"/>
          <w:highlight w:val="none"/>
        </w:rPr>
      </w:pPr>
      <w:r>
        <w:rPr>
          <w:rFonts w:hint="eastAsia" w:hAnsi="宋体" w:cs="宋体"/>
          <w:color w:val="auto"/>
          <w:highlight w:val="none"/>
        </w:rPr>
        <w:t>7 工程变更和质量事故处理</w:t>
      </w:r>
    </w:p>
    <w:p w14:paraId="55D42BDA">
      <w:pPr>
        <w:pStyle w:val="107"/>
        <w:ind w:firstLine="422"/>
        <w:rPr>
          <w:rFonts w:hAnsi="宋体" w:cs="宋体"/>
          <w:color w:val="auto"/>
          <w:highlight w:val="none"/>
        </w:rPr>
      </w:pPr>
      <w:r>
        <w:rPr>
          <w:rFonts w:hint="eastAsia" w:hAnsi="宋体" w:cs="宋体"/>
          <w:color w:val="auto"/>
          <w:highlight w:val="none"/>
        </w:rPr>
        <w:t>7.1工程变更的处理方式及费用按照总包合同的相应条款由甲方统一办理。应由乙方负责实施的变更项目和内容，乙方不得以任何理由拒绝或拖延或不按要求实施，否则给甲方造成损失的，乙方负责赔偿。</w:t>
      </w:r>
    </w:p>
    <w:p w14:paraId="645B9269">
      <w:pPr>
        <w:pStyle w:val="107"/>
        <w:ind w:firstLine="422"/>
        <w:rPr>
          <w:rFonts w:hAnsi="宋体" w:cs="宋体"/>
          <w:color w:val="auto"/>
          <w:highlight w:val="none"/>
        </w:rPr>
      </w:pPr>
      <w:r>
        <w:rPr>
          <w:rFonts w:hint="eastAsia" w:hAnsi="宋体" w:cs="宋体"/>
          <w:color w:val="auto"/>
          <w:highlight w:val="none"/>
        </w:rPr>
        <w:t>7.2乙方实施完成的工程变更项目的费用待发包人批复并支付给甲方后,甲方扣除一定比例即%的管理费用后结算支付给乙方。</w:t>
      </w:r>
    </w:p>
    <w:p w14:paraId="6F77E407">
      <w:pPr>
        <w:pStyle w:val="107"/>
        <w:ind w:firstLine="422"/>
        <w:rPr>
          <w:rFonts w:hAnsi="宋体" w:cs="宋体"/>
          <w:color w:val="auto"/>
          <w:highlight w:val="none"/>
        </w:rPr>
      </w:pPr>
      <w:r>
        <w:rPr>
          <w:rFonts w:hint="eastAsia" w:hAnsi="宋体" w:cs="宋体"/>
          <w:color w:val="auto"/>
          <w:highlight w:val="none"/>
        </w:rPr>
        <w:t>7.3乙方应向甲方及时报告分包工程发生质量问题和事故，甲方应按公路工程质量事故处理相关规定及时报告，按规定程序处理。根据质量事故发生的原因，由责任方承担造成的责任和损失。</w:t>
      </w:r>
    </w:p>
    <w:p w14:paraId="1EFDD7ED">
      <w:pPr>
        <w:pStyle w:val="107"/>
        <w:ind w:firstLine="422"/>
        <w:rPr>
          <w:rFonts w:hAnsi="宋体" w:cs="宋体"/>
          <w:color w:val="auto"/>
          <w:highlight w:val="none"/>
        </w:rPr>
      </w:pPr>
    </w:p>
    <w:p w14:paraId="24D26952">
      <w:pPr>
        <w:pStyle w:val="107"/>
        <w:ind w:firstLine="422"/>
        <w:jc w:val="left"/>
        <w:rPr>
          <w:rFonts w:hAnsi="宋体" w:cs="宋体"/>
          <w:b/>
          <w:color w:val="auto"/>
          <w:highlight w:val="none"/>
        </w:rPr>
      </w:pPr>
      <w:r>
        <w:rPr>
          <w:rFonts w:hint="eastAsia" w:hAnsi="宋体" w:cs="宋体"/>
          <w:b/>
          <w:color w:val="auto"/>
          <w:highlight w:val="none"/>
        </w:rPr>
        <w:t>8 工程款项的结算与支付</w:t>
      </w:r>
    </w:p>
    <w:p w14:paraId="55CB579B">
      <w:pPr>
        <w:pStyle w:val="107"/>
        <w:ind w:left="422"/>
        <w:rPr>
          <w:rFonts w:hAnsi="宋体" w:cs="宋体"/>
          <w:color w:val="auto"/>
          <w:highlight w:val="none"/>
        </w:rPr>
      </w:pPr>
      <w:r>
        <w:rPr>
          <w:rFonts w:hint="eastAsia" w:hAnsi="宋体" w:cs="宋体"/>
          <w:color w:val="auto"/>
          <w:highlight w:val="none"/>
        </w:rPr>
        <w:t>8.1中期支付</w:t>
      </w:r>
    </w:p>
    <w:p w14:paraId="1FF82D4C">
      <w:pPr>
        <w:pStyle w:val="107"/>
        <w:ind w:firstLine="422"/>
        <w:rPr>
          <w:rFonts w:hAnsi="宋体" w:cs="宋体"/>
          <w:color w:val="auto"/>
          <w:highlight w:val="none"/>
        </w:rPr>
      </w:pPr>
      <w:r>
        <w:rPr>
          <w:rFonts w:hint="eastAsia" w:hAnsi="宋体" w:cs="宋体"/>
          <w:color w:val="auto"/>
          <w:highlight w:val="none"/>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14:paraId="16F130A6">
      <w:pPr>
        <w:pStyle w:val="107"/>
        <w:ind w:firstLine="422"/>
        <w:rPr>
          <w:rFonts w:hAnsi="宋体" w:cs="宋体"/>
          <w:color w:val="auto"/>
          <w:highlight w:val="none"/>
        </w:rPr>
      </w:pPr>
      <w:r>
        <w:rPr>
          <w:rFonts w:hint="eastAsia" w:hAnsi="宋体" w:cs="宋体"/>
          <w:color w:val="auto"/>
          <w:highlight w:val="none"/>
        </w:rPr>
        <w:t>8.1.2甲方向乙方支付的动员预付款，从中期支付款的第一期开始逐月按比例扣回，扣完为止。</w:t>
      </w:r>
    </w:p>
    <w:p w14:paraId="25EB2D90">
      <w:pPr>
        <w:pStyle w:val="107"/>
        <w:ind w:firstLine="422"/>
        <w:rPr>
          <w:rFonts w:hAnsi="宋体" w:cs="宋体"/>
          <w:color w:val="auto"/>
          <w:highlight w:val="none"/>
        </w:rPr>
      </w:pPr>
      <w:r>
        <w:rPr>
          <w:rFonts w:hint="eastAsia" w:hAnsi="宋体" w:cs="宋体"/>
          <w:color w:val="auto"/>
          <w:highlight w:val="none"/>
        </w:rPr>
        <w:t>8.2完工结算</w:t>
      </w:r>
    </w:p>
    <w:p w14:paraId="0E5A63C2">
      <w:pPr>
        <w:pStyle w:val="107"/>
        <w:ind w:firstLine="422"/>
        <w:rPr>
          <w:rFonts w:hAnsi="宋体" w:cs="宋体"/>
          <w:color w:val="auto"/>
          <w:highlight w:val="none"/>
        </w:rPr>
      </w:pPr>
      <w:r>
        <w:rPr>
          <w:rFonts w:hint="eastAsia" w:hAnsi="宋体" w:cs="宋体"/>
          <w:color w:val="auto"/>
          <w:highlight w:val="none"/>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14:paraId="142A7F20">
      <w:pPr>
        <w:pStyle w:val="107"/>
        <w:ind w:firstLine="422"/>
        <w:rPr>
          <w:rFonts w:hAnsi="宋体" w:cs="宋体"/>
          <w:color w:val="auto"/>
          <w:highlight w:val="none"/>
        </w:rPr>
      </w:pPr>
      <w:r>
        <w:rPr>
          <w:rFonts w:hint="eastAsia" w:hAnsi="宋体" w:cs="宋体"/>
          <w:color w:val="auto"/>
          <w:highlight w:val="none"/>
        </w:rPr>
        <w:t>对于完工时尚不能完成结算的细目，双方核实列出清单，说明情况和结算原则，签字确认，待终期结算时视项目决算审计及发包人决算支付情况一并结清。</w:t>
      </w:r>
    </w:p>
    <w:p w14:paraId="1C28F950">
      <w:pPr>
        <w:pStyle w:val="107"/>
        <w:ind w:firstLine="422"/>
        <w:rPr>
          <w:rFonts w:hAnsi="宋体" w:cs="宋体"/>
          <w:color w:val="auto"/>
          <w:highlight w:val="none"/>
        </w:rPr>
      </w:pPr>
      <w:r>
        <w:rPr>
          <w:rFonts w:hint="eastAsia" w:hAnsi="宋体" w:cs="宋体"/>
          <w:color w:val="auto"/>
          <w:highlight w:val="none"/>
        </w:rPr>
        <w:t>8.2.2完工结算时，对乙方的履约保证金、质量保证金、安全生产费用等按合同约定办理结算。</w:t>
      </w:r>
    </w:p>
    <w:p w14:paraId="166DB08F">
      <w:pPr>
        <w:pStyle w:val="107"/>
        <w:ind w:firstLine="422"/>
        <w:rPr>
          <w:rFonts w:hAnsi="宋体" w:cs="宋体"/>
          <w:color w:val="auto"/>
          <w:highlight w:val="none"/>
        </w:rPr>
      </w:pPr>
      <w:r>
        <w:rPr>
          <w:rFonts w:hint="eastAsia" w:hAnsi="宋体" w:cs="宋体"/>
          <w:color w:val="auto"/>
          <w:highlight w:val="none"/>
        </w:rPr>
        <w:t>8.3最终结算支付</w:t>
      </w:r>
    </w:p>
    <w:p w14:paraId="1AEE7226">
      <w:pPr>
        <w:pStyle w:val="107"/>
        <w:ind w:firstLine="422"/>
        <w:rPr>
          <w:rFonts w:hAnsi="宋体" w:cs="宋体"/>
          <w:color w:val="auto"/>
          <w:highlight w:val="none"/>
        </w:rPr>
      </w:pPr>
      <w:r>
        <w:rPr>
          <w:rFonts w:hint="eastAsia" w:hAnsi="宋体" w:cs="宋体"/>
          <w:color w:val="auto"/>
          <w:highlight w:val="none"/>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14:paraId="4D1178C9">
      <w:pPr>
        <w:pStyle w:val="107"/>
        <w:ind w:firstLine="422"/>
        <w:rPr>
          <w:rFonts w:hAnsi="宋体" w:cs="宋体"/>
          <w:color w:val="auto"/>
          <w:highlight w:val="none"/>
        </w:rPr>
      </w:pPr>
      <w:r>
        <w:rPr>
          <w:rFonts w:hint="eastAsia" w:hAnsi="宋体" w:cs="宋体"/>
          <w:color w:val="auto"/>
          <w:highlight w:val="none"/>
        </w:rPr>
        <w:t>8.4分包人应设置会计帐簿，健全财务制度，及时、准确、完整地进行会计核算；所得的分包款项应有明确的收支明细帐目和凭证。</w:t>
      </w:r>
    </w:p>
    <w:p w14:paraId="7764E566">
      <w:pPr>
        <w:pStyle w:val="107"/>
        <w:ind w:firstLine="422"/>
        <w:rPr>
          <w:rFonts w:hAnsi="宋体" w:cs="宋体"/>
          <w:color w:val="auto"/>
          <w:highlight w:val="none"/>
        </w:rPr>
      </w:pPr>
    </w:p>
    <w:p w14:paraId="16736B6B">
      <w:pPr>
        <w:pStyle w:val="107"/>
        <w:ind w:firstLine="422"/>
        <w:jc w:val="left"/>
        <w:rPr>
          <w:rFonts w:hAnsi="宋体" w:cs="宋体"/>
          <w:b/>
          <w:color w:val="auto"/>
          <w:highlight w:val="none"/>
        </w:rPr>
      </w:pPr>
      <w:r>
        <w:rPr>
          <w:rFonts w:hint="eastAsia" w:hAnsi="宋体" w:cs="宋体"/>
          <w:b/>
          <w:color w:val="auto"/>
          <w:highlight w:val="none"/>
        </w:rPr>
        <w:t>9 材料物资和机械设备</w:t>
      </w:r>
    </w:p>
    <w:p w14:paraId="517F2DA2">
      <w:pPr>
        <w:pStyle w:val="107"/>
        <w:ind w:firstLine="422"/>
        <w:rPr>
          <w:rFonts w:hAnsi="宋体" w:cs="宋体"/>
          <w:color w:val="auto"/>
          <w:highlight w:val="none"/>
        </w:rPr>
      </w:pPr>
      <w:r>
        <w:rPr>
          <w:rFonts w:hint="eastAsia" w:hAnsi="宋体" w:cs="宋体"/>
          <w:color w:val="auto"/>
          <w:highlight w:val="none"/>
        </w:rPr>
        <w:t>9.1材料</w:t>
      </w:r>
    </w:p>
    <w:p w14:paraId="08C24584">
      <w:pPr>
        <w:pStyle w:val="107"/>
        <w:ind w:firstLine="422"/>
        <w:rPr>
          <w:rFonts w:hAnsi="宋体" w:cs="宋体"/>
          <w:color w:val="auto"/>
          <w:highlight w:val="none"/>
        </w:rPr>
      </w:pPr>
      <w:r>
        <w:rPr>
          <w:rFonts w:hint="eastAsia" w:hAnsi="宋体" w:cs="宋体"/>
          <w:color w:val="auto"/>
          <w:highlight w:val="none"/>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auto"/>
          <w:highlight w:val="none"/>
          <w:u w:val="single"/>
        </w:rPr>
        <w:t xml:space="preserve">         %</w:t>
      </w:r>
      <w:r>
        <w:rPr>
          <w:rFonts w:hint="eastAsia" w:hAnsi="宋体" w:cs="宋体"/>
          <w:color w:val="auto"/>
          <w:highlight w:val="none"/>
        </w:rPr>
        <w:t>保管费的费用扣回。</w:t>
      </w:r>
    </w:p>
    <w:p w14:paraId="79F599EC">
      <w:pPr>
        <w:pStyle w:val="107"/>
        <w:ind w:firstLine="422"/>
        <w:rPr>
          <w:rFonts w:hAnsi="宋体" w:cs="宋体"/>
          <w:color w:val="auto"/>
          <w:highlight w:val="none"/>
        </w:rPr>
      </w:pPr>
      <w:r>
        <w:rPr>
          <w:rFonts w:hint="eastAsia" w:hAnsi="宋体" w:cs="宋体"/>
          <w:color w:val="auto"/>
          <w:highlight w:val="none"/>
        </w:rPr>
        <w:t>9.1.2除上述甲方提供的材料物资外，用于乙方施工的其他材料物资由乙方自行采购和提供，并负责其保管、检测、使用、运输等全部费用。</w:t>
      </w:r>
    </w:p>
    <w:p w14:paraId="59ACE222">
      <w:pPr>
        <w:pStyle w:val="107"/>
        <w:ind w:firstLine="422"/>
        <w:rPr>
          <w:rFonts w:hAnsi="宋体" w:cs="宋体"/>
          <w:color w:val="auto"/>
          <w:highlight w:val="none"/>
        </w:rPr>
      </w:pPr>
      <w:r>
        <w:rPr>
          <w:rFonts w:hint="eastAsia" w:hAnsi="宋体" w:cs="宋体"/>
          <w:color w:val="auto"/>
          <w:highlight w:val="none"/>
        </w:rPr>
        <w:t>9.2机械设备</w:t>
      </w:r>
    </w:p>
    <w:p w14:paraId="6B296DCC">
      <w:pPr>
        <w:pStyle w:val="107"/>
        <w:ind w:firstLine="422"/>
        <w:rPr>
          <w:rFonts w:hAnsi="宋体" w:cs="宋体"/>
          <w:color w:val="auto"/>
          <w:highlight w:val="none"/>
        </w:rPr>
      </w:pPr>
      <w:r>
        <w:rPr>
          <w:rFonts w:hint="eastAsia" w:hAnsi="宋体" w:cs="宋体"/>
          <w:color w:val="auto"/>
          <w:highlight w:val="none"/>
        </w:rPr>
        <w:t>9.2.1乙方施工所需机械设备均由乙方自行采购和提供，并符合工程施工和进度的要求。</w:t>
      </w:r>
    </w:p>
    <w:p w14:paraId="65ED0473">
      <w:pPr>
        <w:pStyle w:val="107"/>
        <w:ind w:firstLine="422"/>
        <w:rPr>
          <w:rFonts w:hAnsi="宋体" w:cs="宋体"/>
          <w:color w:val="auto"/>
          <w:highlight w:val="none"/>
        </w:rPr>
      </w:pPr>
    </w:p>
    <w:p w14:paraId="62A74955">
      <w:pPr>
        <w:pStyle w:val="107"/>
        <w:ind w:firstLine="422"/>
        <w:jc w:val="left"/>
        <w:rPr>
          <w:rFonts w:hAnsi="宋体" w:cs="宋体"/>
          <w:color w:val="auto"/>
          <w:highlight w:val="none"/>
        </w:rPr>
      </w:pPr>
      <w:r>
        <w:rPr>
          <w:rFonts w:hint="eastAsia" w:hAnsi="宋体" w:cs="宋体"/>
          <w:b/>
          <w:color w:val="auto"/>
          <w:highlight w:val="none"/>
        </w:rPr>
        <w:t>10 安全生产管理</w:t>
      </w:r>
    </w:p>
    <w:p w14:paraId="18062550">
      <w:pPr>
        <w:pStyle w:val="107"/>
        <w:tabs>
          <w:tab w:val="left" w:pos="1288"/>
        </w:tabs>
        <w:ind w:firstLine="480" w:firstLineChars="200"/>
        <w:rPr>
          <w:rFonts w:hAnsi="宋体" w:cs="宋体"/>
          <w:color w:val="auto"/>
          <w:highlight w:val="none"/>
        </w:rPr>
      </w:pPr>
      <w:r>
        <w:rPr>
          <w:rFonts w:hint="eastAsia" w:hAnsi="宋体" w:cs="宋体"/>
          <w:color w:val="auto"/>
          <w:highlight w:val="none"/>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14:paraId="50C77D03">
      <w:pPr>
        <w:pStyle w:val="107"/>
        <w:tabs>
          <w:tab w:val="left" w:pos="1288"/>
        </w:tabs>
        <w:ind w:firstLine="480" w:firstLineChars="200"/>
        <w:rPr>
          <w:rFonts w:hAnsi="宋体" w:cs="宋体"/>
          <w:color w:val="auto"/>
          <w:highlight w:val="none"/>
        </w:rPr>
      </w:pPr>
      <w:r>
        <w:rPr>
          <w:rFonts w:hint="eastAsia" w:hAnsi="宋体" w:cs="宋体"/>
          <w:color w:val="auto"/>
          <w:highlight w:val="none"/>
        </w:rPr>
        <w:t>10.2乙方应按规定对所属员工进行安全教育，并对其施工安全负责。乙方应服从甲方的安全生产管理，乙方不服从管理导致生产安全事故的，由乙方承担主要责任。</w:t>
      </w:r>
    </w:p>
    <w:p w14:paraId="768997BF">
      <w:pPr>
        <w:pStyle w:val="107"/>
        <w:ind w:firstLine="422"/>
        <w:rPr>
          <w:rFonts w:hAnsi="宋体" w:cs="宋体"/>
          <w:color w:val="auto"/>
          <w:highlight w:val="none"/>
        </w:rPr>
      </w:pPr>
      <w:r>
        <w:rPr>
          <w:rFonts w:hint="eastAsia" w:hAnsi="宋体" w:cs="宋体"/>
          <w:color w:val="auto"/>
          <w:highlight w:val="none"/>
        </w:rPr>
        <w:t>10.3乙方施工范围内安全防护设施的采购、提供、搭拆、保管和维护，由乙方负责实施并承担费用。劳动防护用品费用由乙方承担，并按安全生产相关规定进行用品发放、并督促员工正确使用劳动防护用品。</w:t>
      </w:r>
    </w:p>
    <w:p w14:paraId="0975AB6A">
      <w:pPr>
        <w:pStyle w:val="107"/>
        <w:ind w:firstLine="422"/>
        <w:rPr>
          <w:rFonts w:hAnsi="宋体" w:cs="宋体"/>
          <w:color w:val="auto"/>
          <w:highlight w:val="none"/>
        </w:rPr>
      </w:pPr>
    </w:p>
    <w:p w14:paraId="32CF206C">
      <w:pPr>
        <w:pStyle w:val="107"/>
        <w:ind w:firstLine="482" w:firstLineChars="200"/>
        <w:rPr>
          <w:rFonts w:hAnsi="宋体" w:cs="宋体"/>
          <w:color w:val="auto"/>
          <w:highlight w:val="none"/>
        </w:rPr>
      </w:pPr>
      <w:r>
        <w:rPr>
          <w:rFonts w:hint="eastAsia" w:hAnsi="宋体" w:cs="宋体"/>
          <w:b/>
          <w:color w:val="auto"/>
          <w:highlight w:val="none"/>
        </w:rPr>
        <w:t>11劳务管理</w:t>
      </w:r>
    </w:p>
    <w:p w14:paraId="12307835">
      <w:pPr>
        <w:pStyle w:val="107"/>
        <w:ind w:firstLine="480" w:firstLineChars="200"/>
        <w:rPr>
          <w:rFonts w:hAnsi="宋体" w:cs="宋体"/>
          <w:color w:val="auto"/>
          <w:highlight w:val="none"/>
        </w:rPr>
      </w:pPr>
      <w:r>
        <w:rPr>
          <w:rFonts w:hint="eastAsia" w:hAnsi="宋体" w:cs="宋体"/>
          <w:color w:val="auto"/>
          <w:highlight w:val="none"/>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14:paraId="1401CF4D">
      <w:pPr>
        <w:pStyle w:val="107"/>
        <w:ind w:firstLine="480" w:firstLineChars="200"/>
        <w:rPr>
          <w:rFonts w:hAnsi="宋体" w:cs="宋体"/>
          <w:color w:val="auto"/>
          <w:highlight w:val="none"/>
        </w:rPr>
      </w:pPr>
      <w:r>
        <w:rPr>
          <w:rFonts w:hint="eastAsia" w:hAnsi="宋体" w:cs="宋体"/>
          <w:color w:val="auto"/>
          <w:highlight w:val="none"/>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14:paraId="3B673173">
      <w:pPr>
        <w:pStyle w:val="107"/>
        <w:ind w:firstLine="480" w:firstLineChars="200"/>
        <w:rPr>
          <w:rFonts w:hAnsi="宋体" w:cs="宋体"/>
          <w:color w:val="auto"/>
          <w:highlight w:val="none"/>
        </w:rPr>
      </w:pPr>
      <w:r>
        <w:rPr>
          <w:rFonts w:hint="eastAsia" w:hAnsi="宋体" w:cs="宋体"/>
          <w:color w:val="auto"/>
          <w:highlight w:val="none"/>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14:paraId="40239822">
      <w:pPr>
        <w:pStyle w:val="107"/>
        <w:ind w:firstLine="422"/>
        <w:rPr>
          <w:rFonts w:hAnsi="宋体" w:cs="宋体"/>
          <w:color w:val="auto"/>
          <w:highlight w:val="none"/>
        </w:rPr>
      </w:pPr>
    </w:p>
    <w:p w14:paraId="58F22B4A">
      <w:pPr>
        <w:pStyle w:val="107"/>
        <w:ind w:firstLine="422"/>
        <w:jc w:val="left"/>
        <w:rPr>
          <w:rFonts w:hAnsi="宋体" w:cs="宋体"/>
          <w:b/>
          <w:color w:val="auto"/>
          <w:highlight w:val="none"/>
        </w:rPr>
      </w:pPr>
      <w:r>
        <w:rPr>
          <w:rFonts w:hint="eastAsia" w:hAnsi="宋体" w:cs="宋体"/>
          <w:b/>
          <w:color w:val="auto"/>
          <w:highlight w:val="none"/>
        </w:rPr>
        <w:t>12保险</w:t>
      </w:r>
    </w:p>
    <w:p w14:paraId="6E6B3584">
      <w:pPr>
        <w:pStyle w:val="107"/>
        <w:ind w:firstLine="422"/>
        <w:rPr>
          <w:rFonts w:hAnsi="宋体" w:cs="宋体"/>
          <w:color w:val="auto"/>
          <w:highlight w:val="none"/>
        </w:rPr>
      </w:pPr>
      <w:r>
        <w:rPr>
          <w:rFonts w:hint="eastAsia" w:hAnsi="宋体" w:cs="宋体"/>
          <w:color w:val="auto"/>
          <w:highlight w:val="none"/>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14:paraId="46C7ACC7">
      <w:pPr>
        <w:pStyle w:val="107"/>
        <w:ind w:firstLine="422"/>
        <w:rPr>
          <w:rFonts w:hAnsi="宋体" w:cs="宋体"/>
          <w:color w:val="auto"/>
          <w:highlight w:val="none"/>
        </w:rPr>
      </w:pPr>
      <w:r>
        <w:rPr>
          <w:rFonts w:hint="eastAsia" w:hAnsi="宋体" w:cs="宋体"/>
          <w:color w:val="auto"/>
          <w:highlight w:val="none"/>
        </w:rPr>
        <w:t>12.2除上一条款险种外，其他保险由乙方自行投保并承担费用，其中，高危等项目，乙方必须投保。乙方并将所有自行投保合同报甲方备案。</w:t>
      </w:r>
    </w:p>
    <w:p w14:paraId="0EE5312D">
      <w:pPr>
        <w:pStyle w:val="107"/>
        <w:ind w:firstLine="422"/>
        <w:rPr>
          <w:rFonts w:hAnsi="宋体" w:cs="宋体"/>
          <w:color w:val="auto"/>
          <w:highlight w:val="none"/>
        </w:rPr>
      </w:pPr>
    </w:p>
    <w:p w14:paraId="4760228D">
      <w:pPr>
        <w:pStyle w:val="107"/>
        <w:ind w:firstLine="422"/>
        <w:jc w:val="left"/>
        <w:rPr>
          <w:rFonts w:hAnsi="宋体" w:cs="宋体"/>
          <w:b/>
          <w:color w:val="auto"/>
          <w:highlight w:val="none"/>
        </w:rPr>
      </w:pPr>
      <w:r>
        <w:rPr>
          <w:rFonts w:hint="eastAsia" w:hAnsi="宋体" w:cs="宋体"/>
          <w:b/>
          <w:color w:val="auto"/>
          <w:highlight w:val="none"/>
        </w:rPr>
        <w:t>13现场管理</w:t>
      </w:r>
    </w:p>
    <w:p w14:paraId="6712F759">
      <w:pPr>
        <w:pStyle w:val="107"/>
        <w:ind w:firstLine="422"/>
        <w:rPr>
          <w:rFonts w:hAnsi="宋体" w:cs="宋体"/>
          <w:color w:val="auto"/>
          <w:highlight w:val="none"/>
        </w:rPr>
      </w:pPr>
      <w:r>
        <w:rPr>
          <w:rFonts w:hint="eastAsia" w:hAnsi="宋体" w:cs="宋体"/>
          <w:color w:val="auto"/>
          <w:highlight w:val="none"/>
        </w:rPr>
        <w:t>13.1乙方应做到文明施工，做到施工场地整洁有序，设立必要宣传、告示等标志、标牌。</w:t>
      </w:r>
    </w:p>
    <w:p w14:paraId="6661F257">
      <w:pPr>
        <w:pStyle w:val="107"/>
        <w:ind w:firstLine="422"/>
        <w:rPr>
          <w:rFonts w:hAnsi="宋体" w:cs="宋体"/>
          <w:color w:val="auto"/>
          <w:highlight w:val="none"/>
        </w:rPr>
      </w:pPr>
      <w:r>
        <w:rPr>
          <w:rFonts w:hint="eastAsia" w:hAnsi="宋体" w:cs="宋体"/>
          <w:color w:val="auto"/>
          <w:highlight w:val="none"/>
        </w:rPr>
        <w:t>13.2乙方施工所需的临时道路、桥梁等设施由方修建和维护，在使用中对临时设施有损坏时，乙方可通过甲方指出由损坏人给予修复或赔偿的要求。</w:t>
      </w:r>
    </w:p>
    <w:p w14:paraId="5E5BE403">
      <w:pPr>
        <w:pStyle w:val="107"/>
        <w:ind w:firstLine="422"/>
        <w:rPr>
          <w:rFonts w:hAnsi="宋体" w:cs="宋体"/>
          <w:color w:val="auto"/>
          <w:highlight w:val="none"/>
        </w:rPr>
      </w:pPr>
      <w:r>
        <w:rPr>
          <w:rFonts w:hint="eastAsia" w:hAnsi="宋体" w:cs="宋体"/>
          <w:color w:val="auto"/>
          <w:highlight w:val="none"/>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4E5CDCEB">
      <w:pPr>
        <w:pStyle w:val="107"/>
        <w:ind w:firstLine="422"/>
        <w:rPr>
          <w:rFonts w:hAnsi="宋体" w:cs="宋体"/>
          <w:color w:val="auto"/>
          <w:highlight w:val="none"/>
        </w:rPr>
      </w:pPr>
    </w:p>
    <w:p w14:paraId="30DE1498">
      <w:pPr>
        <w:pStyle w:val="107"/>
        <w:ind w:firstLine="422"/>
        <w:jc w:val="left"/>
        <w:rPr>
          <w:rFonts w:hAnsi="宋体" w:cs="宋体"/>
          <w:color w:val="auto"/>
          <w:highlight w:val="none"/>
        </w:rPr>
      </w:pPr>
      <w:r>
        <w:rPr>
          <w:rFonts w:hint="eastAsia" w:hAnsi="宋体" w:cs="宋体"/>
          <w:b/>
          <w:color w:val="auto"/>
          <w:highlight w:val="none"/>
        </w:rPr>
        <w:t>14违约责任</w:t>
      </w:r>
    </w:p>
    <w:p w14:paraId="1B507190">
      <w:pPr>
        <w:pStyle w:val="107"/>
        <w:ind w:firstLine="422"/>
        <w:rPr>
          <w:rFonts w:hAnsi="宋体" w:cs="宋体"/>
          <w:color w:val="auto"/>
          <w:highlight w:val="none"/>
        </w:rPr>
      </w:pPr>
      <w:r>
        <w:rPr>
          <w:rFonts w:hint="eastAsia" w:hAnsi="宋体" w:cs="宋体"/>
          <w:color w:val="auto"/>
          <w:highlight w:val="none"/>
        </w:rPr>
        <w:t>14.1 乙方分包的工程项目，不得再行转包或分包，否则将无条件被认为乙方违约，由此引起的一切责任、事故和损失由乙方负责。</w:t>
      </w:r>
    </w:p>
    <w:p w14:paraId="2AF5EC26">
      <w:pPr>
        <w:pStyle w:val="107"/>
        <w:ind w:firstLine="422"/>
        <w:rPr>
          <w:rFonts w:hAnsi="宋体" w:cs="宋体"/>
          <w:color w:val="auto"/>
          <w:highlight w:val="none"/>
        </w:rPr>
      </w:pPr>
      <w:r>
        <w:rPr>
          <w:rFonts w:hint="eastAsia" w:hAnsi="宋体" w:cs="宋体"/>
          <w:color w:val="auto"/>
          <w:highlight w:val="none"/>
        </w:rPr>
        <w:t>14.2在施工过程中经检验达不到验收规范和评定标准，不能保证工程质量，或因乙方原因造成发包人、监理人或有关部门的极大不满，则甲方有权终止合同，由此造成的损失由乙方承担。</w:t>
      </w:r>
    </w:p>
    <w:p w14:paraId="081AFA7A">
      <w:pPr>
        <w:pStyle w:val="107"/>
        <w:ind w:firstLine="422"/>
        <w:rPr>
          <w:rFonts w:hAnsi="宋体" w:cs="宋体"/>
          <w:color w:val="auto"/>
          <w:highlight w:val="none"/>
        </w:rPr>
      </w:pPr>
      <w:r>
        <w:rPr>
          <w:rFonts w:hint="eastAsia" w:hAnsi="宋体" w:cs="宋体"/>
          <w:color w:val="auto"/>
          <w:highlight w:val="none"/>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14:paraId="4F9D8C3B">
      <w:pPr>
        <w:pStyle w:val="107"/>
        <w:ind w:firstLine="422"/>
        <w:rPr>
          <w:rFonts w:hAnsi="宋体" w:cs="宋体"/>
          <w:color w:val="auto"/>
          <w:highlight w:val="none"/>
        </w:rPr>
      </w:pPr>
      <w:r>
        <w:rPr>
          <w:rFonts w:hint="eastAsia" w:hAnsi="宋体" w:cs="宋体"/>
          <w:color w:val="auto"/>
          <w:highlight w:val="none"/>
        </w:rPr>
        <w:t>14.4因乙方原因，出现下列情况之一的，甲方有权采取认为合理的一切措施进行处理，由此引起的损失由乙方承担。</w:t>
      </w:r>
    </w:p>
    <w:p w14:paraId="797443CF">
      <w:pPr>
        <w:pStyle w:val="107"/>
        <w:ind w:firstLine="422"/>
        <w:rPr>
          <w:rFonts w:hAnsi="宋体" w:cs="宋体"/>
          <w:color w:val="auto"/>
          <w:highlight w:val="none"/>
        </w:rPr>
      </w:pPr>
      <w:r>
        <w:rPr>
          <w:rFonts w:hint="eastAsia" w:hAnsi="宋体" w:cs="宋体"/>
          <w:color w:val="auto"/>
          <w:highlight w:val="none"/>
        </w:rPr>
        <w:t>14.4.1乙方的主要人员、机械设备及流动资金不能按时到位的，严重制约了工程的施工；</w:t>
      </w:r>
    </w:p>
    <w:p w14:paraId="043E20E2">
      <w:pPr>
        <w:pStyle w:val="107"/>
        <w:ind w:firstLine="422"/>
        <w:rPr>
          <w:rFonts w:hAnsi="宋体" w:cs="宋体"/>
          <w:color w:val="auto"/>
          <w:highlight w:val="none"/>
        </w:rPr>
      </w:pPr>
      <w:r>
        <w:rPr>
          <w:rFonts w:hint="eastAsia" w:hAnsi="宋体" w:cs="宋体"/>
          <w:color w:val="auto"/>
          <w:highlight w:val="none"/>
        </w:rPr>
        <w:t>14.4.2进度滞后该工程总体进度计划的10％或落到工程管理曲线下线以下的；</w:t>
      </w:r>
    </w:p>
    <w:p w14:paraId="627D26CB">
      <w:pPr>
        <w:pStyle w:val="107"/>
        <w:ind w:firstLine="422"/>
        <w:rPr>
          <w:rFonts w:hAnsi="宋体" w:cs="宋体"/>
          <w:color w:val="auto"/>
          <w:highlight w:val="none"/>
        </w:rPr>
      </w:pPr>
      <w:r>
        <w:rPr>
          <w:rFonts w:hint="eastAsia" w:hAnsi="宋体" w:cs="宋体"/>
          <w:color w:val="auto"/>
          <w:highlight w:val="none"/>
        </w:rPr>
        <w:t>14.4.3不按施工技术规范和标准要求施工，造成工程质量低劣的达不到验收标准的；</w:t>
      </w:r>
    </w:p>
    <w:p w14:paraId="282ED69C">
      <w:pPr>
        <w:pStyle w:val="107"/>
        <w:ind w:firstLine="422"/>
        <w:rPr>
          <w:rFonts w:hAnsi="宋体" w:cs="宋体"/>
          <w:color w:val="auto"/>
          <w:highlight w:val="none"/>
        </w:rPr>
      </w:pPr>
      <w:r>
        <w:rPr>
          <w:rFonts w:hint="eastAsia" w:hAnsi="宋体" w:cs="宋体"/>
          <w:color w:val="auto"/>
          <w:highlight w:val="none"/>
        </w:rPr>
        <w:t>14.4. 4不遵守甲方的管理，不能服从发包人和监理人的指令，造成工程不能管理无法推进。</w:t>
      </w:r>
    </w:p>
    <w:p w14:paraId="03020957">
      <w:pPr>
        <w:pStyle w:val="107"/>
        <w:ind w:firstLine="422"/>
        <w:rPr>
          <w:rFonts w:hAnsi="宋体" w:cs="宋体"/>
          <w:color w:val="auto"/>
          <w:highlight w:val="none"/>
        </w:rPr>
      </w:pPr>
      <w:r>
        <w:rPr>
          <w:rFonts w:hint="eastAsia" w:hAnsi="宋体" w:cs="宋体"/>
          <w:color w:val="auto"/>
          <w:highlight w:val="none"/>
        </w:rPr>
        <w:t>14.5乙方应按本合同规定的工期及质量要求完成，否则应偿付给甲方元/天的逾期违约金，限额为％本合同的签约合同价。</w:t>
      </w:r>
    </w:p>
    <w:p w14:paraId="5080B760">
      <w:pPr>
        <w:pStyle w:val="107"/>
        <w:ind w:firstLine="422"/>
        <w:rPr>
          <w:rFonts w:hAnsi="宋体" w:cs="宋体"/>
          <w:color w:val="auto"/>
          <w:highlight w:val="none"/>
        </w:rPr>
      </w:pPr>
    </w:p>
    <w:p w14:paraId="125213AC">
      <w:pPr>
        <w:pStyle w:val="107"/>
        <w:ind w:firstLine="422"/>
        <w:jc w:val="left"/>
        <w:rPr>
          <w:rFonts w:hAnsi="宋体" w:cs="宋体"/>
          <w:b/>
          <w:color w:val="auto"/>
          <w:highlight w:val="none"/>
        </w:rPr>
      </w:pPr>
      <w:r>
        <w:rPr>
          <w:rFonts w:hint="eastAsia" w:hAnsi="宋体" w:cs="宋体"/>
          <w:b/>
          <w:color w:val="auto"/>
          <w:highlight w:val="none"/>
        </w:rPr>
        <w:t>15 附则</w:t>
      </w:r>
    </w:p>
    <w:p w14:paraId="5504F55A">
      <w:pPr>
        <w:pStyle w:val="107"/>
        <w:ind w:firstLine="422"/>
        <w:rPr>
          <w:rFonts w:hAnsi="宋体" w:cs="宋体"/>
          <w:color w:val="auto"/>
          <w:highlight w:val="none"/>
        </w:rPr>
      </w:pPr>
      <w:r>
        <w:rPr>
          <w:rFonts w:hint="eastAsia" w:hAnsi="宋体" w:cs="宋体"/>
          <w:color w:val="auto"/>
          <w:highlight w:val="none"/>
        </w:rPr>
        <w:t>15.1合同生效：本合同经甲乙双方签字盖章后，须经驻地监理办审查，报发包人备案之日起生效。</w:t>
      </w:r>
    </w:p>
    <w:p w14:paraId="39032377">
      <w:pPr>
        <w:pStyle w:val="107"/>
        <w:ind w:firstLine="422"/>
        <w:rPr>
          <w:rFonts w:hAnsi="宋体" w:cs="宋体"/>
          <w:color w:val="auto"/>
          <w:highlight w:val="none"/>
        </w:rPr>
      </w:pPr>
      <w:r>
        <w:rPr>
          <w:rFonts w:hint="eastAsia" w:hAnsi="宋体" w:cs="宋体"/>
          <w:color w:val="auto"/>
          <w:highlight w:val="none"/>
        </w:rPr>
        <w:t>15.2合同终止日期：在全部工程竣工，办理竣工验收款项结清后失效。</w:t>
      </w:r>
    </w:p>
    <w:p w14:paraId="59B45B8D">
      <w:pPr>
        <w:pStyle w:val="107"/>
        <w:ind w:firstLine="422"/>
        <w:rPr>
          <w:rFonts w:hAnsi="宋体" w:cs="宋体"/>
          <w:color w:val="auto"/>
          <w:highlight w:val="none"/>
        </w:rPr>
      </w:pPr>
      <w:r>
        <w:rPr>
          <w:rFonts w:hint="eastAsia" w:hAnsi="宋体" w:cs="宋体"/>
          <w:color w:val="auto"/>
          <w:highlight w:val="none"/>
        </w:rPr>
        <w:t>15.3本合同发生纠纷时，甲乙双方应及时协商解决。若协商不成时，可按以下第项解决：(a)向工程所在地经济合同仲裁委员会申请仲裁，(b)向人民法院起诉。</w:t>
      </w:r>
    </w:p>
    <w:p w14:paraId="568E1D47">
      <w:pPr>
        <w:pStyle w:val="107"/>
        <w:ind w:firstLine="422"/>
        <w:rPr>
          <w:rFonts w:hAnsi="宋体" w:cs="宋体"/>
          <w:color w:val="auto"/>
          <w:highlight w:val="none"/>
        </w:rPr>
      </w:pPr>
      <w:r>
        <w:rPr>
          <w:rFonts w:hint="eastAsia" w:hAnsi="宋体" w:cs="宋体"/>
          <w:color w:val="auto"/>
          <w:highlight w:val="none"/>
        </w:rPr>
        <w:t>15.4本合同要求鉴证(公证)的，可向工程所在地的市(县)工商行政管理局进行鉴证或公证处公证。</w:t>
      </w:r>
    </w:p>
    <w:p w14:paraId="61C0B1F4">
      <w:pPr>
        <w:pStyle w:val="107"/>
        <w:ind w:firstLine="422"/>
        <w:rPr>
          <w:rFonts w:hAnsi="宋体" w:cs="宋体"/>
          <w:color w:val="auto"/>
          <w:highlight w:val="none"/>
        </w:rPr>
      </w:pPr>
      <w:r>
        <w:rPr>
          <w:rFonts w:hint="eastAsia" w:hAnsi="宋体" w:cs="宋体"/>
          <w:color w:val="auto"/>
          <w:highlight w:val="none"/>
        </w:rPr>
        <w:t>15.5本合同一式份，甲乙双方各执正本一份，副本份，驻地监理办、发包人备案各一份。</w:t>
      </w:r>
    </w:p>
    <w:p w14:paraId="1BC29BA8">
      <w:pPr>
        <w:pStyle w:val="107"/>
        <w:ind w:firstLine="422"/>
        <w:rPr>
          <w:rFonts w:hAnsi="宋体" w:cs="宋体"/>
          <w:color w:val="auto"/>
          <w:highlight w:val="none"/>
        </w:rPr>
      </w:pPr>
      <w:r>
        <w:rPr>
          <w:rFonts w:hint="eastAsia" w:hAnsi="宋体" w:cs="宋体"/>
          <w:color w:val="auto"/>
          <w:highlight w:val="none"/>
        </w:rPr>
        <w:t>15.6 双方商定的补充条款：</w:t>
      </w:r>
    </w:p>
    <w:p w14:paraId="3D4031F2">
      <w:pPr>
        <w:pStyle w:val="107"/>
        <w:ind w:firstLine="422"/>
        <w:rPr>
          <w:rFonts w:hAnsi="宋体" w:cs="宋体"/>
          <w:color w:val="auto"/>
          <w:highlight w:val="none"/>
        </w:rPr>
      </w:pPr>
      <w:r>
        <w:rPr>
          <w:rFonts w:hint="eastAsia" w:hAnsi="宋体" w:cs="宋体"/>
          <w:color w:val="auto"/>
          <w:highlight w:val="none"/>
        </w:rPr>
        <w:t xml:space="preserve">    1.</w:t>
      </w:r>
    </w:p>
    <w:p w14:paraId="3BFBD87C">
      <w:pPr>
        <w:pStyle w:val="107"/>
        <w:ind w:firstLine="422"/>
        <w:rPr>
          <w:rFonts w:hAnsi="宋体" w:cs="宋体"/>
          <w:color w:val="auto"/>
          <w:highlight w:val="none"/>
        </w:rPr>
      </w:pPr>
      <w:r>
        <w:rPr>
          <w:rFonts w:hint="eastAsia" w:hAnsi="宋体" w:cs="宋体"/>
          <w:color w:val="auto"/>
          <w:highlight w:val="none"/>
        </w:rPr>
        <w:t xml:space="preserve">    2.</w:t>
      </w:r>
    </w:p>
    <w:p w14:paraId="1612F9E1">
      <w:pPr>
        <w:pStyle w:val="107"/>
        <w:ind w:firstLine="960" w:firstLineChars="400"/>
        <w:rPr>
          <w:rFonts w:hAnsi="宋体" w:cs="宋体"/>
          <w:color w:val="auto"/>
          <w:highlight w:val="none"/>
        </w:rPr>
      </w:pPr>
      <w:r>
        <w:rPr>
          <w:rFonts w:hint="eastAsia" w:hAnsi="宋体" w:cs="宋体"/>
          <w:color w:val="auto"/>
          <w:highlight w:val="none"/>
        </w:rPr>
        <w:t>……</w:t>
      </w:r>
    </w:p>
    <w:p w14:paraId="071BB825">
      <w:pPr>
        <w:pStyle w:val="107"/>
        <w:ind w:firstLine="960" w:firstLineChars="400"/>
        <w:rPr>
          <w:rFonts w:hAnsi="宋体" w:cs="宋体"/>
          <w:color w:val="auto"/>
          <w:highlight w:val="none"/>
        </w:rPr>
      </w:pPr>
    </w:p>
    <w:p w14:paraId="0CEEF855">
      <w:pPr>
        <w:pStyle w:val="107"/>
        <w:ind w:firstLine="422"/>
        <w:rPr>
          <w:rFonts w:hAnsi="宋体" w:cs="宋体"/>
          <w:color w:val="auto"/>
          <w:highlight w:val="none"/>
        </w:rPr>
      </w:pPr>
      <w:r>
        <w:rPr>
          <w:rFonts w:hint="eastAsia" w:hAnsi="宋体" w:cs="宋体"/>
          <w:color w:val="auto"/>
          <w:highlight w:val="none"/>
        </w:rPr>
        <w:t>15.7本合同未尽事宜，发包人与甲方签订总包合同的相关条款已有的，按其办理；未涉及的，按照本工程合同文件的精神，甲乙双方协商解决。</w:t>
      </w:r>
    </w:p>
    <w:p w14:paraId="68452384">
      <w:pPr>
        <w:pStyle w:val="107"/>
        <w:ind w:firstLine="960" w:firstLineChars="400"/>
        <w:rPr>
          <w:rFonts w:hAnsi="宋体" w:cs="宋体"/>
          <w:color w:val="auto"/>
          <w:highlight w:val="none"/>
        </w:rPr>
      </w:pPr>
    </w:p>
    <w:p w14:paraId="491319D1">
      <w:pPr>
        <w:pStyle w:val="107"/>
        <w:rPr>
          <w:rFonts w:hAnsi="宋体" w:cs="宋体"/>
          <w:b/>
          <w:color w:val="auto"/>
          <w:highlight w:val="none"/>
        </w:rPr>
      </w:pPr>
      <w:r>
        <w:rPr>
          <w:rFonts w:hint="eastAsia" w:hAnsi="宋体" w:cs="宋体"/>
          <w:b/>
          <w:color w:val="auto"/>
          <w:highlight w:val="none"/>
        </w:rPr>
        <w:t>合同附件：</w:t>
      </w:r>
    </w:p>
    <w:p w14:paraId="6C98A20D">
      <w:pPr>
        <w:pStyle w:val="107"/>
        <w:ind w:firstLine="484" w:firstLineChars="202"/>
        <w:rPr>
          <w:rFonts w:hAnsi="宋体" w:cs="宋体"/>
          <w:color w:val="auto"/>
          <w:highlight w:val="none"/>
        </w:rPr>
      </w:pPr>
      <w:r>
        <w:rPr>
          <w:rFonts w:hint="eastAsia" w:hAnsi="宋体" w:cs="宋体"/>
          <w:color w:val="auto"/>
          <w:highlight w:val="none"/>
        </w:rPr>
        <w:t>(一)分包人营业执照复印件。</w:t>
      </w:r>
    </w:p>
    <w:p w14:paraId="1FFDC49B">
      <w:pPr>
        <w:pStyle w:val="107"/>
        <w:ind w:firstLine="484" w:firstLineChars="202"/>
        <w:rPr>
          <w:rFonts w:hAnsi="宋体" w:cs="宋体"/>
          <w:color w:val="auto"/>
          <w:highlight w:val="none"/>
        </w:rPr>
      </w:pPr>
      <w:r>
        <w:rPr>
          <w:rFonts w:hint="eastAsia" w:hAnsi="宋体" w:cs="宋体"/>
          <w:color w:val="auto"/>
          <w:highlight w:val="none"/>
        </w:rPr>
        <w:t>(二)分包人有关企业信息介绍等资料。</w:t>
      </w:r>
    </w:p>
    <w:p w14:paraId="6DB17EF3">
      <w:pPr>
        <w:pStyle w:val="107"/>
        <w:ind w:firstLine="484" w:firstLineChars="202"/>
        <w:rPr>
          <w:rFonts w:hAnsi="宋体" w:cs="宋体"/>
          <w:color w:val="auto"/>
          <w:highlight w:val="none"/>
        </w:rPr>
      </w:pPr>
      <w:r>
        <w:rPr>
          <w:rFonts w:hint="eastAsia" w:hAnsi="宋体" w:cs="宋体"/>
          <w:color w:val="auto"/>
          <w:highlight w:val="none"/>
        </w:rPr>
        <w:t>(三)分包管理人员身份证、资格证书、职称证书、劳动合同关系材料复印件。</w:t>
      </w:r>
    </w:p>
    <w:p w14:paraId="5609736D">
      <w:pPr>
        <w:pStyle w:val="107"/>
        <w:ind w:firstLine="484" w:firstLineChars="202"/>
        <w:rPr>
          <w:rFonts w:hAnsi="宋体" w:cs="宋体"/>
          <w:color w:val="auto"/>
          <w:highlight w:val="none"/>
        </w:rPr>
      </w:pPr>
      <w:r>
        <w:rPr>
          <w:rFonts w:hint="eastAsia" w:hAnsi="宋体" w:cs="宋体"/>
          <w:color w:val="auto"/>
          <w:highlight w:val="none"/>
        </w:rPr>
        <w:t>(四)分包人拟投入的主要管理人员表（附表1）</w:t>
      </w:r>
    </w:p>
    <w:p w14:paraId="7F2CE241">
      <w:pPr>
        <w:pStyle w:val="107"/>
        <w:ind w:firstLine="484" w:firstLineChars="202"/>
        <w:rPr>
          <w:rFonts w:hAnsi="宋体" w:cs="宋体"/>
          <w:color w:val="auto"/>
          <w:highlight w:val="none"/>
        </w:rPr>
      </w:pPr>
      <w:r>
        <w:rPr>
          <w:rFonts w:hint="eastAsia" w:hAnsi="宋体" w:cs="宋体"/>
          <w:color w:val="auto"/>
          <w:highlight w:val="none"/>
        </w:rPr>
        <w:t>(五)分包人拟投入的主要机械设备表（附表2)</w:t>
      </w:r>
    </w:p>
    <w:p w14:paraId="4FE9F8C7">
      <w:pPr>
        <w:pStyle w:val="107"/>
        <w:ind w:firstLine="484" w:firstLineChars="202"/>
        <w:rPr>
          <w:rFonts w:hAnsi="宋体" w:cs="宋体"/>
          <w:color w:val="auto"/>
          <w:highlight w:val="none"/>
        </w:rPr>
      </w:pPr>
      <w:r>
        <w:rPr>
          <w:rFonts w:hint="eastAsia" w:hAnsi="宋体" w:cs="宋体"/>
          <w:color w:val="auto"/>
          <w:highlight w:val="none"/>
        </w:rPr>
        <w:t>(六)分包专项工程工程量清单(附表3)</w:t>
      </w:r>
    </w:p>
    <w:p w14:paraId="7AF591DF">
      <w:pPr>
        <w:pStyle w:val="107"/>
        <w:ind w:firstLine="484" w:firstLineChars="202"/>
        <w:rPr>
          <w:rFonts w:hAnsi="宋体" w:cs="宋体"/>
          <w:color w:val="auto"/>
          <w:highlight w:val="none"/>
        </w:rPr>
      </w:pPr>
      <w:r>
        <w:rPr>
          <w:rFonts w:hint="eastAsia" w:hAnsi="宋体" w:cs="宋体"/>
          <w:color w:val="auto"/>
          <w:highlight w:val="none"/>
        </w:rPr>
        <w:t>(五)承包人供应的材料清单 (附表4)。</w:t>
      </w:r>
    </w:p>
    <w:p w14:paraId="1A942905">
      <w:pPr>
        <w:pStyle w:val="107"/>
        <w:ind w:firstLine="480"/>
        <w:rPr>
          <w:rFonts w:hAnsi="宋体" w:cs="宋体"/>
          <w:color w:val="auto"/>
          <w:highlight w:val="none"/>
        </w:rPr>
      </w:pPr>
      <w:r>
        <w:rPr>
          <w:rFonts w:hint="eastAsia" w:hAnsi="宋体" w:cs="宋体"/>
          <w:color w:val="auto"/>
          <w:highlight w:val="none"/>
        </w:rPr>
        <w:t>(六)其它：</w:t>
      </w:r>
    </w:p>
    <w:p w14:paraId="5E05DCA3">
      <w:pPr>
        <w:pStyle w:val="107"/>
        <w:ind w:firstLine="480"/>
        <w:rPr>
          <w:rFonts w:hAnsi="宋体" w:cs="宋体"/>
          <w:color w:val="auto"/>
          <w:highlight w:val="none"/>
        </w:rPr>
      </w:pPr>
    </w:p>
    <w:p w14:paraId="450AFB36">
      <w:pPr>
        <w:pStyle w:val="107"/>
        <w:ind w:firstLine="480"/>
        <w:rPr>
          <w:rFonts w:hAnsi="宋体" w:cs="宋体"/>
          <w:color w:val="auto"/>
          <w:highlight w:val="none"/>
        </w:rPr>
      </w:pPr>
    </w:p>
    <w:p w14:paraId="6908D0C1">
      <w:pPr>
        <w:pStyle w:val="107"/>
        <w:ind w:firstLine="480"/>
        <w:rPr>
          <w:rFonts w:hAnsi="宋体" w:cs="宋体"/>
          <w:color w:val="auto"/>
          <w:highlight w:val="none"/>
        </w:rPr>
      </w:pPr>
    </w:p>
    <w:p w14:paraId="4817469A">
      <w:pPr>
        <w:pStyle w:val="107"/>
        <w:ind w:firstLine="480"/>
        <w:rPr>
          <w:rFonts w:hAnsi="宋体" w:cs="宋体"/>
          <w:color w:val="auto"/>
          <w:highlight w:val="none"/>
        </w:rPr>
      </w:pPr>
    </w:p>
    <w:p w14:paraId="1F97E2E8">
      <w:pPr>
        <w:pStyle w:val="107"/>
        <w:rPr>
          <w:rFonts w:hAnsi="宋体" w:cs="宋体"/>
          <w:color w:val="auto"/>
          <w:highlight w:val="none"/>
        </w:rPr>
      </w:pPr>
      <w:r>
        <w:rPr>
          <w:rFonts w:hint="eastAsia" w:hAnsi="宋体" w:cs="宋体"/>
          <w:color w:val="auto"/>
          <w:highlight w:val="none"/>
        </w:rPr>
        <w:t>甲  方：(盖章)                           乙  方：(盖章)</w:t>
      </w:r>
    </w:p>
    <w:p w14:paraId="3A406C4A">
      <w:pPr>
        <w:pStyle w:val="107"/>
        <w:rPr>
          <w:rFonts w:hAnsi="宋体" w:cs="宋体"/>
          <w:color w:val="auto"/>
          <w:highlight w:val="none"/>
        </w:rPr>
      </w:pPr>
      <w:r>
        <w:rPr>
          <w:rFonts w:hint="eastAsia" w:hAnsi="宋体" w:cs="宋体"/>
          <w:color w:val="auto"/>
          <w:highlight w:val="none"/>
        </w:rPr>
        <w:t>法定代表人：(签字)                       法定代表人：(签字)</w:t>
      </w:r>
    </w:p>
    <w:p w14:paraId="1CDE6DFE">
      <w:pPr>
        <w:pStyle w:val="107"/>
        <w:rPr>
          <w:rFonts w:hAnsi="宋体" w:cs="宋体"/>
          <w:color w:val="auto"/>
          <w:highlight w:val="none"/>
        </w:rPr>
      </w:pPr>
      <w:r>
        <w:rPr>
          <w:rFonts w:hint="eastAsia" w:hAnsi="宋体" w:cs="宋体"/>
          <w:color w:val="auto"/>
          <w:highlight w:val="none"/>
        </w:rPr>
        <w:t>委托代理人：(签字)                       委托代理人：(签字)</w:t>
      </w:r>
    </w:p>
    <w:p w14:paraId="3D049D63">
      <w:pPr>
        <w:pStyle w:val="107"/>
        <w:rPr>
          <w:rFonts w:hAnsi="宋体" w:cs="宋体"/>
          <w:color w:val="auto"/>
          <w:highlight w:val="none"/>
        </w:rPr>
      </w:pPr>
      <w:r>
        <w:rPr>
          <w:rFonts w:hint="eastAsia" w:hAnsi="宋体" w:cs="宋体"/>
          <w:color w:val="auto"/>
          <w:highlight w:val="none"/>
        </w:rPr>
        <w:t>地    址：                              地    址：</w:t>
      </w:r>
    </w:p>
    <w:p w14:paraId="7409788A">
      <w:pPr>
        <w:pStyle w:val="107"/>
        <w:rPr>
          <w:rFonts w:hAnsi="宋体" w:cs="宋体"/>
          <w:color w:val="auto"/>
          <w:highlight w:val="none"/>
        </w:rPr>
      </w:pPr>
      <w:r>
        <w:rPr>
          <w:rFonts w:hint="eastAsia" w:hAnsi="宋体" w:cs="宋体"/>
          <w:color w:val="auto"/>
          <w:highlight w:val="none"/>
        </w:rPr>
        <w:t>邮政编码：                              邮政编码：</w:t>
      </w:r>
    </w:p>
    <w:p w14:paraId="1108B61B">
      <w:pPr>
        <w:pStyle w:val="107"/>
        <w:rPr>
          <w:rFonts w:hAnsi="宋体" w:cs="宋体"/>
          <w:color w:val="auto"/>
          <w:highlight w:val="none"/>
        </w:rPr>
      </w:pPr>
      <w:r>
        <w:rPr>
          <w:rFonts w:hint="eastAsia" w:hAnsi="宋体" w:cs="宋体"/>
          <w:color w:val="auto"/>
          <w:highlight w:val="none"/>
        </w:rPr>
        <w:t>电    话：                              电    话：</w:t>
      </w:r>
    </w:p>
    <w:p w14:paraId="5B6592E4">
      <w:pPr>
        <w:pStyle w:val="107"/>
        <w:rPr>
          <w:rFonts w:hAnsi="宋体" w:cs="宋体"/>
          <w:color w:val="auto"/>
          <w:highlight w:val="none"/>
        </w:rPr>
      </w:pPr>
      <w:r>
        <w:rPr>
          <w:rFonts w:hint="eastAsia" w:hAnsi="宋体" w:cs="宋体"/>
          <w:color w:val="auto"/>
          <w:highlight w:val="none"/>
        </w:rPr>
        <w:t>传  真：                                传    真：</w:t>
      </w:r>
    </w:p>
    <w:p w14:paraId="42FB3779">
      <w:pPr>
        <w:pStyle w:val="107"/>
        <w:rPr>
          <w:rFonts w:hAnsi="宋体" w:cs="宋体"/>
          <w:color w:val="auto"/>
          <w:highlight w:val="none"/>
        </w:rPr>
      </w:pPr>
      <w:r>
        <w:rPr>
          <w:rFonts w:hint="eastAsia" w:hAnsi="宋体" w:cs="宋体"/>
          <w:color w:val="auto"/>
          <w:highlight w:val="none"/>
        </w:rPr>
        <w:t>开户银行：                              开户银行：</w:t>
      </w:r>
    </w:p>
    <w:p w14:paraId="367E8CFB">
      <w:pPr>
        <w:pStyle w:val="107"/>
        <w:rPr>
          <w:rFonts w:hAnsi="宋体" w:cs="宋体"/>
          <w:color w:val="auto"/>
          <w:highlight w:val="none"/>
        </w:rPr>
      </w:pPr>
      <w:r>
        <w:rPr>
          <w:rFonts w:hint="eastAsia" w:hAnsi="宋体" w:cs="宋体"/>
          <w:color w:val="auto"/>
          <w:highlight w:val="none"/>
        </w:rPr>
        <w:t>银行帐号：                              银行帐号：</w:t>
      </w:r>
    </w:p>
    <w:p w14:paraId="4BA9DC83">
      <w:pPr>
        <w:pStyle w:val="107"/>
        <w:rPr>
          <w:rFonts w:hAnsi="宋体" w:cs="宋体"/>
          <w:color w:val="auto"/>
          <w:highlight w:val="none"/>
        </w:rPr>
      </w:pPr>
      <w:r>
        <w:rPr>
          <w:rFonts w:hint="eastAsia" w:hAnsi="宋体" w:cs="宋体"/>
          <w:color w:val="auto"/>
          <w:highlight w:val="none"/>
        </w:rPr>
        <w:t>签订时间：                              签订时间：</w:t>
      </w:r>
    </w:p>
    <w:p w14:paraId="29471182">
      <w:pPr>
        <w:pStyle w:val="107"/>
        <w:jc w:val="center"/>
        <w:rPr>
          <w:rFonts w:hAnsi="宋体" w:cs="宋体"/>
          <w:b/>
          <w:color w:val="auto"/>
          <w:sz w:val="28"/>
          <w:szCs w:val="28"/>
          <w:highlight w:val="none"/>
        </w:rPr>
      </w:pPr>
      <w:r>
        <w:rPr>
          <w:rFonts w:hint="eastAsia" w:hAnsi="宋体" w:cs="宋体"/>
          <w:color w:val="auto"/>
          <w:sz w:val="32"/>
          <w:szCs w:val="32"/>
          <w:highlight w:val="none"/>
        </w:rPr>
        <w:br w:type="page"/>
      </w:r>
      <w:r>
        <w:rPr>
          <w:rFonts w:hint="eastAsia" w:hAnsi="宋体" w:cs="宋体"/>
          <w:b/>
          <w:color w:val="auto"/>
          <w:sz w:val="28"/>
          <w:szCs w:val="28"/>
          <w:highlight w:val="none"/>
        </w:rPr>
        <w:t>附表1：分包人投入人员表</w:t>
      </w:r>
    </w:p>
    <w:p w14:paraId="73851CA0">
      <w:pPr>
        <w:pStyle w:val="107"/>
        <w:rPr>
          <w:rFonts w:hAnsi="宋体" w:cs="宋体"/>
          <w:color w:val="auto"/>
          <w:highlight w:val="none"/>
        </w:rPr>
      </w:pPr>
      <w:r>
        <w:rPr>
          <w:rFonts w:hint="eastAsia" w:hAnsi="宋体" w:cs="宋体"/>
          <w:color w:val="auto"/>
          <w:highlight w:val="none"/>
        </w:rPr>
        <w:t>工程项目：                                  合同段：</w:t>
      </w:r>
    </w:p>
    <w:p w14:paraId="66C7A72F">
      <w:pPr>
        <w:pStyle w:val="107"/>
        <w:rPr>
          <w:rFonts w:hAnsi="宋体" w:cs="宋体"/>
          <w:b/>
          <w:bCs/>
          <w:color w:val="auto"/>
          <w:highlight w:val="none"/>
        </w:rPr>
      </w:pPr>
      <w:r>
        <w:rPr>
          <w:rFonts w:hint="eastAsia" w:hAnsi="宋体" w:cs="宋体"/>
          <w:color w:val="auto"/>
          <w:highlight w:val="none"/>
        </w:rPr>
        <w:t xml:space="preserve">分包专项工程：                              分包人：                 </w:t>
      </w: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14:paraId="4B65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14:paraId="0772B5E5">
            <w:pPr>
              <w:pStyle w:val="107"/>
              <w:jc w:val="center"/>
              <w:rPr>
                <w:rFonts w:hAnsi="宋体" w:cs="宋体"/>
                <w:color w:val="auto"/>
                <w:szCs w:val="21"/>
                <w:highlight w:val="none"/>
              </w:rPr>
            </w:pPr>
            <w:r>
              <w:rPr>
                <w:rFonts w:hint="eastAsia" w:hAnsi="宋体" w:cs="宋体"/>
                <w:color w:val="auto"/>
                <w:szCs w:val="21"/>
                <w:highlight w:val="none"/>
              </w:rPr>
              <w:t>岗位</w:t>
            </w:r>
          </w:p>
          <w:p w14:paraId="1AF3CFA2">
            <w:pPr>
              <w:pStyle w:val="107"/>
              <w:jc w:val="center"/>
              <w:rPr>
                <w:rFonts w:hAnsi="宋体" w:cs="宋体"/>
                <w:color w:val="auto"/>
                <w:szCs w:val="21"/>
                <w:highlight w:val="none"/>
              </w:rPr>
            </w:pPr>
            <w:r>
              <w:rPr>
                <w:rFonts w:hint="eastAsia" w:hAnsi="宋体" w:cs="宋体"/>
                <w:color w:val="auto"/>
                <w:szCs w:val="21"/>
                <w:highlight w:val="none"/>
              </w:rPr>
              <w:t>名称</w:t>
            </w:r>
          </w:p>
        </w:tc>
        <w:tc>
          <w:tcPr>
            <w:tcW w:w="1080" w:type="dxa"/>
            <w:vAlign w:val="center"/>
          </w:tcPr>
          <w:p w14:paraId="0BE645A5">
            <w:pPr>
              <w:pStyle w:val="107"/>
              <w:jc w:val="center"/>
              <w:rPr>
                <w:rFonts w:hAnsi="宋体" w:cs="宋体"/>
                <w:color w:val="auto"/>
                <w:szCs w:val="21"/>
                <w:highlight w:val="none"/>
              </w:rPr>
            </w:pPr>
            <w:r>
              <w:rPr>
                <w:rFonts w:hint="eastAsia" w:hAnsi="宋体" w:cs="宋体"/>
                <w:color w:val="auto"/>
                <w:szCs w:val="21"/>
                <w:highlight w:val="none"/>
              </w:rPr>
              <w:t>姓名</w:t>
            </w:r>
          </w:p>
        </w:tc>
        <w:tc>
          <w:tcPr>
            <w:tcW w:w="1980" w:type="dxa"/>
            <w:vAlign w:val="center"/>
          </w:tcPr>
          <w:p w14:paraId="70A376EA">
            <w:pPr>
              <w:pStyle w:val="107"/>
              <w:jc w:val="center"/>
              <w:rPr>
                <w:rFonts w:hAnsi="宋体" w:cs="宋体"/>
                <w:color w:val="auto"/>
                <w:szCs w:val="21"/>
                <w:highlight w:val="none"/>
              </w:rPr>
            </w:pPr>
            <w:r>
              <w:rPr>
                <w:rFonts w:hint="eastAsia" w:hAnsi="宋体" w:cs="宋体"/>
                <w:color w:val="auto"/>
                <w:szCs w:val="21"/>
                <w:highlight w:val="none"/>
              </w:rPr>
              <w:t>身份证号</w:t>
            </w:r>
          </w:p>
        </w:tc>
        <w:tc>
          <w:tcPr>
            <w:tcW w:w="1025" w:type="dxa"/>
            <w:vAlign w:val="center"/>
          </w:tcPr>
          <w:p w14:paraId="659620A9">
            <w:pPr>
              <w:pStyle w:val="107"/>
              <w:jc w:val="center"/>
              <w:rPr>
                <w:rFonts w:hAnsi="宋体" w:cs="宋体"/>
                <w:color w:val="auto"/>
                <w:szCs w:val="21"/>
                <w:highlight w:val="none"/>
              </w:rPr>
            </w:pPr>
            <w:r>
              <w:rPr>
                <w:rFonts w:hint="eastAsia" w:hAnsi="宋体" w:cs="宋体"/>
                <w:color w:val="auto"/>
                <w:szCs w:val="21"/>
                <w:highlight w:val="none"/>
              </w:rPr>
              <w:t>职称</w:t>
            </w:r>
          </w:p>
        </w:tc>
        <w:tc>
          <w:tcPr>
            <w:tcW w:w="1339" w:type="dxa"/>
            <w:vAlign w:val="center"/>
          </w:tcPr>
          <w:p w14:paraId="67DE5714">
            <w:pPr>
              <w:pStyle w:val="107"/>
              <w:jc w:val="center"/>
              <w:rPr>
                <w:rFonts w:hAnsi="宋体" w:cs="宋体"/>
                <w:color w:val="auto"/>
                <w:szCs w:val="21"/>
                <w:highlight w:val="none"/>
              </w:rPr>
            </w:pPr>
            <w:r>
              <w:rPr>
                <w:rFonts w:hint="eastAsia" w:hAnsi="宋体" w:cs="宋体"/>
                <w:color w:val="auto"/>
                <w:szCs w:val="21"/>
                <w:highlight w:val="none"/>
              </w:rPr>
              <w:t>资格</w:t>
            </w:r>
          </w:p>
        </w:tc>
        <w:tc>
          <w:tcPr>
            <w:tcW w:w="1355" w:type="dxa"/>
            <w:vAlign w:val="center"/>
          </w:tcPr>
          <w:p w14:paraId="1426A2D3">
            <w:pPr>
              <w:pStyle w:val="107"/>
              <w:jc w:val="center"/>
              <w:rPr>
                <w:rFonts w:hAnsi="宋体" w:cs="宋体"/>
                <w:color w:val="auto"/>
                <w:szCs w:val="21"/>
                <w:highlight w:val="none"/>
              </w:rPr>
            </w:pPr>
            <w:r>
              <w:rPr>
                <w:rFonts w:hint="eastAsia" w:hAnsi="宋体" w:cs="宋体"/>
                <w:color w:val="auto"/>
                <w:szCs w:val="21"/>
                <w:highlight w:val="none"/>
              </w:rPr>
              <w:t>拟进场时间</w:t>
            </w:r>
          </w:p>
        </w:tc>
        <w:tc>
          <w:tcPr>
            <w:tcW w:w="1141" w:type="dxa"/>
            <w:vAlign w:val="center"/>
          </w:tcPr>
          <w:p w14:paraId="6A1B7B73">
            <w:pPr>
              <w:pStyle w:val="107"/>
              <w:jc w:val="center"/>
              <w:rPr>
                <w:rFonts w:hAnsi="宋体" w:cs="宋体"/>
                <w:color w:val="auto"/>
                <w:szCs w:val="21"/>
                <w:highlight w:val="none"/>
              </w:rPr>
            </w:pPr>
            <w:r>
              <w:rPr>
                <w:rFonts w:hint="eastAsia" w:hAnsi="宋体" w:cs="宋体"/>
                <w:color w:val="auto"/>
                <w:szCs w:val="21"/>
                <w:highlight w:val="none"/>
              </w:rPr>
              <w:t>备注</w:t>
            </w:r>
          </w:p>
        </w:tc>
      </w:tr>
      <w:tr w14:paraId="20E5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12AB6C45">
            <w:pPr>
              <w:pStyle w:val="107"/>
              <w:jc w:val="center"/>
              <w:rPr>
                <w:rFonts w:hAnsi="宋体" w:cs="宋体"/>
                <w:color w:val="auto"/>
                <w:szCs w:val="21"/>
                <w:highlight w:val="none"/>
              </w:rPr>
            </w:pPr>
            <w:r>
              <w:rPr>
                <w:rFonts w:hint="eastAsia" w:hAnsi="宋体" w:cs="宋体"/>
                <w:color w:val="auto"/>
                <w:szCs w:val="21"/>
                <w:highlight w:val="none"/>
              </w:rPr>
              <w:t>分包项目</w:t>
            </w:r>
          </w:p>
          <w:p w14:paraId="78ABF30D">
            <w:pPr>
              <w:pStyle w:val="107"/>
              <w:jc w:val="center"/>
              <w:rPr>
                <w:rFonts w:hAnsi="宋体" w:cs="宋体"/>
                <w:color w:val="auto"/>
                <w:szCs w:val="21"/>
                <w:highlight w:val="none"/>
              </w:rPr>
            </w:pPr>
            <w:r>
              <w:rPr>
                <w:rFonts w:hint="eastAsia" w:hAnsi="宋体" w:cs="宋体"/>
                <w:color w:val="auto"/>
                <w:szCs w:val="21"/>
                <w:highlight w:val="none"/>
              </w:rPr>
              <w:t>负责人</w:t>
            </w:r>
          </w:p>
        </w:tc>
        <w:tc>
          <w:tcPr>
            <w:tcW w:w="1080" w:type="dxa"/>
          </w:tcPr>
          <w:p w14:paraId="2042CCC1">
            <w:pPr>
              <w:pStyle w:val="107"/>
              <w:jc w:val="center"/>
              <w:rPr>
                <w:rFonts w:hAnsi="宋体" w:cs="宋体"/>
                <w:color w:val="auto"/>
                <w:szCs w:val="21"/>
                <w:highlight w:val="none"/>
              </w:rPr>
            </w:pPr>
          </w:p>
        </w:tc>
        <w:tc>
          <w:tcPr>
            <w:tcW w:w="1980" w:type="dxa"/>
          </w:tcPr>
          <w:p w14:paraId="2D251B83">
            <w:pPr>
              <w:pStyle w:val="107"/>
              <w:jc w:val="center"/>
              <w:rPr>
                <w:rFonts w:hAnsi="宋体" w:cs="宋体"/>
                <w:color w:val="auto"/>
                <w:szCs w:val="21"/>
                <w:highlight w:val="none"/>
              </w:rPr>
            </w:pPr>
          </w:p>
        </w:tc>
        <w:tc>
          <w:tcPr>
            <w:tcW w:w="1025" w:type="dxa"/>
          </w:tcPr>
          <w:p w14:paraId="39A0C7CB">
            <w:pPr>
              <w:pStyle w:val="107"/>
              <w:jc w:val="center"/>
              <w:rPr>
                <w:rFonts w:hAnsi="宋体" w:cs="宋体"/>
                <w:color w:val="auto"/>
                <w:szCs w:val="21"/>
                <w:highlight w:val="none"/>
              </w:rPr>
            </w:pPr>
          </w:p>
        </w:tc>
        <w:tc>
          <w:tcPr>
            <w:tcW w:w="1339" w:type="dxa"/>
          </w:tcPr>
          <w:p w14:paraId="786F0BF4">
            <w:pPr>
              <w:pStyle w:val="107"/>
              <w:jc w:val="center"/>
              <w:rPr>
                <w:rFonts w:hAnsi="宋体" w:cs="宋体"/>
                <w:color w:val="auto"/>
                <w:szCs w:val="21"/>
                <w:highlight w:val="none"/>
              </w:rPr>
            </w:pPr>
          </w:p>
        </w:tc>
        <w:tc>
          <w:tcPr>
            <w:tcW w:w="1355" w:type="dxa"/>
          </w:tcPr>
          <w:p w14:paraId="524A4A37">
            <w:pPr>
              <w:pStyle w:val="107"/>
              <w:jc w:val="center"/>
              <w:rPr>
                <w:rFonts w:hAnsi="宋体" w:cs="宋体"/>
                <w:color w:val="auto"/>
                <w:szCs w:val="21"/>
                <w:highlight w:val="none"/>
              </w:rPr>
            </w:pPr>
          </w:p>
        </w:tc>
        <w:tc>
          <w:tcPr>
            <w:tcW w:w="1141" w:type="dxa"/>
          </w:tcPr>
          <w:p w14:paraId="6BEA686F">
            <w:pPr>
              <w:pStyle w:val="107"/>
              <w:jc w:val="center"/>
              <w:rPr>
                <w:rFonts w:hAnsi="宋体" w:cs="宋体"/>
                <w:color w:val="auto"/>
                <w:szCs w:val="21"/>
                <w:highlight w:val="none"/>
              </w:rPr>
            </w:pPr>
          </w:p>
        </w:tc>
      </w:tr>
      <w:tr w14:paraId="36E0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7A51099E">
            <w:pPr>
              <w:pStyle w:val="107"/>
              <w:jc w:val="center"/>
              <w:rPr>
                <w:rFonts w:hAnsi="宋体" w:cs="宋体"/>
                <w:color w:val="auto"/>
                <w:szCs w:val="21"/>
                <w:highlight w:val="none"/>
              </w:rPr>
            </w:pPr>
            <w:r>
              <w:rPr>
                <w:rFonts w:hint="eastAsia" w:hAnsi="宋体" w:cs="宋体"/>
                <w:color w:val="auto"/>
                <w:szCs w:val="21"/>
                <w:highlight w:val="none"/>
              </w:rPr>
              <w:t>分包项目</w:t>
            </w:r>
          </w:p>
          <w:p w14:paraId="6463C362">
            <w:pPr>
              <w:pStyle w:val="107"/>
              <w:jc w:val="center"/>
              <w:rPr>
                <w:rFonts w:hAnsi="宋体" w:cs="宋体"/>
                <w:color w:val="auto"/>
                <w:szCs w:val="21"/>
                <w:highlight w:val="none"/>
              </w:rPr>
            </w:pPr>
            <w:r>
              <w:rPr>
                <w:rFonts w:hint="eastAsia" w:hAnsi="宋体" w:cs="宋体"/>
                <w:color w:val="auto"/>
                <w:szCs w:val="21"/>
                <w:highlight w:val="none"/>
              </w:rPr>
              <w:t>技术（质量）负责人</w:t>
            </w:r>
          </w:p>
        </w:tc>
        <w:tc>
          <w:tcPr>
            <w:tcW w:w="1080" w:type="dxa"/>
          </w:tcPr>
          <w:p w14:paraId="0BD76A94">
            <w:pPr>
              <w:pStyle w:val="107"/>
              <w:jc w:val="center"/>
              <w:rPr>
                <w:rFonts w:hAnsi="宋体" w:cs="宋体"/>
                <w:color w:val="auto"/>
                <w:szCs w:val="21"/>
                <w:highlight w:val="none"/>
              </w:rPr>
            </w:pPr>
          </w:p>
        </w:tc>
        <w:tc>
          <w:tcPr>
            <w:tcW w:w="1980" w:type="dxa"/>
          </w:tcPr>
          <w:p w14:paraId="0E7DA23F">
            <w:pPr>
              <w:pStyle w:val="107"/>
              <w:jc w:val="center"/>
              <w:rPr>
                <w:rFonts w:hAnsi="宋体" w:cs="宋体"/>
                <w:color w:val="auto"/>
                <w:szCs w:val="21"/>
                <w:highlight w:val="none"/>
              </w:rPr>
            </w:pPr>
          </w:p>
        </w:tc>
        <w:tc>
          <w:tcPr>
            <w:tcW w:w="1025" w:type="dxa"/>
          </w:tcPr>
          <w:p w14:paraId="1ABE0E57">
            <w:pPr>
              <w:pStyle w:val="107"/>
              <w:jc w:val="center"/>
              <w:rPr>
                <w:rFonts w:hAnsi="宋体" w:cs="宋体"/>
                <w:color w:val="auto"/>
                <w:szCs w:val="21"/>
                <w:highlight w:val="none"/>
              </w:rPr>
            </w:pPr>
          </w:p>
        </w:tc>
        <w:tc>
          <w:tcPr>
            <w:tcW w:w="1339" w:type="dxa"/>
          </w:tcPr>
          <w:p w14:paraId="0AEE92DD">
            <w:pPr>
              <w:pStyle w:val="107"/>
              <w:jc w:val="center"/>
              <w:rPr>
                <w:rFonts w:hAnsi="宋体" w:cs="宋体"/>
                <w:color w:val="auto"/>
                <w:szCs w:val="21"/>
                <w:highlight w:val="none"/>
              </w:rPr>
            </w:pPr>
          </w:p>
        </w:tc>
        <w:tc>
          <w:tcPr>
            <w:tcW w:w="1355" w:type="dxa"/>
          </w:tcPr>
          <w:p w14:paraId="2CD43C90">
            <w:pPr>
              <w:pStyle w:val="107"/>
              <w:jc w:val="center"/>
              <w:rPr>
                <w:rFonts w:hAnsi="宋体" w:cs="宋体"/>
                <w:color w:val="auto"/>
                <w:szCs w:val="21"/>
                <w:highlight w:val="none"/>
              </w:rPr>
            </w:pPr>
          </w:p>
        </w:tc>
        <w:tc>
          <w:tcPr>
            <w:tcW w:w="1141" w:type="dxa"/>
          </w:tcPr>
          <w:p w14:paraId="0A28F66D">
            <w:pPr>
              <w:pStyle w:val="107"/>
              <w:jc w:val="center"/>
              <w:rPr>
                <w:rFonts w:hAnsi="宋体" w:cs="宋体"/>
                <w:color w:val="auto"/>
                <w:szCs w:val="21"/>
                <w:highlight w:val="none"/>
              </w:rPr>
            </w:pPr>
          </w:p>
        </w:tc>
      </w:tr>
      <w:tr w14:paraId="0521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6A3BA4C8">
            <w:pPr>
              <w:pStyle w:val="107"/>
              <w:jc w:val="center"/>
              <w:rPr>
                <w:rFonts w:hAnsi="宋体" w:cs="宋体"/>
                <w:color w:val="auto"/>
                <w:szCs w:val="21"/>
                <w:highlight w:val="none"/>
              </w:rPr>
            </w:pPr>
            <w:r>
              <w:rPr>
                <w:rFonts w:hint="eastAsia" w:hAnsi="宋体" w:cs="宋体"/>
                <w:color w:val="auto"/>
                <w:szCs w:val="21"/>
                <w:highlight w:val="none"/>
              </w:rPr>
              <w:t>分包项目</w:t>
            </w:r>
          </w:p>
          <w:p w14:paraId="275CF926">
            <w:pPr>
              <w:pStyle w:val="107"/>
              <w:jc w:val="center"/>
              <w:rPr>
                <w:rFonts w:hAnsi="宋体" w:cs="宋体"/>
                <w:color w:val="auto"/>
                <w:szCs w:val="21"/>
                <w:highlight w:val="none"/>
              </w:rPr>
            </w:pPr>
            <w:r>
              <w:rPr>
                <w:rFonts w:hint="eastAsia" w:hAnsi="宋体" w:cs="宋体"/>
                <w:color w:val="auto"/>
                <w:szCs w:val="21"/>
                <w:highlight w:val="none"/>
              </w:rPr>
              <w:t>安全负责人</w:t>
            </w:r>
          </w:p>
        </w:tc>
        <w:tc>
          <w:tcPr>
            <w:tcW w:w="1080" w:type="dxa"/>
          </w:tcPr>
          <w:p w14:paraId="16EFB0C0">
            <w:pPr>
              <w:pStyle w:val="107"/>
              <w:jc w:val="center"/>
              <w:rPr>
                <w:rFonts w:hAnsi="宋体" w:cs="宋体"/>
                <w:color w:val="auto"/>
                <w:szCs w:val="21"/>
                <w:highlight w:val="none"/>
              </w:rPr>
            </w:pPr>
          </w:p>
        </w:tc>
        <w:tc>
          <w:tcPr>
            <w:tcW w:w="1980" w:type="dxa"/>
          </w:tcPr>
          <w:p w14:paraId="13495661">
            <w:pPr>
              <w:pStyle w:val="107"/>
              <w:jc w:val="center"/>
              <w:rPr>
                <w:rFonts w:hAnsi="宋体" w:cs="宋体"/>
                <w:color w:val="auto"/>
                <w:szCs w:val="21"/>
                <w:highlight w:val="none"/>
              </w:rPr>
            </w:pPr>
          </w:p>
        </w:tc>
        <w:tc>
          <w:tcPr>
            <w:tcW w:w="1025" w:type="dxa"/>
          </w:tcPr>
          <w:p w14:paraId="6A427017">
            <w:pPr>
              <w:pStyle w:val="107"/>
              <w:jc w:val="center"/>
              <w:rPr>
                <w:rFonts w:hAnsi="宋体" w:cs="宋体"/>
                <w:color w:val="auto"/>
                <w:szCs w:val="21"/>
                <w:highlight w:val="none"/>
              </w:rPr>
            </w:pPr>
          </w:p>
        </w:tc>
        <w:tc>
          <w:tcPr>
            <w:tcW w:w="1339" w:type="dxa"/>
          </w:tcPr>
          <w:p w14:paraId="63FBCFC7">
            <w:pPr>
              <w:pStyle w:val="107"/>
              <w:jc w:val="center"/>
              <w:rPr>
                <w:rFonts w:hAnsi="宋体" w:cs="宋体"/>
                <w:color w:val="auto"/>
                <w:szCs w:val="21"/>
                <w:highlight w:val="none"/>
              </w:rPr>
            </w:pPr>
          </w:p>
        </w:tc>
        <w:tc>
          <w:tcPr>
            <w:tcW w:w="1355" w:type="dxa"/>
          </w:tcPr>
          <w:p w14:paraId="1216D223">
            <w:pPr>
              <w:pStyle w:val="107"/>
              <w:jc w:val="center"/>
              <w:rPr>
                <w:rFonts w:hAnsi="宋体" w:cs="宋体"/>
                <w:color w:val="auto"/>
                <w:szCs w:val="21"/>
                <w:highlight w:val="none"/>
              </w:rPr>
            </w:pPr>
          </w:p>
        </w:tc>
        <w:tc>
          <w:tcPr>
            <w:tcW w:w="1141" w:type="dxa"/>
          </w:tcPr>
          <w:p w14:paraId="652A10F1">
            <w:pPr>
              <w:pStyle w:val="107"/>
              <w:jc w:val="center"/>
              <w:rPr>
                <w:rFonts w:hAnsi="宋体" w:cs="宋体"/>
                <w:color w:val="auto"/>
                <w:szCs w:val="21"/>
                <w:highlight w:val="none"/>
              </w:rPr>
            </w:pPr>
          </w:p>
        </w:tc>
      </w:tr>
      <w:tr w14:paraId="0052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1440" w:type="dxa"/>
          </w:tcPr>
          <w:p w14:paraId="5262DC64">
            <w:pPr>
              <w:pStyle w:val="107"/>
              <w:jc w:val="center"/>
              <w:rPr>
                <w:rFonts w:hAnsi="宋体" w:cs="宋体"/>
                <w:color w:val="auto"/>
                <w:szCs w:val="21"/>
                <w:highlight w:val="none"/>
              </w:rPr>
            </w:pPr>
            <w:r>
              <w:rPr>
                <w:rFonts w:hint="eastAsia" w:hAnsi="宋体" w:cs="宋体"/>
                <w:color w:val="auto"/>
                <w:szCs w:val="21"/>
                <w:highlight w:val="none"/>
              </w:rPr>
              <w:t>分包项目</w:t>
            </w:r>
          </w:p>
          <w:p w14:paraId="70CED14A">
            <w:pPr>
              <w:pStyle w:val="107"/>
              <w:jc w:val="center"/>
              <w:rPr>
                <w:rFonts w:hAnsi="宋体" w:cs="宋体"/>
                <w:color w:val="auto"/>
                <w:szCs w:val="21"/>
                <w:highlight w:val="none"/>
              </w:rPr>
            </w:pPr>
            <w:r>
              <w:rPr>
                <w:rFonts w:hint="eastAsia" w:hAnsi="宋体" w:cs="宋体"/>
                <w:color w:val="auto"/>
                <w:szCs w:val="21"/>
                <w:highlight w:val="none"/>
              </w:rPr>
              <w:t>计划负责人</w:t>
            </w:r>
          </w:p>
        </w:tc>
        <w:tc>
          <w:tcPr>
            <w:tcW w:w="1080" w:type="dxa"/>
          </w:tcPr>
          <w:p w14:paraId="1BD8CED1">
            <w:pPr>
              <w:pStyle w:val="107"/>
              <w:jc w:val="center"/>
              <w:rPr>
                <w:rFonts w:hAnsi="宋体" w:cs="宋体"/>
                <w:color w:val="auto"/>
                <w:szCs w:val="21"/>
                <w:highlight w:val="none"/>
              </w:rPr>
            </w:pPr>
          </w:p>
        </w:tc>
        <w:tc>
          <w:tcPr>
            <w:tcW w:w="1980" w:type="dxa"/>
          </w:tcPr>
          <w:p w14:paraId="3BCF1AA1">
            <w:pPr>
              <w:pStyle w:val="107"/>
              <w:jc w:val="center"/>
              <w:rPr>
                <w:rFonts w:hAnsi="宋体" w:cs="宋体"/>
                <w:color w:val="auto"/>
                <w:szCs w:val="21"/>
                <w:highlight w:val="none"/>
              </w:rPr>
            </w:pPr>
          </w:p>
        </w:tc>
        <w:tc>
          <w:tcPr>
            <w:tcW w:w="1025" w:type="dxa"/>
          </w:tcPr>
          <w:p w14:paraId="4F56249E">
            <w:pPr>
              <w:pStyle w:val="107"/>
              <w:jc w:val="center"/>
              <w:rPr>
                <w:rFonts w:hAnsi="宋体" w:cs="宋体"/>
                <w:color w:val="auto"/>
                <w:szCs w:val="21"/>
                <w:highlight w:val="none"/>
              </w:rPr>
            </w:pPr>
          </w:p>
        </w:tc>
        <w:tc>
          <w:tcPr>
            <w:tcW w:w="1339" w:type="dxa"/>
          </w:tcPr>
          <w:p w14:paraId="051CDF65">
            <w:pPr>
              <w:pStyle w:val="107"/>
              <w:jc w:val="center"/>
              <w:rPr>
                <w:rFonts w:hAnsi="宋体" w:cs="宋体"/>
                <w:color w:val="auto"/>
                <w:szCs w:val="21"/>
                <w:highlight w:val="none"/>
              </w:rPr>
            </w:pPr>
          </w:p>
        </w:tc>
        <w:tc>
          <w:tcPr>
            <w:tcW w:w="1355" w:type="dxa"/>
          </w:tcPr>
          <w:p w14:paraId="307B604F">
            <w:pPr>
              <w:pStyle w:val="107"/>
              <w:jc w:val="center"/>
              <w:rPr>
                <w:rFonts w:hAnsi="宋体" w:cs="宋体"/>
                <w:color w:val="auto"/>
                <w:szCs w:val="21"/>
                <w:highlight w:val="none"/>
              </w:rPr>
            </w:pPr>
          </w:p>
        </w:tc>
        <w:tc>
          <w:tcPr>
            <w:tcW w:w="1141" w:type="dxa"/>
          </w:tcPr>
          <w:p w14:paraId="334D484F">
            <w:pPr>
              <w:pStyle w:val="107"/>
              <w:jc w:val="center"/>
              <w:rPr>
                <w:rFonts w:hAnsi="宋体" w:cs="宋体"/>
                <w:color w:val="auto"/>
                <w:szCs w:val="21"/>
                <w:highlight w:val="none"/>
              </w:rPr>
            </w:pPr>
          </w:p>
        </w:tc>
      </w:tr>
      <w:tr w14:paraId="3D62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1440" w:type="dxa"/>
          </w:tcPr>
          <w:p w14:paraId="15AF3F4D">
            <w:pPr>
              <w:pStyle w:val="107"/>
              <w:jc w:val="center"/>
              <w:rPr>
                <w:rFonts w:hAnsi="宋体" w:cs="宋体"/>
                <w:color w:val="auto"/>
                <w:szCs w:val="21"/>
                <w:highlight w:val="none"/>
              </w:rPr>
            </w:pPr>
            <w:r>
              <w:rPr>
                <w:rFonts w:hint="eastAsia" w:hAnsi="宋体" w:cs="宋体"/>
                <w:color w:val="auto"/>
                <w:szCs w:val="21"/>
                <w:highlight w:val="none"/>
              </w:rPr>
              <w:t>分包项目</w:t>
            </w:r>
          </w:p>
          <w:p w14:paraId="5FF89D75">
            <w:pPr>
              <w:pStyle w:val="107"/>
              <w:jc w:val="center"/>
              <w:rPr>
                <w:rFonts w:hAnsi="宋体" w:cs="宋体"/>
                <w:color w:val="auto"/>
                <w:szCs w:val="21"/>
                <w:highlight w:val="none"/>
              </w:rPr>
            </w:pPr>
            <w:r>
              <w:rPr>
                <w:rFonts w:hint="eastAsia" w:hAnsi="宋体" w:cs="宋体"/>
                <w:color w:val="auto"/>
                <w:szCs w:val="21"/>
                <w:highlight w:val="none"/>
              </w:rPr>
              <w:t>财务负责人</w:t>
            </w:r>
          </w:p>
        </w:tc>
        <w:tc>
          <w:tcPr>
            <w:tcW w:w="1080" w:type="dxa"/>
          </w:tcPr>
          <w:p w14:paraId="308EFAB2">
            <w:pPr>
              <w:pStyle w:val="107"/>
              <w:jc w:val="center"/>
              <w:rPr>
                <w:rFonts w:hAnsi="宋体" w:cs="宋体"/>
                <w:color w:val="auto"/>
                <w:szCs w:val="21"/>
                <w:highlight w:val="none"/>
              </w:rPr>
            </w:pPr>
          </w:p>
        </w:tc>
        <w:tc>
          <w:tcPr>
            <w:tcW w:w="1980" w:type="dxa"/>
          </w:tcPr>
          <w:p w14:paraId="2FB114B6">
            <w:pPr>
              <w:pStyle w:val="107"/>
              <w:jc w:val="center"/>
              <w:rPr>
                <w:rFonts w:hAnsi="宋体" w:cs="宋体"/>
                <w:color w:val="auto"/>
                <w:szCs w:val="21"/>
                <w:highlight w:val="none"/>
              </w:rPr>
            </w:pPr>
          </w:p>
        </w:tc>
        <w:tc>
          <w:tcPr>
            <w:tcW w:w="1025" w:type="dxa"/>
          </w:tcPr>
          <w:p w14:paraId="58BCA8CD">
            <w:pPr>
              <w:pStyle w:val="107"/>
              <w:jc w:val="center"/>
              <w:rPr>
                <w:rFonts w:hAnsi="宋体" w:cs="宋体"/>
                <w:color w:val="auto"/>
                <w:szCs w:val="21"/>
                <w:highlight w:val="none"/>
              </w:rPr>
            </w:pPr>
          </w:p>
        </w:tc>
        <w:tc>
          <w:tcPr>
            <w:tcW w:w="1339" w:type="dxa"/>
          </w:tcPr>
          <w:p w14:paraId="6A99DEA7">
            <w:pPr>
              <w:pStyle w:val="107"/>
              <w:jc w:val="center"/>
              <w:rPr>
                <w:rFonts w:hAnsi="宋体" w:cs="宋体"/>
                <w:color w:val="auto"/>
                <w:szCs w:val="21"/>
                <w:highlight w:val="none"/>
              </w:rPr>
            </w:pPr>
          </w:p>
        </w:tc>
        <w:tc>
          <w:tcPr>
            <w:tcW w:w="1355" w:type="dxa"/>
          </w:tcPr>
          <w:p w14:paraId="6774A863">
            <w:pPr>
              <w:pStyle w:val="107"/>
              <w:jc w:val="center"/>
              <w:rPr>
                <w:rFonts w:hAnsi="宋体" w:cs="宋体"/>
                <w:color w:val="auto"/>
                <w:szCs w:val="21"/>
                <w:highlight w:val="none"/>
              </w:rPr>
            </w:pPr>
          </w:p>
        </w:tc>
        <w:tc>
          <w:tcPr>
            <w:tcW w:w="1141" w:type="dxa"/>
          </w:tcPr>
          <w:p w14:paraId="5E261336">
            <w:pPr>
              <w:pStyle w:val="107"/>
              <w:jc w:val="center"/>
              <w:rPr>
                <w:rFonts w:hAnsi="宋体" w:cs="宋体"/>
                <w:color w:val="auto"/>
                <w:szCs w:val="21"/>
                <w:highlight w:val="none"/>
              </w:rPr>
            </w:pPr>
          </w:p>
        </w:tc>
      </w:tr>
      <w:tr w14:paraId="3F2E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14:paraId="342CBBE4">
            <w:pPr>
              <w:pStyle w:val="107"/>
              <w:jc w:val="center"/>
              <w:rPr>
                <w:rFonts w:hAnsi="宋体" w:cs="宋体"/>
                <w:color w:val="auto"/>
                <w:szCs w:val="21"/>
                <w:highlight w:val="none"/>
              </w:rPr>
            </w:pPr>
            <w:r>
              <w:rPr>
                <w:rFonts w:hint="eastAsia" w:hAnsi="宋体" w:cs="宋体"/>
                <w:color w:val="auto"/>
                <w:szCs w:val="21"/>
                <w:highlight w:val="none"/>
              </w:rPr>
              <w:t>……</w:t>
            </w:r>
          </w:p>
        </w:tc>
        <w:tc>
          <w:tcPr>
            <w:tcW w:w="1080" w:type="dxa"/>
          </w:tcPr>
          <w:p w14:paraId="121B29DC">
            <w:pPr>
              <w:pStyle w:val="107"/>
              <w:jc w:val="center"/>
              <w:rPr>
                <w:rFonts w:hAnsi="宋体" w:cs="宋体"/>
                <w:color w:val="auto"/>
                <w:szCs w:val="21"/>
                <w:highlight w:val="none"/>
              </w:rPr>
            </w:pPr>
          </w:p>
        </w:tc>
        <w:tc>
          <w:tcPr>
            <w:tcW w:w="1980" w:type="dxa"/>
          </w:tcPr>
          <w:p w14:paraId="578C3134">
            <w:pPr>
              <w:pStyle w:val="107"/>
              <w:jc w:val="center"/>
              <w:rPr>
                <w:rFonts w:hAnsi="宋体" w:cs="宋体"/>
                <w:color w:val="auto"/>
                <w:szCs w:val="21"/>
                <w:highlight w:val="none"/>
              </w:rPr>
            </w:pPr>
          </w:p>
        </w:tc>
        <w:tc>
          <w:tcPr>
            <w:tcW w:w="1025" w:type="dxa"/>
          </w:tcPr>
          <w:p w14:paraId="1D2647EB">
            <w:pPr>
              <w:pStyle w:val="107"/>
              <w:jc w:val="center"/>
              <w:rPr>
                <w:rFonts w:hAnsi="宋体" w:cs="宋体"/>
                <w:color w:val="auto"/>
                <w:szCs w:val="21"/>
                <w:highlight w:val="none"/>
              </w:rPr>
            </w:pPr>
          </w:p>
        </w:tc>
        <w:tc>
          <w:tcPr>
            <w:tcW w:w="1339" w:type="dxa"/>
          </w:tcPr>
          <w:p w14:paraId="6EEA4812">
            <w:pPr>
              <w:pStyle w:val="107"/>
              <w:jc w:val="center"/>
              <w:rPr>
                <w:rFonts w:hAnsi="宋体" w:cs="宋体"/>
                <w:color w:val="auto"/>
                <w:szCs w:val="21"/>
                <w:highlight w:val="none"/>
              </w:rPr>
            </w:pPr>
          </w:p>
        </w:tc>
        <w:tc>
          <w:tcPr>
            <w:tcW w:w="1355" w:type="dxa"/>
          </w:tcPr>
          <w:p w14:paraId="73F90029">
            <w:pPr>
              <w:pStyle w:val="107"/>
              <w:jc w:val="center"/>
              <w:rPr>
                <w:rFonts w:hAnsi="宋体" w:cs="宋体"/>
                <w:color w:val="auto"/>
                <w:szCs w:val="21"/>
                <w:highlight w:val="none"/>
              </w:rPr>
            </w:pPr>
          </w:p>
        </w:tc>
        <w:tc>
          <w:tcPr>
            <w:tcW w:w="1141" w:type="dxa"/>
          </w:tcPr>
          <w:p w14:paraId="73A68C5D">
            <w:pPr>
              <w:pStyle w:val="107"/>
              <w:jc w:val="center"/>
              <w:rPr>
                <w:rFonts w:hAnsi="宋体" w:cs="宋体"/>
                <w:color w:val="auto"/>
                <w:szCs w:val="21"/>
                <w:highlight w:val="none"/>
              </w:rPr>
            </w:pPr>
          </w:p>
        </w:tc>
      </w:tr>
    </w:tbl>
    <w:p w14:paraId="60E9A39A">
      <w:pPr>
        <w:pStyle w:val="107"/>
        <w:rPr>
          <w:rFonts w:hAnsi="宋体" w:cs="宋体"/>
          <w:color w:val="auto"/>
          <w:szCs w:val="21"/>
          <w:highlight w:val="none"/>
        </w:rPr>
      </w:pPr>
      <w:r>
        <w:rPr>
          <w:rFonts w:hint="eastAsia" w:hAnsi="宋体" w:cs="宋体"/>
          <w:color w:val="auto"/>
          <w:highlight w:val="none"/>
        </w:rPr>
        <w:t>附：身份证件、职称证书、资格证书、劳动合同等复印件。</w:t>
      </w:r>
    </w:p>
    <w:p w14:paraId="42DD7704">
      <w:pPr>
        <w:pStyle w:val="107"/>
        <w:jc w:val="center"/>
        <w:rPr>
          <w:rFonts w:hAnsi="宋体" w:cs="宋体"/>
          <w:b/>
          <w:color w:val="auto"/>
          <w:sz w:val="28"/>
          <w:szCs w:val="28"/>
          <w:highlight w:val="none"/>
        </w:rPr>
      </w:pPr>
    </w:p>
    <w:p w14:paraId="23D95825">
      <w:pPr>
        <w:pStyle w:val="107"/>
        <w:jc w:val="center"/>
        <w:rPr>
          <w:rFonts w:hAnsi="宋体" w:cs="宋体"/>
          <w:b/>
          <w:color w:val="auto"/>
          <w:sz w:val="28"/>
          <w:szCs w:val="28"/>
          <w:highlight w:val="none"/>
        </w:rPr>
      </w:pPr>
      <w:r>
        <w:rPr>
          <w:rFonts w:hint="eastAsia" w:hAnsi="宋体" w:cs="宋体"/>
          <w:b/>
          <w:color w:val="auto"/>
          <w:sz w:val="28"/>
          <w:szCs w:val="28"/>
          <w:highlight w:val="none"/>
        </w:rPr>
        <w:t>附表2：分包人投入设备表</w:t>
      </w:r>
    </w:p>
    <w:p w14:paraId="13E61D27">
      <w:pPr>
        <w:pStyle w:val="107"/>
        <w:rPr>
          <w:rFonts w:hAnsi="宋体" w:cs="宋体"/>
          <w:color w:val="auto"/>
          <w:highlight w:val="none"/>
        </w:rPr>
      </w:pPr>
      <w:r>
        <w:rPr>
          <w:rFonts w:hint="eastAsia" w:hAnsi="宋体" w:cs="宋体"/>
          <w:color w:val="auto"/>
          <w:highlight w:val="none"/>
        </w:rPr>
        <w:t>工程项目：                                   合同段：</w:t>
      </w:r>
    </w:p>
    <w:p w14:paraId="4C051A1F">
      <w:pPr>
        <w:pStyle w:val="107"/>
        <w:rPr>
          <w:rFonts w:hAnsi="宋体" w:cs="宋体"/>
          <w:b/>
          <w:bCs/>
          <w:color w:val="auto"/>
          <w:highlight w:val="none"/>
        </w:rPr>
      </w:pPr>
      <w:r>
        <w:rPr>
          <w:rFonts w:hint="eastAsia" w:hAnsi="宋体" w:cs="宋体"/>
          <w:color w:val="auto"/>
          <w:highlight w:val="none"/>
        </w:rPr>
        <w:t xml:space="preserve">分包专项工程：                               分包人：                 </w:t>
      </w: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14:paraId="0A51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1" w:hRule="atLeast"/>
          <w:jc w:val="center"/>
        </w:trPr>
        <w:tc>
          <w:tcPr>
            <w:tcW w:w="1650" w:type="dxa"/>
            <w:vAlign w:val="center"/>
          </w:tcPr>
          <w:p w14:paraId="549325D8">
            <w:pPr>
              <w:pStyle w:val="107"/>
              <w:jc w:val="center"/>
              <w:rPr>
                <w:rFonts w:hAnsi="宋体" w:cs="宋体"/>
                <w:color w:val="auto"/>
                <w:szCs w:val="21"/>
                <w:highlight w:val="none"/>
              </w:rPr>
            </w:pPr>
            <w:r>
              <w:rPr>
                <w:rFonts w:hint="eastAsia" w:hAnsi="宋体" w:cs="宋体"/>
                <w:color w:val="auto"/>
                <w:szCs w:val="21"/>
                <w:highlight w:val="none"/>
              </w:rPr>
              <w:t>设备名称</w:t>
            </w:r>
          </w:p>
        </w:tc>
        <w:tc>
          <w:tcPr>
            <w:tcW w:w="1590" w:type="dxa"/>
            <w:vAlign w:val="center"/>
          </w:tcPr>
          <w:p w14:paraId="21523DFC">
            <w:pPr>
              <w:pStyle w:val="107"/>
              <w:jc w:val="center"/>
              <w:rPr>
                <w:rFonts w:hAnsi="宋体" w:cs="宋体"/>
                <w:color w:val="auto"/>
                <w:szCs w:val="21"/>
                <w:highlight w:val="none"/>
              </w:rPr>
            </w:pPr>
            <w:r>
              <w:rPr>
                <w:rFonts w:hint="eastAsia" w:hAnsi="宋体" w:cs="宋体"/>
                <w:color w:val="auto"/>
                <w:szCs w:val="21"/>
                <w:highlight w:val="none"/>
              </w:rPr>
              <w:t>型号</w:t>
            </w:r>
          </w:p>
        </w:tc>
        <w:tc>
          <w:tcPr>
            <w:tcW w:w="1080" w:type="dxa"/>
            <w:vAlign w:val="center"/>
          </w:tcPr>
          <w:p w14:paraId="5C40F7E3">
            <w:pPr>
              <w:pStyle w:val="107"/>
              <w:jc w:val="center"/>
              <w:rPr>
                <w:rFonts w:hAnsi="宋体" w:cs="宋体"/>
                <w:color w:val="auto"/>
                <w:szCs w:val="21"/>
                <w:highlight w:val="none"/>
              </w:rPr>
            </w:pPr>
            <w:r>
              <w:rPr>
                <w:rFonts w:hint="eastAsia" w:hAnsi="宋体" w:cs="宋体"/>
                <w:color w:val="auto"/>
                <w:szCs w:val="21"/>
                <w:highlight w:val="none"/>
              </w:rPr>
              <w:t>性能</w:t>
            </w:r>
          </w:p>
        </w:tc>
        <w:tc>
          <w:tcPr>
            <w:tcW w:w="1080" w:type="dxa"/>
            <w:vAlign w:val="center"/>
          </w:tcPr>
          <w:p w14:paraId="4079334B">
            <w:pPr>
              <w:pStyle w:val="107"/>
              <w:jc w:val="center"/>
              <w:rPr>
                <w:rFonts w:hAnsi="宋体" w:cs="宋体"/>
                <w:color w:val="auto"/>
                <w:szCs w:val="21"/>
                <w:highlight w:val="none"/>
              </w:rPr>
            </w:pPr>
            <w:r>
              <w:rPr>
                <w:rFonts w:hint="eastAsia" w:hAnsi="宋体" w:cs="宋体"/>
                <w:color w:val="auto"/>
                <w:szCs w:val="21"/>
                <w:highlight w:val="none"/>
              </w:rPr>
              <w:t>数量</w:t>
            </w:r>
          </w:p>
        </w:tc>
        <w:tc>
          <w:tcPr>
            <w:tcW w:w="1080" w:type="dxa"/>
            <w:vAlign w:val="center"/>
          </w:tcPr>
          <w:p w14:paraId="2D757677">
            <w:pPr>
              <w:pStyle w:val="107"/>
              <w:jc w:val="center"/>
              <w:rPr>
                <w:rFonts w:hAnsi="宋体" w:cs="宋体"/>
                <w:color w:val="auto"/>
                <w:szCs w:val="21"/>
                <w:highlight w:val="none"/>
              </w:rPr>
            </w:pPr>
            <w:r>
              <w:rPr>
                <w:rFonts w:hint="eastAsia" w:hAnsi="宋体" w:cs="宋体"/>
                <w:color w:val="auto"/>
                <w:szCs w:val="21"/>
                <w:highlight w:val="none"/>
              </w:rPr>
              <w:t>进场时间</w:t>
            </w:r>
          </w:p>
        </w:tc>
        <w:tc>
          <w:tcPr>
            <w:tcW w:w="1440" w:type="dxa"/>
            <w:vAlign w:val="center"/>
          </w:tcPr>
          <w:p w14:paraId="7613408E">
            <w:pPr>
              <w:pStyle w:val="107"/>
              <w:jc w:val="center"/>
              <w:rPr>
                <w:rFonts w:hAnsi="宋体" w:cs="宋体"/>
                <w:color w:val="auto"/>
                <w:szCs w:val="21"/>
                <w:highlight w:val="none"/>
              </w:rPr>
            </w:pPr>
            <w:r>
              <w:rPr>
                <w:rFonts w:hint="eastAsia" w:hAnsi="宋体" w:cs="宋体"/>
                <w:color w:val="auto"/>
                <w:szCs w:val="21"/>
                <w:highlight w:val="none"/>
              </w:rPr>
              <w:t>承诺违约金（元/日）</w:t>
            </w:r>
          </w:p>
        </w:tc>
        <w:tc>
          <w:tcPr>
            <w:tcW w:w="1440" w:type="dxa"/>
            <w:vAlign w:val="center"/>
          </w:tcPr>
          <w:p w14:paraId="3D785C05">
            <w:pPr>
              <w:pStyle w:val="107"/>
              <w:jc w:val="center"/>
              <w:rPr>
                <w:rFonts w:hAnsi="宋体" w:cs="宋体"/>
                <w:color w:val="auto"/>
                <w:szCs w:val="21"/>
                <w:highlight w:val="none"/>
              </w:rPr>
            </w:pPr>
            <w:r>
              <w:rPr>
                <w:rFonts w:hint="eastAsia" w:hAnsi="宋体" w:cs="宋体"/>
                <w:color w:val="auto"/>
                <w:szCs w:val="21"/>
                <w:highlight w:val="none"/>
              </w:rPr>
              <w:t>备注</w:t>
            </w:r>
          </w:p>
        </w:tc>
      </w:tr>
      <w:tr w14:paraId="5209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650" w:type="dxa"/>
          </w:tcPr>
          <w:p w14:paraId="6CAC8E2F">
            <w:pPr>
              <w:pStyle w:val="107"/>
              <w:jc w:val="center"/>
              <w:rPr>
                <w:rFonts w:hAnsi="宋体" w:cs="宋体"/>
                <w:color w:val="auto"/>
                <w:sz w:val="18"/>
                <w:highlight w:val="none"/>
              </w:rPr>
            </w:pPr>
          </w:p>
        </w:tc>
        <w:tc>
          <w:tcPr>
            <w:tcW w:w="1590" w:type="dxa"/>
          </w:tcPr>
          <w:p w14:paraId="3CF3F53D">
            <w:pPr>
              <w:pStyle w:val="107"/>
              <w:jc w:val="center"/>
              <w:rPr>
                <w:rFonts w:hAnsi="宋体" w:cs="宋体"/>
                <w:color w:val="auto"/>
                <w:sz w:val="18"/>
                <w:highlight w:val="none"/>
              </w:rPr>
            </w:pPr>
          </w:p>
        </w:tc>
        <w:tc>
          <w:tcPr>
            <w:tcW w:w="1080" w:type="dxa"/>
          </w:tcPr>
          <w:p w14:paraId="098F6482">
            <w:pPr>
              <w:pStyle w:val="107"/>
              <w:jc w:val="center"/>
              <w:rPr>
                <w:rFonts w:hAnsi="宋体" w:cs="宋体"/>
                <w:color w:val="auto"/>
                <w:sz w:val="18"/>
                <w:highlight w:val="none"/>
              </w:rPr>
            </w:pPr>
          </w:p>
        </w:tc>
        <w:tc>
          <w:tcPr>
            <w:tcW w:w="1080" w:type="dxa"/>
          </w:tcPr>
          <w:p w14:paraId="1451F60B">
            <w:pPr>
              <w:pStyle w:val="107"/>
              <w:jc w:val="center"/>
              <w:rPr>
                <w:rFonts w:hAnsi="宋体" w:cs="宋体"/>
                <w:color w:val="auto"/>
                <w:sz w:val="18"/>
                <w:highlight w:val="none"/>
              </w:rPr>
            </w:pPr>
          </w:p>
        </w:tc>
        <w:tc>
          <w:tcPr>
            <w:tcW w:w="1080" w:type="dxa"/>
          </w:tcPr>
          <w:p w14:paraId="02A85610">
            <w:pPr>
              <w:pStyle w:val="107"/>
              <w:jc w:val="center"/>
              <w:rPr>
                <w:rFonts w:hAnsi="宋体" w:cs="宋体"/>
                <w:color w:val="auto"/>
                <w:sz w:val="18"/>
                <w:highlight w:val="none"/>
              </w:rPr>
            </w:pPr>
          </w:p>
        </w:tc>
        <w:tc>
          <w:tcPr>
            <w:tcW w:w="1440" w:type="dxa"/>
          </w:tcPr>
          <w:p w14:paraId="0C8F2093">
            <w:pPr>
              <w:pStyle w:val="107"/>
              <w:jc w:val="center"/>
              <w:rPr>
                <w:rFonts w:hAnsi="宋体" w:cs="宋体"/>
                <w:color w:val="auto"/>
                <w:sz w:val="18"/>
                <w:highlight w:val="none"/>
              </w:rPr>
            </w:pPr>
          </w:p>
        </w:tc>
        <w:tc>
          <w:tcPr>
            <w:tcW w:w="1440" w:type="dxa"/>
          </w:tcPr>
          <w:p w14:paraId="3EBCD88C">
            <w:pPr>
              <w:pStyle w:val="107"/>
              <w:jc w:val="center"/>
              <w:rPr>
                <w:rFonts w:hAnsi="宋体" w:cs="宋体"/>
                <w:color w:val="auto"/>
                <w:sz w:val="18"/>
                <w:highlight w:val="none"/>
              </w:rPr>
            </w:pPr>
          </w:p>
        </w:tc>
      </w:tr>
      <w:tr w14:paraId="7F49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650" w:type="dxa"/>
          </w:tcPr>
          <w:p w14:paraId="19889529">
            <w:pPr>
              <w:pStyle w:val="107"/>
              <w:jc w:val="center"/>
              <w:rPr>
                <w:rFonts w:hAnsi="宋体" w:cs="宋体"/>
                <w:color w:val="auto"/>
                <w:sz w:val="18"/>
                <w:highlight w:val="none"/>
              </w:rPr>
            </w:pPr>
          </w:p>
        </w:tc>
        <w:tc>
          <w:tcPr>
            <w:tcW w:w="1590" w:type="dxa"/>
          </w:tcPr>
          <w:p w14:paraId="3AA693C7">
            <w:pPr>
              <w:pStyle w:val="107"/>
              <w:jc w:val="center"/>
              <w:rPr>
                <w:rFonts w:hAnsi="宋体" w:cs="宋体"/>
                <w:color w:val="auto"/>
                <w:sz w:val="18"/>
                <w:highlight w:val="none"/>
              </w:rPr>
            </w:pPr>
          </w:p>
        </w:tc>
        <w:tc>
          <w:tcPr>
            <w:tcW w:w="1080" w:type="dxa"/>
          </w:tcPr>
          <w:p w14:paraId="60DC5F7C">
            <w:pPr>
              <w:pStyle w:val="107"/>
              <w:jc w:val="center"/>
              <w:rPr>
                <w:rFonts w:hAnsi="宋体" w:cs="宋体"/>
                <w:color w:val="auto"/>
                <w:sz w:val="18"/>
                <w:highlight w:val="none"/>
              </w:rPr>
            </w:pPr>
          </w:p>
        </w:tc>
        <w:tc>
          <w:tcPr>
            <w:tcW w:w="1080" w:type="dxa"/>
          </w:tcPr>
          <w:p w14:paraId="49B0D1A9">
            <w:pPr>
              <w:pStyle w:val="107"/>
              <w:jc w:val="center"/>
              <w:rPr>
                <w:rFonts w:hAnsi="宋体" w:cs="宋体"/>
                <w:color w:val="auto"/>
                <w:sz w:val="18"/>
                <w:highlight w:val="none"/>
              </w:rPr>
            </w:pPr>
          </w:p>
        </w:tc>
        <w:tc>
          <w:tcPr>
            <w:tcW w:w="1080" w:type="dxa"/>
          </w:tcPr>
          <w:p w14:paraId="20F2A91E">
            <w:pPr>
              <w:pStyle w:val="107"/>
              <w:jc w:val="center"/>
              <w:rPr>
                <w:rFonts w:hAnsi="宋体" w:cs="宋体"/>
                <w:color w:val="auto"/>
                <w:sz w:val="18"/>
                <w:highlight w:val="none"/>
              </w:rPr>
            </w:pPr>
          </w:p>
        </w:tc>
        <w:tc>
          <w:tcPr>
            <w:tcW w:w="1440" w:type="dxa"/>
          </w:tcPr>
          <w:p w14:paraId="400AF3F3">
            <w:pPr>
              <w:pStyle w:val="107"/>
              <w:jc w:val="center"/>
              <w:rPr>
                <w:rFonts w:hAnsi="宋体" w:cs="宋体"/>
                <w:color w:val="auto"/>
                <w:sz w:val="18"/>
                <w:highlight w:val="none"/>
              </w:rPr>
            </w:pPr>
          </w:p>
        </w:tc>
        <w:tc>
          <w:tcPr>
            <w:tcW w:w="1440" w:type="dxa"/>
          </w:tcPr>
          <w:p w14:paraId="2426B0EA">
            <w:pPr>
              <w:pStyle w:val="107"/>
              <w:jc w:val="center"/>
              <w:rPr>
                <w:rFonts w:hAnsi="宋体" w:cs="宋体"/>
                <w:color w:val="auto"/>
                <w:sz w:val="18"/>
                <w:highlight w:val="none"/>
              </w:rPr>
            </w:pPr>
          </w:p>
        </w:tc>
      </w:tr>
      <w:tr w14:paraId="2E44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650" w:type="dxa"/>
          </w:tcPr>
          <w:p w14:paraId="31994EA7">
            <w:pPr>
              <w:pStyle w:val="107"/>
              <w:jc w:val="center"/>
              <w:rPr>
                <w:rFonts w:hAnsi="宋体" w:cs="宋体"/>
                <w:color w:val="auto"/>
                <w:sz w:val="18"/>
                <w:highlight w:val="none"/>
              </w:rPr>
            </w:pPr>
          </w:p>
        </w:tc>
        <w:tc>
          <w:tcPr>
            <w:tcW w:w="1590" w:type="dxa"/>
          </w:tcPr>
          <w:p w14:paraId="37ED4CED">
            <w:pPr>
              <w:pStyle w:val="107"/>
              <w:jc w:val="center"/>
              <w:rPr>
                <w:rFonts w:hAnsi="宋体" w:cs="宋体"/>
                <w:color w:val="auto"/>
                <w:sz w:val="18"/>
                <w:highlight w:val="none"/>
              </w:rPr>
            </w:pPr>
          </w:p>
        </w:tc>
        <w:tc>
          <w:tcPr>
            <w:tcW w:w="1080" w:type="dxa"/>
          </w:tcPr>
          <w:p w14:paraId="4C7F48B4">
            <w:pPr>
              <w:pStyle w:val="107"/>
              <w:jc w:val="center"/>
              <w:rPr>
                <w:rFonts w:hAnsi="宋体" w:cs="宋体"/>
                <w:color w:val="auto"/>
                <w:sz w:val="18"/>
                <w:highlight w:val="none"/>
              </w:rPr>
            </w:pPr>
          </w:p>
        </w:tc>
        <w:tc>
          <w:tcPr>
            <w:tcW w:w="1080" w:type="dxa"/>
          </w:tcPr>
          <w:p w14:paraId="235E9558">
            <w:pPr>
              <w:pStyle w:val="107"/>
              <w:jc w:val="center"/>
              <w:rPr>
                <w:rFonts w:hAnsi="宋体" w:cs="宋体"/>
                <w:color w:val="auto"/>
                <w:sz w:val="18"/>
                <w:highlight w:val="none"/>
              </w:rPr>
            </w:pPr>
          </w:p>
        </w:tc>
        <w:tc>
          <w:tcPr>
            <w:tcW w:w="1080" w:type="dxa"/>
          </w:tcPr>
          <w:p w14:paraId="7E5B91BA">
            <w:pPr>
              <w:pStyle w:val="107"/>
              <w:jc w:val="center"/>
              <w:rPr>
                <w:rFonts w:hAnsi="宋体" w:cs="宋体"/>
                <w:color w:val="auto"/>
                <w:sz w:val="18"/>
                <w:highlight w:val="none"/>
              </w:rPr>
            </w:pPr>
          </w:p>
        </w:tc>
        <w:tc>
          <w:tcPr>
            <w:tcW w:w="1440" w:type="dxa"/>
          </w:tcPr>
          <w:p w14:paraId="6EAB4E34">
            <w:pPr>
              <w:pStyle w:val="107"/>
              <w:jc w:val="center"/>
              <w:rPr>
                <w:rFonts w:hAnsi="宋体" w:cs="宋体"/>
                <w:color w:val="auto"/>
                <w:sz w:val="18"/>
                <w:highlight w:val="none"/>
              </w:rPr>
            </w:pPr>
          </w:p>
        </w:tc>
        <w:tc>
          <w:tcPr>
            <w:tcW w:w="1440" w:type="dxa"/>
          </w:tcPr>
          <w:p w14:paraId="1FB1CE0A">
            <w:pPr>
              <w:pStyle w:val="107"/>
              <w:jc w:val="center"/>
              <w:rPr>
                <w:rFonts w:hAnsi="宋体" w:cs="宋体"/>
                <w:color w:val="auto"/>
                <w:sz w:val="18"/>
                <w:highlight w:val="none"/>
              </w:rPr>
            </w:pPr>
          </w:p>
        </w:tc>
      </w:tr>
    </w:tbl>
    <w:p w14:paraId="6030AF8E">
      <w:pPr>
        <w:pStyle w:val="107"/>
        <w:rPr>
          <w:rFonts w:hAnsi="宋体" w:cs="宋体"/>
          <w:color w:val="auto"/>
          <w:szCs w:val="21"/>
          <w:highlight w:val="none"/>
        </w:rPr>
      </w:pPr>
    </w:p>
    <w:p w14:paraId="217F3AE9">
      <w:pPr>
        <w:pStyle w:val="107"/>
        <w:jc w:val="center"/>
        <w:rPr>
          <w:rFonts w:hAnsi="宋体" w:cs="宋体"/>
          <w:color w:val="auto"/>
          <w:sz w:val="28"/>
          <w:szCs w:val="28"/>
          <w:highlight w:val="none"/>
        </w:rPr>
      </w:pPr>
      <w:r>
        <w:rPr>
          <w:rFonts w:hint="eastAsia" w:hAnsi="宋体" w:cs="宋体"/>
          <w:b/>
          <w:color w:val="auto"/>
          <w:sz w:val="28"/>
          <w:szCs w:val="28"/>
          <w:highlight w:val="none"/>
        </w:rPr>
        <w:t>附表3：分包专项工程工程量清单</w:t>
      </w:r>
    </w:p>
    <w:p w14:paraId="3E31FE1D">
      <w:pPr>
        <w:pStyle w:val="107"/>
        <w:rPr>
          <w:rFonts w:hAnsi="宋体" w:cs="宋体"/>
          <w:color w:val="auto"/>
          <w:highlight w:val="none"/>
        </w:rPr>
      </w:pPr>
      <w:r>
        <w:rPr>
          <w:rFonts w:hint="eastAsia" w:hAnsi="宋体" w:cs="宋体"/>
          <w:color w:val="auto"/>
          <w:highlight w:val="none"/>
        </w:rPr>
        <w:t>工程项目：                                   合同段：</w:t>
      </w:r>
    </w:p>
    <w:p w14:paraId="53D77F24">
      <w:pPr>
        <w:pStyle w:val="107"/>
        <w:rPr>
          <w:rFonts w:hAnsi="宋体" w:cs="宋体"/>
          <w:b/>
          <w:bCs/>
          <w:color w:val="auto"/>
          <w:highlight w:val="none"/>
        </w:rPr>
      </w:pPr>
      <w:r>
        <w:rPr>
          <w:rFonts w:hint="eastAsia" w:hAnsi="宋体" w:cs="宋体"/>
          <w:color w:val="auto"/>
          <w:highlight w:val="none"/>
        </w:rPr>
        <w:t xml:space="preserve">分包专项工程：                               分包人：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14:paraId="3B64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3" w:type="dxa"/>
            <w:vAlign w:val="center"/>
          </w:tcPr>
          <w:p w14:paraId="649CC455">
            <w:pPr>
              <w:pStyle w:val="107"/>
              <w:jc w:val="center"/>
              <w:rPr>
                <w:rFonts w:hAnsi="宋体" w:cs="宋体"/>
                <w:color w:val="auto"/>
                <w:szCs w:val="21"/>
                <w:highlight w:val="none"/>
              </w:rPr>
            </w:pPr>
            <w:r>
              <w:rPr>
                <w:rFonts w:hint="eastAsia" w:hAnsi="宋体" w:cs="宋体"/>
                <w:color w:val="auto"/>
                <w:szCs w:val="21"/>
                <w:highlight w:val="none"/>
              </w:rPr>
              <w:t>清单编号</w:t>
            </w:r>
          </w:p>
        </w:tc>
        <w:tc>
          <w:tcPr>
            <w:tcW w:w="1752" w:type="dxa"/>
            <w:vAlign w:val="center"/>
          </w:tcPr>
          <w:p w14:paraId="0BB01680">
            <w:pPr>
              <w:pStyle w:val="107"/>
              <w:jc w:val="center"/>
              <w:rPr>
                <w:rFonts w:hAnsi="宋体" w:cs="宋体"/>
                <w:color w:val="auto"/>
                <w:szCs w:val="21"/>
                <w:highlight w:val="none"/>
              </w:rPr>
            </w:pPr>
            <w:r>
              <w:rPr>
                <w:rFonts w:hint="eastAsia" w:hAnsi="宋体" w:cs="宋体"/>
                <w:color w:val="auto"/>
                <w:szCs w:val="21"/>
                <w:highlight w:val="none"/>
              </w:rPr>
              <w:t>工程名称</w:t>
            </w:r>
          </w:p>
        </w:tc>
        <w:tc>
          <w:tcPr>
            <w:tcW w:w="1122" w:type="dxa"/>
            <w:vAlign w:val="center"/>
          </w:tcPr>
          <w:p w14:paraId="26B16694">
            <w:pPr>
              <w:pStyle w:val="107"/>
              <w:jc w:val="center"/>
              <w:rPr>
                <w:rFonts w:hAnsi="宋体" w:cs="宋体"/>
                <w:color w:val="auto"/>
                <w:szCs w:val="21"/>
                <w:highlight w:val="none"/>
              </w:rPr>
            </w:pPr>
            <w:r>
              <w:rPr>
                <w:rFonts w:hint="eastAsia" w:hAnsi="宋体" w:cs="宋体"/>
                <w:color w:val="auto"/>
                <w:szCs w:val="21"/>
                <w:highlight w:val="none"/>
              </w:rPr>
              <w:t>单位</w:t>
            </w:r>
          </w:p>
        </w:tc>
        <w:tc>
          <w:tcPr>
            <w:tcW w:w="1122" w:type="dxa"/>
            <w:vAlign w:val="center"/>
          </w:tcPr>
          <w:p w14:paraId="6486C10C">
            <w:pPr>
              <w:pStyle w:val="107"/>
              <w:jc w:val="center"/>
              <w:rPr>
                <w:rFonts w:hAnsi="宋体" w:cs="宋体"/>
                <w:color w:val="auto"/>
                <w:szCs w:val="21"/>
                <w:highlight w:val="none"/>
              </w:rPr>
            </w:pPr>
            <w:r>
              <w:rPr>
                <w:rFonts w:hint="eastAsia" w:hAnsi="宋体" w:cs="宋体"/>
                <w:color w:val="auto"/>
                <w:szCs w:val="21"/>
                <w:highlight w:val="none"/>
              </w:rPr>
              <w:t>数量</w:t>
            </w:r>
          </w:p>
        </w:tc>
        <w:tc>
          <w:tcPr>
            <w:tcW w:w="1140" w:type="dxa"/>
            <w:vAlign w:val="center"/>
          </w:tcPr>
          <w:p w14:paraId="0AAD3658">
            <w:pPr>
              <w:pStyle w:val="107"/>
              <w:jc w:val="center"/>
              <w:rPr>
                <w:rFonts w:hAnsi="宋体" w:cs="宋体"/>
                <w:color w:val="auto"/>
                <w:szCs w:val="21"/>
                <w:highlight w:val="none"/>
              </w:rPr>
            </w:pPr>
            <w:r>
              <w:rPr>
                <w:rFonts w:hint="eastAsia" w:hAnsi="宋体" w:cs="宋体"/>
                <w:color w:val="auto"/>
                <w:szCs w:val="21"/>
                <w:highlight w:val="none"/>
              </w:rPr>
              <w:t>单价</w:t>
            </w:r>
          </w:p>
          <w:p w14:paraId="730EB918">
            <w:pPr>
              <w:pStyle w:val="107"/>
              <w:jc w:val="center"/>
              <w:rPr>
                <w:rFonts w:hAnsi="宋体" w:cs="宋体"/>
                <w:color w:val="auto"/>
                <w:szCs w:val="21"/>
                <w:highlight w:val="none"/>
              </w:rPr>
            </w:pPr>
            <w:r>
              <w:rPr>
                <w:rFonts w:hint="eastAsia" w:hAnsi="宋体" w:cs="宋体"/>
                <w:color w:val="auto"/>
                <w:szCs w:val="21"/>
                <w:highlight w:val="none"/>
              </w:rPr>
              <w:t>(元)</w:t>
            </w:r>
          </w:p>
        </w:tc>
        <w:tc>
          <w:tcPr>
            <w:tcW w:w="1140" w:type="dxa"/>
            <w:vAlign w:val="center"/>
          </w:tcPr>
          <w:p w14:paraId="1B9E070F">
            <w:pPr>
              <w:pStyle w:val="107"/>
              <w:jc w:val="center"/>
              <w:rPr>
                <w:rFonts w:hAnsi="宋体" w:cs="宋体"/>
                <w:color w:val="auto"/>
                <w:szCs w:val="21"/>
                <w:highlight w:val="none"/>
              </w:rPr>
            </w:pPr>
            <w:r>
              <w:rPr>
                <w:rFonts w:hint="eastAsia" w:hAnsi="宋体" w:cs="宋体"/>
                <w:color w:val="auto"/>
                <w:szCs w:val="21"/>
                <w:highlight w:val="none"/>
              </w:rPr>
              <w:t>金额</w:t>
            </w:r>
          </w:p>
          <w:p w14:paraId="5D254C1C">
            <w:pPr>
              <w:pStyle w:val="107"/>
              <w:jc w:val="center"/>
              <w:rPr>
                <w:rFonts w:hAnsi="宋体" w:cs="宋体"/>
                <w:color w:val="auto"/>
                <w:szCs w:val="21"/>
                <w:highlight w:val="none"/>
              </w:rPr>
            </w:pPr>
            <w:r>
              <w:rPr>
                <w:rFonts w:hint="eastAsia" w:hAnsi="宋体" w:cs="宋体"/>
                <w:color w:val="auto"/>
                <w:szCs w:val="21"/>
                <w:highlight w:val="none"/>
              </w:rPr>
              <w:t>(元)</w:t>
            </w:r>
          </w:p>
        </w:tc>
        <w:tc>
          <w:tcPr>
            <w:tcW w:w="1123" w:type="dxa"/>
            <w:vAlign w:val="center"/>
          </w:tcPr>
          <w:p w14:paraId="2BA747D9">
            <w:pPr>
              <w:pStyle w:val="107"/>
              <w:jc w:val="center"/>
              <w:rPr>
                <w:rFonts w:hAnsi="宋体" w:cs="宋体"/>
                <w:color w:val="auto"/>
                <w:szCs w:val="21"/>
                <w:highlight w:val="none"/>
              </w:rPr>
            </w:pPr>
            <w:r>
              <w:rPr>
                <w:rFonts w:hint="eastAsia" w:hAnsi="宋体" w:cs="宋体"/>
                <w:color w:val="auto"/>
                <w:szCs w:val="21"/>
                <w:highlight w:val="none"/>
              </w:rPr>
              <w:t>预定工期</w:t>
            </w:r>
          </w:p>
        </w:tc>
      </w:tr>
      <w:tr w14:paraId="2C98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3C3FA6FD">
            <w:pPr>
              <w:pStyle w:val="107"/>
              <w:rPr>
                <w:rFonts w:hAnsi="宋体" w:cs="宋体"/>
                <w:b/>
                <w:color w:val="auto"/>
                <w:sz w:val="28"/>
                <w:szCs w:val="28"/>
                <w:highlight w:val="none"/>
              </w:rPr>
            </w:pPr>
          </w:p>
        </w:tc>
        <w:tc>
          <w:tcPr>
            <w:tcW w:w="1752" w:type="dxa"/>
          </w:tcPr>
          <w:p w14:paraId="7EF114EE">
            <w:pPr>
              <w:pStyle w:val="107"/>
              <w:rPr>
                <w:rFonts w:hAnsi="宋体" w:cs="宋体"/>
                <w:b/>
                <w:color w:val="auto"/>
                <w:sz w:val="28"/>
                <w:szCs w:val="28"/>
                <w:highlight w:val="none"/>
              </w:rPr>
            </w:pPr>
          </w:p>
        </w:tc>
        <w:tc>
          <w:tcPr>
            <w:tcW w:w="1122" w:type="dxa"/>
          </w:tcPr>
          <w:p w14:paraId="4187A9F6">
            <w:pPr>
              <w:pStyle w:val="107"/>
              <w:rPr>
                <w:rFonts w:hAnsi="宋体" w:cs="宋体"/>
                <w:b/>
                <w:color w:val="auto"/>
                <w:sz w:val="28"/>
                <w:szCs w:val="28"/>
                <w:highlight w:val="none"/>
              </w:rPr>
            </w:pPr>
          </w:p>
        </w:tc>
        <w:tc>
          <w:tcPr>
            <w:tcW w:w="1122" w:type="dxa"/>
          </w:tcPr>
          <w:p w14:paraId="7032FE10">
            <w:pPr>
              <w:pStyle w:val="107"/>
              <w:rPr>
                <w:rFonts w:hAnsi="宋体" w:cs="宋体"/>
                <w:b/>
                <w:color w:val="auto"/>
                <w:sz w:val="28"/>
                <w:szCs w:val="28"/>
                <w:highlight w:val="none"/>
              </w:rPr>
            </w:pPr>
          </w:p>
        </w:tc>
        <w:tc>
          <w:tcPr>
            <w:tcW w:w="1140" w:type="dxa"/>
          </w:tcPr>
          <w:p w14:paraId="719E2CF1">
            <w:pPr>
              <w:pStyle w:val="107"/>
              <w:rPr>
                <w:rFonts w:hAnsi="宋体" w:cs="宋体"/>
                <w:b/>
                <w:color w:val="auto"/>
                <w:sz w:val="28"/>
                <w:szCs w:val="28"/>
                <w:highlight w:val="none"/>
              </w:rPr>
            </w:pPr>
          </w:p>
        </w:tc>
        <w:tc>
          <w:tcPr>
            <w:tcW w:w="1140" w:type="dxa"/>
          </w:tcPr>
          <w:p w14:paraId="7C9FE826">
            <w:pPr>
              <w:pStyle w:val="107"/>
              <w:rPr>
                <w:rFonts w:hAnsi="宋体" w:cs="宋体"/>
                <w:b/>
                <w:color w:val="auto"/>
                <w:sz w:val="28"/>
                <w:szCs w:val="28"/>
                <w:highlight w:val="none"/>
              </w:rPr>
            </w:pPr>
          </w:p>
        </w:tc>
        <w:tc>
          <w:tcPr>
            <w:tcW w:w="1123" w:type="dxa"/>
          </w:tcPr>
          <w:p w14:paraId="2FBDBAD0">
            <w:pPr>
              <w:pStyle w:val="107"/>
              <w:rPr>
                <w:rFonts w:hAnsi="宋体" w:cs="宋体"/>
                <w:b/>
                <w:color w:val="auto"/>
                <w:sz w:val="28"/>
                <w:szCs w:val="28"/>
                <w:highlight w:val="none"/>
              </w:rPr>
            </w:pPr>
          </w:p>
        </w:tc>
      </w:tr>
      <w:tr w14:paraId="5CF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543527A2">
            <w:pPr>
              <w:pStyle w:val="107"/>
              <w:rPr>
                <w:rFonts w:hAnsi="宋体" w:cs="宋体"/>
                <w:b/>
                <w:color w:val="auto"/>
                <w:sz w:val="28"/>
                <w:szCs w:val="28"/>
                <w:highlight w:val="none"/>
              </w:rPr>
            </w:pPr>
          </w:p>
        </w:tc>
        <w:tc>
          <w:tcPr>
            <w:tcW w:w="1752" w:type="dxa"/>
          </w:tcPr>
          <w:p w14:paraId="491D2589">
            <w:pPr>
              <w:pStyle w:val="107"/>
              <w:rPr>
                <w:rFonts w:hAnsi="宋体" w:cs="宋体"/>
                <w:b/>
                <w:color w:val="auto"/>
                <w:sz w:val="28"/>
                <w:szCs w:val="28"/>
                <w:highlight w:val="none"/>
              </w:rPr>
            </w:pPr>
          </w:p>
        </w:tc>
        <w:tc>
          <w:tcPr>
            <w:tcW w:w="1122" w:type="dxa"/>
          </w:tcPr>
          <w:p w14:paraId="743D4452">
            <w:pPr>
              <w:pStyle w:val="107"/>
              <w:rPr>
                <w:rFonts w:hAnsi="宋体" w:cs="宋体"/>
                <w:b/>
                <w:color w:val="auto"/>
                <w:sz w:val="28"/>
                <w:szCs w:val="28"/>
                <w:highlight w:val="none"/>
              </w:rPr>
            </w:pPr>
          </w:p>
        </w:tc>
        <w:tc>
          <w:tcPr>
            <w:tcW w:w="1122" w:type="dxa"/>
          </w:tcPr>
          <w:p w14:paraId="1BD65BC3">
            <w:pPr>
              <w:pStyle w:val="107"/>
              <w:rPr>
                <w:rFonts w:hAnsi="宋体" w:cs="宋体"/>
                <w:b/>
                <w:color w:val="auto"/>
                <w:sz w:val="28"/>
                <w:szCs w:val="28"/>
                <w:highlight w:val="none"/>
              </w:rPr>
            </w:pPr>
          </w:p>
        </w:tc>
        <w:tc>
          <w:tcPr>
            <w:tcW w:w="1140" w:type="dxa"/>
          </w:tcPr>
          <w:p w14:paraId="27341081">
            <w:pPr>
              <w:pStyle w:val="107"/>
              <w:rPr>
                <w:rFonts w:hAnsi="宋体" w:cs="宋体"/>
                <w:b/>
                <w:color w:val="auto"/>
                <w:sz w:val="28"/>
                <w:szCs w:val="28"/>
                <w:highlight w:val="none"/>
              </w:rPr>
            </w:pPr>
          </w:p>
        </w:tc>
        <w:tc>
          <w:tcPr>
            <w:tcW w:w="1140" w:type="dxa"/>
          </w:tcPr>
          <w:p w14:paraId="3B9E1CEF">
            <w:pPr>
              <w:pStyle w:val="107"/>
              <w:rPr>
                <w:rFonts w:hAnsi="宋体" w:cs="宋体"/>
                <w:b/>
                <w:color w:val="auto"/>
                <w:sz w:val="28"/>
                <w:szCs w:val="28"/>
                <w:highlight w:val="none"/>
              </w:rPr>
            </w:pPr>
          </w:p>
        </w:tc>
        <w:tc>
          <w:tcPr>
            <w:tcW w:w="1123" w:type="dxa"/>
          </w:tcPr>
          <w:p w14:paraId="7EE4E1D4">
            <w:pPr>
              <w:pStyle w:val="107"/>
              <w:rPr>
                <w:rFonts w:hAnsi="宋体" w:cs="宋体"/>
                <w:b/>
                <w:color w:val="auto"/>
                <w:sz w:val="28"/>
                <w:szCs w:val="28"/>
                <w:highlight w:val="none"/>
              </w:rPr>
            </w:pPr>
          </w:p>
        </w:tc>
      </w:tr>
      <w:tr w14:paraId="08C1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7C357D0C">
            <w:pPr>
              <w:pStyle w:val="107"/>
              <w:rPr>
                <w:rFonts w:hAnsi="宋体" w:cs="宋体"/>
                <w:b/>
                <w:color w:val="auto"/>
                <w:sz w:val="28"/>
                <w:szCs w:val="28"/>
                <w:highlight w:val="none"/>
              </w:rPr>
            </w:pPr>
          </w:p>
        </w:tc>
        <w:tc>
          <w:tcPr>
            <w:tcW w:w="1752" w:type="dxa"/>
          </w:tcPr>
          <w:p w14:paraId="47AD6D3D">
            <w:pPr>
              <w:pStyle w:val="107"/>
              <w:rPr>
                <w:rFonts w:hAnsi="宋体" w:cs="宋体"/>
                <w:b/>
                <w:color w:val="auto"/>
                <w:sz w:val="28"/>
                <w:szCs w:val="28"/>
                <w:highlight w:val="none"/>
              </w:rPr>
            </w:pPr>
          </w:p>
        </w:tc>
        <w:tc>
          <w:tcPr>
            <w:tcW w:w="1122" w:type="dxa"/>
          </w:tcPr>
          <w:p w14:paraId="7928FD78">
            <w:pPr>
              <w:pStyle w:val="107"/>
              <w:rPr>
                <w:rFonts w:hAnsi="宋体" w:cs="宋体"/>
                <w:b/>
                <w:color w:val="auto"/>
                <w:sz w:val="28"/>
                <w:szCs w:val="28"/>
                <w:highlight w:val="none"/>
              </w:rPr>
            </w:pPr>
          </w:p>
        </w:tc>
        <w:tc>
          <w:tcPr>
            <w:tcW w:w="1122" w:type="dxa"/>
          </w:tcPr>
          <w:p w14:paraId="768A18C8">
            <w:pPr>
              <w:pStyle w:val="107"/>
              <w:rPr>
                <w:rFonts w:hAnsi="宋体" w:cs="宋体"/>
                <w:b/>
                <w:color w:val="auto"/>
                <w:sz w:val="28"/>
                <w:szCs w:val="28"/>
                <w:highlight w:val="none"/>
              </w:rPr>
            </w:pPr>
          </w:p>
        </w:tc>
        <w:tc>
          <w:tcPr>
            <w:tcW w:w="1140" w:type="dxa"/>
          </w:tcPr>
          <w:p w14:paraId="2318E1BF">
            <w:pPr>
              <w:pStyle w:val="107"/>
              <w:rPr>
                <w:rFonts w:hAnsi="宋体" w:cs="宋体"/>
                <w:b/>
                <w:color w:val="auto"/>
                <w:sz w:val="28"/>
                <w:szCs w:val="28"/>
                <w:highlight w:val="none"/>
              </w:rPr>
            </w:pPr>
          </w:p>
        </w:tc>
        <w:tc>
          <w:tcPr>
            <w:tcW w:w="1140" w:type="dxa"/>
          </w:tcPr>
          <w:p w14:paraId="1CFE72DC">
            <w:pPr>
              <w:pStyle w:val="107"/>
              <w:rPr>
                <w:rFonts w:hAnsi="宋体" w:cs="宋体"/>
                <w:b/>
                <w:color w:val="auto"/>
                <w:sz w:val="28"/>
                <w:szCs w:val="28"/>
                <w:highlight w:val="none"/>
              </w:rPr>
            </w:pPr>
          </w:p>
        </w:tc>
        <w:tc>
          <w:tcPr>
            <w:tcW w:w="1123" w:type="dxa"/>
          </w:tcPr>
          <w:p w14:paraId="4C3045E7">
            <w:pPr>
              <w:pStyle w:val="107"/>
              <w:rPr>
                <w:rFonts w:hAnsi="宋体" w:cs="宋体"/>
                <w:b/>
                <w:color w:val="auto"/>
                <w:sz w:val="28"/>
                <w:szCs w:val="28"/>
                <w:highlight w:val="none"/>
              </w:rPr>
            </w:pPr>
          </w:p>
        </w:tc>
      </w:tr>
    </w:tbl>
    <w:p w14:paraId="37EAAA2F">
      <w:pPr>
        <w:pStyle w:val="107"/>
        <w:rPr>
          <w:rFonts w:hAnsi="宋体" w:cs="宋体"/>
          <w:b/>
          <w:color w:val="auto"/>
          <w:sz w:val="28"/>
          <w:szCs w:val="28"/>
          <w:highlight w:val="none"/>
        </w:rPr>
      </w:pPr>
    </w:p>
    <w:p w14:paraId="4108C44C">
      <w:pPr>
        <w:pStyle w:val="107"/>
        <w:jc w:val="center"/>
        <w:rPr>
          <w:rFonts w:hAnsi="宋体" w:cs="宋体"/>
          <w:b/>
          <w:color w:val="auto"/>
          <w:sz w:val="28"/>
          <w:szCs w:val="28"/>
          <w:highlight w:val="none"/>
        </w:rPr>
      </w:pPr>
      <w:r>
        <w:rPr>
          <w:rFonts w:hint="eastAsia" w:hAnsi="宋体" w:cs="宋体"/>
          <w:b/>
          <w:color w:val="auto"/>
          <w:sz w:val="28"/>
          <w:szCs w:val="28"/>
          <w:highlight w:val="none"/>
        </w:rPr>
        <w:t>附表4：承包人供应材料清单</w:t>
      </w:r>
    </w:p>
    <w:p w14:paraId="37AFA54B">
      <w:pPr>
        <w:pStyle w:val="107"/>
        <w:rPr>
          <w:rFonts w:hAnsi="宋体" w:cs="宋体"/>
          <w:color w:val="auto"/>
          <w:highlight w:val="none"/>
        </w:rPr>
      </w:pPr>
      <w:r>
        <w:rPr>
          <w:rFonts w:hint="eastAsia" w:hAnsi="宋体" w:cs="宋体"/>
          <w:color w:val="auto"/>
          <w:highlight w:val="none"/>
        </w:rPr>
        <w:t>工程项目：                                   合同段：</w:t>
      </w:r>
    </w:p>
    <w:p w14:paraId="0516EF33">
      <w:pPr>
        <w:pStyle w:val="107"/>
        <w:rPr>
          <w:rFonts w:hAnsi="宋体" w:cs="宋体"/>
          <w:b/>
          <w:bCs/>
          <w:color w:val="auto"/>
          <w:highlight w:val="none"/>
        </w:rPr>
      </w:pPr>
      <w:r>
        <w:rPr>
          <w:rFonts w:hint="eastAsia" w:hAnsi="宋体" w:cs="宋体"/>
          <w:color w:val="auto"/>
          <w:highlight w:val="none"/>
        </w:rPr>
        <w:t xml:space="preserve">分包专项工程：                               分包人：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14:paraId="1D53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23C587C5">
            <w:pPr>
              <w:pStyle w:val="107"/>
              <w:jc w:val="center"/>
              <w:rPr>
                <w:rFonts w:hAnsi="宋体" w:cs="宋体"/>
                <w:color w:val="auto"/>
                <w:szCs w:val="21"/>
                <w:highlight w:val="none"/>
              </w:rPr>
            </w:pPr>
            <w:r>
              <w:rPr>
                <w:rFonts w:hint="eastAsia" w:hAnsi="宋体" w:cs="宋体"/>
                <w:color w:val="auto"/>
                <w:szCs w:val="21"/>
                <w:highlight w:val="none"/>
              </w:rPr>
              <w:t>序号</w:t>
            </w:r>
          </w:p>
        </w:tc>
        <w:tc>
          <w:tcPr>
            <w:tcW w:w="1493" w:type="dxa"/>
            <w:vAlign w:val="center"/>
          </w:tcPr>
          <w:p w14:paraId="4CE5A99F">
            <w:pPr>
              <w:pStyle w:val="107"/>
              <w:jc w:val="center"/>
              <w:rPr>
                <w:rFonts w:hAnsi="宋体" w:cs="宋体"/>
                <w:color w:val="auto"/>
                <w:szCs w:val="21"/>
                <w:highlight w:val="none"/>
              </w:rPr>
            </w:pPr>
            <w:r>
              <w:rPr>
                <w:rFonts w:hint="eastAsia" w:hAnsi="宋体" w:cs="宋体"/>
                <w:color w:val="auto"/>
                <w:szCs w:val="21"/>
                <w:highlight w:val="none"/>
              </w:rPr>
              <w:t>材料品种</w:t>
            </w:r>
          </w:p>
        </w:tc>
        <w:tc>
          <w:tcPr>
            <w:tcW w:w="1004" w:type="dxa"/>
            <w:vAlign w:val="center"/>
          </w:tcPr>
          <w:p w14:paraId="25B4ED6F">
            <w:pPr>
              <w:pStyle w:val="107"/>
              <w:jc w:val="center"/>
              <w:rPr>
                <w:rFonts w:hAnsi="宋体" w:cs="宋体"/>
                <w:color w:val="auto"/>
                <w:szCs w:val="21"/>
                <w:highlight w:val="none"/>
              </w:rPr>
            </w:pPr>
            <w:r>
              <w:rPr>
                <w:rFonts w:hint="eastAsia" w:hAnsi="宋体" w:cs="宋体"/>
                <w:color w:val="auto"/>
                <w:szCs w:val="21"/>
                <w:highlight w:val="none"/>
              </w:rPr>
              <w:t>规格</w:t>
            </w:r>
          </w:p>
        </w:tc>
        <w:tc>
          <w:tcPr>
            <w:tcW w:w="1004" w:type="dxa"/>
            <w:vAlign w:val="center"/>
          </w:tcPr>
          <w:p w14:paraId="399D73F3">
            <w:pPr>
              <w:pStyle w:val="107"/>
              <w:jc w:val="center"/>
              <w:rPr>
                <w:rFonts w:hAnsi="宋体" w:cs="宋体"/>
                <w:color w:val="auto"/>
                <w:szCs w:val="21"/>
                <w:highlight w:val="none"/>
              </w:rPr>
            </w:pPr>
            <w:r>
              <w:rPr>
                <w:rFonts w:hint="eastAsia" w:hAnsi="宋体" w:cs="宋体"/>
                <w:color w:val="auto"/>
                <w:szCs w:val="21"/>
                <w:highlight w:val="none"/>
              </w:rPr>
              <w:t>单位</w:t>
            </w:r>
          </w:p>
        </w:tc>
        <w:tc>
          <w:tcPr>
            <w:tcW w:w="1004" w:type="dxa"/>
            <w:vAlign w:val="center"/>
          </w:tcPr>
          <w:p w14:paraId="66309711">
            <w:pPr>
              <w:pStyle w:val="107"/>
              <w:jc w:val="center"/>
              <w:rPr>
                <w:rFonts w:hAnsi="宋体" w:cs="宋体"/>
                <w:color w:val="auto"/>
                <w:szCs w:val="21"/>
                <w:highlight w:val="none"/>
              </w:rPr>
            </w:pPr>
            <w:r>
              <w:rPr>
                <w:rFonts w:hint="eastAsia" w:hAnsi="宋体" w:cs="宋体"/>
                <w:color w:val="auto"/>
                <w:szCs w:val="21"/>
                <w:highlight w:val="none"/>
              </w:rPr>
              <w:t>数量</w:t>
            </w:r>
          </w:p>
        </w:tc>
        <w:tc>
          <w:tcPr>
            <w:tcW w:w="1004" w:type="dxa"/>
          </w:tcPr>
          <w:p w14:paraId="6992BDD1">
            <w:pPr>
              <w:pStyle w:val="107"/>
              <w:jc w:val="center"/>
              <w:rPr>
                <w:rFonts w:hAnsi="宋体" w:cs="宋体"/>
                <w:color w:val="auto"/>
                <w:szCs w:val="21"/>
                <w:highlight w:val="none"/>
              </w:rPr>
            </w:pPr>
            <w:r>
              <w:rPr>
                <w:rFonts w:hint="eastAsia" w:hAnsi="宋体" w:cs="宋体"/>
                <w:color w:val="auto"/>
                <w:szCs w:val="21"/>
                <w:highlight w:val="none"/>
              </w:rPr>
              <w:t>结算</w:t>
            </w:r>
          </w:p>
          <w:p w14:paraId="6ADFEFFB">
            <w:pPr>
              <w:pStyle w:val="107"/>
              <w:jc w:val="center"/>
              <w:rPr>
                <w:rFonts w:hAnsi="宋体" w:cs="宋体"/>
                <w:color w:val="auto"/>
                <w:szCs w:val="21"/>
                <w:highlight w:val="none"/>
              </w:rPr>
            </w:pPr>
            <w:r>
              <w:rPr>
                <w:rFonts w:hint="eastAsia" w:hAnsi="宋体" w:cs="宋体"/>
                <w:color w:val="auto"/>
                <w:szCs w:val="21"/>
                <w:highlight w:val="none"/>
              </w:rPr>
              <w:t>单价</w:t>
            </w:r>
          </w:p>
        </w:tc>
        <w:tc>
          <w:tcPr>
            <w:tcW w:w="1005" w:type="dxa"/>
          </w:tcPr>
          <w:p w14:paraId="77014F15">
            <w:pPr>
              <w:pStyle w:val="107"/>
              <w:jc w:val="center"/>
              <w:rPr>
                <w:rFonts w:hAnsi="宋体" w:cs="宋体"/>
                <w:color w:val="auto"/>
                <w:szCs w:val="21"/>
                <w:highlight w:val="none"/>
              </w:rPr>
            </w:pPr>
            <w:r>
              <w:rPr>
                <w:rFonts w:hint="eastAsia" w:hAnsi="宋体" w:cs="宋体"/>
                <w:color w:val="auto"/>
                <w:szCs w:val="21"/>
                <w:highlight w:val="none"/>
              </w:rPr>
              <w:t>交货</w:t>
            </w:r>
          </w:p>
          <w:p w14:paraId="56DEE016">
            <w:pPr>
              <w:pStyle w:val="107"/>
              <w:jc w:val="center"/>
              <w:rPr>
                <w:rFonts w:hAnsi="宋体" w:cs="宋体"/>
                <w:color w:val="auto"/>
                <w:szCs w:val="21"/>
                <w:highlight w:val="none"/>
              </w:rPr>
            </w:pPr>
            <w:r>
              <w:rPr>
                <w:rFonts w:hint="eastAsia" w:hAnsi="宋体" w:cs="宋体"/>
                <w:color w:val="auto"/>
                <w:szCs w:val="21"/>
                <w:highlight w:val="none"/>
              </w:rPr>
              <w:t>时间</w:t>
            </w:r>
          </w:p>
        </w:tc>
        <w:tc>
          <w:tcPr>
            <w:tcW w:w="1005" w:type="dxa"/>
          </w:tcPr>
          <w:p w14:paraId="20E208A1">
            <w:pPr>
              <w:pStyle w:val="107"/>
              <w:jc w:val="center"/>
              <w:rPr>
                <w:rFonts w:hAnsi="宋体" w:cs="宋体"/>
                <w:color w:val="auto"/>
                <w:szCs w:val="21"/>
                <w:highlight w:val="none"/>
              </w:rPr>
            </w:pPr>
            <w:r>
              <w:rPr>
                <w:rFonts w:hint="eastAsia" w:hAnsi="宋体" w:cs="宋体"/>
                <w:color w:val="auto"/>
                <w:szCs w:val="21"/>
                <w:highlight w:val="none"/>
              </w:rPr>
              <w:t>交货</w:t>
            </w:r>
          </w:p>
          <w:p w14:paraId="1DCADA6C">
            <w:pPr>
              <w:pStyle w:val="107"/>
              <w:jc w:val="center"/>
              <w:rPr>
                <w:rFonts w:hAnsi="宋体" w:cs="宋体"/>
                <w:color w:val="auto"/>
                <w:szCs w:val="21"/>
                <w:highlight w:val="none"/>
              </w:rPr>
            </w:pPr>
            <w:r>
              <w:rPr>
                <w:rFonts w:hint="eastAsia" w:hAnsi="宋体" w:cs="宋体"/>
                <w:color w:val="auto"/>
                <w:szCs w:val="21"/>
                <w:highlight w:val="none"/>
              </w:rPr>
              <w:t>地点</w:t>
            </w:r>
          </w:p>
        </w:tc>
      </w:tr>
      <w:tr w14:paraId="758D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71B52891">
            <w:pPr>
              <w:pStyle w:val="107"/>
              <w:rPr>
                <w:rFonts w:hAnsi="宋体" w:cs="宋体"/>
                <w:b/>
                <w:color w:val="auto"/>
                <w:sz w:val="28"/>
                <w:szCs w:val="28"/>
                <w:highlight w:val="none"/>
              </w:rPr>
            </w:pPr>
          </w:p>
        </w:tc>
        <w:tc>
          <w:tcPr>
            <w:tcW w:w="1493" w:type="dxa"/>
          </w:tcPr>
          <w:p w14:paraId="3B41AB45">
            <w:pPr>
              <w:pStyle w:val="107"/>
              <w:rPr>
                <w:rFonts w:hAnsi="宋体" w:cs="宋体"/>
                <w:b/>
                <w:color w:val="auto"/>
                <w:sz w:val="28"/>
                <w:szCs w:val="28"/>
                <w:highlight w:val="none"/>
              </w:rPr>
            </w:pPr>
          </w:p>
        </w:tc>
        <w:tc>
          <w:tcPr>
            <w:tcW w:w="1004" w:type="dxa"/>
          </w:tcPr>
          <w:p w14:paraId="66CD561C">
            <w:pPr>
              <w:pStyle w:val="107"/>
              <w:rPr>
                <w:rFonts w:hAnsi="宋体" w:cs="宋体"/>
                <w:b/>
                <w:color w:val="auto"/>
                <w:sz w:val="28"/>
                <w:szCs w:val="28"/>
                <w:highlight w:val="none"/>
              </w:rPr>
            </w:pPr>
          </w:p>
        </w:tc>
        <w:tc>
          <w:tcPr>
            <w:tcW w:w="1004" w:type="dxa"/>
          </w:tcPr>
          <w:p w14:paraId="651E226B">
            <w:pPr>
              <w:pStyle w:val="107"/>
              <w:rPr>
                <w:rFonts w:hAnsi="宋体" w:cs="宋体"/>
                <w:b/>
                <w:color w:val="auto"/>
                <w:sz w:val="28"/>
                <w:szCs w:val="28"/>
                <w:highlight w:val="none"/>
              </w:rPr>
            </w:pPr>
          </w:p>
        </w:tc>
        <w:tc>
          <w:tcPr>
            <w:tcW w:w="1004" w:type="dxa"/>
          </w:tcPr>
          <w:p w14:paraId="433F3515">
            <w:pPr>
              <w:pStyle w:val="107"/>
              <w:rPr>
                <w:rFonts w:hAnsi="宋体" w:cs="宋体"/>
                <w:b/>
                <w:color w:val="auto"/>
                <w:sz w:val="28"/>
                <w:szCs w:val="28"/>
                <w:highlight w:val="none"/>
              </w:rPr>
            </w:pPr>
          </w:p>
        </w:tc>
        <w:tc>
          <w:tcPr>
            <w:tcW w:w="1004" w:type="dxa"/>
          </w:tcPr>
          <w:p w14:paraId="71D201A6">
            <w:pPr>
              <w:pStyle w:val="107"/>
              <w:rPr>
                <w:rFonts w:hAnsi="宋体" w:cs="宋体"/>
                <w:b/>
                <w:color w:val="auto"/>
                <w:sz w:val="28"/>
                <w:szCs w:val="28"/>
                <w:highlight w:val="none"/>
              </w:rPr>
            </w:pPr>
          </w:p>
        </w:tc>
        <w:tc>
          <w:tcPr>
            <w:tcW w:w="1005" w:type="dxa"/>
          </w:tcPr>
          <w:p w14:paraId="0DB675F6">
            <w:pPr>
              <w:pStyle w:val="107"/>
              <w:rPr>
                <w:rFonts w:hAnsi="宋体" w:cs="宋体"/>
                <w:b/>
                <w:color w:val="auto"/>
                <w:sz w:val="28"/>
                <w:szCs w:val="28"/>
                <w:highlight w:val="none"/>
              </w:rPr>
            </w:pPr>
          </w:p>
        </w:tc>
        <w:tc>
          <w:tcPr>
            <w:tcW w:w="1005" w:type="dxa"/>
          </w:tcPr>
          <w:p w14:paraId="5FB508CB">
            <w:pPr>
              <w:pStyle w:val="107"/>
              <w:rPr>
                <w:rFonts w:hAnsi="宋体" w:cs="宋体"/>
                <w:b/>
                <w:color w:val="auto"/>
                <w:sz w:val="28"/>
                <w:szCs w:val="28"/>
                <w:highlight w:val="none"/>
              </w:rPr>
            </w:pPr>
          </w:p>
        </w:tc>
      </w:tr>
      <w:tr w14:paraId="68CF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52CE1F82">
            <w:pPr>
              <w:pStyle w:val="107"/>
              <w:rPr>
                <w:rFonts w:hAnsi="宋体" w:cs="宋体"/>
                <w:b/>
                <w:color w:val="auto"/>
                <w:sz w:val="28"/>
                <w:szCs w:val="28"/>
                <w:highlight w:val="none"/>
              </w:rPr>
            </w:pPr>
          </w:p>
        </w:tc>
        <w:tc>
          <w:tcPr>
            <w:tcW w:w="1493" w:type="dxa"/>
          </w:tcPr>
          <w:p w14:paraId="2F4380D6">
            <w:pPr>
              <w:pStyle w:val="107"/>
              <w:rPr>
                <w:rFonts w:hAnsi="宋体" w:cs="宋体"/>
                <w:b/>
                <w:color w:val="auto"/>
                <w:sz w:val="28"/>
                <w:szCs w:val="28"/>
                <w:highlight w:val="none"/>
              </w:rPr>
            </w:pPr>
          </w:p>
        </w:tc>
        <w:tc>
          <w:tcPr>
            <w:tcW w:w="1004" w:type="dxa"/>
          </w:tcPr>
          <w:p w14:paraId="56655909">
            <w:pPr>
              <w:pStyle w:val="107"/>
              <w:rPr>
                <w:rFonts w:hAnsi="宋体" w:cs="宋体"/>
                <w:b/>
                <w:color w:val="auto"/>
                <w:sz w:val="28"/>
                <w:szCs w:val="28"/>
                <w:highlight w:val="none"/>
              </w:rPr>
            </w:pPr>
          </w:p>
        </w:tc>
        <w:tc>
          <w:tcPr>
            <w:tcW w:w="1004" w:type="dxa"/>
          </w:tcPr>
          <w:p w14:paraId="05B983EF">
            <w:pPr>
              <w:pStyle w:val="107"/>
              <w:rPr>
                <w:rFonts w:hAnsi="宋体" w:cs="宋体"/>
                <w:b/>
                <w:color w:val="auto"/>
                <w:sz w:val="28"/>
                <w:szCs w:val="28"/>
                <w:highlight w:val="none"/>
              </w:rPr>
            </w:pPr>
          </w:p>
        </w:tc>
        <w:tc>
          <w:tcPr>
            <w:tcW w:w="1004" w:type="dxa"/>
          </w:tcPr>
          <w:p w14:paraId="7D51E4E3">
            <w:pPr>
              <w:pStyle w:val="107"/>
              <w:rPr>
                <w:rFonts w:hAnsi="宋体" w:cs="宋体"/>
                <w:b/>
                <w:color w:val="auto"/>
                <w:sz w:val="28"/>
                <w:szCs w:val="28"/>
                <w:highlight w:val="none"/>
              </w:rPr>
            </w:pPr>
          </w:p>
        </w:tc>
        <w:tc>
          <w:tcPr>
            <w:tcW w:w="1004" w:type="dxa"/>
          </w:tcPr>
          <w:p w14:paraId="09793ADF">
            <w:pPr>
              <w:pStyle w:val="107"/>
              <w:rPr>
                <w:rFonts w:hAnsi="宋体" w:cs="宋体"/>
                <w:b/>
                <w:color w:val="auto"/>
                <w:sz w:val="28"/>
                <w:szCs w:val="28"/>
                <w:highlight w:val="none"/>
              </w:rPr>
            </w:pPr>
          </w:p>
        </w:tc>
        <w:tc>
          <w:tcPr>
            <w:tcW w:w="1005" w:type="dxa"/>
          </w:tcPr>
          <w:p w14:paraId="07D895DE">
            <w:pPr>
              <w:pStyle w:val="107"/>
              <w:rPr>
                <w:rFonts w:hAnsi="宋体" w:cs="宋体"/>
                <w:b/>
                <w:color w:val="auto"/>
                <w:sz w:val="28"/>
                <w:szCs w:val="28"/>
                <w:highlight w:val="none"/>
              </w:rPr>
            </w:pPr>
          </w:p>
        </w:tc>
        <w:tc>
          <w:tcPr>
            <w:tcW w:w="1005" w:type="dxa"/>
          </w:tcPr>
          <w:p w14:paraId="376116B6">
            <w:pPr>
              <w:pStyle w:val="107"/>
              <w:rPr>
                <w:rFonts w:hAnsi="宋体" w:cs="宋体"/>
                <w:b/>
                <w:color w:val="auto"/>
                <w:sz w:val="28"/>
                <w:szCs w:val="28"/>
                <w:highlight w:val="none"/>
              </w:rPr>
            </w:pPr>
          </w:p>
        </w:tc>
      </w:tr>
      <w:tr w14:paraId="26FF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54F45FB6">
            <w:pPr>
              <w:pStyle w:val="107"/>
              <w:rPr>
                <w:rFonts w:hAnsi="宋体" w:cs="宋体"/>
                <w:b/>
                <w:color w:val="auto"/>
                <w:sz w:val="28"/>
                <w:szCs w:val="28"/>
                <w:highlight w:val="none"/>
              </w:rPr>
            </w:pPr>
          </w:p>
        </w:tc>
        <w:tc>
          <w:tcPr>
            <w:tcW w:w="1493" w:type="dxa"/>
          </w:tcPr>
          <w:p w14:paraId="1ADCE444">
            <w:pPr>
              <w:pStyle w:val="107"/>
              <w:rPr>
                <w:rFonts w:hAnsi="宋体" w:cs="宋体"/>
                <w:b/>
                <w:color w:val="auto"/>
                <w:sz w:val="28"/>
                <w:szCs w:val="28"/>
                <w:highlight w:val="none"/>
              </w:rPr>
            </w:pPr>
          </w:p>
        </w:tc>
        <w:tc>
          <w:tcPr>
            <w:tcW w:w="1004" w:type="dxa"/>
          </w:tcPr>
          <w:p w14:paraId="52530936">
            <w:pPr>
              <w:pStyle w:val="107"/>
              <w:rPr>
                <w:rFonts w:hAnsi="宋体" w:cs="宋体"/>
                <w:b/>
                <w:color w:val="auto"/>
                <w:sz w:val="28"/>
                <w:szCs w:val="28"/>
                <w:highlight w:val="none"/>
              </w:rPr>
            </w:pPr>
          </w:p>
        </w:tc>
        <w:tc>
          <w:tcPr>
            <w:tcW w:w="1004" w:type="dxa"/>
          </w:tcPr>
          <w:p w14:paraId="24780EAE">
            <w:pPr>
              <w:pStyle w:val="107"/>
              <w:rPr>
                <w:rFonts w:hAnsi="宋体" w:cs="宋体"/>
                <w:b/>
                <w:color w:val="auto"/>
                <w:sz w:val="28"/>
                <w:szCs w:val="28"/>
                <w:highlight w:val="none"/>
              </w:rPr>
            </w:pPr>
          </w:p>
        </w:tc>
        <w:tc>
          <w:tcPr>
            <w:tcW w:w="1004" w:type="dxa"/>
          </w:tcPr>
          <w:p w14:paraId="423145A2">
            <w:pPr>
              <w:pStyle w:val="107"/>
              <w:rPr>
                <w:rFonts w:hAnsi="宋体" w:cs="宋体"/>
                <w:b/>
                <w:color w:val="auto"/>
                <w:sz w:val="28"/>
                <w:szCs w:val="28"/>
                <w:highlight w:val="none"/>
              </w:rPr>
            </w:pPr>
          </w:p>
        </w:tc>
        <w:tc>
          <w:tcPr>
            <w:tcW w:w="1004" w:type="dxa"/>
          </w:tcPr>
          <w:p w14:paraId="3A9B8179">
            <w:pPr>
              <w:pStyle w:val="107"/>
              <w:rPr>
                <w:rFonts w:hAnsi="宋体" w:cs="宋体"/>
                <w:b/>
                <w:color w:val="auto"/>
                <w:sz w:val="28"/>
                <w:szCs w:val="28"/>
                <w:highlight w:val="none"/>
              </w:rPr>
            </w:pPr>
          </w:p>
        </w:tc>
        <w:tc>
          <w:tcPr>
            <w:tcW w:w="1005" w:type="dxa"/>
          </w:tcPr>
          <w:p w14:paraId="770E52A0">
            <w:pPr>
              <w:pStyle w:val="107"/>
              <w:rPr>
                <w:rFonts w:hAnsi="宋体" w:cs="宋体"/>
                <w:b/>
                <w:color w:val="auto"/>
                <w:sz w:val="28"/>
                <w:szCs w:val="28"/>
                <w:highlight w:val="none"/>
              </w:rPr>
            </w:pPr>
          </w:p>
        </w:tc>
        <w:tc>
          <w:tcPr>
            <w:tcW w:w="1005" w:type="dxa"/>
          </w:tcPr>
          <w:p w14:paraId="162AA0E8">
            <w:pPr>
              <w:pStyle w:val="107"/>
              <w:rPr>
                <w:rFonts w:hAnsi="宋体" w:cs="宋体"/>
                <w:b/>
                <w:color w:val="auto"/>
                <w:sz w:val="28"/>
                <w:szCs w:val="28"/>
                <w:highlight w:val="none"/>
              </w:rPr>
            </w:pPr>
          </w:p>
        </w:tc>
      </w:tr>
      <w:tr w14:paraId="5459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01288A0F">
            <w:pPr>
              <w:pStyle w:val="107"/>
              <w:rPr>
                <w:rFonts w:hAnsi="宋体" w:cs="宋体"/>
                <w:b/>
                <w:color w:val="auto"/>
                <w:sz w:val="28"/>
                <w:szCs w:val="28"/>
                <w:highlight w:val="none"/>
              </w:rPr>
            </w:pPr>
          </w:p>
        </w:tc>
        <w:tc>
          <w:tcPr>
            <w:tcW w:w="1493" w:type="dxa"/>
          </w:tcPr>
          <w:p w14:paraId="11869056">
            <w:pPr>
              <w:pStyle w:val="107"/>
              <w:rPr>
                <w:rFonts w:hAnsi="宋体" w:cs="宋体"/>
                <w:b/>
                <w:color w:val="auto"/>
                <w:sz w:val="28"/>
                <w:szCs w:val="28"/>
                <w:highlight w:val="none"/>
              </w:rPr>
            </w:pPr>
          </w:p>
        </w:tc>
        <w:tc>
          <w:tcPr>
            <w:tcW w:w="1004" w:type="dxa"/>
          </w:tcPr>
          <w:p w14:paraId="3FD39D13">
            <w:pPr>
              <w:pStyle w:val="107"/>
              <w:rPr>
                <w:rFonts w:hAnsi="宋体" w:cs="宋体"/>
                <w:b/>
                <w:color w:val="auto"/>
                <w:sz w:val="28"/>
                <w:szCs w:val="28"/>
                <w:highlight w:val="none"/>
              </w:rPr>
            </w:pPr>
          </w:p>
        </w:tc>
        <w:tc>
          <w:tcPr>
            <w:tcW w:w="1004" w:type="dxa"/>
          </w:tcPr>
          <w:p w14:paraId="27BA41BC">
            <w:pPr>
              <w:pStyle w:val="107"/>
              <w:rPr>
                <w:rFonts w:hAnsi="宋体" w:cs="宋体"/>
                <w:b/>
                <w:color w:val="auto"/>
                <w:sz w:val="28"/>
                <w:szCs w:val="28"/>
                <w:highlight w:val="none"/>
              </w:rPr>
            </w:pPr>
          </w:p>
        </w:tc>
        <w:tc>
          <w:tcPr>
            <w:tcW w:w="1004" w:type="dxa"/>
          </w:tcPr>
          <w:p w14:paraId="4CD9A3BD">
            <w:pPr>
              <w:pStyle w:val="107"/>
              <w:rPr>
                <w:rFonts w:hAnsi="宋体" w:cs="宋体"/>
                <w:b/>
                <w:color w:val="auto"/>
                <w:sz w:val="28"/>
                <w:szCs w:val="28"/>
                <w:highlight w:val="none"/>
              </w:rPr>
            </w:pPr>
          </w:p>
        </w:tc>
        <w:tc>
          <w:tcPr>
            <w:tcW w:w="1004" w:type="dxa"/>
          </w:tcPr>
          <w:p w14:paraId="5319DECC">
            <w:pPr>
              <w:pStyle w:val="107"/>
              <w:rPr>
                <w:rFonts w:hAnsi="宋体" w:cs="宋体"/>
                <w:b/>
                <w:color w:val="auto"/>
                <w:sz w:val="28"/>
                <w:szCs w:val="28"/>
                <w:highlight w:val="none"/>
              </w:rPr>
            </w:pPr>
          </w:p>
        </w:tc>
        <w:tc>
          <w:tcPr>
            <w:tcW w:w="1005" w:type="dxa"/>
          </w:tcPr>
          <w:p w14:paraId="4283EA87">
            <w:pPr>
              <w:pStyle w:val="107"/>
              <w:rPr>
                <w:rFonts w:hAnsi="宋体" w:cs="宋体"/>
                <w:b/>
                <w:color w:val="auto"/>
                <w:sz w:val="28"/>
                <w:szCs w:val="28"/>
                <w:highlight w:val="none"/>
              </w:rPr>
            </w:pPr>
          </w:p>
        </w:tc>
        <w:tc>
          <w:tcPr>
            <w:tcW w:w="1005" w:type="dxa"/>
          </w:tcPr>
          <w:p w14:paraId="63B4D02B">
            <w:pPr>
              <w:pStyle w:val="107"/>
              <w:rPr>
                <w:rFonts w:hAnsi="宋体" w:cs="宋体"/>
                <w:b/>
                <w:color w:val="auto"/>
                <w:sz w:val="28"/>
                <w:szCs w:val="28"/>
                <w:highlight w:val="none"/>
              </w:rPr>
            </w:pPr>
          </w:p>
        </w:tc>
      </w:tr>
      <w:tr w14:paraId="6950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05D01D75">
            <w:pPr>
              <w:pStyle w:val="107"/>
              <w:rPr>
                <w:rFonts w:hAnsi="宋体" w:cs="宋体"/>
                <w:b/>
                <w:color w:val="auto"/>
                <w:sz w:val="28"/>
                <w:szCs w:val="28"/>
                <w:highlight w:val="none"/>
              </w:rPr>
            </w:pPr>
          </w:p>
        </w:tc>
        <w:tc>
          <w:tcPr>
            <w:tcW w:w="1493" w:type="dxa"/>
          </w:tcPr>
          <w:p w14:paraId="7130ABE6">
            <w:pPr>
              <w:pStyle w:val="107"/>
              <w:rPr>
                <w:rFonts w:hAnsi="宋体" w:cs="宋体"/>
                <w:b/>
                <w:color w:val="auto"/>
                <w:sz w:val="28"/>
                <w:szCs w:val="28"/>
                <w:highlight w:val="none"/>
              </w:rPr>
            </w:pPr>
          </w:p>
        </w:tc>
        <w:tc>
          <w:tcPr>
            <w:tcW w:w="1004" w:type="dxa"/>
          </w:tcPr>
          <w:p w14:paraId="0CDC6BA5">
            <w:pPr>
              <w:pStyle w:val="107"/>
              <w:rPr>
                <w:rFonts w:hAnsi="宋体" w:cs="宋体"/>
                <w:b/>
                <w:color w:val="auto"/>
                <w:sz w:val="28"/>
                <w:szCs w:val="28"/>
                <w:highlight w:val="none"/>
              </w:rPr>
            </w:pPr>
          </w:p>
        </w:tc>
        <w:tc>
          <w:tcPr>
            <w:tcW w:w="1004" w:type="dxa"/>
          </w:tcPr>
          <w:p w14:paraId="72FF8593">
            <w:pPr>
              <w:pStyle w:val="107"/>
              <w:rPr>
                <w:rFonts w:hAnsi="宋体" w:cs="宋体"/>
                <w:b/>
                <w:color w:val="auto"/>
                <w:sz w:val="28"/>
                <w:szCs w:val="28"/>
                <w:highlight w:val="none"/>
              </w:rPr>
            </w:pPr>
          </w:p>
        </w:tc>
        <w:tc>
          <w:tcPr>
            <w:tcW w:w="1004" w:type="dxa"/>
          </w:tcPr>
          <w:p w14:paraId="5ECC84CB">
            <w:pPr>
              <w:pStyle w:val="107"/>
              <w:rPr>
                <w:rFonts w:hAnsi="宋体" w:cs="宋体"/>
                <w:b/>
                <w:color w:val="auto"/>
                <w:sz w:val="28"/>
                <w:szCs w:val="28"/>
                <w:highlight w:val="none"/>
              </w:rPr>
            </w:pPr>
          </w:p>
        </w:tc>
        <w:tc>
          <w:tcPr>
            <w:tcW w:w="1004" w:type="dxa"/>
          </w:tcPr>
          <w:p w14:paraId="1CDC021B">
            <w:pPr>
              <w:pStyle w:val="107"/>
              <w:rPr>
                <w:rFonts w:hAnsi="宋体" w:cs="宋体"/>
                <w:b/>
                <w:color w:val="auto"/>
                <w:sz w:val="28"/>
                <w:szCs w:val="28"/>
                <w:highlight w:val="none"/>
              </w:rPr>
            </w:pPr>
          </w:p>
        </w:tc>
        <w:tc>
          <w:tcPr>
            <w:tcW w:w="1005" w:type="dxa"/>
          </w:tcPr>
          <w:p w14:paraId="1732CD70">
            <w:pPr>
              <w:pStyle w:val="107"/>
              <w:rPr>
                <w:rFonts w:hAnsi="宋体" w:cs="宋体"/>
                <w:b/>
                <w:color w:val="auto"/>
                <w:sz w:val="28"/>
                <w:szCs w:val="28"/>
                <w:highlight w:val="none"/>
              </w:rPr>
            </w:pPr>
          </w:p>
        </w:tc>
        <w:tc>
          <w:tcPr>
            <w:tcW w:w="1005" w:type="dxa"/>
          </w:tcPr>
          <w:p w14:paraId="5142786B">
            <w:pPr>
              <w:pStyle w:val="107"/>
              <w:rPr>
                <w:rFonts w:hAnsi="宋体" w:cs="宋体"/>
                <w:b/>
                <w:color w:val="auto"/>
                <w:sz w:val="28"/>
                <w:szCs w:val="28"/>
                <w:highlight w:val="none"/>
              </w:rPr>
            </w:pPr>
          </w:p>
        </w:tc>
      </w:tr>
    </w:tbl>
    <w:p w14:paraId="740A505D">
      <w:pPr>
        <w:pStyle w:val="107"/>
        <w:rPr>
          <w:rFonts w:hAnsi="宋体" w:cs="宋体"/>
          <w:color w:val="auto"/>
          <w:highlight w:val="none"/>
        </w:rPr>
      </w:pPr>
    </w:p>
    <w:p w14:paraId="42051ACE">
      <w:pPr>
        <w:pStyle w:val="107"/>
        <w:rPr>
          <w:rFonts w:hAnsi="宋体" w:cs="宋体"/>
          <w:color w:val="auto"/>
          <w:highlight w:val="none"/>
        </w:rPr>
      </w:pPr>
    </w:p>
    <w:p w14:paraId="5A4A0E1F">
      <w:pPr>
        <w:pStyle w:val="107"/>
        <w:rPr>
          <w:rFonts w:hAnsi="宋体" w:cs="宋体"/>
          <w:color w:val="auto"/>
          <w:sz w:val="28"/>
          <w:szCs w:val="28"/>
          <w:highlight w:val="none"/>
        </w:rPr>
      </w:pPr>
    </w:p>
    <w:p w14:paraId="2C132B7E">
      <w:pPr>
        <w:pStyle w:val="107"/>
        <w:rPr>
          <w:rFonts w:hAnsi="宋体" w:cs="宋体"/>
          <w:b/>
          <w:color w:val="auto"/>
          <w:sz w:val="32"/>
          <w:szCs w:val="32"/>
          <w:highlight w:val="none"/>
        </w:rPr>
      </w:pPr>
      <w:r>
        <w:rPr>
          <w:rFonts w:hint="eastAsia" w:hAnsi="宋体" w:cs="宋体"/>
          <w:b/>
          <w:color w:val="auto"/>
          <w:sz w:val="28"/>
          <w:szCs w:val="28"/>
          <w:highlight w:val="none"/>
        </w:rPr>
        <w:br w:type="page"/>
      </w:r>
      <w:r>
        <w:rPr>
          <w:rFonts w:hint="eastAsia" w:hAnsi="宋体" w:cs="宋体"/>
          <w:b/>
          <w:color w:val="auto"/>
          <w:sz w:val="28"/>
          <w:szCs w:val="28"/>
          <w:highlight w:val="none"/>
        </w:rPr>
        <w:t>附件十七：施工劳务合作协议</w:t>
      </w:r>
    </w:p>
    <w:p w14:paraId="3588DE27">
      <w:pPr>
        <w:pStyle w:val="107"/>
        <w:ind w:left="-2" w:leftChars="-66" w:hanging="137" w:hangingChars="43"/>
        <w:jc w:val="left"/>
        <w:rPr>
          <w:rFonts w:hAnsi="宋体" w:cs="宋体"/>
          <w:color w:val="auto"/>
          <w:sz w:val="32"/>
          <w:highlight w:val="none"/>
        </w:rPr>
      </w:pPr>
    </w:p>
    <w:p w14:paraId="63B9C1CD">
      <w:pPr>
        <w:pStyle w:val="107"/>
        <w:ind w:left="-2" w:leftChars="-66" w:hanging="137" w:hangingChars="43"/>
        <w:jc w:val="left"/>
        <w:rPr>
          <w:rFonts w:hAnsi="宋体" w:cs="宋体"/>
          <w:color w:val="auto"/>
          <w:sz w:val="32"/>
          <w:highlight w:val="none"/>
        </w:rPr>
      </w:pPr>
    </w:p>
    <w:p w14:paraId="3B8F61AE">
      <w:pPr>
        <w:pStyle w:val="107"/>
        <w:ind w:left="-2" w:leftChars="-66" w:hanging="137" w:hangingChars="43"/>
        <w:jc w:val="left"/>
        <w:rPr>
          <w:rFonts w:hAnsi="宋体" w:cs="宋体"/>
          <w:color w:val="auto"/>
          <w:sz w:val="32"/>
          <w:highlight w:val="none"/>
        </w:rPr>
      </w:pPr>
    </w:p>
    <w:p w14:paraId="1B0E5C79">
      <w:pPr>
        <w:pStyle w:val="107"/>
        <w:ind w:left="-2" w:leftChars="-66" w:hanging="137" w:hangingChars="43"/>
        <w:jc w:val="left"/>
        <w:rPr>
          <w:rFonts w:hAnsi="宋体" w:cs="宋体"/>
          <w:color w:val="auto"/>
          <w:sz w:val="32"/>
          <w:highlight w:val="none"/>
        </w:rPr>
      </w:pPr>
    </w:p>
    <w:p w14:paraId="495EB9AC">
      <w:pPr>
        <w:pStyle w:val="107"/>
        <w:ind w:left="-2" w:leftChars="-66" w:hanging="137" w:hangingChars="43"/>
        <w:jc w:val="left"/>
        <w:rPr>
          <w:rFonts w:hAnsi="宋体" w:cs="宋体"/>
          <w:color w:val="auto"/>
          <w:sz w:val="32"/>
          <w:highlight w:val="none"/>
        </w:rPr>
      </w:pPr>
    </w:p>
    <w:p w14:paraId="4F69F1C6">
      <w:pPr>
        <w:pStyle w:val="107"/>
        <w:jc w:val="center"/>
        <w:rPr>
          <w:rFonts w:hAnsi="宋体" w:cs="宋体"/>
          <w:color w:val="auto"/>
          <w:sz w:val="32"/>
          <w:szCs w:val="32"/>
          <w:highlight w:val="none"/>
        </w:rPr>
      </w:pPr>
      <w:r>
        <w:rPr>
          <w:rFonts w:hint="eastAsia" w:hAnsi="宋体" w:cs="宋体"/>
          <w:color w:val="auto"/>
          <w:sz w:val="48"/>
          <w:szCs w:val="48"/>
          <w:highlight w:val="none"/>
        </w:rPr>
        <w:t>公路工程施工劳务合作协议</w:t>
      </w:r>
    </w:p>
    <w:p w14:paraId="2017F24D">
      <w:pPr>
        <w:pStyle w:val="107"/>
        <w:jc w:val="center"/>
        <w:rPr>
          <w:rFonts w:hAnsi="宋体" w:cs="宋体"/>
          <w:color w:val="auto"/>
          <w:sz w:val="44"/>
          <w:szCs w:val="44"/>
          <w:highlight w:val="none"/>
        </w:rPr>
      </w:pPr>
      <w:r>
        <w:rPr>
          <w:rFonts w:hint="eastAsia" w:hAnsi="宋体" w:cs="宋体"/>
          <w:color w:val="auto"/>
          <w:sz w:val="44"/>
          <w:szCs w:val="44"/>
          <w:highlight w:val="none"/>
        </w:rPr>
        <w:t>（示范文本）</w:t>
      </w:r>
    </w:p>
    <w:p w14:paraId="3400BEC7">
      <w:pPr>
        <w:pStyle w:val="107"/>
        <w:jc w:val="center"/>
        <w:rPr>
          <w:rFonts w:hAnsi="宋体" w:cs="宋体"/>
          <w:color w:val="auto"/>
          <w:sz w:val="32"/>
          <w:szCs w:val="32"/>
          <w:highlight w:val="none"/>
        </w:rPr>
      </w:pPr>
    </w:p>
    <w:p w14:paraId="0286B0E8">
      <w:pPr>
        <w:pStyle w:val="107"/>
        <w:jc w:val="center"/>
        <w:rPr>
          <w:rFonts w:hAnsi="宋体" w:cs="宋体"/>
          <w:color w:val="auto"/>
          <w:sz w:val="32"/>
          <w:szCs w:val="32"/>
          <w:highlight w:val="none"/>
        </w:rPr>
      </w:pPr>
    </w:p>
    <w:p w14:paraId="1C540247">
      <w:pPr>
        <w:pStyle w:val="107"/>
        <w:jc w:val="center"/>
        <w:rPr>
          <w:rFonts w:hAnsi="宋体" w:cs="宋体"/>
          <w:color w:val="auto"/>
          <w:sz w:val="32"/>
          <w:szCs w:val="32"/>
          <w:highlight w:val="none"/>
        </w:rPr>
      </w:pPr>
    </w:p>
    <w:p w14:paraId="45AD311B">
      <w:pPr>
        <w:pStyle w:val="107"/>
        <w:jc w:val="center"/>
        <w:rPr>
          <w:rFonts w:hAnsi="宋体" w:cs="宋体"/>
          <w:color w:val="auto"/>
          <w:sz w:val="32"/>
          <w:szCs w:val="32"/>
          <w:highlight w:val="none"/>
        </w:rPr>
      </w:pPr>
    </w:p>
    <w:p w14:paraId="2029C90A">
      <w:pPr>
        <w:pStyle w:val="107"/>
        <w:jc w:val="center"/>
        <w:rPr>
          <w:rFonts w:hAnsi="宋体" w:cs="宋体"/>
          <w:color w:val="auto"/>
          <w:sz w:val="32"/>
          <w:szCs w:val="32"/>
          <w:highlight w:val="none"/>
        </w:rPr>
      </w:pPr>
    </w:p>
    <w:p w14:paraId="1E26E3C5">
      <w:pPr>
        <w:pStyle w:val="107"/>
        <w:jc w:val="center"/>
        <w:rPr>
          <w:rFonts w:hAnsi="宋体" w:cs="宋体"/>
          <w:color w:val="auto"/>
          <w:sz w:val="32"/>
          <w:szCs w:val="32"/>
          <w:highlight w:val="none"/>
        </w:rPr>
      </w:pPr>
    </w:p>
    <w:p w14:paraId="5A63DAB6">
      <w:pPr>
        <w:pStyle w:val="107"/>
        <w:jc w:val="center"/>
        <w:rPr>
          <w:rFonts w:hAnsi="宋体" w:cs="宋体"/>
          <w:color w:val="auto"/>
          <w:sz w:val="32"/>
          <w:szCs w:val="32"/>
          <w:highlight w:val="none"/>
        </w:rPr>
      </w:pPr>
    </w:p>
    <w:p w14:paraId="52A69BEB">
      <w:pPr>
        <w:pStyle w:val="107"/>
        <w:jc w:val="center"/>
        <w:rPr>
          <w:rFonts w:hAnsi="宋体" w:cs="宋体"/>
          <w:color w:val="auto"/>
          <w:sz w:val="44"/>
          <w:szCs w:val="44"/>
          <w:highlight w:val="none"/>
        </w:rPr>
      </w:pPr>
    </w:p>
    <w:p w14:paraId="1C7F0231">
      <w:pPr>
        <w:pStyle w:val="107"/>
        <w:jc w:val="center"/>
        <w:rPr>
          <w:rFonts w:hAnsi="宋体" w:cs="宋体"/>
          <w:color w:val="auto"/>
          <w:sz w:val="44"/>
          <w:szCs w:val="44"/>
          <w:highlight w:val="none"/>
        </w:rPr>
      </w:pPr>
      <w:r>
        <w:rPr>
          <w:rFonts w:hint="eastAsia" w:hAnsi="宋体" w:cs="宋体"/>
          <w:color w:val="auto"/>
          <w:sz w:val="44"/>
          <w:szCs w:val="44"/>
          <w:highlight w:val="none"/>
        </w:rPr>
        <w:t>20   年  月</w:t>
      </w:r>
    </w:p>
    <w:p w14:paraId="0A5351F7">
      <w:pPr>
        <w:pStyle w:val="107"/>
        <w:jc w:val="center"/>
        <w:rPr>
          <w:rFonts w:hAnsi="宋体" w:cs="宋体"/>
          <w:color w:val="auto"/>
          <w:sz w:val="28"/>
          <w:szCs w:val="28"/>
          <w:highlight w:val="none"/>
        </w:rPr>
      </w:pPr>
    </w:p>
    <w:p w14:paraId="147046F4">
      <w:pPr>
        <w:pStyle w:val="107"/>
        <w:jc w:val="left"/>
        <w:rPr>
          <w:rFonts w:hAnsi="宋体" w:cs="宋体"/>
          <w:color w:val="auto"/>
          <w:sz w:val="32"/>
          <w:szCs w:val="32"/>
          <w:highlight w:val="none"/>
        </w:rPr>
      </w:pPr>
    </w:p>
    <w:p w14:paraId="6BC3DC2B">
      <w:pPr>
        <w:pStyle w:val="107"/>
        <w:jc w:val="center"/>
        <w:rPr>
          <w:rFonts w:hAnsi="宋体" w:cs="宋体"/>
          <w:color w:val="auto"/>
          <w:sz w:val="28"/>
          <w:szCs w:val="28"/>
          <w:highlight w:val="none"/>
        </w:rPr>
      </w:pPr>
      <w:r>
        <w:rPr>
          <w:rFonts w:hint="eastAsia" w:hAnsi="宋体" w:cs="宋体"/>
          <w:color w:val="auto"/>
          <w:sz w:val="32"/>
          <w:szCs w:val="32"/>
          <w:highlight w:val="none"/>
        </w:rPr>
        <w:br w:type="page"/>
      </w:r>
      <w:r>
        <w:rPr>
          <w:rFonts w:hint="eastAsia" w:hAnsi="宋体" w:cs="宋体"/>
          <w:color w:val="auto"/>
          <w:sz w:val="32"/>
          <w:szCs w:val="32"/>
          <w:highlight w:val="none"/>
        </w:rPr>
        <w:t>公路工程施工劳务合作合同</w:t>
      </w:r>
    </w:p>
    <w:p w14:paraId="6CB605B4">
      <w:pPr>
        <w:pStyle w:val="107"/>
        <w:spacing w:line="280" w:lineRule="exact"/>
        <w:ind w:right="630"/>
        <w:jc w:val="right"/>
        <w:rPr>
          <w:rFonts w:hAnsi="宋体" w:cs="宋体"/>
          <w:color w:val="auto"/>
          <w:szCs w:val="21"/>
          <w:highlight w:val="none"/>
        </w:rPr>
      </w:pPr>
    </w:p>
    <w:p w14:paraId="32470399">
      <w:pPr>
        <w:pStyle w:val="107"/>
        <w:ind w:right="-154"/>
        <w:rPr>
          <w:rFonts w:hAnsi="宋体" w:cs="宋体"/>
          <w:color w:val="auto"/>
          <w:highlight w:val="none"/>
        </w:rPr>
      </w:pPr>
      <w:r>
        <w:rPr>
          <w:rFonts w:hint="eastAsia" w:hAnsi="宋体" w:cs="宋体"/>
          <w:color w:val="auto"/>
          <w:highlight w:val="none"/>
        </w:rPr>
        <w:t xml:space="preserve">                                            劳务合同编号：</w:t>
      </w:r>
    </w:p>
    <w:p w14:paraId="4FF83462">
      <w:pPr>
        <w:pStyle w:val="107"/>
        <w:rPr>
          <w:rFonts w:hAnsi="宋体" w:cs="宋体"/>
          <w:color w:val="auto"/>
          <w:highlight w:val="none"/>
        </w:rPr>
      </w:pPr>
      <w:r>
        <w:rPr>
          <w:rFonts w:hint="eastAsia" w:hAnsi="宋体" w:cs="宋体"/>
          <w:color w:val="auto"/>
          <w:highlight w:val="none"/>
        </w:rPr>
        <w:t>工程项目：  合同段：</w:t>
      </w:r>
    </w:p>
    <w:p w14:paraId="00A17AC4">
      <w:pPr>
        <w:pStyle w:val="107"/>
        <w:rPr>
          <w:rFonts w:hAnsi="宋体" w:cs="宋体"/>
          <w:color w:val="auto"/>
          <w:highlight w:val="none"/>
        </w:rPr>
      </w:pPr>
      <w:r>
        <w:rPr>
          <w:rFonts w:hint="eastAsia" w:hAnsi="宋体" w:cs="宋体"/>
          <w:color w:val="auto"/>
          <w:highlight w:val="none"/>
        </w:rPr>
        <w:t>甲方 (承包人或专项工程分包人)：</w:t>
      </w:r>
    </w:p>
    <w:p w14:paraId="67D46D33">
      <w:pPr>
        <w:pStyle w:val="107"/>
        <w:rPr>
          <w:rFonts w:hAnsi="宋体" w:cs="宋体"/>
          <w:color w:val="auto"/>
          <w:highlight w:val="none"/>
          <w:u w:val="single"/>
        </w:rPr>
      </w:pPr>
      <w:r>
        <w:rPr>
          <w:rFonts w:hint="eastAsia" w:hAnsi="宋体" w:cs="宋体"/>
          <w:color w:val="auto"/>
          <w:highlight w:val="none"/>
        </w:rPr>
        <w:t>乙方（劳务单位）：</w:t>
      </w:r>
    </w:p>
    <w:p w14:paraId="1EF0E575">
      <w:pPr>
        <w:pStyle w:val="107"/>
        <w:ind w:firstLine="480" w:firstLineChars="200"/>
        <w:rPr>
          <w:rFonts w:hAnsi="宋体" w:cs="宋体"/>
          <w:color w:val="auto"/>
          <w:highlight w:val="none"/>
        </w:rPr>
      </w:pPr>
      <w:r>
        <w:rPr>
          <w:rFonts w:hint="eastAsia" w:hAnsi="宋体" w:cs="宋体"/>
          <w:color w:val="auto"/>
          <w:highlight w:val="none"/>
        </w:rPr>
        <w:t>依照《</w:t>
      </w:r>
      <w:r>
        <w:rPr>
          <w:rFonts w:hint="eastAsia" w:hAnsi="宋体" w:cs="宋体"/>
          <w:color w:val="auto"/>
          <w:highlight w:val="none"/>
          <w:lang w:eastAsia="zh-CN"/>
        </w:rPr>
        <w:t>中华人民共和国民法典</w:t>
      </w:r>
      <w:r>
        <w:rPr>
          <w:rFonts w:hint="eastAsia" w:hAnsi="宋体" w:cs="宋体"/>
          <w:color w:val="auto"/>
          <w:highlight w:val="none"/>
        </w:rPr>
        <w:t>》、《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14:paraId="66CA5B31">
      <w:pPr>
        <w:pStyle w:val="107"/>
        <w:numPr>
          <w:ilvl w:val="0"/>
          <w:numId w:val="17"/>
        </w:numPr>
        <w:jc w:val="left"/>
        <w:rPr>
          <w:rFonts w:hAnsi="宋体" w:cs="宋体"/>
          <w:b/>
          <w:color w:val="auto"/>
          <w:highlight w:val="none"/>
        </w:rPr>
      </w:pPr>
      <w:r>
        <w:rPr>
          <w:rFonts w:hint="eastAsia" w:hAnsi="宋体" w:cs="宋体"/>
          <w:b/>
          <w:color w:val="auto"/>
          <w:highlight w:val="none"/>
        </w:rPr>
        <w:t>工程名称、地点和劳务内容</w:t>
      </w:r>
    </w:p>
    <w:p w14:paraId="52FF2949">
      <w:pPr>
        <w:pStyle w:val="107"/>
        <w:numPr>
          <w:ilvl w:val="1"/>
          <w:numId w:val="18"/>
        </w:numPr>
        <w:tabs>
          <w:tab w:val="left" w:pos="0"/>
        </w:tabs>
        <w:ind w:left="0" w:firstLine="425"/>
        <w:rPr>
          <w:rFonts w:hAnsi="宋体" w:cs="宋体"/>
          <w:color w:val="auto"/>
          <w:highlight w:val="none"/>
        </w:rPr>
      </w:pPr>
      <w:r>
        <w:rPr>
          <w:rFonts w:hint="eastAsia" w:hAnsi="宋体" w:cs="宋体"/>
          <w:color w:val="auto"/>
          <w:highlight w:val="none"/>
        </w:rPr>
        <w:t>工程名称</w:t>
      </w:r>
    </w:p>
    <w:p w14:paraId="68108761">
      <w:pPr>
        <w:pStyle w:val="107"/>
        <w:numPr>
          <w:ilvl w:val="1"/>
          <w:numId w:val="18"/>
        </w:numPr>
        <w:tabs>
          <w:tab w:val="left" w:pos="0"/>
        </w:tabs>
        <w:ind w:left="0" w:firstLine="425"/>
        <w:rPr>
          <w:rFonts w:hAnsi="宋体" w:cs="宋体"/>
          <w:color w:val="auto"/>
          <w:highlight w:val="none"/>
        </w:rPr>
      </w:pPr>
      <w:r>
        <w:rPr>
          <w:rFonts w:hint="eastAsia" w:hAnsi="宋体" w:cs="宋体"/>
          <w:color w:val="auto"/>
          <w:highlight w:val="none"/>
        </w:rPr>
        <w:t>工程地点和范围</w:t>
      </w:r>
    </w:p>
    <w:p w14:paraId="164247E7">
      <w:pPr>
        <w:pStyle w:val="107"/>
        <w:numPr>
          <w:ilvl w:val="1"/>
          <w:numId w:val="18"/>
        </w:numPr>
        <w:tabs>
          <w:tab w:val="left" w:pos="0"/>
        </w:tabs>
        <w:ind w:left="0" w:firstLine="425"/>
        <w:rPr>
          <w:rFonts w:hAnsi="宋体" w:cs="宋体"/>
          <w:color w:val="auto"/>
          <w:highlight w:val="none"/>
        </w:rPr>
      </w:pPr>
      <w:r>
        <w:rPr>
          <w:rFonts w:hint="eastAsia" w:hAnsi="宋体" w:cs="宋体"/>
          <w:color w:val="auto"/>
          <w:highlight w:val="none"/>
        </w:rPr>
        <w:t>劳务内容和方式：</w:t>
      </w:r>
    </w:p>
    <w:p w14:paraId="48472248">
      <w:pPr>
        <w:pStyle w:val="107"/>
        <w:numPr>
          <w:ilvl w:val="1"/>
          <w:numId w:val="18"/>
        </w:numPr>
        <w:tabs>
          <w:tab w:val="left" w:pos="0"/>
        </w:tabs>
        <w:ind w:left="0" w:firstLine="425"/>
        <w:rPr>
          <w:rFonts w:hAnsi="宋体" w:cs="宋体"/>
          <w:color w:val="auto"/>
          <w:highlight w:val="none"/>
        </w:rPr>
      </w:pPr>
      <w:r>
        <w:rPr>
          <w:rFonts w:hint="eastAsia" w:hAnsi="宋体" w:cs="宋体"/>
          <w:color w:val="auto"/>
          <w:highlight w:val="none"/>
        </w:rPr>
        <w:t>劳务人员数量共计人。其中，技工人，普工人(劳务人员工种及花名册附后)。</w:t>
      </w:r>
    </w:p>
    <w:p w14:paraId="76FFE98C">
      <w:pPr>
        <w:pStyle w:val="107"/>
        <w:numPr>
          <w:ilvl w:val="0"/>
          <w:numId w:val="17"/>
        </w:numPr>
        <w:jc w:val="left"/>
        <w:rPr>
          <w:rFonts w:hAnsi="宋体" w:cs="宋体"/>
          <w:b/>
          <w:color w:val="auto"/>
          <w:highlight w:val="none"/>
        </w:rPr>
      </w:pPr>
      <w:r>
        <w:rPr>
          <w:rFonts w:hint="eastAsia" w:hAnsi="宋体" w:cs="宋体"/>
          <w:b/>
          <w:color w:val="auto"/>
          <w:highlight w:val="none"/>
        </w:rPr>
        <w:t>劳务及管理费的结算支付</w:t>
      </w:r>
    </w:p>
    <w:p w14:paraId="14A33809">
      <w:pPr>
        <w:pStyle w:val="107"/>
        <w:ind w:firstLine="424" w:firstLineChars="177"/>
        <w:rPr>
          <w:rFonts w:hAnsi="宋体" w:cs="宋体"/>
          <w:color w:val="auto"/>
          <w:highlight w:val="none"/>
        </w:rPr>
      </w:pPr>
      <w:r>
        <w:rPr>
          <w:rFonts w:hint="eastAsia" w:hAnsi="宋体" w:cs="宋体"/>
          <w:color w:val="auto"/>
          <w:highlight w:val="none"/>
        </w:rPr>
        <w:t xml:space="preserve">2.1劳务承包项目实行工序劳务费用单价承包形式，计件单价和暂估数量见《劳务计价清单》（附表1）。劳务费用中的结算工程量按每月得到甲方项目经理部签认计量的工程量为准。 </w:t>
      </w:r>
    </w:p>
    <w:p w14:paraId="05B7EBBF">
      <w:pPr>
        <w:pStyle w:val="107"/>
        <w:ind w:firstLine="424" w:firstLineChars="177"/>
        <w:rPr>
          <w:rFonts w:hAnsi="宋体" w:cs="宋体"/>
          <w:color w:val="auto"/>
          <w:highlight w:val="none"/>
        </w:rPr>
      </w:pPr>
      <w:r>
        <w:rPr>
          <w:rFonts w:hint="eastAsia" w:hAnsi="宋体" w:cs="宋体"/>
          <w:color w:val="auto"/>
          <w:highlight w:val="none"/>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14:paraId="7F040091">
      <w:pPr>
        <w:pStyle w:val="107"/>
        <w:ind w:firstLine="424" w:firstLineChars="177"/>
        <w:rPr>
          <w:rFonts w:hAnsi="宋体" w:cs="宋体"/>
          <w:color w:val="auto"/>
          <w:highlight w:val="none"/>
        </w:rPr>
      </w:pPr>
      <w:r>
        <w:rPr>
          <w:rFonts w:hint="eastAsia" w:hAnsi="宋体" w:cs="宋体"/>
          <w:color w:val="auto"/>
          <w:highlight w:val="none"/>
        </w:rPr>
        <w:t>2.3劳务计价清单未涉及的工程内容，或由于待料、停电、气候恶劣等非乙方的责任而造成的停工按计日工结算。计日工单价根据发生时的市场价由双方商定。</w:t>
      </w:r>
    </w:p>
    <w:p w14:paraId="5C81CE7F">
      <w:pPr>
        <w:pStyle w:val="107"/>
        <w:ind w:firstLine="424" w:firstLineChars="177"/>
        <w:rPr>
          <w:rFonts w:hAnsi="宋体" w:cs="宋体"/>
          <w:color w:val="auto"/>
          <w:highlight w:val="none"/>
        </w:rPr>
      </w:pPr>
      <w:r>
        <w:rPr>
          <w:rFonts w:hint="eastAsia" w:hAnsi="宋体" w:cs="宋体"/>
          <w:color w:val="auto"/>
          <w:highlight w:val="none"/>
        </w:rPr>
        <w:t>2.4本合同劳务计价单价不含甲方提供的材料费用和机械设备费用，但含税金，税金由甲方代扣代缴（综合税率为%）。乙方办理劳务费结算支付时应提供符合要求的票据。</w:t>
      </w:r>
    </w:p>
    <w:p w14:paraId="66AD8065">
      <w:pPr>
        <w:pStyle w:val="107"/>
        <w:numPr>
          <w:ilvl w:val="1"/>
          <w:numId w:val="19"/>
        </w:numPr>
        <w:ind w:left="0" w:firstLine="424" w:firstLineChars="177"/>
        <w:rPr>
          <w:rFonts w:hAnsi="宋体" w:cs="宋体"/>
          <w:color w:val="auto"/>
          <w:highlight w:val="none"/>
        </w:rPr>
      </w:pPr>
      <w:r>
        <w:rPr>
          <w:rFonts w:hint="eastAsia" w:hAnsi="宋体" w:cs="宋体"/>
          <w:color w:val="auto"/>
          <w:highlight w:val="none"/>
        </w:rPr>
        <w:t>有关款项的约定：</w:t>
      </w:r>
    </w:p>
    <w:p w14:paraId="32DDE97C">
      <w:pPr>
        <w:pStyle w:val="107"/>
        <w:ind w:firstLine="600" w:firstLineChars="250"/>
        <w:rPr>
          <w:rFonts w:hAnsi="宋体" w:cs="宋体"/>
          <w:color w:val="auto"/>
          <w:highlight w:val="none"/>
        </w:rPr>
      </w:pPr>
      <w:r>
        <w:rPr>
          <w:rFonts w:hint="eastAsia" w:hAnsi="宋体" w:cs="宋体"/>
          <w:color w:val="auto"/>
          <w:highlight w:val="none"/>
        </w:rPr>
        <w:t>2.5.1农民工工资支付保证金按项目总包合同专用条款或业主规定的比例在计量支付时提取，在乙方劳务作业全部完成并出具无拖欠农民工工资承诺后退还。</w:t>
      </w:r>
    </w:p>
    <w:p w14:paraId="141FC670">
      <w:pPr>
        <w:pStyle w:val="107"/>
        <w:ind w:firstLine="600" w:firstLineChars="250"/>
        <w:rPr>
          <w:rFonts w:hAnsi="宋体" w:cs="宋体"/>
          <w:color w:val="auto"/>
          <w:highlight w:val="none"/>
        </w:rPr>
      </w:pPr>
      <w:r>
        <w:rPr>
          <w:rFonts w:hint="eastAsia" w:hAnsi="宋体" w:cs="宋体"/>
          <w:color w:val="auto"/>
          <w:highlight w:val="none"/>
        </w:rPr>
        <w:t>2.5.2质量和进度考核基金按项目业主的考核办法的规定比例在中期计量支付时提取，并按考核办法的规定实施考核和奖惩。</w:t>
      </w:r>
    </w:p>
    <w:p w14:paraId="213EB62D">
      <w:pPr>
        <w:pStyle w:val="107"/>
        <w:ind w:firstLine="432" w:firstLineChars="180"/>
        <w:rPr>
          <w:rFonts w:hAnsi="宋体" w:cs="宋体"/>
          <w:b/>
          <w:color w:val="auto"/>
          <w:spacing w:val="-8"/>
          <w:highlight w:val="none"/>
        </w:rPr>
      </w:pPr>
      <w:r>
        <w:rPr>
          <w:rFonts w:hint="eastAsia" w:hAnsi="宋体" w:cs="宋体"/>
          <w:color w:val="auto"/>
          <w:highlight w:val="none"/>
        </w:rPr>
        <w:t>2.6劳务承包合同总价为甲乙双方验工计量支付的各分项价款之和</w:t>
      </w:r>
      <w:r>
        <w:rPr>
          <w:rFonts w:hint="eastAsia" w:hAnsi="宋体" w:cs="宋体"/>
          <w:b/>
          <w:color w:val="auto"/>
          <w:spacing w:val="-8"/>
          <w:highlight w:val="none"/>
        </w:rPr>
        <w:t>。</w:t>
      </w:r>
    </w:p>
    <w:p w14:paraId="587525C9">
      <w:pPr>
        <w:pStyle w:val="107"/>
        <w:numPr>
          <w:ilvl w:val="0"/>
          <w:numId w:val="17"/>
        </w:numPr>
        <w:rPr>
          <w:rFonts w:hAnsi="宋体" w:cs="宋体"/>
          <w:b/>
          <w:color w:val="auto"/>
          <w:spacing w:val="-8"/>
          <w:highlight w:val="none"/>
        </w:rPr>
      </w:pPr>
      <w:r>
        <w:rPr>
          <w:rFonts w:hint="eastAsia" w:hAnsi="宋体" w:cs="宋体"/>
          <w:b/>
          <w:color w:val="auto"/>
          <w:spacing w:val="-8"/>
          <w:highlight w:val="none"/>
        </w:rPr>
        <w:t>双方责任</w:t>
      </w:r>
    </w:p>
    <w:p w14:paraId="321B9022">
      <w:pPr>
        <w:pStyle w:val="107"/>
        <w:ind w:left="425"/>
        <w:rPr>
          <w:rFonts w:hAnsi="宋体" w:cs="宋体"/>
          <w:color w:val="auto"/>
          <w:highlight w:val="none"/>
        </w:rPr>
      </w:pPr>
      <w:r>
        <w:rPr>
          <w:rFonts w:hint="eastAsia" w:hAnsi="宋体" w:cs="宋体"/>
          <w:color w:val="auto"/>
          <w:highlight w:val="none"/>
        </w:rPr>
        <w:t>3.1甲方责任</w:t>
      </w:r>
    </w:p>
    <w:p w14:paraId="52DD0445">
      <w:pPr>
        <w:pStyle w:val="107"/>
        <w:ind w:firstLine="615"/>
        <w:rPr>
          <w:rFonts w:hAnsi="宋体" w:cs="宋体"/>
          <w:color w:val="auto"/>
          <w:highlight w:val="none"/>
        </w:rPr>
      </w:pPr>
      <w:r>
        <w:rPr>
          <w:rFonts w:hint="eastAsia" w:hAnsi="宋体" w:cs="宋体"/>
          <w:color w:val="auto"/>
          <w:highlight w:val="none"/>
        </w:rPr>
        <w:t>3.1.1为加强对乙方劳务人员的组织与管理，甲方成立现场管理机构标段项目经理部，对工程施工全过程实施全面监控管理。</w:t>
      </w:r>
    </w:p>
    <w:p w14:paraId="083002CA">
      <w:pPr>
        <w:pStyle w:val="107"/>
        <w:ind w:firstLine="615"/>
        <w:rPr>
          <w:rFonts w:hAnsi="宋体" w:cs="宋体"/>
          <w:color w:val="auto"/>
          <w:highlight w:val="none"/>
        </w:rPr>
      </w:pPr>
      <w:r>
        <w:rPr>
          <w:rFonts w:hint="eastAsia" w:hAnsi="宋体" w:cs="宋体"/>
          <w:color w:val="auto"/>
          <w:highlight w:val="none"/>
        </w:rPr>
        <w:t>3.1.2负责编制实施性施工组织设计，负责施工测量和技术管理。</w:t>
      </w:r>
    </w:p>
    <w:p w14:paraId="073ED50D">
      <w:pPr>
        <w:pStyle w:val="107"/>
        <w:ind w:firstLine="615"/>
        <w:rPr>
          <w:rFonts w:hAnsi="宋体" w:cs="宋体"/>
          <w:color w:val="auto"/>
          <w:highlight w:val="none"/>
        </w:rPr>
      </w:pPr>
      <w:r>
        <w:rPr>
          <w:rFonts w:hint="eastAsia" w:hAnsi="宋体" w:cs="宋体"/>
          <w:color w:val="auto"/>
          <w:highlight w:val="none"/>
        </w:rPr>
        <w:t>3.1.3按施工组织设计及时供应材料和提供机械设备，满足工程进度的需要。</w:t>
      </w:r>
    </w:p>
    <w:p w14:paraId="6C30C583">
      <w:pPr>
        <w:pStyle w:val="107"/>
        <w:ind w:firstLine="615"/>
        <w:rPr>
          <w:rFonts w:hAnsi="宋体" w:cs="宋体"/>
          <w:color w:val="auto"/>
          <w:highlight w:val="none"/>
        </w:rPr>
      </w:pPr>
      <w:r>
        <w:rPr>
          <w:rFonts w:hint="eastAsia" w:hAnsi="宋体" w:cs="宋体"/>
          <w:color w:val="auto"/>
          <w:highlight w:val="none"/>
        </w:rPr>
        <w:t>3.1.4负责在施工前对乙方劳务人员进行技术交底，让乙方劳务人员熟练掌握有关操作规程和操作技术。</w:t>
      </w:r>
    </w:p>
    <w:p w14:paraId="27502260">
      <w:pPr>
        <w:pStyle w:val="107"/>
        <w:ind w:firstLine="615"/>
        <w:rPr>
          <w:rFonts w:hAnsi="宋体" w:cs="宋体"/>
          <w:color w:val="auto"/>
          <w:highlight w:val="none"/>
        </w:rPr>
      </w:pPr>
      <w:r>
        <w:rPr>
          <w:rFonts w:hint="eastAsia" w:hAnsi="宋体" w:cs="宋体"/>
          <w:color w:val="auto"/>
          <w:highlight w:val="none"/>
        </w:rPr>
        <w:t>3.1.5编制施工进度计划，人员、材料、设备等进场计划，并组织乙方劳务人员按规定程序进行劳务作业。</w:t>
      </w:r>
    </w:p>
    <w:p w14:paraId="0953698E">
      <w:pPr>
        <w:pStyle w:val="107"/>
        <w:ind w:firstLine="615"/>
        <w:rPr>
          <w:rFonts w:hAnsi="宋体" w:cs="宋体"/>
          <w:color w:val="auto"/>
          <w:highlight w:val="none"/>
        </w:rPr>
      </w:pPr>
      <w:r>
        <w:rPr>
          <w:rFonts w:hint="eastAsia" w:hAnsi="宋体" w:cs="宋体"/>
          <w:color w:val="auto"/>
          <w:highlight w:val="none"/>
        </w:rPr>
        <w:t>3.1.6负责原材料、设备、构配件、半成品的检验和试验。</w:t>
      </w:r>
    </w:p>
    <w:p w14:paraId="13FAA0DD">
      <w:pPr>
        <w:pStyle w:val="107"/>
        <w:ind w:firstLine="615"/>
        <w:rPr>
          <w:rFonts w:hAnsi="宋体" w:cs="宋体"/>
          <w:color w:val="auto"/>
          <w:highlight w:val="none"/>
        </w:rPr>
      </w:pPr>
      <w:r>
        <w:rPr>
          <w:rFonts w:hint="eastAsia" w:hAnsi="宋体" w:cs="宋体"/>
          <w:color w:val="auto"/>
          <w:highlight w:val="none"/>
        </w:rPr>
        <w:t>3.1.7对乙方安排的劳务人员进行岗前专业培训，并记录教育培训档案。</w:t>
      </w:r>
    </w:p>
    <w:p w14:paraId="1C7960E1">
      <w:pPr>
        <w:pStyle w:val="107"/>
        <w:ind w:firstLine="615"/>
        <w:rPr>
          <w:rFonts w:hAnsi="宋体" w:cs="宋体"/>
          <w:color w:val="auto"/>
          <w:highlight w:val="none"/>
        </w:rPr>
      </w:pPr>
      <w:r>
        <w:rPr>
          <w:rFonts w:hint="eastAsia" w:hAnsi="宋体" w:cs="宋体"/>
          <w:color w:val="auto"/>
          <w:highlight w:val="none"/>
        </w:rPr>
        <w:t>3.1.8监督乙方劳务人员进行文明施工、安全生产，保证作业现场施工安全。</w:t>
      </w:r>
    </w:p>
    <w:p w14:paraId="2F39E9B7">
      <w:pPr>
        <w:pStyle w:val="107"/>
        <w:ind w:firstLine="615"/>
        <w:rPr>
          <w:rFonts w:hAnsi="宋体" w:cs="宋体"/>
          <w:color w:val="auto"/>
          <w:highlight w:val="none"/>
        </w:rPr>
      </w:pPr>
      <w:r>
        <w:rPr>
          <w:rFonts w:hint="eastAsia" w:hAnsi="宋体" w:cs="宋体"/>
          <w:color w:val="auto"/>
          <w:highlight w:val="none"/>
        </w:rPr>
        <w:t>3.1.9负责办理征地拆迁以及本协议作业项目的道路、用电、用水，以满足施工需要。</w:t>
      </w:r>
    </w:p>
    <w:p w14:paraId="35B9EC33">
      <w:pPr>
        <w:pStyle w:val="107"/>
        <w:ind w:firstLine="615"/>
        <w:rPr>
          <w:rFonts w:hAnsi="宋体" w:cs="宋体"/>
          <w:color w:val="auto"/>
          <w:highlight w:val="none"/>
        </w:rPr>
      </w:pPr>
      <w:r>
        <w:rPr>
          <w:rFonts w:hint="eastAsia" w:hAnsi="宋体" w:cs="宋体"/>
          <w:color w:val="auto"/>
          <w:highlight w:val="none"/>
        </w:rPr>
        <w:t>3.1.10、甲方负责对每道工序的质量进行检验，乙方完成每道工序须由甲方工程技术人员检验认可，否则乙方不能进入下一道工序的劳务作业。</w:t>
      </w:r>
    </w:p>
    <w:p w14:paraId="6F78F41A">
      <w:pPr>
        <w:pStyle w:val="107"/>
        <w:ind w:firstLine="615"/>
        <w:rPr>
          <w:rFonts w:hAnsi="宋体" w:cs="宋体"/>
          <w:color w:val="auto"/>
          <w:highlight w:val="none"/>
        </w:rPr>
      </w:pPr>
      <w:r>
        <w:rPr>
          <w:rFonts w:hint="eastAsia" w:hAnsi="宋体" w:cs="宋体"/>
          <w:color w:val="auto"/>
          <w:highlight w:val="none"/>
        </w:rPr>
        <w:t>3.1.11对已完劳务作业项目组织验收，负责工程资料的收集和汇总并按协议规定办理劳务费用结算。</w:t>
      </w:r>
    </w:p>
    <w:p w14:paraId="053176A6">
      <w:pPr>
        <w:pStyle w:val="107"/>
        <w:ind w:firstLine="360"/>
        <w:rPr>
          <w:rFonts w:hAnsi="宋体" w:cs="宋体"/>
          <w:color w:val="auto"/>
          <w:highlight w:val="none"/>
        </w:rPr>
      </w:pPr>
      <w:r>
        <w:rPr>
          <w:rFonts w:hint="eastAsia" w:hAnsi="宋体" w:cs="宋体"/>
          <w:color w:val="auto"/>
          <w:highlight w:val="none"/>
        </w:rPr>
        <w:t>3.2乙方责任</w:t>
      </w:r>
    </w:p>
    <w:p w14:paraId="7C2065F0">
      <w:pPr>
        <w:pStyle w:val="107"/>
        <w:ind w:firstLine="615"/>
        <w:rPr>
          <w:rFonts w:hAnsi="宋体" w:cs="宋体"/>
          <w:color w:val="auto"/>
          <w:highlight w:val="none"/>
        </w:rPr>
      </w:pPr>
      <w:r>
        <w:rPr>
          <w:rFonts w:hint="eastAsia" w:hAnsi="宋体" w:cs="宋体"/>
          <w:color w:val="auto"/>
          <w:highlight w:val="none"/>
        </w:rPr>
        <w:t>3.2.1按甲方要求安排符合施工需要的劳务作业人员。乙方必须安排与之有劳动合同关系的劳务作业人员，未签订劳动合同的不得进入施工现场从事劳务作业活动。</w:t>
      </w:r>
    </w:p>
    <w:p w14:paraId="42C0CDCF">
      <w:pPr>
        <w:pStyle w:val="107"/>
        <w:ind w:firstLine="615"/>
        <w:rPr>
          <w:rFonts w:hAnsi="宋体" w:cs="宋体"/>
          <w:color w:val="auto"/>
          <w:highlight w:val="none"/>
        </w:rPr>
      </w:pPr>
      <w:r>
        <w:rPr>
          <w:rFonts w:hint="eastAsia" w:hAnsi="宋体" w:cs="宋体"/>
          <w:color w:val="auto"/>
          <w:highlight w:val="none"/>
        </w:rPr>
        <w:t>3.2.2乙方应派出现场负责人协助甲方对劳务人员进行劳务作业管理。</w:t>
      </w:r>
    </w:p>
    <w:p w14:paraId="3873E3FD">
      <w:pPr>
        <w:pStyle w:val="107"/>
        <w:ind w:firstLine="612"/>
        <w:rPr>
          <w:rFonts w:hAnsi="宋体" w:cs="宋体"/>
          <w:color w:val="auto"/>
          <w:highlight w:val="none"/>
        </w:rPr>
      </w:pPr>
      <w:r>
        <w:rPr>
          <w:rFonts w:hint="eastAsia" w:hAnsi="宋体" w:cs="宋体"/>
          <w:color w:val="auto"/>
          <w:highlight w:val="none"/>
        </w:rPr>
        <w:t>3.2.3乙方劳务人员应按甲方劳务培训计划参加相关工法、操作规程的学习，严格按规定程序进行劳务作业。</w:t>
      </w:r>
    </w:p>
    <w:p w14:paraId="149A48CE">
      <w:pPr>
        <w:pStyle w:val="107"/>
        <w:ind w:firstLine="612"/>
        <w:rPr>
          <w:rFonts w:hAnsi="宋体" w:cs="宋体"/>
          <w:color w:val="auto"/>
          <w:highlight w:val="none"/>
        </w:rPr>
      </w:pPr>
      <w:r>
        <w:rPr>
          <w:rFonts w:hint="eastAsia" w:hAnsi="宋体" w:cs="宋体"/>
          <w:color w:val="auto"/>
          <w:highlight w:val="none"/>
        </w:rPr>
        <w:t>3.2.4乙方应当建立、健全职业病防治责任制，加强对职业病防治的管理，对产生的职业病危害承担责任。</w:t>
      </w:r>
    </w:p>
    <w:p w14:paraId="6AD7E07A">
      <w:pPr>
        <w:pStyle w:val="107"/>
        <w:ind w:firstLine="615"/>
        <w:rPr>
          <w:rFonts w:hAnsi="宋体" w:cs="宋体"/>
          <w:color w:val="auto"/>
          <w:highlight w:val="none"/>
        </w:rPr>
      </w:pPr>
      <w:r>
        <w:rPr>
          <w:rFonts w:hint="eastAsia" w:hAnsi="宋体" w:cs="宋体"/>
          <w:color w:val="auto"/>
          <w:highlight w:val="none"/>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14:paraId="7D6E6806">
      <w:pPr>
        <w:pStyle w:val="107"/>
        <w:ind w:firstLine="615"/>
        <w:rPr>
          <w:rFonts w:hAnsi="宋体" w:cs="宋体"/>
          <w:color w:val="auto"/>
          <w:highlight w:val="none"/>
        </w:rPr>
      </w:pPr>
      <w:r>
        <w:rPr>
          <w:rFonts w:hint="eastAsia" w:hAnsi="宋体" w:cs="宋体"/>
          <w:color w:val="auto"/>
          <w:highlight w:val="none"/>
        </w:rPr>
        <w:t>3.2.6乙方劳务人员在劳务作业中发生质量、安全责任事故，应及时报告甲方管理人员，不得擅自处理或隐瞒。</w:t>
      </w:r>
    </w:p>
    <w:p w14:paraId="6EEA4C9D">
      <w:pPr>
        <w:pStyle w:val="107"/>
        <w:ind w:firstLine="615"/>
        <w:rPr>
          <w:rFonts w:hAnsi="宋体" w:cs="宋体"/>
          <w:color w:val="auto"/>
          <w:highlight w:val="none"/>
        </w:rPr>
      </w:pPr>
      <w:r>
        <w:rPr>
          <w:rFonts w:hint="eastAsia" w:hAnsi="宋体" w:cs="宋体"/>
          <w:color w:val="auto"/>
          <w:highlight w:val="none"/>
        </w:rPr>
        <w:t>3.2.7劳务作业过程中，乙方劳务人员与当地发生的债权债务及治安等问题由乙方负责处理，并承担相应责任和费用。</w:t>
      </w:r>
    </w:p>
    <w:p w14:paraId="090A3884">
      <w:pPr>
        <w:pStyle w:val="107"/>
        <w:ind w:firstLine="615"/>
        <w:rPr>
          <w:rFonts w:hAnsi="宋体" w:cs="宋体"/>
          <w:color w:val="auto"/>
          <w:highlight w:val="none"/>
        </w:rPr>
      </w:pPr>
      <w:r>
        <w:rPr>
          <w:rFonts w:hint="eastAsia" w:hAnsi="宋体" w:cs="宋体"/>
          <w:color w:val="auto"/>
          <w:highlight w:val="none"/>
        </w:rPr>
        <w:t>3.2.8乙方劳务人员须认真按照行业技术规范和设计要求以及甲方的管理进行劳务作业，随时接受甲方管理人员的监督检查。</w:t>
      </w:r>
    </w:p>
    <w:p w14:paraId="38B0D3FE">
      <w:pPr>
        <w:pStyle w:val="107"/>
        <w:ind w:firstLine="615"/>
        <w:rPr>
          <w:rFonts w:hAnsi="宋体" w:cs="宋体"/>
          <w:color w:val="auto"/>
          <w:highlight w:val="none"/>
        </w:rPr>
      </w:pPr>
      <w:r>
        <w:rPr>
          <w:rFonts w:hint="eastAsia" w:hAnsi="宋体" w:cs="宋体"/>
          <w:color w:val="auto"/>
          <w:highlight w:val="none"/>
        </w:rPr>
        <w:t>3.2.9乙方不得将本工程转包或者分包给其他单位或个人施工，须自行完成本协议规定的施工作业项目；在施工过程中，不得偷工减料，不得倒卖或挪用甲方供应的材料、设备、构配件、成品、半成品。</w:t>
      </w:r>
    </w:p>
    <w:p w14:paraId="1DEAA7F7">
      <w:pPr>
        <w:pStyle w:val="107"/>
        <w:numPr>
          <w:ilvl w:val="0"/>
          <w:numId w:val="17"/>
        </w:numPr>
        <w:jc w:val="left"/>
        <w:rPr>
          <w:rFonts w:hAnsi="宋体" w:cs="宋体"/>
          <w:b/>
          <w:color w:val="auto"/>
          <w:highlight w:val="none"/>
        </w:rPr>
      </w:pPr>
      <w:r>
        <w:rPr>
          <w:rFonts w:hint="eastAsia" w:hAnsi="宋体" w:cs="宋体"/>
          <w:b/>
          <w:color w:val="auto"/>
          <w:highlight w:val="none"/>
        </w:rPr>
        <w:t>工期</w:t>
      </w:r>
    </w:p>
    <w:p w14:paraId="4025646C">
      <w:pPr>
        <w:pStyle w:val="107"/>
        <w:ind w:firstLine="480" w:firstLineChars="200"/>
        <w:rPr>
          <w:rFonts w:hAnsi="宋体" w:cs="宋体"/>
          <w:color w:val="auto"/>
          <w:highlight w:val="none"/>
        </w:rPr>
      </w:pPr>
      <w:r>
        <w:rPr>
          <w:rFonts w:hint="eastAsia" w:hAnsi="宋体" w:cs="宋体"/>
          <w:color w:val="auto"/>
          <w:highlight w:val="none"/>
        </w:rPr>
        <w:t>3.1  本劳务协议工期______日历天，自______年_______月______日开始至______年____月______日结束。乙方应按甲方安排的工作计划进场和退场，进、退场费用由______方承担。</w:t>
      </w:r>
    </w:p>
    <w:p w14:paraId="5A893A20">
      <w:pPr>
        <w:pStyle w:val="107"/>
        <w:ind w:firstLine="480" w:firstLineChars="200"/>
        <w:rPr>
          <w:rFonts w:hAnsi="宋体" w:cs="宋体"/>
          <w:color w:val="auto"/>
          <w:highlight w:val="none"/>
        </w:rPr>
      </w:pPr>
      <w:r>
        <w:rPr>
          <w:rFonts w:hint="eastAsia" w:hAnsi="宋体" w:cs="宋体"/>
          <w:color w:val="auto"/>
          <w:highlight w:val="none"/>
        </w:rPr>
        <w:t>3.2  在乙方工作期限期满之前，如需终止雇佣，甲方应在期满前_____天书面通知乙方。</w:t>
      </w:r>
    </w:p>
    <w:p w14:paraId="09EE1B1B">
      <w:pPr>
        <w:pStyle w:val="107"/>
        <w:ind w:firstLine="480"/>
        <w:rPr>
          <w:rFonts w:hAnsi="宋体" w:cs="宋体"/>
          <w:color w:val="auto"/>
          <w:highlight w:val="none"/>
        </w:rPr>
      </w:pPr>
      <w:r>
        <w:rPr>
          <w:rFonts w:hint="eastAsia" w:hAnsi="宋体" w:cs="宋体"/>
          <w:color w:val="auto"/>
          <w:highlight w:val="none"/>
        </w:rPr>
        <w:t>3.3 如需延长乙方工作期限，甲方应在期满前______天书面通知乙方。</w:t>
      </w:r>
    </w:p>
    <w:p w14:paraId="48E896BB">
      <w:pPr>
        <w:pStyle w:val="107"/>
        <w:ind w:firstLine="480"/>
        <w:rPr>
          <w:rFonts w:hAnsi="宋体" w:cs="宋体"/>
          <w:color w:val="auto"/>
          <w:highlight w:val="none"/>
        </w:rPr>
      </w:pPr>
      <w:r>
        <w:rPr>
          <w:rFonts w:hint="eastAsia" w:hAnsi="宋体" w:cs="宋体"/>
          <w:color w:val="auto"/>
          <w:highlight w:val="none"/>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14:paraId="15C2688A">
      <w:pPr>
        <w:pStyle w:val="107"/>
        <w:numPr>
          <w:ilvl w:val="0"/>
          <w:numId w:val="17"/>
        </w:numPr>
        <w:jc w:val="left"/>
        <w:rPr>
          <w:rFonts w:hAnsi="宋体" w:cs="宋体"/>
          <w:b/>
          <w:color w:val="auto"/>
          <w:highlight w:val="none"/>
        </w:rPr>
      </w:pPr>
      <w:r>
        <w:rPr>
          <w:rFonts w:hint="eastAsia" w:hAnsi="宋体" w:cs="宋体"/>
          <w:b/>
          <w:color w:val="auto"/>
          <w:highlight w:val="none"/>
        </w:rPr>
        <w:t>材料物资和机械设备</w:t>
      </w:r>
    </w:p>
    <w:p w14:paraId="392AC9B5">
      <w:pPr>
        <w:pStyle w:val="107"/>
        <w:ind w:firstLine="484" w:firstLineChars="202"/>
        <w:rPr>
          <w:rFonts w:hAnsi="宋体" w:cs="宋体"/>
          <w:color w:val="auto"/>
          <w:highlight w:val="none"/>
        </w:rPr>
      </w:pPr>
      <w:r>
        <w:rPr>
          <w:rFonts w:hint="eastAsia" w:hAnsi="宋体" w:cs="宋体"/>
          <w:color w:val="auto"/>
          <w:highlight w:val="none"/>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14:paraId="5E2DA447">
      <w:pPr>
        <w:pStyle w:val="107"/>
        <w:ind w:firstLine="484" w:firstLineChars="202"/>
        <w:rPr>
          <w:rFonts w:hAnsi="宋体" w:cs="宋体"/>
          <w:color w:val="auto"/>
          <w:highlight w:val="none"/>
        </w:rPr>
      </w:pPr>
      <w:r>
        <w:rPr>
          <w:rFonts w:hint="eastAsia" w:hAnsi="宋体" w:cs="宋体"/>
          <w:color w:val="auto"/>
          <w:highlight w:val="none"/>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14:paraId="06DB9718">
      <w:pPr>
        <w:pStyle w:val="107"/>
        <w:ind w:firstLine="484" w:firstLineChars="202"/>
        <w:rPr>
          <w:rFonts w:hAnsi="宋体" w:cs="宋体"/>
          <w:color w:val="auto"/>
          <w:highlight w:val="none"/>
        </w:rPr>
      </w:pPr>
      <w:r>
        <w:rPr>
          <w:rFonts w:hint="eastAsia" w:hAnsi="宋体" w:cs="宋体"/>
          <w:color w:val="auto"/>
          <w:highlight w:val="none"/>
        </w:rPr>
        <w:t>4.3 甲方提供的材料和机械设备到达工地或指定地点之后，发生的搬运、装卸、整理、清除等所有劳务工作均由方负责并承担费用。</w:t>
      </w:r>
    </w:p>
    <w:p w14:paraId="6BE87CBA">
      <w:pPr>
        <w:pStyle w:val="107"/>
        <w:numPr>
          <w:ilvl w:val="0"/>
          <w:numId w:val="17"/>
        </w:numPr>
        <w:jc w:val="left"/>
        <w:rPr>
          <w:rFonts w:hAnsi="宋体" w:cs="宋体"/>
          <w:b/>
          <w:color w:val="auto"/>
          <w:highlight w:val="none"/>
        </w:rPr>
      </w:pPr>
      <w:r>
        <w:rPr>
          <w:rFonts w:hint="eastAsia" w:hAnsi="宋体" w:cs="宋体"/>
          <w:b/>
          <w:color w:val="auto"/>
          <w:highlight w:val="none"/>
        </w:rPr>
        <w:t>劳务作业人员管理</w:t>
      </w:r>
    </w:p>
    <w:p w14:paraId="3E73BAE4">
      <w:pPr>
        <w:pStyle w:val="107"/>
        <w:ind w:firstLine="484" w:firstLineChars="202"/>
        <w:rPr>
          <w:rFonts w:hAnsi="宋体" w:cs="宋体"/>
          <w:color w:val="auto"/>
          <w:highlight w:val="none"/>
        </w:rPr>
      </w:pPr>
      <w:r>
        <w:rPr>
          <w:rFonts w:hint="eastAsia" w:hAnsi="宋体" w:cs="宋体"/>
          <w:color w:val="auto"/>
          <w:highlight w:val="none"/>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14:paraId="1A9CDB5A">
      <w:pPr>
        <w:pStyle w:val="107"/>
        <w:ind w:firstLine="484" w:firstLineChars="202"/>
        <w:rPr>
          <w:rFonts w:hAnsi="宋体" w:cs="宋体"/>
          <w:color w:val="auto"/>
          <w:highlight w:val="none"/>
        </w:rPr>
      </w:pPr>
      <w:r>
        <w:rPr>
          <w:rFonts w:hint="eastAsia" w:hAnsi="宋体" w:cs="宋体"/>
          <w:color w:val="auto"/>
          <w:highlight w:val="none"/>
        </w:rPr>
        <w:t>5.2 乙方提供的特种作业人员，应取得特种作业上岗操作证书。乙方应对劳务人员进行岗前的业务培训和安全生产教育。</w:t>
      </w:r>
    </w:p>
    <w:p w14:paraId="178B6A76">
      <w:pPr>
        <w:pStyle w:val="107"/>
        <w:ind w:firstLine="484" w:firstLineChars="202"/>
        <w:rPr>
          <w:rFonts w:hAnsi="宋体" w:cs="宋体"/>
          <w:color w:val="auto"/>
          <w:highlight w:val="none"/>
        </w:rPr>
      </w:pPr>
      <w:r>
        <w:rPr>
          <w:rFonts w:hint="eastAsia" w:hAnsi="宋体" w:cs="宋体"/>
          <w:color w:val="auto"/>
          <w:highlight w:val="none"/>
        </w:rPr>
        <w:t xml:space="preserve">5.3  乙方法定代表人应书面授权一名委托代理人实际履行合同义务并作为有效签字人，并配备相应的管理人员，加强对劳务人员的管理。 </w:t>
      </w:r>
    </w:p>
    <w:p w14:paraId="19601CC9">
      <w:pPr>
        <w:pStyle w:val="107"/>
        <w:ind w:firstLine="484" w:firstLineChars="202"/>
        <w:rPr>
          <w:rFonts w:hAnsi="宋体" w:cs="宋体"/>
          <w:color w:val="auto"/>
          <w:highlight w:val="none"/>
        </w:rPr>
      </w:pPr>
      <w:r>
        <w:rPr>
          <w:rFonts w:hint="eastAsia" w:hAnsi="宋体" w:cs="宋体"/>
          <w:color w:val="auto"/>
          <w:highlight w:val="none"/>
        </w:rPr>
        <w:t>5.5 乙方应及时足额发放工资，发放清单经本人签字后交甲方留存备案，需由甲方统一代为发放的，乙方需出具书面委托，并在每月底报送员工考勤表及分包人签认的工资发放表给甲方，费用在月结算款中抵扣。</w:t>
      </w:r>
    </w:p>
    <w:p w14:paraId="37EC00DA">
      <w:pPr>
        <w:pStyle w:val="107"/>
        <w:ind w:firstLine="484" w:firstLineChars="202"/>
        <w:rPr>
          <w:rFonts w:hAnsi="宋体" w:cs="宋体"/>
          <w:color w:val="auto"/>
          <w:highlight w:val="none"/>
        </w:rPr>
      </w:pPr>
      <w:r>
        <w:rPr>
          <w:rFonts w:hint="eastAsia" w:hAnsi="宋体" w:cs="宋体"/>
          <w:color w:val="auto"/>
          <w:highlight w:val="none"/>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auto"/>
          <w:highlight w:val="none"/>
          <w:u w:val="single"/>
        </w:rPr>
        <w:t xml:space="preserve">       . </w:t>
      </w:r>
      <w:r>
        <w:rPr>
          <w:rFonts w:hint="eastAsia" w:hAnsi="宋体" w:cs="宋体"/>
          <w:color w:val="auto"/>
          <w:highlight w:val="none"/>
        </w:rPr>
        <w:t>元。</w:t>
      </w:r>
    </w:p>
    <w:p w14:paraId="70B2501D">
      <w:pPr>
        <w:pStyle w:val="107"/>
        <w:numPr>
          <w:ilvl w:val="0"/>
          <w:numId w:val="17"/>
        </w:numPr>
        <w:jc w:val="left"/>
        <w:rPr>
          <w:rFonts w:hAnsi="宋体" w:cs="宋体"/>
          <w:b/>
          <w:color w:val="auto"/>
          <w:highlight w:val="none"/>
        </w:rPr>
      </w:pPr>
      <w:r>
        <w:rPr>
          <w:rFonts w:hint="eastAsia" w:hAnsi="宋体" w:cs="宋体"/>
          <w:b/>
          <w:color w:val="auto"/>
          <w:highlight w:val="none"/>
        </w:rPr>
        <w:t>劳务作业管理</w:t>
      </w:r>
    </w:p>
    <w:p w14:paraId="273644B9">
      <w:pPr>
        <w:pStyle w:val="107"/>
        <w:ind w:firstLine="484" w:firstLineChars="202"/>
        <w:rPr>
          <w:rFonts w:hAnsi="宋体" w:cs="宋体"/>
          <w:color w:val="auto"/>
          <w:highlight w:val="none"/>
        </w:rPr>
      </w:pPr>
      <w:r>
        <w:rPr>
          <w:rFonts w:hint="eastAsia" w:hAnsi="宋体" w:cs="宋体"/>
          <w:color w:val="auto"/>
          <w:highlight w:val="none"/>
        </w:rPr>
        <w:t>6.1乙方承担的工程内容，不得再行转包或分包，否则视为乙方违约，由此引起的一切责任和损失均由乙方负责。</w:t>
      </w:r>
    </w:p>
    <w:p w14:paraId="52C07ADD">
      <w:pPr>
        <w:pStyle w:val="107"/>
        <w:ind w:firstLine="490"/>
        <w:rPr>
          <w:rFonts w:hAnsi="宋体" w:cs="宋体"/>
          <w:color w:val="auto"/>
          <w:highlight w:val="none"/>
        </w:rPr>
      </w:pPr>
      <w:r>
        <w:rPr>
          <w:rFonts w:hint="eastAsia" w:hAnsi="宋体" w:cs="宋体"/>
          <w:color w:val="auto"/>
          <w:highlight w:val="none"/>
        </w:rPr>
        <w:t>6.2 乙方违反合同约定，工程质量未达到合同约定要求的，甲方有权终止合同，并处以万元的违约金，并且由此引起的一切损失由乙方负责并赔偿甲方的损失。</w:t>
      </w:r>
    </w:p>
    <w:p w14:paraId="346CAD16">
      <w:pPr>
        <w:pStyle w:val="107"/>
        <w:ind w:firstLine="420"/>
        <w:rPr>
          <w:rFonts w:hAnsi="宋体" w:cs="宋体"/>
          <w:color w:val="auto"/>
          <w:highlight w:val="none"/>
        </w:rPr>
      </w:pPr>
      <w:r>
        <w:rPr>
          <w:rFonts w:hint="eastAsia" w:hAnsi="宋体" w:cs="宋体"/>
          <w:color w:val="auto"/>
          <w:highlight w:val="none"/>
        </w:rPr>
        <w:t>6.3乙方应按甲方规定格式和要求及时报送完整的资料给甲方，配合甲方办理中期计量支付及交工验收。</w:t>
      </w:r>
    </w:p>
    <w:p w14:paraId="3B68E06C">
      <w:pPr>
        <w:pStyle w:val="107"/>
        <w:numPr>
          <w:ilvl w:val="0"/>
          <w:numId w:val="17"/>
        </w:numPr>
        <w:jc w:val="left"/>
        <w:rPr>
          <w:rFonts w:hAnsi="宋体" w:cs="宋体"/>
          <w:b/>
          <w:color w:val="auto"/>
          <w:highlight w:val="none"/>
        </w:rPr>
      </w:pPr>
      <w:r>
        <w:rPr>
          <w:rFonts w:hint="eastAsia" w:hAnsi="宋体" w:cs="宋体"/>
          <w:b/>
          <w:color w:val="auto"/>
          <w:highlight w:val="none"/>
        </w:rPr>
        <w:t>安全管理</w:t>
      </w:r>
    </w:p>
    <w:p w14:paraId="2C8DAE57">
      <w:pPr>
        <w:pStyle w:val="107"/>
        <w:tabs>
          <w:tab w:val="left" w:pos="0"/>
        </w:tabs>
        <w:ind w:firstLine="480" w:firstLineChars="200"/>
        <w:rPr>
          <w:rFonts w:hAnsi="宋体" w:cs="宋体"/>
          <w:color w:val="auto"/>
          <w:highlight w:val="none"/>
        </w:rPr>
      </w:pPr>
      <w:r>
        <w:rPr>
          <w:rFonts w:hint="eastAsia" w:hAnsi="宋体" w:cs="宋体"/>
          <w:color w:val="auto"/>
          <w:highlight w:val="none"/>
        </w:rPr>
        <w:t>7.1 乙方应严格按施工方案和操作规程施工，因乙方原因导致的安全事故，由乙方承担主要责任，甲方承担连带责任。</w:t>
      </w:r>
    </w:p>
    <w:p w14:paraId="650B43FB">
      <w:pPr>
        <w:pStyle w:val="107"/>
        <w:tabs>
          <w:tab w:val="left" w:pos="0"/>
        </w:tabs>
        <w:ind w:firstLine="480" w:firstLineChars="200"/>
        <w:rPr>
          <w:rFonts w:hAnsi="宋体" w:cs="宋体"/>
          <w:color w:val="auto"/>
          <w:highlight w:val="none"/>
        </w:rPr>
      </w:pPr>
      <w:r>
        <w:rPr>
          <w:rFonts w:hint="eastAsia" w:hAnsi="宋体" w:cs="宋体"/>
          <w:color w:val="auto"/>
          <w:highlight w:val="none"/>
        </w:rPr>
        <w:t>7.2 甲方的施工方案和现场指挥应符合安全施工要求，因甲方原因导致的安全事故，其责任与损失由甲方承担。</w:t>
      </w:r>
    </w:p>
    <w:p w14:paraId="016FAAFC">
      <w:pPr>
        <w:pStyle w:val="107"/>
        <w:tabs>
          <w:tab w:val="left" w:pos="0"/>
        </w:tabs>
        <w:ind w:firstLine="480" w:firstLineChars="200"/>
        <w:rPr>
          <w:rFonts w:hAnsi="宋体" w:cs="宋体"/>
          <w:color w:val="auto"/>
          <w:highlight w:val="none"/>
        </w:rPr>
      </w:pPr>
      <w:r>
        <w:rPr>
          <w:rFonts w:hint="eastAsia" w:hAnsi="宋体" w:cs="宋体"/>
          <w:color w:val="auto"/>
          <w:highlight w:val="none"/>
        </w:rPr>
        <w:t>7.3 乙方应配备专职安全员，协助并服从甲方进行安全管理。</w:t>
      </w:r>
    </w:p>
    <w:p w14:paraId="1BBACE7B">
      <w:pPr>
        <w:pStyle w:val="107"/>
        <w:tabs>
          <w:tab w:val="left" w:pos="0"/>
        </w:tabs>
        <w:ind w:firstLine="480" w:firstLineChars="200"/>
        <w:rPr>
          <w:rFonts w:hAnsi="宋体" w:cs="宋体"/>
          <w:color w:val="auto"/>
          <w:highlight w:val="none"/>
        </w:rPr>
      </w:pPr>
      <w:r>
        <w:rPr>
          <w:rFonts w:hint="eastAsia" w:hAnsi="宋体" w:cs="宋体"/>
          <w:color w:val="auto"/>
          <w:highlight w:val="none"/>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14:paraId="4ED028DB">
      <w:pPr>
        <w:pStyle w:val="107"/>
        <w:tabs>
          <w:tab w:val="left" w:pos="0"/>
        </w:tabs>
        <w:ind w:firstLine="480" w:firstLineChars="200"/>
        <w:rPr>
          <w:rFonts w:hAnsi="宋体" w:cs="宋体"/>
          <w:color w:val="auto"/>
          <w:highlight w:val="none"/>
        </w:rPr>
      </w:pPr>
      <w:r>
        <w:rPr>
          <w:rFonts w:hint="eastAsia" w:hAnsi="宋体" w:cs="宋体"/>
          <w:color w:val="auto"/>
          <w:highlight w:val="none"/>
        </w:rPr>
        <w:t>7.5 乙方的特种作业人员应持证上岗，证件复印件留甲方备查。</w:t>
      </w:r>
    </w:p>
    <w:p w14:paraId="26702FD4">
      <w:pPr>
        <w:pStyle w:val="107"/>
        <w:tabs>
          <w:tab w:val="left" w:pos="0"/>
        </w:tabs>
        <w:ind w:firstLine="480" w:firstLineChars="200"/>
        <w:rPr>
          <w:rFonts w:hAnsi="宋体" w:cs="宋体"/>
          <w:color w:val="auto"/>
          <w:highlight w:val="none"/>
        </w:rPr>
      </w:pPr>
      <w:r>
        <w:rPr>
          <w:rFonts w:hint="eastAsia" w:hAnsi="宋体" w:cs="宋体"/>
          <w:color w:val="auto"/>
          <w:highlight w:val="none"/>
        </w:rPr>
        <w:t>7.6 因乙方原因，导致发生安全事故和治安事件等，整改不力的，甲方有权终止本合同，并追偿损失。</w:t>
      </w:r>
    </w:p>
    <w:p w14:paraId="32B8B172">
      <w:pPr>
        <w:pStyle w:val="107"/>
        <w:numPr>
          <w:ilvl w:val="0"/>
          <w:numId w:val="17"/>
        </w:numPr>
        <w:jc w:val="left"/>
        <w:rPr>
          <w:rFonts w:hAnsi="宋体" w:cs="宋体"/>
          <w:b/>
          <w:color w:val="auto"/>
          <w:highlight w:val="none"/>
        </w:rPr>
      </w:pPr>
      <w:r>
        <w:rPr>
          <w:rFonts w:hint="eastAsia" w:hAnsi="宋体" w:cs="宋体"/>
          <w:b/>
          <w:color w:val="auto"/>
          <w:highlight w:val="none"/>
        </w:rPr>
        <w:t>结算支付</w:t>
      </w:r>
    </w:p>
    <w:p w14:paraId="31195294">
      <w:pPr>
        <w:pStyle w:val="107"/>
        <w:ind w:firstLine="600" w:firstLineChars="250"/>
        <w:rPr>
          <w:rFonts w:hAnsi="宋体" w:cs="宋体"/>
          <w:color w:val="auto"/>
          <w:highlight w:val="none"/>
        </w:rPr>
      </w:pPr>
      <w:r>
        <w:rPr>
          <w:rFonts w:hint="eastAsia" w:hAnsi="宋体" w:cs="宋体"/>
          <w:color w:val="auto"/>
          <w:highlight w:val="none"/>
        </w:rPr>
        <w:t>8.1甲方每月在得到业主支付的计量款后按合同约定进行劳务费的结算和支付。</w:t>
      </w:r>
    </w:p>
    <w:p w14:paraId="17938E86">
      <w:pPr>
        <w:pStyle w:val="107"/>
        <w:ind w:firstLine="600" w:firstLineChars="250"/>
        <w:rPr>
          <w:rFonts w:hAnsi="宋体" w:cs="宋体"/>
          <w:color w:val="auto"/>
          <w:highlight w:val="none"/>
        </w:rPr>
      </w:pPr>
      <w:r>
        <w:rPr>
          <w:rFonts w:hint="eastAsia" w:hAnsi="宋体" w:cs="宋体"/>
          <w:color w:val="auto"/>
          <w:highlight w:val="none"/>
        </w:rPr>
        <w:t>8.2甲方无故未按时支付劳务款的，按同期中国人民银行贷款利率偿付给乙方逾期付款违约金。</w:t>
      </w:r>
    </w:p>
    <w:p w14:paraId="53426477">
      <w:pPr>
        <w:pStyle w:val="107"/>
        <w:numPr>
          <w:ilvl w:val="0"/>
          <w:numId w:val="17"/>
        </w:numPr>
        <w:jc w:val="left"/>
        <w:rPr>
          <w:rFonts w:hAnsi="宋体" w:cs="宋体"/>
          <w:b/>
          <w:color w:val="auto"/>
          <w:highlight w:val="none"/>
        </w:rPr>
      </w:pPr>
      <w:r>
        <w:rPr>
          <w:rFonts w:hint="eastAsia" w:hAnsi="宋体" w:cs="宋体"/>
          <w:b/>
          <w:color w:val="auto"/>
          <w:highlight w:val="none"/>
        </w:rPr>
        <w:t xml:space="preserve"> 附则</w:t>
      </w:r>
    </w:p>
    <w:p w14:paraId="7879B1FE">
      <w:pPr>
        <w:pStyle w:val="107"/>
        <w:ind w:firstLine="420"/>
        <w:rPr>
          <w:rFonts w:hAnsi="宋体" w:cs="宋体"/>
          <w:color w:val="auto"/>
          <w:highlight w:val="none"/>
        </w:rPr>
      </w:pPr>
      <w:r>
        <w:rPr>
          <w:rFonts w:hint="eastAsia" w:hAnsi="宋体" w:cs="宋体"/>
          <w:color w:val="auto"/>
          <w:highlight w:val="none"/>
        </w:rPr>
        <w:t>9.1本协议发生纠纷时，当事人双方应及时协商解决。若协商不成时，应按以下第(  )项解决：(a)向工程所在地的仲裁委员会申请仲裁，(b)向人民法院起诉。</w:t>
      </w:r>
    </w:p>
    <w:p w14:paraId="17153A6F">
      <w:pPr>
        <w:pStyle w:val="107"/>
        <w:ind w:firstLine="480" w:firstLineChars="200"/>
        <w:rPr>
          <w:rFonts w:hAnsi="宋体" w:cs="宋体"/>
          <w:color w:val="auto"/>
          <w:highlight w:val="none"/>
        </w:rPr>
      </w:pPr>
      <w:r>
        <w:rPr>
          <w:rFonts w:hint="eastAsia" w:hAnsi="宋体" w:cs="宋体"/>
          <w:color w:val="auto"/>
          <w:highlight w:val="none"/>
        </w:rPr>
        <w:t>9.2本协议一式份，甲乙双方各执正本一份，副本份，其余副本报驻地监理办和发包人。合同经发包人备案后生效。</w:t>
      </w:r>
    </w:p>
    <w:p w14:paraId="4B2BAD1F">
      <w:pPr>
        <w:pStyle w:val="107"/>
        <w:ind w:firstLine="480" w:firstLineChars="200"/>
        <w:rPr>
          <w:rFonts w:hAnsi="宋体" w:cs="宋体"/>
          <w:color w:val="auto"/>
          <w:highlight w:val="none"/>
        </w:rPr>
      </w:pPr>
      <w:r>
        <w:rPr>
          <w:rFonts w:hint="eastAsia" w:hAnsi="宋体" w:cs="宋体"/>
          <w:color w:val="auto"/>
          <w:highlight w:val="none"/>
        </w:rPr>
        <w:t>合同订立时间：年   月   日；签订合同地点：。</w:t>
      </w:r>
    </w:p>
    <w:p w14:paraId="6FD3BDAA">
      <w:pPr>
        <w:pStyle w:val="107"/>
        <w:ind w:firstLine="480" w:firstLineChars="200"/>
        <w:rPr>
          <w:rFonts w:hAnsi="宋体" w:cs="宋体"/>
          <w:color w:val="auto"/>
          <w:highlight w:val="none"/>
        </w:rPr>
      </w:pPr>
      <w:r>
        <w:rPr>
          <w:rFonts w:hint="eastAsia" w:hAnsi="宋体" w:cs="宋体"/>
          <w:color w:val="auto"/>
          <w:highlight w:val="none"/>
        </w:rPr>
        <w:t>9.3双方商定的补充条款：</w:t>
      </w:r>
    </w:p>
    <w:p w14:paraId="19D1C1D0">
      <w:pPr>
        <w:pStyle w:val="107"/>
        <w:ind w:firstLine="480" w:firstLineChars="200"/>
        <w:rPr>
          <w:rFonts w:hAnsi="宋体" w:cs="宋体"/>
          <w:color w:val="auto"/>
          <w:highlight w:val="none"/>
        </w:rPr>
      </w:pPr>
      <w:r>
        <w:rPr>
          <w:rFonts w:hint="eastAsia" w:hAnsi="宋体" w:cs="宋体"/>
          <w:color w:val="auto"/>
          <w:highlight w:val="none"/>
        </w:rPr>
        <w:t>1.</w:t>
      </w:r>
    </w:p>
    <w:p w14:paraId="35CD851E">
      <w:pPr>
        <w:pStyle w:val="107"/>
        <w:ind w:firstLine="480" w:firstLineChars="200"/>
        <w:rPr>
          <w:rFonts w:hAnsi="宋体" w:cs="宋体"/>
          <w:color w:val="auto"/>
          <w:highlight w:val="none"/>
        </w:rPr>
      </w:pPr>
      <w:r>
        <w:rPr>
          <w:rFonts w:hint="eastAsia" w:hAnsi="宋体" w:cs="宋体"/>
          <w:color w:val="auto"/>
          <w:highlight w:val="none"/>
        </w:rPr>
        <w:t>2.</w:t>
      </w:r>
    </w:p>
    <w:p w14:paraId="0535114B">
      <w:pPr>
        <w:pStyle w:val="107"/>
        <w:ind w:firstLine="480" w:firstLineChars="200"/>
        <w:rPr>
          <w:rFonts w:hAnsi="宋体" w:cs="宋体"/>
          <w:color w:val="auto"/>
          <w:highlight w:val="none"/>
        </w:rPr>
      </w:pPr>
      <w:r>
        <w:rPr>
          <w:rFonts w:hint="eastAsia" w:hAnsi="宋体" w:cs="宋体"/>
          <w:color w:val="auto"/>
          <w:highlight w:val="none"/>
        </w:rPr>
        <w:t>……</w:t>
      </w:r>
    </w:p>
    <w:p w14:paraId="23F55390">
      <w:pPr>
        <w:pStyle w:val="107"/>
        <w:ind w:firstLine="480" w:firstLineChars="200"/>
        <w:rPr>
          <w:rFonts w:hAnsi="宋体" w:cs="宋体"/>
          <w:color w:val="auto"/>
          <w:highlight w:val="none"/>
        </w:rPr>
      </w:pPr>
    </w:p>
    <w:p w14:paraId="200EF04B">
      <w:pPr>
        <w:pStyle w:val="107"/>
        <w:ind w:firstLine="480" w:firstLineChars="200"/>
        <w:rPr>
          <w:rFonts w:hAnsi="宋体" w:cs="宋体"/>
          <w:color w:val="auto"/>
          <w:highlight w:val="none"/>
        </w:rPr>
      </w:pPr>
      <w:r>
        <w:rPr>
          <w:rFonts w:hint="eastAsia" w:hAnsi="宋体" w:cs="宋体"/>
          <w:color w:val="auto"/>
          <w:highlight w:val="none"/>
        </w:rPr>
        <w:t>四、本合同未尽事宜，业主与甲方签订的相关条款已有的，按其办理，未涉及的，双方协商解决。</w:t>
      </w:r>
    </w:p>
    <w:p w14:paraId="7762537E">
      <w:pPr>
        <w:pStyle w:val="107"/>
        <w:ind w:firstLine="480" w:firstLineChars="200"/>
        <w:rPr>
          <w:rFonts w:hAnsi="宋体" w:cs="宋体"/>
          <w:color w:val="auto"/>
          <w:highlight w:val="none"/>
        </w:rPr>
      </w:pPr>
      <w:r>
        <w:rPr>
          <w:rFonts w:hint="eastAsia" w:hAnsi="宋体" w:cs="宋体"/>
          <w:color w:val="auto"/>
          <w:highlight w:val="none"/>
        </w:rPr>
        <w:t>合同附件：</w:t>
      </w:r>
    </w:p>
    <w:p w14:paraId="3BD35ABC">
      <w:pPr>
        <w:pStyle w:val="107"/>
        <w:numPr>
          <w:ilvl w:val="0"/>
          <w:numId w:val="20"/>
        </w:numPr>
        <w:ind w:left="782" w:firstLine="74"/>
        <w:rPr>
          <w:rFonts w:hAnsi="宋体" w:cs="宋体"/>
          <w:color w:val="auto"/>
          <w:highlight w:val="none"/>
        </w:rPr>
      </w:pPr>
      <w:r>
        <w:rPr>
          <w:rFonts w:hint="eastAsia" w:hAnsi="宋体" w:cs="宋体"/>
          <w:color w:val="auto"/>
          <w:highlight w:val="none"/>
        </w:rPr>
        <w:t>劳务计价清单</w:t>
      </w:r>
    </w:p>
    <w:p w14:paraId="1C3414B9">
      <w:pPr>
        <w:pStyle w:val="107"/>
        <w:numPr>
          <w:ilvl w:val="0"/>
          <w:numId w:val="20"/>
        </w:numPr>
        <w:ind w:left="782" w:firstLine="74"/>
        <w:rPr>
          <w:rFonts w:hAnsi="宋体" w:cs="宋体"/>
          <w:color w:val="auto"/>
          <w:highlight w:val="none"/>
        </w:rPr>
      </w:pPr>
      <w:r>
        <w:rPr>
          <w:rFonts w:hint="eastAsia" w:hAnsi="宋体" w:cs="宋体"/>
          <w:color w:val="auto"/>
          <w:highlight w:val="none"/>
        </w:rPr>
        <w:t>甲方提供材料清单</w:t>
      </w:r>
    </w:p>
    <w:p w14:paraId="48E4721B">
      <w:pPr>
        <w:pStyle w:val="107"/>
        <w:numPr>
          <w:ilvl w:val="0"/>
          <w:numId w:val="20"/>
        </w:numPr>
        <w:ind w:left="782" w:firstLine="74"/>
        <w:rPr>
          <w:rFonts w:hAnsi="宋体" w:cs="宋体"/>
          <w:color w:val="auto"/>
          <w:highlight w:val="none"/>
        </w:rPr>
      </w:pPr>
      <w:r>
        <w:rPr>
          <w:rFonts w:hint="eastAsia" w:hAnsi="宋体" w:cs="宋体"/>
          <w:color w:val="auto"/>
          <w:highlight w:val="none"/>
        </w:rPr>
        <w:t>甲方提供机械设备清单</w:t>
      </w:r>
    </w:p>
    <w:p w14:paraId="35874EBD">
      <w:pPr>
        <w:pStyle w:val="107"/>
        <w:numPr>
          <w:ilvl w:val="0"/>
          <w:numId w:val="20"/>
        </w:numPr>
        <w:ind w:left="782" w:firstLine="74"/>
        <w:rPr>
          <w:rFonts w:hAnsi="宋体" w:cs="宋体"/>
          <w:color w:val="auto"/>
          <w:highlight w:val="none"/>
        </w:rPr>
      </w:pPr>
      <w:r>
        <w:rPr>
          <w:rFonts w:hint="eastAsia" w:hAnsi="宋体" w:cs="宋体"/>
          <w:color w:val="auto"/>
          <w:highlight w:val="none"/>
        </w:rPr>
        <w:t>乙方投入关键人员表</w:t>
      </w:r>
    </w:p>
    <w:p w14:paraId="5945E632">
      <w:pPr>
        <w:pStyle w:val="107"/>
        <w:rPr>
          <w:rFonts w:hAnsi="宋体" w:cs="宋体"/>
          <w:color w:val="auto"/>
          <w:highlight w:val="none"/>
        </w:rPr>
      </w:pPr>
      <w:r>
        <w:rPr>
          <w:rFonts w:hint="eastAsia" w:hAnsi="宋体" w:cs="宋体"/>
          <w:color w:val="auto"/>
          <w:highlight w:val="none"/>
        </w:rPr>
        <w:t>甲  方： (盖章)                            乙  方：(盖章)</w:t>
      </w:r>
    </w:p>
    <w:p w14:paraId="1B7BAFC4">
      <w:pPr>
        <w:pStyle w:val="107"/>
        <w:rPr>
          <w:rFonts w:hAnsi="宋体" w:cs="宋体"/>
          <w:color w:val="auto"/>
          <w:highlight w:val="none"/>
        </w:rPr>
      </w:pPr>
      <w:r>
        <w:rPr>
          <w:rFonts w:hint="eastAsia" w:hAnsi="宋体" w:cs="宋体"/>
          <w:color w:val="auto"/>
          <w:highlight w:val="none"/>
        </w:rPr>
        <w:t>法定代表人：(签字)                         法定代表人：(签字)</w:t>
      </w:r>
    </w:p>
    <w:p w14:paraId="32A49327">
      <w:pPr>
        <w:pStyle w:val="107"/>
        <w:rPr>
          <w:rFonts w:hAnsi="宋体" w:cs="宋体"/>
          <w:color w:val="auto"/>
          <w:highlight w:val="none"/>
        </w:rPr>
      </w:pPr>
      <w:r>
        <w:rPr>
          <w:rFonts w:hint="eastAsia" w:hAnsi="宋体" w:cs="宋体"/>
          <w:color w:val="auto"/>
          <w:highlight w:val="none"/>
        </w:rPr>
        <w:t>委托代理人：(签字)                         委托代理人：(签字)</w:t>
      </w:r>
    </w:p>
    <w:p w14:paraId="56AAFD68">
      <w:pPr>
        <w:pStyle w:val="107"/>
        <w:rPr>
          <w:rFonts w:hAnsi="宋体" w:cs="宋体"/>
          <w:color w:val="auto"/>
          <w:highlight w:val="none"/>
        </w:rPr>
      </w:pPr>
      <w:r>
        <w:rPr>
          <w:rFonts w:hint="eastAsia" w:hAnsi="宋体" w:cs="宋体"/>
          <w:color w:val="auto"/>
          <w:highlight w:val="none"/>
        </w:rPr>
        <w:t>地    址：                                地    址：</w:t>
      </w:r>
    </w:p>
    <w:p w14:paraId="0E90D1C8">
      <w:pPr>
        <w:pStyle w:val="107"/>
        <w:rPr>
          <w:rFonts w:hAnsi="宋体" w:cs="宋体"/>
          <w:color w:val="auto"/>
          <w:highlight w:val="none"/>
        </w:rPr>
      </w:pPr>
      <w:r>
        <w:rPr>
          <w:rFonts w:hint="eastAsia" w:hAnsi="宋体" w:cs="宋体"/>
          <w:color w:val="auto"/>
          <w:highlight w:val="none"/>
        </w:rPr>
        <w:t>邮政编码：                                邮政编码：</w:t>
      </w:r>
    </w:p>
    <w:p w14:paraId="70214EAF">
      <w:pPr>
        <w:pStyle w:val="107"/>
        <w:rPr>
          <w:rFonts w:hAnsi="宋体" w:cs="宋体"/>
          <w:color w:val="auto"/>
          <w:highlight w:val="none"/>
        </w:rPr>
      </w:pPr>
      <w:r>
        <w:rPr>
          <w:rFonts w:hint="eastAsia" w:hAnsi="宋体" w:cs="宋体"/>
          <w:color w:val="auto"/>
          <w:highlight w:val="none"/>
        </w:rPr>
        <w:t>电    话：                                 电    话：</w:t>
      </w:r>
    </w:p>
    <w:p w14:paraId="2F36E3A3">
      <w:pPr>
        <w:pStyle w:val="107"/>
        <w:rPr>
          <w:rFonts w:hAnsi="宋体" w:cs="宋体"/>
          <w:color w:val="auto"/>
          <w:highlight w:val="none"/>
        </w:rPr>
      </w:pPr>
      <w:r>
        <w:rPr>
          <w:rFonts w:hint="eastAsia" w:hAnsi="宋体" w:cs="宋体"/>
          <w:color w:val="auto"/>
          <w:highlight w:val="none"/>
        </w:rPr>
        <w:t>传  真：                                   传  真：</w:t>
      </w:r>
    </w:p>
    <w:p w14:paraId="6E2C369F">
      <w:pPr>
        <w:pStyle w:val="107"/>
        <w:rPr>
          <w:rFonts w:hAnsi="宋体" w:cs="宋体"/>
          <w:color w:val="auto"/>
          <w:highlight w:val="none"/>
        </w:rPr>
      </w:pPr>
      <w:r>
        <w:rPr>
          <w:rFonts w:hint="eastAsia" w:hAnsi="宋体" w:cs="宋体"/>
          <w:color w:val="auto"/>
          <w:highlight w:val="none"/>
        </w:rPr>
        <w:t>开户银行：                                 开户银行：</w:t>
      </w:r>
    </w:p>
    <w:p w14:paraId="63CCC20A">
      <w:pPr>
        <w:pStyle w:val="107"/>
        <w:rPr>
          <w:rFonts w:hAnsi="宋体" w:cs="宋体"/>
          <w:color w:val="auto"/>
          <w:highlight w:val="none"/>
        </w:rPr>
      </w:pPr>
      <w:r>
        <w:rPr>
          <w:rFonts w:hint="eastAsia" w:hAnsi="宋体" w:cs="宋体"/>
          <w:color w:val="auto"/>
          <w:highlight w:val="none"/>
        </w:rPr>
        <w:t>银行帐号：                                 银行帐号：</w:t>
      </w:r>
    </w:p>
    <w:p w14:paraId="140D190C">
      <w:pPr>
        <w:pStyle w:val="107"/>
        <w:rPr>
          <w:rFonts w:hAnsi="宋体" w:cs="宋体"/>
          <w:color w:val="auto"/>
          <w:highlight w:val="none"/>
        </w:rPr>
      </w:pPr>
      <w:r>
        <w:rPr>
          <w:rFonts w:hint="eastAsia" w:hAnsi="宋体" w:cs="宋体"/>
          <w:color w:val="auto"/>
          <w:highlight w:val="none"/>
        </w:rPr>
        <w:t>签订时间：                                 签订时间：</w:t>
      </w:r>
    </w:p>
    <w:p w14:paraId="344FF945">
      <w:pPr>
        <w:pStyle w:val="107"/>
        <w:rPr>
          <w:rFonts w:hAnsi="宋体" w:cs="宋体"/>
          <w:color w:val="auto"/>
          <w:highlight w:val="none"/>
        </w:rPr>
      </w:pPr>
    </w:p>
    <w:p w14:paraId="2F5386D0">
      <w:pPr>
        <w:pStyle w:val="107"/>
        <w:jc w:val="center"/>
        <w:rPr>
          <w:rFonts w:hAnsi="宋体" w:cs="宋体"/>
          <w:b/>
          <w:color w:val="auto"/>
          <w:sz w:val="28"/>
          <w:szCs w:val="28"/>
          <w:highlight w:val="none"/>
        </w:rPr>
      </w:pPr>
      <w:r>
        <w:rPr>
          <w:rFonts w:hint="eastAsia" w:hAnsi="宋体" w:cs="宋体"/>
          <w:color w:val="auto"/>
          <w:highlight w:val="none"/>
        </w:rPr>
        <w:br w:type="page"/>
      </w:r>
      <w:r>
        <w:rPr>
          <w:rFonts w:hint="eastAsia" w:hAnsi="宋体" w:cs="宋体"/>
          <w:b/>
          <w:color w:val="auto"/>
          <w:sz w:val="28"/>
          <w:szCs w:val="28"/>
          <w:highlight w:val="none"/>
        </w:rPr>
        <w:t>附表1：劳务计价清单</w:t>
      </w:r>
    </w:p>
    <w:p w14:paraId="461D6F94">
      <w:pPr>
        <w:pStyle w:val="107"/>
        <w:rPr>
          <w:rFonts w:hAnsi="宋体" w:cs="宋体"/>
          <w:b/>
          <w:bCs/>
          <w:color w:val="auto"/>
          <w:highlight w:val="none"/>
        </w:rPr>
      </w:pPr>
      <w:r>
        <w:rPr>
          <w:rFonts w:hint="eastAsia" w:hAnsi="宋体" w:cs="宋体"/>
          <w:color w:val="auto"/>
          <w:highlight w:val="none"/>
        </w:rPr>
        <w:t xml:space="preserve">工程名称及合同段：                               劳务单位：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14:paraId="4AA5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2CA111E4">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编号</w:t>
            </w:r>
          </w:p>
        </w:tc>
        <w:tc>
          <w:tcPr>
            <w:tcW w:w="1752" w:type="dxa"/>
          </w:tcPr>
          <w:p w14:paraId="53CAF6A2">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工程项目名称</w:t>
            </w:r>
          </w:p>
        </w:tc>
        <w:tc>
          <w:tcPr>
            <w:tcW w:w="1122" w:type="dxa"/>
          </w:tcPr>
          <w:p w14:paraId="14C4600A">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单位</w:t>
            </w:r>
          </w:p>
        </w:tc>
        <w:tc>
          <w:tcPr>
            <w:tcW w:w="791" w:type="dxa"/>
          </w:tcPr>
          <w:p w14:paraId="050AC960">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数量</w:t>
            </w:r>
          </w:p>
        </w:tc>
        <w:tc>
          <w:tcPr>
            <w:tcW w:w="1471" w:type="dxa"/>
          </w:tcPr>
          <w:p w14:paraId="6CDFC17A">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单价 (元)</w:t>
            </w:r>
          </w:p>
        </w:tc>
        <w:tc>
          <w:tcPr>
            <w:tcW w:w="1140" w:type="dxa"/>
          </w:tcPr>
          <w:p w14:paraId="0F083AD5">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金额 (元)</w:t>
            </w:r>
          </w:p>
        </w:tc>
        <w:tc>
          <w:tcPr>
            <w:tcW w:w="1123" w:type="dxa"/>
          </w:tcPr>
          <w:p w14:paraId="0E679867">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预定工期</w:t>
            </w:r>
          </w:p>
        </w:tc>
      </w:tr>
      <w:tr w14:paraId="07C1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14:paraId="7DB41003">
            <w:pPr>
              <w:pStyle w:val="107"/>
              <w:rPr>
                <w:rFonts w:hAnsi="宋体" w:cs="宋体"/>
                <w:b/>
                <w:color w:val="auto"/>
                <w:szCs w:val="21"/>
                <w:highlight w:val="none"/>
              </w:rPr>
            </w:pPr>
          </w:p>
        </w:tc>
        <w:tc>
          <w:tcPr>
            <w:tcW w:w="1752" w:type="dxa"/>
          </w:tcPr>
          <w:p w14:paraId="43FE5830">
            <w:pPr>
              <w:pStyle w:val="107"/>
              <w:rPr>
                <w:rFonts w:hAnsi="宋体" w:cs="宋体"/>
                <w:b/>
                <w:color w:val="auto"/>
                <w:szCs w:val="21"/>
                <w:highlight w:val="none"/>
              </w:rPr>
            </w:pPr>
          </w:p>
        </w:tc>
        <w:tc>
          <w:tcPr>
            <w:tcW w:w="1122" w:type="dxa"/>
          </w:tcPr>
          <w:p w14:paraId="22C721CB">
            <w:pPr>
              <w:pStyle w:val="107"/>
              <w:rPr>
                <w:rFonts w:hAnsi="宋体" w:cs="宋体"/>
                <w:b/>
                <w:color w:val="auto"/>
                <w:szCs w:val="21"/>
                <w:highlight w:val="none"/>
              </w:rPr>
            </w:pPr>
          </w:p>
        </w:tc>
        <w:tc>
          <w:tcPr>
            <w:tcW w:w="791" w:type="dxa"/>
          </w:tcPr>
          <w:p w14:paraId="0F8E5589">
            <w:pPr>
              <w:pStyle w:val="107"/>
              <w:rPr>
                <w:rFonts w:hAnsi="宋体" w:cs="宋体"/>
                <w:b/>
                <w:color w:val="auto"/>
                <w:szCs w:val="21"/>
                <w:highlight w:val="none"/>
              </w:rPr>
            </w:pPr>
          </w:p>
        </w:tc>
        <w:tc>
          <w:tcPr>
            <w:tcW w:w="1471" w:type="dxa"/>
          </w:tcPr>
          <w:p w14:paraId="486FA8B6">
            <w:pPr>
              <w:pStyle w:val="107"/>
              <w:rPr>
                <w:rFonts w:hAnsi="宋体" w:cs="宋体"/>
                <w:b/>
                <w:color w:val="auto"/>
                <w:szCs w:val="21"/>
                <w:highlight w:val="none"/>
              </w:rPr>
            </w:pPr>
          </w:p>
        </w:tc>
        <w:tc>
          <w:tcPr>
            <w:tcW w:w="1140" w:type="dxa"/>
          </w:tcPr>
          <w:p w14:paraId="05A09EB0">
            <w:pPr>
              <w:pStyle w:val="107"/>
              <w:rPr>
                <w:rFonts w:hAnsi="宋体" w:cs="宋体"/>
                <w:b/>
                <w:color w:val="auto"/>
                <w:szCs w:val="21"/>
                <w:highlight w:val="none"/>
              </w:rPr>
            </w:pPr>
          </w:p>
        </w:tc>
        <w:tc>
          <w:tcPr>
            <w:tcW w:w="1123" w:type="dxa"/>
          </w:tcPr>
          <w:p w14:paraId="6FB1D1F2">
            <w:pPr>
              <w:pStyle w:val="107"/>
              <w:rPr>
                <w:rFonts w:hAnsi="宋体" w:cs="宋体"/>
                <w:b/>
                <w:color w:val="auto"/>
                <w:szCs w:val="21"/>
                <w:highlight w:val="none"/>
              </w:rPr>
            </w:pPr>
          </w:p>
        </w:tc>
      </w:tr>
      <w:tr w14:paraId="2E36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14:paraId="39312820">
            <w:pPr>
              <w:pStyle w:val="107"/>
              <w:rPr>
                <w:rFonts w:hAnsi="宋体" w:cs="宋体"/>
                <w:b/>
                <w:color w:val="auto"/>
                <w:szCs w:val="21"/>
                <w:highlight w:val="none"/>
              </w:rPr>
            </w:pPr>
          </w:p>
        </w:tc>
        <w:tc>
          <w:tcPr>
            <w:tcW w:w="1752" w:type="dxa"/>
          </w:tcPr>
          <w:p w14:paraId="3935AC2C">
            <w:pPr>
              <w:pStyle w:val="107"/>
              <w:rPr>
                <w:rFonts w:hAnsi="宋体" w:cs="宋体"/>
                <w:b/>
                <w:color w:val="auto"/>
                <w:szCs w:val="21"/>
                <w:highlight w:val="none"/>
              </w:rPr>
            </w:pPr>
          </w:p>
        </w:tc>
        <w:tc>
          <w:tcPr>
            <w:tcW w:w="1122" w:type="dxa"/>
          </w:tcPr>
          <w:p w14:paraId="577C758C">
            <w:pPr>
              <w:pStyle w:val="107"/>
              <w:rPr>
                <w:rFonts w:hAnsi="宋体" w:cs="宋体"/>
                <w:b/>
                <w:color w:val="auto"/>
                <w:szCs w:val="21"/>
                <w:highlight w:val="none"/>
              </w:rPr>
            </w:pPr>
          </w:p>
        </w:tc>
        <w:tc>
          <w:tcPr>
            <w:tcW w:w="791" w:type="dxa"/>
          </w:tcPr>
          <w:p w14:paraId="454726A0">
            <w:pPr>
              <w:pStyle w:val="107"/>
              <w:rPr>
                <w:rFonts w:hAnsi="宋体" w:cs="宋体"/>
                <w:b/>
                <w:color w:val="auto"/>
                <w:szCs w:val="21"/>
                <w:highlight w:val="none"/>
              </w:rPr>
            </w:pPr>
          </w:p>
        </w:tc>
        <w:tc>
          <w:tcPr>
            <w:tcW w:w="1471" w:type="dxa"/>
          </w:tcPr>
          <w:p w14:paraId="6FAB2FAC">
            <w:pPr>
              <w:pStyle w:val="107"/>
              <w:rPr>
                <w:rFonts w:hAnsi="宋体" w:cs="宋体"/>
                <w:b/>
                <w:color w:val="auto"/>
                <w:szCs w:val="21"/>
                <w:highlight w:val="none"/>
              </w:rPr>
            </w:pPr>
          </w:p>
        </w:tc>
        <w:tc>
          <w:tcPr>
            <w:tcW w:w="1140" w:type="dxa"/>
          </w:tcPr>
          <w:p w14:paraId="5B19CB3E">
            <w:pPr>
              <w:pStyle w:val="107"/>
              <w:rPr>
                <w:rFonts w:hAnsi="宋体" w:cs="宋体"/>
                <w:b/>
                <w:color w:val="auto"/>
                <w:szCs w:val="21"/>
                <w:highlight w:val="none"/>
              </w:rPr>
            </w:pPr>
          </w:p>
        </w:tc>
        <w:tc>
          <w:tcPr>
            <w:tcW w:w="1123" w:type="dxa"/>
          </w:tcPr>
          <w:p w14:paraId="36F7E695">
            <w:pPr>
              <w:pStyle w:val="107"/>
              <w:rPr>
                <w:rFonts w:hAnsi="宋体" w:cs="宋体"/>
                <w:b/>
                <w:color w:val="auto"/>
                <w:szCs w:val="21"/>
                <w:highlight w:val="none"/>
              </w:rPr>
            </w:pPr>
          </w:p>
        </w:tc>
      </w:tr>
    </w:tbl>
    <w:p w14:paraId="1CD39D70">
      <w:pPr>
        <w:pStyle w:val="107"/>
        <w:jc w:val="center"/>
        <w:rPr>
          <w:rFonts w:hAnsi="宋体" w:cs="宋体"/>
          <w:b/>
          <w:color w:val="auto"/>
          <w:sz w:val="28"/>
          <w:szCs w:val="28"/>
          <w:highlight w:val="none"/>
        </w:rPr>
      </w:pPr>
      <w:r>
        <w:rPr>
          <w:rFonts w:hint="eastAsia" w:hAnsi="宋体" w:cs="宋体"/>
          <w:b/>
          <w:color w:val="auto"/>
          <w:sz w:val="28"/>
          <w:szCs w:val="28"/>
          <w:highlight w:val="none"/>
        </w:rPr>
        <w:t>附表2：甲方提供材料清单</w:t>
      </w:r>
    </w:p>
    <w:p w14:paraId="2A27CCB5">
      <w:pPr>
        <w:pStyle w:val="107"/>
        <w:rPr>
          <w:rFonts w:hAnsi="宋体" w:cs="宋体"/>
          <w:b/>
          <w:bCs/>
          <w:color w:val="auto"/>
          <w:highlight w:val="none"/>
        </w:rPr>
      </w:pPr>
      <w:r>
        <w:rPr>
          <w:rFonts w:hint="eastAsia" w:hAnsi="宋体" w:cs="宋体"/>
          <w:color w:val="auto"/>
          <w:highlight w:val="none"/>
        </w:rPr>
        <w:t xml:space="preserve">工程名称及合同段：                           劳务单位：        </w:t>
      </w:r>
    </w:p>
    <w:tbl>
      <w:tblPr>
        <w:tblStyle w:val="42"/>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14:paraId="0E5B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14:paraId="58EC14FC">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序号</w:t>
            </w:r>
          </w:p>
        </w:tc>
        <w:tc>
          <w:tcPr>
            <w:tcW w:w="1382" w:type="dxa"/>
            <w:vAlign w:val="center"/>
          </w:tcPr>
          <w:p w14:paraId="56850482">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品种</w:t>
            </w:r>
          </w:p>
        </w:tc>
        <w:tc>
          <w:tcPr>
            <w:tcW w:w="1242" w:type="dxa"/>
            <w:vAlign w:val="center"/>
          </w:tcPr>
          <w:p w14:paraId="38A16F3F">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规格型号</w:t>
            </w:r>
          </w:p>
        </w:tc>
        <w:tc>
          <w:tcPr>
            <w:tcW w:w="684" w:type="dxa"/>
            <w:vAlign w:val="center"/>
          </w:tcPr>
          <w:p w14:paraId="67DFF755">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单位</w:t>
            </w:r>
          </w:p>
        </w:tc>
        <w:tc>
          <w:tcPr>
            <w:tcW w:w="1206" w:type="dxa"/>
            <w:vAlign w:val="center"/>
          </w:tcPr>
          <w:p w14:paraId="56B141B8">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图纸数量</w:t>
            </w:r>
          </w:p>
        </w:tc>
        <w:tc>
          <w:tcPr>
            <w:tcW w:w="640" w:type="dxa"/>
            <w:vAlign w:val="center"/>
          </w:tcPr>
          <w:p w14:paraId="6634307C">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单价</w:t>
            </w:r>
          </w:p>
        </w:tc>
        <w:tc>
          <w:tcPr>
            <w:tcW w:w="1601" w:type="dxa"/>
            <w:vAlign w:val="center"/>
          </w:tcPr>
          <w:p w14:paraId="2242B79C">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损耗系数%</w:t>
            </w:r>
          </w:p>
        </w:tc>
        <w:tc>
          <w:tcPr>
            <w:tcW w:w="720" w:type="dxa"/>
            <w:vAlign w:val="center"/>
          </w:tcPr>
          <w:p w14:paraId="7A7DAB58">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交货</w:t>
            </w:r>
          </w:p>
          <w:p w14:paraId="54A16715">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时间</w:t>
            </w:r>
          </w:p>
        </w:tc>
        <w:tc>
          <w:tcPr>
            <w:tcW w:w="743" w:type="dxa"/>
            <w:vAlign w:val="center"/>
          </w:tcPr>
          <w:p w14:paraId="1384C0DB">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备注</w:t>
            </w:r>
          </w:p>
        </w:tc>
      </w:tr>
      <w:tr w14:paraId="2766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14:paraId="755B46A6">
            <w:pPr>
              <w:pStyle w:val="107"/>
              <w:autoSpaceDE w:val="0"/>
              <w:autoSpaceDN w:val="0"/>
              <w:jc w:val="center"/>
              <w:rPr>
                <w:rFonts w:hAnsi="宋体" w:cs="宋体"/>
                <w:color w:val="auto"/>
                <w:kern w:val="0"/>
                <w:szCs w:val="21"/>
                <w:highlight w:val="none"/>
              </w:rPr>
            </w:pPr>
          </w:p>
        </w:tc>
        <w:tc>
          <w:tcPr>
            <w:tcW w:w="1382" w:type="dxa"/>
            <w:vAlign w:val="center"/>
          </w:tcPr>
          <w:p w14:paraId="34862946">
            <w:pPr>
              <w:pStyle w:val="107"/>
              <w:autoSpaceDE w:val="0"/>
              <w:autoSpaceDN w:val="0"/>
              <w:jc w:val="center"/>
              <w:rPr>
                <w:rFonts w:hAnsi="宋体" w:cs="宋体"/>
                <w:color w:val="auto"/>
                <w:kern w:val="0"/>
                <w:szCs w:val="21"/>
                <w:highlight w:val="none"/>
              </w:rPr>
            </w:pPr>
          </w:p>
        </w:tc>
        <w:tc>
          <w:tcPr>
            <w:tcW w:w="1242" w:type="dxa"/>
            <w:vAlign w:val="center"/>
          </w:tcPr>
          <w:p w14:paraId="4A437850">
            <w:pPr>
              <w:pStyle w:val="107"/>
              <w:autoSpaceDE w:val="0"/>
              <w:autoSpaceDN w:val="0"/>
              <w:jc w:val="center"/>
              <w:rPr>
                <w:rFonts w:hAnsi="宋体" w:cs="宋体"/>
                <w:color w:val="auto"/>
                <w:kern w:val="0"/>
                <w:szCs w:val="21"/>
                <w:highlight w:val="none"/>
              </w:rPr>
            </w:pPr>
          </w:p>
        </w:tc>
        <w:tc>
          <w:tcPr>
            <w:tcW w:w="684" w:type="dxa"/>
            <w:vAlign w:val="center"/>
          </w:tcPr>
          <w:p w14:paraId="532C46B2">
            <w:pPr>
              <w:pStyle w:val="107"/>
              <w:autoSpaceDE w:val="0"/>
              <w:autoSpaceDN w:val="0"/>
              <w:jc w:val="center"/>
              <w:rPr>
                <w:rFonts w:hAnsi="宋体" w:cs="宋体"/>
                <w:color w:val="auto"/>
                <w:kern w:val="0"/>
                <w:szCs w:val="21"/>
                <w:highlight w:val="none"/>
              </w:rPr>
            </w:pPr>
          </w:p>
        </w:tc>
        <w:tc>
          <w:tcPr>
            <w:tcW w:w="1206" w:type="dxa"/>
            <w:vAlign w:val="center"/>
          </w:tcPr>
          <w:p w14:paraId="229E6DA5">
            <w:pPr>
              <w:pStyle w:val="107"/>
              <w:autoSpaceDE w:val="0"/>
              <w:autoSpaceDN w:val="0"/>
              <w:jc w:val="center"/>
              <w:rPr>
                <w:rFonts w:hAnsi="宋体" w:cs="宋体"/>
                <w:color w:val="auto"/>
                <w:kern w:val="0"/>
                <w:szCs w:val="21"/>
                <w:highlight w:val="none"/>
              </w:rPr>
            </w:pPr>
          </w:p>
        </w:tc>
        <w:tc>
          <w:tcPr>
            <w:tcW w:w="640" w:type="dxa"/>
            <w:vAlign w:val="center"/>
          </w:tcPr>
          <w:p w14:paraId="53A67F3B">
            <w:pPr>
              <w:pStyle w:val="107"/>
              <w:autoSpaceDE w:val="0"/>
              <w:autoSpaceDN w:val="0"/>
              <w:jc w:val="center"/>
              <w:rPr>
                <w:rFonts w:hAnsi="宋体" w:cs="宋体"/>
                <w:color w:val="auto"/>
                <w:kern w:val="0"/>
                <w:szCs w:val="21"/>
                <w:highlight w:val="none"/>
              </w:rPr>
            </w:pPr>
          </w:p>
        </w:tc>
        <w:tc>
          <w:tcPr>
            <w:tcW w:w="1601" w:type="dxa"/>
            <w:vAlign w:val="center"/>
          </w:tcPr>
          <w:p w14:paraId="46CB3AE5">
            <w:pPr>
              <w:pStyle w:val="107"/>
              <w:autoSpaceDE w:val="0"/>
              <w:autoSpaceDN w:val="0"/>
              <w:jc w:val="center"/>
              <w:rPr>
                <w:rFonts w:hAnsi="宋体" w:cs="宋体"/>
                <w:color w:val="auto"/>
                <w:kern w:val="0"/>
                <w:szCs w:val="21"/>
                <w:highlight w:val="none"/>
              </w:rPr>
            </w:pPr>
          </w:p>
        </w:tc>
        <w:tc>
          <w:tcPr>
            <w:tcW w:w="720" w:type="dxa"/>
            <w:vAlign w:val="center"/>
          </w:tcPr>
          <w:p w14:paraId="12276406">
            <w:pPr>
              <w:pStyle w:val="107"/>
              <w:autoSpaceDE w:val="0"/>
              <w:autoSpaceDN w:val="0"/>
              <w:jc w:val="center"/>
              <w:rPr>
                <w:rFonts w:hAnsi="宋体" w:cs="宋体"/>
                <w:color w:val="auto"/>
                <w:kern w:val="0"/>
                <w:szCs w:val="21"/>
                <w:highlight w:val="none"/>
              </w:rPr>
            </w:pPr>
          </w:p>
        </w:tc>
        <w:tc>
          <w:tcPr>
            <w:tcW w:w="743" w:type="dxa"/>
            <w:vAlign w:val="center"/>
          </w:tcPr>
          <w:p w14:paraId="31057899">
            <w:pPr>
              <w:pStyle w:val="107"/>
              <w:autoSpaceDE w:val="0"/>
              <w:autoSpaceDN w:val="0"/>
              <w:jc w:val="center"/>
              <w:rPr>
                <w:rFonts w:hAnsi="宋体" w:cs="宋体"/>
                <w:color w:val="auto"/>
                <w:kern w:val="0"/>
                <w:szCs w:val="21"/>
                <w:highlight w:val="none"/>
              </w:rPr>
            </w:pPr>
          </w:p>
        </w:tc>
      </w:tr>
      <w:tr w14:paraId="40EC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14:paraId="592CC639">
            <w:pPr>
              <w:pStyle w:val="107"/>
              <w:autoSpaceDE w:val="0"/>
              <w:autoSpaceDN w:val="0"/>
              <w:jc w:val="center"/>
              <w:rPr>
                <w:rFonts w:hAnsi="宋体" w:cs="宋体"/>
                <w:color w:val="auto"/>
                <w:kern w:val="0"/>
                <w:szCs w:val="21"/>
                <w:highlight w:val="none"/>
              </w:rPr>
            </w:pPr>
          </w:p>
        </w:tc>
        <w:tc>
          <w:tcPr>
            <w:tcW w:w="1382" w:type="dxa"/>
            <w:vAlign w:val="center"/>
          </w:tcPr>
          <w:p w14:paraId="492594C9">
            <w:pPr>
              <w:pStyle w:val="107"/>
              <w:autoSpaceDE w:val="0"/>
              <w:autoSpaceDN w:val="0"/>
              <w:jc w:val="center"/>
              <w:rPr>
                <w:rFonts w:hAnsi="宋体" w:cs="宋体"/>
                <w:color w:val="auto"/>
                <w:kern w:val="0"/>
                <w:szCs w:val="21"/>
                <w:highlight w:val="none"/>
              </w:rPr>
            </w:pPr>
          </w:p>
        </w:tc>
        <w:tc>
          <w:tcPr>
            <w:tcW w:w="1242" w:type="dxa"/>
            <w:vAlign w:val="center"/>
          </w:tcPr>
          <w:p w14:paraId="4C94B562">
            <w:pPr>
              <w:pStyle w:val="107"/>
              <w:autoSpaceDE w:val="0"/>
              <w:autoSpaceDN w:val="0"/>
              <w:jc w:val="center"/>
              <w:rPr>
                <w:rFonts w:hAnsi="宋体" w:cs="宋体"/>
                <w:color w:val="auto"/>
                <w:kern w:val="0"/>
                <w:szCs w:val="21"/>
                <w:highlight w:val="none"/>
              </w:rPr>
            </w:pPr>
          </w:p>
        </w:tc>
        <w:tc>
          <w:tcPr>
            <w:tcW w:w="684" w:type="dxa"/>
            <w:vAlign w:val="center"/>
          </w:tcPr>
          <w:p w14:paraId="3AE52E49">
            <w:pPr>
              <w:pStyle w:val="107"/>
              <w:autoSpaceDE w:val="0"/>
              <w:autoSpaceDN w:val="0"/>
              <w:jc w:val="center"/>
              <w:rPr>
                <w:rFonts w:hAnsi="宋体" w:cs="宋体"/>
                <w:color w:val="auto"/>
                <w:kern w:val="0"/>
                <w:szCs w:val="21"/>
                <w:highlight w:val="none"/>
              </w:rPr>
            </w:pPr>
          </w:p>
        </w:tc>
        <w:tc>
          <w:tcPr>
            <w:tcW w:w="1206" w:type="dxa"/>
            <w:vAlign w:val="center"/>
          </w:tcPr>
          <w:p w14:paraId="29E655C3">
            <w:pPr>
              <w:pStyle w:val="107"/>
              <w:autoSpaceDE w:val="0"/>
              <w:autoSpaceDN w:val="0"/>
              <w:jc w:val="center"/>
              <w:rPr>
                <w:rFonts w:hAnsi="宋体" w:cs="宋体"/>
                <w:color w:val="auto"/>
                <w:kern w:val="0"/>
                <w:szCs w:val="21"/>
                <w:highlight w:val="none"/>
              </w:rPr>
            </w:pPr>
          </w:p>
        </w:tc>
        <w:tc>
          <w:tcPr>
            <w:tcW w:w="640" w:type="dxa"/>
            <w:vAlign w:val="center"/>
          </w:tcPr>
          <w:p w14:paraId="25E94290">
            <w:pPr>
              <w:pStyle w:val="107"/>
              <w:autoSpaceDE w:val="0"/>
              <w:autoSpaceDN w:val="0"/>
              <w:jc w:val="center"/>
              <w:rPr>
                <w:rFonts w:hAnsi="宋体" w:cs="宋体"/>
                <w:color w:val="auto"/>
                <w:kern w:val="0"/>
                <w:szCs w:val="21"/>
                <w:highlight w:val="none"/>
              </w:rPr>
            </w:pPr>
          </w:p>
        </w:tc>
        <w:tc>
          <w:tcPr>
            <w:tcW w:w="1601" w:type="dxa"/>
            <w:vAlign w:val="center"/>
          </w:tcPr>
          <w:p w14:paraId="4233FA17">
            <w:pPr>
              <w:pStyle w:val="107"/>
              <w:autoSpaceDE w:val="0"/>
              <w:autoSpaceDN w:val="0"/>
              <w:jc w:val="center"/>
              <w:rPr>
                <w:rFonts w:hAnsi="宋体" w:cs="宋体"/>
                <w:color w:val="auto"/>
                <w:kern w:val="0"/>
                <w:szCs w:val="21"/>
                <w:highlight w:val="none"/>
              </w:rPr>
            </w:pPr>
          </w:p>
        </w:tc>
        <w:tc>
          <w:tcPr>
            <w:tcW w:w="720" w:type="dxa"/>
            <w:vAlign w:val="center"/>
          </w:tcPr>
          <w:p w14:paraId="3703A64E">
            <w:pPr>
              <w:pStyle w:val="107"/>
              <w:autoSpaceDE w:val="0"/>
              <w:autoSpaceDN w:val="0"/>
              <w:jc w:val="center"/>
              <w:rPr>
                <w:rFonts w:hAnsi="宋体" w:cs="宋体"/>
                <w:color w:val="auto"/>
                <w:kern w:val="0"/>
                <w:szCs w:val="21"/>
                <w:highlight w:val="none"/>
              </w:rPr>
            </w:pPr>
          </w:p>
        </w:tc>
        <w:tc>
          <w:tcPr>
            <w:tcW w:w="743" w:type="dxa"/>
            <w:vAlign w:val="center"/>
          </w:tcPr>
          <w:p w14:paraId="7AB24D90">
            <w:pPr>
              <w:pStyle w:val="107"/>
              <w:autoSpaceDE w:val="0"/>
              <w:autoSpaceDN w:val="0"/>
              <w:jc w:val="center"/>
              <w:rPr>
                <w:rFonts w:hAnsi="宋体" w:cs="宋体"/>
                <w:color w:val="auto"/>
                <w:kern w:val="0"/>
                <w:szCs w:val="21"/>
                <w:highlight w:val="none"/>
              </w:rPr>
            </w:pPr>
          </w:p>
        </w:tc>
      </w:tr>
    </w:tbl>
    <w:p w14:paraId="1D567D19">
      <w:pPr>
        <w:pStyle w:val="107"/>
        <w:jc w:val="center"/>
        <w:rPr>
          <w:rFonts w:hAnsi="宋体" w:cs="宋体"/>
          <w:color w:val="auto"/>
          <w:sz w:val="28"/>
          <w:szCs w:val="28"/>
          <w:highlight w:val="none"/>
        </w:rPr>
      </w:pPr>
      <w:r>
        <w:rPr>
          <w:rFonts w:hint="eastAsia" w:hAnsi="宋体" w:cs="宋体"/>
          <w:b/>
          <w:color w:val="auto"/>
          <w:sz w:val="28"/>
          <w:szCs w:val="28"/>
          <w:highlight w:val="none"/>
        </w:rPr>
        <w:t>附表3：甲方提供机械设备清单</w:t>
      </w:r>
    </w:p>
    <w:p w14:paraId="592C7FD0">
      <w:pPr>
        <w:pStyle w:val="107"/>
        <w:rPr>
          <w:rFonts w:hAnsi="宋体" w:cs="宋体"/>
          <w:b/>
          <w:bCs/>
          <w:color w:val="auto"/>
          <w:highlight w:val="none"/>
        </w:rPr>
      </w:pPr>
      <w:r>
        <w:rPr>
          <w:rFonts w:hint="eastAsia" w:hAnsi="宋体" w:cs="宋体"/>
          <w:color w:val="auto"/>
          <w:highlight w:val="none"/>
        </w:rPr>
        <w:t xml:space="preserve">工程及合同段名称：                               劳务单位：        </w:t>
      </w:r>
    </w:p>
    <w:tbl>
      <w:tblPr>
        <w:tblStyle w:val="42"/>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14:paraId="2155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703DD742">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序号</w:t>
            </w:r>
          </w:p>
        </w:tc>
        <w:tc>
          <w:tcPr>
            <w:tcW w:w="1905" w:type="dxa"/>
            <w:vAlign w:val="center"/>
          </w:tcPr>
          <w:p w14:paraId="60F28595">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设备名称</w:t>
            </w:r>
          </w:p>
        </w:tc>
        <w:tc>
          <w:tcPr>
            <w:tcW w:w="1656" w:type="dxa"/>
            <w:vAlign w:val="center"/>
          </w:tcPr>
          <w:p w14:paraId="21F4194C">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规格型号</w:t>
            </w:r>
          </w:p>
        </w:tc>
        <w:tc>
          <w:tcPr>
            <w:tcW w:w="725" w:type="dxa"/>
            <w:vAlign w:val="center"/>
          </w:tcPr>
          <w:p w14:paraId="75270199">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单位</w:t>
            </w:r>
          </w:p>
        </w:tc>
        <w:tc>
          <w:tcPr>
            <w:tcW w:w="895" w:type="dxa"/>
            <w:vAlign w:val="center"/>
          </w:tcPr>
          <w:p w14:paraId="443FB210">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数量</w:t>
            </w:r>
          </w:p>
        </w:tc>
        <w:tc>
          <w:tcPr>
            <w:tcW w:w="2114" w:type="dxa"/>
            <w:vAlign w:val="center"/>
          </w:tcPr>
          <w:p w14:paraId="30E2F864">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到场时间</w:t>
            </w:r>
          </w:p>
        </w:tc>
        <w:tc>
          <w:tcPr>
            <w:tcW w:w="849" w:type="dxa"/>
            <w:vAlign w:val="center"/>
          </w:tcPr>
          <w:p w14:paraId="36C06C94">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备注</w:t>
            </w:r>
          </w:p>
        </w:tc>
      </w:tr>
      <w:tr w14:paraId="53DA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0837970F">
            <w:pPr>
              <w:pStyle w:val="107"/>
              <w:jc w:val="center"/>
              <w:rPr>
                <w:rFonts w:hAnsi="宋体" w:cs="宋体"/>
                <w:b/>
                <w:bCs/>
                <w:color w:val="auto"/>
                <w:szCs w:val="21"/>
                <w:highlight w:val="none"/>
              </w:rPr>
            </w:pPr>
          </w:p>
        </w:tc>
        <w:tc>
          <w:tcPr>
            <w:tcW w:w="1905" w:type="dxa"/>
            <w:vAlign w:val="center"/>
          </w:tcPr>
          <w:p w14:paraId="0820B468">
            <w:pPr>
              <w:pStyle w:val="107"/>
              <w:jc w:val="center"/>
              <w:rPr>
                <w:rFonts w:hAnsi="宋体" w:cs="宋体"/>
                <w:b/>
                <w:bCs/>
                <w:color w:val="auto"/>
                <w:szCs w:val="21"/>
                <w:highlight w:val="none"/>
              </w:rPr>
            </w:pPr>
          </w:p>
        </w:tc>
        <w:tc>
          <w:tcPr>
            <w:tcW w:w="1656" w:type="dxa"/>
            <w:vAlign w:val="center"/>
          </w:tcPr>
          <w:p w14:paraId="354C2CCE">
            <w:pPr>
              <w:pStyle w:val="107"/>
              <w:jc w:val="center"/>
              <w:rPr>
                <w:rFonts w:hAnsi="宋体" w:cs="宋体"/>
                <w:b/>
                <w:bCs/>
                <w:color w:val="auto"/>
                <w:szCs w:val="21"/>
                <w:highlight w:val="none"/>
              </w:rPr>
            </w:pPr>
          </w:p>
        </w:tc>
        <w:tc>
          <w:tcPr>
            <w:tcW w:w="725" w:type="dxa"/>
            <w:vAlign w:val="center"/>
          </w:tcPr>
          <w:p w14:paraId="25A45B78">
            <w:pPr>
              <w:pStyle w:val="107"/>
              <w:jc w:val="center"/>
              <w:rPr>
                <w:rFonts w:hAnsi="宋体" w:cs="宋体"/>
                <w:b/>
                <w:bCs/>
                <w:color w:val="auto"/>
                <w:szCs w:val="21"/>
                <w:highlight w:val="none"/>
              </w:rPr>
            </w:pPr>
          </w:p>
        </w:tc>
        <w:tc>
          <w:tcPr>
            <w:tcW w:w="895" w:type="dxa"/>
            <w:vAlign w:val="center"/>
          </w:tcPr>
          <w:p w14:paraId="789DE45B">
            <w:pPr>
              <w:pStyle w:val="107"/>
              <w:jc w:val="center"/>
              <w:rPr>
                <w:rFonts w:hAnsi="宋体" w:cs="宋体"/>
                <w:b/>
                <w:bCs/>
                <w:color w:val="auto"/>
                <w:szCs w:val="21"/>
                <w:highlight w:val="none"/>
              </w:rPr>
            </w:pPr>
          </w:p>
        </w:tc>
        <w:tc>
          <w:tcPr>
            <w:tcW w:w="2114" w:type="dxa"/>
            <w:vAlign w:val="center"/>
          </w:tcPr>
          <w:p w14:paraId="4B2D646F">
            <w:pPr>
              <w:pStyle w:val="107"/>
              <w:jc w:val="center"/>
              <w:rPr>
                <w:rFonts w:hAnsi="宋体" w:cs="宋体"/>
                <w:b/>
                <w:bCs/>
                <w:color w:val="auto"/>
                <w:szCs w:val="21"/>
                <w:highlight w:val="none"/>
              </w:rPr>
            </w:pPr>
          </w:p>
        </w:tc>
        <w:tc>
          <w:tcPr>
            <w:tcW w:w="849" w:type="dxa"/>
            <w:vAlign w:val="center"/>
          </w:tcPr>
          <w:p w14:paraId="741E0C41">
            <w:pPr>
              <w:pStyle w:val="107"/>
              <w:jc w:val="center"/>
              <w:rPr>
                <w:rFonts w:hAnsi="宋体" w:cs="宋体"/>
                <w:b/>
                <w:bCs/>
                <w:color w:val="auto"/>
                <w:szCs w:val="21"/>
                <w:highlight w:val="none"/>
              </w:rPr>
            </w:pPr>
          </w:p>
        </w:tc>
      </w:tr>
      <w:tr w14:paraId="6B5C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1136CF8E">
            <w:pPr>
              <w:pStyle w:val="107"/>
              <w:jc w:val="center"/>
              <w:rPr>
                <w:rFonts w:hAnsi="宋体" w:cs="宋体"/>
                <w:b/>
                <w:bCs/>
                <w:color w:val="auto"/>
                <w:szCs w:val="21"/>
                <w:highlight w:val="none"/>
              </w:rPr>
            </w:pPr>
          </w:p>
        </w:tc>
        <w:tc>
          <w:tcPr>
            <w:tcW w:w="1905" w:type="dxa"/>
            <w:vAlign w:val="center"/>
          </w:tcPr>
          <w:p w14:paraId="462B3AF7">
            <w:pPr>
              <w:pStyle w:val="107"/>
              <w:jc w:val="center"/>
              <w:rPr>
                <w:rFonts w:hAnsi="宋体" w:cs="宋体"/>
                <w:b/>
                <w:bCs/>
                <w:color w:val="auto"/>
                <w:szCs w:val="21"/>
                <w:highlight w:val="none"/>
              </w:rPr>
            </w:pPr>
          </w:p>
        </w:tc>
        <w:tc>
          <w:tcPr>
            <w:tcW w:w="1656" w:type="dxa"/>
            <w:vAlign w:val="center"/>
          </w:tcPr>
          <w:p w14:paraId="21BD6A88">
            <w:pPr>
              <w:pStyle w:val="107"/>
              <w:jc w:val="center"/>
              <w:rPr>
                <w:rFonts w:hAnsi="宋体" w:cs="宋体"/>
                <w:b/>
                <w:bCs/>
                <w:color w:val="auto"/>
                <w:szCs w:val="21"/>
                <w:highlight w:val="none"/>
              </w:rPr>
            </w:pPr>
          </w:p>
        </w:tc>
        <w:tc>
          <w:tcPr>
            <w:tcW w:w="725" w:type="dxa"/>
            <w:vAlign w:val="center"/>
          </w:tcPr>
          <w:p w14:paraId="033D5C8A">
            <w:pPr>
              <w:pStyle w:val="107"/>
              <w:jc w:val="center"/>
              <w:rPr>
                <w:rFonts w:hAnsi="宋体" w:cs="宋体"/>
                <w:b/>
                <w:bCs/>
                <w:color w:val="auto"/>
                <w:szCs w:val="21"/>
                <w:highlight w:val="none"/>
              </w:rPr>
            </w:pPr>
          </w:p>
        </w:tc>
        <w:tc>
          <w:tcPr>
            <w:tcW w:w="895" w:type="dxa"/>
            <w:vAlign w:val="center"/>
          </w:tcPr>
          <w:p w14:paraId="36C34201">
            <w:pPr>
              <w:pStyle w:val="107"/>
              <w:jc w:val="center"/>
              <w:rPr>
                <w:rFonts w:hAnsi="宋体" w:cs="宋体"/>
                <w:b/>
                <w:bCs/>
                <w:color w:val="auto"/>
                <w:szCs w:val="21"/>
                <w:highlight w:val="none"/>
              </w:rPr>
            </w:pPr>
          </w:p>
        </w:tc>
        <w:tc>
          <w:tcPr>
            <w:tcW w:w="2114" w:type="dxa"/>
            <w:vAlign w:val="center"/>
          </w:tcPr>
          <w:p w14:paraId="027FAA99">
            <w:pPr>
              <w:pStyle w:val="107"/>
              <w:jc w:val="center"/>
              <w:rPr>
                <w:rFonts w:hAnsi="宋体" w:cs="宋体"/>
                <w:b/>
                <w:bCs/>
                <w:color w:val="auto"/>
                <w:szCs w:val="21"/>
                <w:highlight w:val="none"/>
              </w:rPr>
            </w:pPr>
          </w:p>
        </w:tc>
        <w:tc>
          <w:tcPr>
            <w:tcW w:w="849" w:type="dxa"/>
            <w:vAlign w:val="center"/>
          </w:tcPr>
          <w:p w14:paraId="628AB9AA">
            <w:pPr>
              <w:pStyle w:val="107"/>
              <w:jc w:val="center"/>
              <w:rPr>
                <w:rFonts w:hAnsi="宋体" w:cs="宋体"/>
                <w:b/>
                <w:bCs/>
                <w:color w:val="auto"/>
                <w:szCs w:val="21"/>
                <w:highlight w:val="none"/>
              </w:rPr>
            </w:pPr>
          </w:p>
        </w:tc>
      </w:tr>
    </w:tbl>
    <w:p w14:paraId="7BD5275B">
      <w:pPr>
        <w:pStyle w:val="107"/>
        <w:jc w:val="center"/>
        <w:rPr>
          <w:rFonts w:hAnsi="宋体" w:cs="宋体"/>
          <w:b/>
          <w:color w:val="auto"/>
          <w:sz w:val="28"/>
          <w:szCs w:val="28"/>
          <w:highlight w:val="none"/>
        </w:rPr>
      </w:pPr>
      <w:r>
        <w:rPr>
          <w:rFonts w:hint="eastAsia" w:hAnsi="宋体" w:cs="宋体"/>
          <w:b/>
          <w:color w:val="auto"/>
          <w:sz w:val="28"/>
          <w:szCs w:val="28"/>
          <w:highlight w:val="none"/>
        </w:rPr>
        <w:t>附表4：乙方投入关键人员表</w:t>
      </w:r>
    </w:p>
    <w:p w14:paraId="6E0931D4">
      <w:pPr>
        <w:pStyle w:val="107"/>
        <w:rPr>
          <w:rFonts w:hAnsi="宋体" w:cs="宋体"/>
          <w:b/>
          <w:bCs/>
          <w:color w:val="auto"/>
          <w:highlight w:val="none"/>
        </w:rPr>
      </w:pPr>
      <w:r>
        <w:rPr>
          <w:rFonts w:hint="eastAsia" w:hAnsi="宋体" w:cs="宋体"/>
          <w:color w:val="auto"/>
          <w:highlight w:val="none"/>
        </w:rPr>
        <w:t xml:space="preserve">工程名称及合同段：                               劳务单位：        </w:t>
      </w:r>
    </w:p>
    <w:tbl>
      <w:tblPr>
        <w:tblStyle w:val="4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14:paraId="595D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7699E334">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序号</w:t>
            </w:r>
          </w:p>
        </w:tc>
        <w:tc>
          <w:tcPr>
            <w:tcW w:w="1454" w:type="dxa"/>
            <w:vAlign w:val="center"/>
          </w:tcPr>
          <w:p w14:paraId="6F3E1DC0">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岗位或工种</w:t>
            </w:r>
          </w:p>
        </w:tc>
        <w:tc>
          <w:tcPr>
            <w:tcW w:w="1028" w:type="dxa"/>
            <w:vAlign w:val="center"/>
          </w:tcPr>
          <w:p w14:paraId="68BD355D">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姓名</w:t>
            </w:r>
          </w:p>
        </w:tc>
        <w:tc>
          <w:tcPr>
            <w:tcW w:w="1883" w:type="dxa"/>
            <w:vAlign w:val="center"/>
          </w:tcPr>
          <w:p w14:paraId="2B56F802">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身份证号</w:t>
            </w:r>
          </w:p>
        </w:tc>
        <w:tc>
          <w:tcPr>
            <w:tcW w:w="1348" w:type="dxa"/>
            <w:vAlign w:val="center"/>
          </w:tcPr>
          <w:p w14:paraId="6A39B1D7">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劳动合同号</w:t>
            </w:r>
          </w:p>
        </w:tc>
        <w:tc>
          <w:tcPr>
            <w:tcW w:w="1409" w:type="dxa"/>
            <w:vAlign w:val="center"/>
          </w:tcPr>
          <w:p w14:paraId="2F522351">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到场时间</w:t>
            </w:r>
          </w:p>
        </w:tc>
        <w:tc>
          <w:tcPr>
            <w:tcW w:w="679" w:type="dxa"/>
            <w:vAlign w:val="center"/>
          </w:tcPr>
          <w:p w14:paraId="58C0BE76">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备注</w:t>
            </w:r>
          </w:p>
        </w:tc>
      </w:tr>
      <w:tr w14:paraId="62A8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14:paraId="01AB1E15">
            <w:pPr>
              <w:pStyle w:val="107"/>
              <w:jc w:val="center"/>
              <w:rPr>
                <w:rFonts w:hAnsi="宋体" w:cs="宋体"/>
                <w:color w:val="auto"/>
                <w:szCs w:val="21"/>
                <w:highlight w:val="none"/>
              </w:rPr>
            </w:pPr>
          </w:p>
        </w:tc>
        <w:tc>
          <w:tcPr>
            <w:tcW w:w="1454" w:type="dxa"/>
            <w:vAlign w:val="center"/>
          </w:tcPr>
          <w:p w14:paraId="68F1C51F">
            <w:pPr>
              <w:pStyle w:val="107"/>
              <w:jc w:val="center"/>
              <w:rPr>
                <w:rFonts w:hAnsi="宋体" w:cs="宋体"/>
                <w:color w:val="auto"/>
                <w:szCs w:val="21"/>
                <w:highlight w:val="none"/>
              </w:rPr>
            </w:pPr>
          </w:p>
        </w:tc>
        <w:tc>
          <w:tcPr>
            <w:tcW w:w="1028" w:type="dxa"/>
            <w:vAlign w:val="center"/>
          </w:tcPr>
          <w:p w14:paraId="280784D6">
            <w:pPr>
              <w:pStyle w:val="107"/>
              <w:jc w:val="center"/>
              <w:rPr>
                <w:rFonts w:hAnsi="宋体" w:cs="宋体"/>
                <w:color w:val="auto"/>
                <w:szCs w:val="21"/>
                <w:highlight w:val="none"/>
              </w:rPr>
            </w:pPr>
          </w:p>
        </w:tc>
        <w:tc>
          <w:tcPr>
            <w:tcW w:w="1883" w:type="dxa"/>
            <w:vAlign w:val="center"/>
          </w:tcPr>
          <w:p w14:paraId="60BEDE97">
            <w:pPr>
              <w:pStyle w:val="107"/>
              <w:jc w:val="center"/>
              <w:rPr>
                <w:rFonts w:hAnsi="宋体" w:cs="宋体"/>
                <w:color w:val="auto"/>
                <w:szCs w:val="21"/>
                <w:highlight w:val="none"/>
              </w:rPr>
            </w:pPr>
          </w:p>
        </w:tc>
        <w:tc>
          <w:tcPr>
            <w:tcW w:w="1348" w:type="dxa"/>
            <w:vAlign w:val="center"/>
          </w:tcPr>
          <w:p w14:paraId="683D5D6F">
            <w:pPr>
              <w:pStyle w:val="107"/>
              <w:jc w:val="center"/>
              <w:rPr>
                <w:rFonts w:hAnsi="宋体" w:cs="宋体"/>
                <w:color w:val="auto"/>
                <w:szCs w:val="21"/>
                <w:highlight w:val="none"/>
              </w:rPr>
            </w:pPr>
          </w:p>
        </w:tc>
        <w:tc>
          <w:tcPr>
            <w:tcW w:w="1409" w:type="dxa"/>
          </w:tcPr>
          <w:p w14:paraId="38709330">
            <w:pPr>
              <w:pStyle w:val="107"/>
              <w:jc w:val="center"/>
              <w:rPr>
                <w:rFonts w:hAnsi="宋体" w:cs="宋体"/>
                <w:color w:val="auto"/>
                <w:szCs w:val="21"/>
                <w:highlight w:val="none"/>
              </w:rPr>
            </w:pPr>
          </w:p>
        </w:tc>
        <w:tc>
          <w:tcPr>
            <w:tcW w:w="679" w:type="dxa"/>
            <w:vAlign w:val="center"/>
          </w:tcPr>
          <w:p w14:paraId="7B956291">
            <w:pPr>
              <w:pStyle w:val="107"/>
              <w:jc w:val="center"/>
              <w:rPr>
                <w:rFonts w:hAnsi="宋体" w:cs="宋体"/>
                <w:color w:val="auto"/>
                <w:szCs w:val="21"/>
                <w:highlight w:val="none"/>
              </w:rPr>
            </w:pPr>
          </w:p>
        </w:tc>
      </w:tr>
      <w:tr w14:paraId="6200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735B12E1">
            <w:pPr>
              <w:pStyle w:val="107"/>
              <w:jc w:val="center"/>
              <w:rPr>
                <w:rFonts w:hAnsi="宋体" w:cs="宋体"/>
                <w:color w:val="auto"/>
                <w:szCs w:val="21"/>
                <w:highlight w:val="none"/>
              </w:rPr>
            </w:pPr>
          </w:p>
        </w:tc>
        <w:tc>
          <w:tcPr>
            <w:tcW w:w="1454" w:type="dxa"/>
            <w:vAlign w:val="center"/>
          </w:tcPr>
          <w:p w14:paraId="6E3B2BA7">
            <w:pPr>
              <w:pStyle w:val="107"/>
              <w:jc w:val="center"/>
              <w:rPr>
                <w:rFonts w:hAnsi="宋体" w:cs="宋体"/>
                <w:color w:val="auto"/>
                <w:szCs w:val="21"/>
                <w:highlight w:val="none"/>
              </w:rPr>
            </w:pPr>
          </w:p>
        </w:tc>
        <w:tc>
          <w:tcPr>
            <w:tcW w:w="1028" w:type="dxa"/>
            <w:vAlign w:val="center"/>
          </w:tcPr>
          <w:p w14:paraId="566C3981">
            <w:pPr>
              <w:pStyle w:val="107"/>
              <w:jc w:val="center"/>
              <w:rPr>
                <w:rFonts w:hAnsi="宋体" w:cs="宋体"/>
                <w:color w:val="auto"/>
                <w:szCs w:val="21"/>
                <w:highlight w:val="none"/>
              </w:rPr>
            </w:pPr>
          </w:p>
        </w:tc>
        <w:tc>
          <w:tcPr>
            <w:tcW w:w="1883" w:type="dxa"/>
            <w:vAlign w:val="center"/>
          </w:tcPr>
          <w:p w14:paraId="567BFF82">
            <w:pPr>
              <w:pStyle w:val="107"/>
              <w:jc w:val="center"/>
              <w:rPr>
                <w:rFonts w:hAnsi="宋体" w:cs="宋体"/>
                <w:color w:val="auto"/>
                <w:szCs w:val="21"/>
                <w:highlight w:val="none"/>
              </w:rPr>
            </w:pPr>
          </w:p>
        </w:tc>
        <w:tc>
          <w:tcPr>
            <w:tcW w:w="1348" w:type="dxa"/>
            <w:vAlign w:val="center"/>
          </w:tcPr>
          <w:p w14:paraId="6C8FAFDD">
            <w:pPr>
              <w:pStyle w:val="107"/>
              <w:jc w:val="center"/>
              <w:rPr>
                <w:rFonts w:hAnsi="宋体" w:cs="宋体"/>
                <w:color w:val="auto"/>
                <w:szCs w:val="21"/>
                <w:highlight w:val="none"/>
              </w:rPr>
            </w:pPr>
          </w:p>
        </w:tc>
        <w:tc>
          <w:tcPr>
            <w:tcW w:w="1409" w:type="dxa"/>
          </w:tcPr>
          <w:p w14:paraId="59317B4C">
            <w:pPr>
              <w:pStyle w:val="107"/>
              <w:jc w:val="center"/>
              <w:rPr>
                <w:rFonts w:hAnsi="宋体" w:cs="宋体"/>
                <w:color w:val="auto"/>
                <w:szCs w:val="21"/>
                <w:highlight w:val="none"/>
              </w:rPr>
            </w:pPr>
          </w:p>
        </w:tc>
        <w:tc>
          <w:tcPr>
            <w:tcW w:w="679" w:type="dxa"/>
            <w:vAlign w:val="center"/>
          </w:tcPr>
          <w:p w14:paraId="6CAE7DE7">
            <w:pPr>
              <w:pStyle w:val="107"/>
              <w:jc w:val="center"/>
              <w:rPr>
                <w:rFonts w:hAnsi="宋体" w:cs="宋体"/>
                <w:color w:val="auto"/>
                <w:szCs w:val="21"/>
                <w:highlight w:val="none"/>
              </w:rPr>
            </w:pPr>
          </w:p>
        </w:tc>
      </w:tr>
    </w:tbl>
    <w:p w14:paraId="53E8ED02">
      <w:pPr>
        <w:pStyle w:val="107"/>
        <w:rPr>
          <w:rFonts w:hAnsi="宋体" w:cs="宋体"/>
          <w:color w:val="auto"/>
          <w:sz w:val="28"/>
          <w:szCs w:val="28"/>
          <w:highlight w:val="none"/>
        </w:rPr>
      </w:pPr>
    </w:p>
    <w:p w14:paraId="0F99847A">
      <w:pPr>
        <w:pStyle w:val="104"/>
        <w:spacing w:line="360" w:lineRule="auto"/>
        <w:rPr>
          <w:rFonts w:ascii="宋体" w:hAnsi="宋体" w:cs="宋体"/>
          <w:color w:val="auto"/>
          <w:sz w:val="24"/>
          <w:highlight w:val="none"/>
          <w:u w:val="single"/>
        </w:rPr>
      </w:pPr>
    </w:p>
    <w:p w14:paraId="0FA89E36">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3746BC34">
      <w:pPr>
        <w:jc w:val="center"/>
        <w:rPr>
          <w:rFonts w:ascii="宋体" w:hAnsi="宋体"/>
          <w:color w:val="auto"/>
          <w:sz w:val="72"/>
          <w:szCs w:val="72"/>
          <w:highlight w:val="none"/>
          <w:u w:val="single"/>
        </w:rPr>
      </w:pPr>
    </w:p>
    <w:p w14:paraId="7A1E9DCD">
      <w:pPr>
        <w:jc w:val="center"/>
        <w:rPr>
          <w:rFonts w:ascii="宋体" w:hAnsi="宋体"/>
          <w:color w:val="auto"/>
          <w:sz w:val="72"/>
          <w:szCs w:val="72"/>
          <w:highlight w:val="none"/>
          <w:u w:val="single"/>
        </w:rPr>
      </w:pPr>
    </w:p>
    <w:p w14:paraId="3F0DC31C">
      <w:pPr>
        <w:jc w:val="center"/>
        <w:rPr>
          <w:rFonts w:ascii="宋体" w:hAnsi="宋体"/>
          <w:color w:val="auto"/>
          <w:sz w:val="72"/>
          <w:szCs w:val="72"/>
          <w:highlight w:val="none"/>
          <w:u w:val="single"/>
        </w:rPr>
      </w:pPr>
    </w:p>
    <w:p w14:paraId="529709A0">
      <w:pPr>
        <w:jc w:val="center"/>
        <w:rPr>
          <w:rFonts w:ascii="宋体" w:hAnsi="宋体"/>
          <w:color w:val="auto"/>
          <w:sz w:val="72"/>
          <w:szCs w:val="72"/>
          <w:highlight w:val="none"/>
          <w:u w:val="single"/>
        </w:rPr>
      </w:pPr>
    </w:p>
    <w:p w14:paraId="03972F7E">
      <w:pPr>
        <w:jc w:val="center"/>
        <w:rPr>
          <w:rFonts w:ascii="宋体" w:hAnsi="宋体"/>
          <w:color w:val="auto"/>
          <w:sz w:val="52"/>
          <w:szCs w:val="52"/>
          <w:highlight w:val="none"/>
        </w:rPr>
      </w:pPr>
      <w:r>
        <w:rPr>
          <w:rFonts w:hint="eastAsia" w:ascii="宋体" w:hAnsi="宋体"/>
          <w:color w:val="auto"/>
          <w:sz w:val="52"/>
          <w:szCs w:val="52"/>
          <w:highlight w:val="none"/>
        </w:rPr>
        <w:t>第五章  工程量清单</w:t>
      </w:r>
    </w:p>
    <w:p w14:paraId="22723447">
      <w:pPr>
        <w:pStyle w:val="2"/>
        <w:spacing w:after="600" w:line="240" w:lineRule="auto"/>
        <w:jc w:val="center"/>
        <w:rPr>
          <w:rFonts w:ascii="宋体" w:hAnsi="宋体"/>
          <w:color w:val="auto"/>
          <w:sz w:val="36"/>
          <w:szCs w:val="36"/>
          <w:highlight w:val="none"/>
        </w:rPr>
      </w:pPr>
      <w:bookmarkStart w:id="1732" w:name="_Toc234382953"/>
      <w:r>
        <w:rPr>
          <w:rFonts w:ascii="宋体" w:hAnsi="宋体"/>
          <w:color w:val="auto"/>
          <w:sz w:val="36"/>
          <w:szCs w:val="36"/>
          <w:highlight w:val="none"/>
        </w:rPr>
        <w:br w:type="page"/>
      </w:r>
      <w:bookmarkStart w:id="1733" w:name="_Toc43476023"/>
      <w:bookmarkStart w:id="1734" w:name="_Toc18365"/>
      <w:r>
        <w:rPr>
          <w:rFonts w:ascii="宋体" w:hAnsi="宋体"/>
          <w:color w:val="auto"/>
          <w:sz w:val="36"/>
          <w:szCs w:val="36"/>
          <w:highlight w:val="none"/>
        </w:rPr>
        <w:t>第五章  工程量清单</w:t>
      </w:r>
      <w:bookmarkEnd w:id="1732"/>
      <w:bookmarkEnd w:id="1733"/>
      <w:bookmarkEnd w:id="1734"/>
    </w:p>
    <w:p w14:paraId="1202A063">
      <w:pPr>
        <w:pStyle w:val="3"/>
        <w:rPr>
          <w:color w:val="auto"/>
          <w:highlight w:val="none"/>
        </w:rPr>
      </w:pPr>
      <w:bookmarkStart w:id="1735" w:name="_Toc43476024"/>
      <w:r>
        <w:rPr>
          <w:rFonts w:hint="eastAsia"/>
          <w:color w:val="auto"/>
          <w:highlight w:val="none"/>
        </w:rPr>
        <w:t>工程量清单（另册）</w:t>
      </w:r>
      <w:bookmarkEnd w:id="1735"/>
    </w:p>
    <w:p w14:paraId="3FFEEAA0">
      <w:pPr>
        <w:spacing w:line="400" w:lineRule="exact"/>
        <w:rPr>
          <w:rFonts w:ascii="宋体" w:hAnsi="宋体"/>
          <w:b/>
          <w:color w:val="auto"/>
          <w:sz w:val="28"/>
          <w:szCs w:val="28"/>
          <w:highlight w:val="none"/>
        </w:rPr>
        <w:sectPr>
          <w:pgSz w:w="11906" w:h="16838"/>
          <w:pgMar w:top="1276" w:right="924" w:bottom="935" w:left="1418" w:header="624" w:footer="590" w:gutter="0"/>
          <w:cols w:space="720" w:num="1"/>
          <w:docGrid w:type="lines" w:linePitch="312" w:charSpace="0"/>
        </w:sectPr>
      </w:pPr>
    </w:p>
    <w:p w14:paraId="4B2B15EB">
      <w:pPr>
        <w:pStyle w:val="52"/>
        <w:rPr>
          <w:color w:val="auto"/>
          <w:highlight w:val="none"/>
        </w:rPr>
      </w:pPr>
    </w:p>
    <w:p w14:paraId="101D0982">
      <w:pPr>
        <w:jc w:val="center"/>
        <w:rPr>
          <w:rFonts w:ascii="宋体" w:hAnsi="宋体"/>
          <w:color w:val="auto"/>
          <w:sz w:val="72"/>
          <w:szCs w:val="72"/>
          <w:highlight w:val="none"/>
          <w:u w:val="single"/>
        </w:rPr>
      </w:pPr>
    </w:p>
    <w:p w14:paraId="47448D6F">
      <w:pPr>
        <w:jc w:val="center"/>
        <w:rPr>
          <w:rFonts w:ascii="宋体" w:hAnsi="宋体"/>
          <w:color w:val="auto"/>
          <w:sz w:val="72"/>
          <w:szCs w:val="72"/>
          <w:highlight w:val="none"/>
          <w:u w:val="single"/>
        </w:rPr>
      </w:pPr>
    </w:p>
    <w:p w14:paraId="70477A22">
      <w:pPr>
        <w:jc w:val="center"/>
        <w:rPr>
          <w:rFonts w:ascii="宋体" w:hAnsi="宋体"/>
          <w:color w:val="auto"/>
          <w:sz w:val="72"/>
          <w:szCs w:val="72"/>
          <w:highlight w:val="none"/>
          <w:u w:val="single"/>
        </w:rPr>
      </w:pPr>
    </w:p>
    <w:p w14:paraId="2DDE39E0">
      <w:pPr>
        <w:pStyle w:val="2"/>
        <w:jc w:val="center"/>
        <w:rPr>
          <w:rFonts w:ascii="宋体" w:hAnsi="宋体"/>
          <w:color w:val="auto"/>
          <w:sz w:val="84"/>
          <w:szCs w:val="84"/>
          <w:highlight w:val="none"/>
        </w:rPr>
      </w:pPr>
      <w:bookmarkStart w:id="1736" w:name="_Toc43476025"/>
      <w:r>
        <w:rPr>
          <w:rFonts w:hint="eastAsia"/>
          <w:color w:val="auto"/>
          <w:sz w:val="84"/>
          <w:szCs w:val="84"/>
          <w:highlight w:val="none"/>
        </w:rPr>
        <w:t>第二卷</w:t>
      </w:r>
      <w:bookmarkEnd w:id="1736"/>
    </w:p>
    <w:p w14:paraId="15E6E697">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30525270">
      <w:pPr>
        <w:jc w:val="center"/>
        <w:rPr>
          <w:rFonts w:ascii="宋体" w:hAnsi="宋体"/>
          <w:color w:val="auto"/>
          <w:sz w:val="72"/>
          <w:szCs w:val="72"/>
          <w:highlight w:val="none"/>
          <w:u w:val="single"/>
        </w:rPr>
      </w:pPr>
    </w:p>
    <w:p w14:paraId="1BB6C29C">
      <w:pPr>
        <w:jc w:val="center"/>
        <w:rPr>
          <w:rFonts w:ascii="宋体" w:hAnsi="宋体"/>
          <w:color w:val="auto"/>
          <w:sz w:val="72"/>
          <w:szCs w:val="72"/>
          <w:highlight w:val="none"/>
          <w:u w:val="single"/>
        </w:rPr>
      </w:pPr>
    </w:p>
    <w:p w14:paraId="35E2C3C9">
      <w:pPr>
        <w:jc w:val="center"/>
        <w:rPr>
          <w:rFonts w:ascii="宋体" w:hAnsi="宋体"/>
          <w:color w:val="auto"/>
          <w:sz w:val="72"/>
          <w:szCs w:val="72"/>
          <w:highlight w:val="none"/>
          <w:u w:val="single"/>
        </w:rPr>
      </w:pPr>
    </w:p>
    <w:p w14:paraId="30516E36">
      <w:pPr>
        <w:jc w:val="center"/>
        <w:rPr>
          <w:rFonts w:ascii="宋体" w:hAnsi="宋体"/>
          <w:color w:val="auto"/>
          <w:sz w:val="72"/>
          <w:szCs w:val="72"/>
          <w:highlight w:val="none"/>
          <w:u w:val="single"/>
        </w:rPr>
      </w:pPr>
    </w:p>
    <w:p w14:paraId="43B313E0">
      <w:pPr>
        <w:pStyle w:val="2"/>
        <w:jc w:val="center"/>
        <w:rPr>
          <w:color w:val="auto"/>
          <w:highlight w:val="none"/>
        </w:rPr>
      </w:pPr>
      <w:bookmarkStart w:id="1737" w:name="_Toc43476026"/>
      <w:r>
        <w:rPr>
          <w:rFonts w:hint="eastAsia"/>
          <w:color w:val="auto"/>
          <w:highlight w:val="none"/>
        </w:rPr>
        <w:t>第六章图纸（另册）</w:t>
      </w:r>
      <w:bookmarkEnd w:id="1737"/>
    </w:p>
    <w:p w14:paraId="3DFD38F4">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14D3B207">
      <w:pPr>
        <w:jc w:val="center"/>
        <w:rPr>
          <w:rFonts w:ascii="宋体" w:hAnsi="宋体"/>
          <w:color w:val="auto"/>
          <w:sz w:val="72"/>
          <w:szCs w:val="72"/>
          <w:highlight w:val="none"/>
          <w:u w:val="single"/>
        </w:rPr>
      </w:pPr>
    </w:p>
    <w:p w14:paraId="7089619F">
      <w:pPr>
        <w:jc w:val="center"/>
        <w:rPr>
          <w:rFonts w:ascii="宋体" w:hAnsi="宋体"/>
          <w:color w:val="auto"/>
          <w:sz w:val="72"/>
          <w:szCs w:val="72"/>
          <w:highlight w:val="none"/>
          <w:u w:val="single"/>
        </w:rPr>
      </w:pPr>
    </w:p>
    <w:p w14:paraId="79AF2F7C">
      <w:pPr>
        <w:jc w:val="center"/>
        <w:rPr>
          <w:rFonts w:ascii="宋体" w:hAnsi="宋体"/>
          <w:color w:val="auto"/>
          <w:sz w:val="72"/>
          <w:szCs w:val="72"/>
          <w:highlight w:val="none"/>
          <w:u w:val="single"/>
        </w:rPr>
      </w:pPr>
    </w:p>
    <w:p w14:paraId="5A2B4877">
      <w:pPr>
        <w:jc w:val="center"/>
        <w:rPr>
          <w:rFonts w:ascii="宋体" w:hAnsi="宋体"/>
          <w:color w:val="auto"/>
          <w:sz w:val="72"/>
          <w:szCs w:val="72"/>
          <w:highlight w:val="none"/>
          <w:u w:val="single"/>
        </w:rPr>
      </w:pPr>
    </w:p>
    <w:p w14:paraId="2D6D2050">
      <w:pPr>
        <w:pStyle w:val="2"/>
        <w:jc w:val="center"/>
        <w:rPr>
          <w:color w:val="auto"/>
          <w:sz w:val="84"/>
          <w:szCs w:val="84"/>
          <w:highlight w:val="none"/>
        </w:rPr>
      </w:pPr>
      <w:bookmarkStart w:id="1738" w:name="_Toc43476027"/>
      <w:r>
        <w:rPr>
          <w:rFonts w:hint="eastAsia"/>
          <w:color w:val="auto"/>
          <w:sz w:val="84"/>
          <w:szCs w:val="84"/>
          <w:highlight w:val="none"/>
        </w:rPr>
        <w:t>第三卷</w:t>
      </w:r>
      <w:bookmarkEnd w:id="1738"/>
    </w:p>
    <w:p w14:paraId="02AB6D00">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48CF6FA1">
      <w:pPr>
        <w:jc w:val="center"/>
        <w:rPr>
          <w:rFonts w:ascii="宋体" w:hAnsi="宋体"/>
          <w:color w:val="auto"/>
          <w:sz w:val="72"/>
          <w:szCs w:val="72"/>
          <w:highlight w:val="none"/>
          <w:u w:val="single"/>
        </w:rPr>
      </w:pPr>
    </w:p>
    <w:p w14:paraId="42123F24">
      <w:pPr>
        <w:jc w:val="center"/>
        <w:rPr>
          <w:rFonts w:ascii="宋体" w:hAnsi="宋体"/>
          <w:color w:val="auto"/>
          <w:sz w:val="72"/>
          <w:szCs w:val="72"/>
          <w:highlight w:val="none"/>
          <w:u w:val="single"/>
        </w:rPr>
      </w:pPr>
    </w:p>
    <w:p w14:paraId="33022021">
      <w:pPr>
        <w:jc w:val="center"/>
        <w:rPr>
          <w:rFonts w:ascii="宋体" w:hAnsi="宋体"/>
          <w:color w:val="auto"/>
          <w:sz w:val="72"/>
          <w:szCs w:val="72"/>
          <w:highlight w:val="none"/>
          <w:u w:val="single"/>
        </w:rPr>
      </w:pPr>
    </w:p>
    <w:p w14:paraId="4AF7CDAB">
      <w:pPr>
        <w:jc w:val="center"/>
        <w:rPr>
          <w:rFonts w:ascii="宋体" w:hAnsi="宋体"/>
          <w:color w:val="auto"/>
          <w:sz w:val="72"/>
          <w:szCs w:val="72"/>
          <w:highlight w:val="none"/>
          <w:u w:val="single"/>
        </w:rPr>
      </w:pPr>
    </w:p>
    <w:p w14:paraId="3619AE1C">
      <w:pPr>
        <w:pStyle w:val="2"/>
        <w:jc w:val="center"/>
        <w:rPr>
          <w:color w:val="auto"/>
          <w:highlight w:val="none"/>
        </w:rPr>
      </w:pPr>
      <w:bookmarkStart w:id="1739" w:name="_Toc43476028"/>
      <w:r>
        <w:rPr>
          <w:rFonts w:hint="eastAsia"/>
          <w:color w:val="auto"/>
          <w:highlight w:val="none"/>
        </w:rPr>
        <w:t>第七章</w:t>
      </w:r>
      <w:r>
        <w:rPr>
          <w:rFonts w:hint="eastAsia"/>
          <w:color w:val="auto"/>
          <w:highlight w:val="none"/>
          <w:lang w:val="en-US" w:eastAsia="zh-CN"/>
        </w:rPr>
        <w:t xml:space="preserve"> </w:t>
      </w:r>
      <w:r>
        <w:rPr>
          <w:rFonts w:hint="eastAsia"/>
          <w:color w:val="auto"/>
          <w:highlight w:val="none"/>
        </w:rPr>
        <w:t>技术规范（另册）</w:t>
      </w:r>
      <w:bookmarkEnd w:id="1739"/>
    </w:p>
    <w:p w14:paraId="75CD0E5A">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250D9B42">
      <w:pPr>
        <w:jc w:val="center"/>
        <w:rPr>
          <w:rFonts w:ascii="宋体" w:hAnsi="宋体"/>
          <w:color w:val="auto"/>
          <w:sz w:val="72"/>
          <w:szCs w:val="72"/>
          <w:highlight w:val="none"/>
          <w:u w:val="single"/>
        </w:rPr>
      </w:pPr>
    </w:p>
    <w:p w14:paraId="31AC045F">
      <w:pPr>
        <w:jc w:val="center"/>
        <w:rPr>
          <w:rFonts w:ascii="宋体" w:hAnsi="宋体"/>
          <w:color w:val="auto"/>
          <w:sz w:val="72"/>
          <w:szCs w:val="72"/>
          <w:highlight w:val="none"/>
          <w:u w:val="single"/>
        </w:rPr>
      </w:pPr>
    </w:p>
    <w:p w14:paraId="2195512C">
      <w:pPr>
        <w:jc w:val="center"/>
        <w:rPr>
          <w:rFonts w:ascii="宋体" w:hAnsi="宋体"/>
          <w:color w:val="auto"/>
          <w:sz w:val="72"/>
          <w:szCs w:val="72"/>
          <w:highlight w:val="none"/>
          <w:u w:val="single"/>
        </w:rPr>
      </w:pPr>
    </w:p>
    <w:p w14:paraId="38CC4634">
      <w:pPr>
        <w:jc w:val="center"/>
        <w:rPr>
          <w:rFonts w:ascii="宋体" w:hAnsi="宋体"/>
          <w:color w:val="auto"/>
          <w:sz w:val="72"/>
          <w:szCs w:val="72"/>
          <w:highlight w:val="none"/>
          <w:u w:val="single"/>
        </w:rPr>
      </w:pPr>
    </w:p>
    <w:p w14:paraId="0FC53026">
      <w:pPr>
        <w:pStyle w:val="2"/>
        <w:jc w:val="center"/>
        <w:rPr>
          <w:color w:val="auto"/>
          <w:highlight w:val="none"/>
        </w:rPr>
      </w:pPr>
      <w:bookmarkStart w:id="1740" w:name="_Toc43476029"/>
      <w:r>
        <w:rPr>
          <w:rFonts w:hint="eastAsia"/>
          <w:color w:val="auto"/>
          <w:highlight w:val="none"/>
        </w:rPr>
        <w:t>第八章</w:t>
      </w:r>
      <w:r>
        <w:rPr>
          <w:rFonts w:hint="eastAsia"/>
          <w:color w:val="auto"/>
          <w:highlight w:val="none"/>
          <w:lang w:val="en-US" w:eastAsia="zh-CN"/>
        </w:rPr>
        <w:t xml:space="preserve"> </w:t>
      </w:r>
      <w:r>
        <w:rPr>
          <w:rFonts w:hint="eastAsia"/>
          <w:color w:val="auto"/>
          <w:highlight w:val="none"/>
        </w:rPr>
        <w:t>工程量清单计量规则</w:t>
      </w:r>
      <w:bookmarkEnd w:id="1740"/>
    </w:p>
    <w:p w14:paraId="66824A43">
      <w:pPr>
        <w:ind w:firstLine="480" w:firstLineChars="200"/>
        <w:jc w:val="both"/>
        <w:rPr>
          <w:rFonts w:ascii="宋体" w:hAnsi="宋体"/>
          <w:color w:val="auto"/>
          <w:sz w:val="24"/>
          <w:highlight w:val="none"/>
        </w:rPr>
      </w:pPr>
      <w:r>
        <w:rPr>
          <w:rFonts w:hint="eastAsia"/>
          <w:color w:val="auto"/>
          <w:sz w:val="24"/>
          <w:highlight w:val="none"/>
        </w:rPr>
        <w:t>工程量清单计量规则具体应执行《广东省公路工程造价标准化管理指南》（粤交基〔2022〕483 号）及现行的相关补充规定</w:t>
      </w:r>
    </w:p>
    <w:p w14:paraId="1B762E6A">
      <w:pPr>
        <w:rPr>
          <w:color w:val="auto"/>
          <w:highlight w:val="none"/>
        </w:rPr>
      </w:pPr>
    </w:p>
    <w:p w14:paraId="305A7285">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7AEB97AC">
      <w:pPr>
        <w:jc w:val="center"/>
        <w:rPr>
          <w:rFonts w:ascii="宋体" w:hAnsi="宋体"/>
          <w:color w:val="auto"/>
          <w:sz w:val="72"/>
          <w:szCs w:val="72"/>
          <w:highlight w:val="none"/>
          <w:u w:val="single"/>
        </w:rPr>
      </w:pPr>
    </w:p>
    <w:p w14:paraId="5F866FE9">
      <w:pPr>
        <w:jc w:val="center"/>
        <w:rPr>
          <w:rFonts w:ascii="宋体" w:hAnsi="宋体"/>
          <w:color w:val="auto"/>
          <w:sz w:val="72"/>
          <w:szCs w:val="72"/>
          <w:highlight w:val="none"/>
          <w:u w:val="single"/>
        </w:rPr>
      </w:pPr>
    </w:p>
    <w:p w14:paraId="16681F52">
      <w:pPr>
        <w:jc w:val="center"/>
        <w:rPr>
          <w:rFonts w:ascii="宋体" w:hAnsi="宋体"/>
          <w:color w:val="auto"/>
          <w:sz w:val="72"/>
          <w:szCs w:val="72"/>
          <w:highlight w:val="none"/>
          <w:u w:val="single"/>
        </w:rPr>
      </w:pPr>
    </w:p>
    <w:p w14:paraId="4E585636">
      <w:pPr>
        <w:jc w:val="center"/>
        <w:rPr>
          <w:rFonts w:ascii="宋体" w:hAnsi="宋体"/>
          <w:color w:val="auto"/>
          <w:sz w:val="72"/>
          <w:szCs w:val="72"/>
          <w:highlight w:val="none"/>
          <w:u w:val="single"/>
        </w:rPr>
      </w:pPr>
    </w:p>
    <w:p w14:paraId="3A8D2D3F">
      <w:pPr>
        <w:pStyle w:val="2"/>
        <w:jc w:val="center"/>
        <w:rPr>
          <w:color w:val="auto"/>
          <w:sz w:val="84"/>
          <w:szCs w:val="84"/>
          <w:highlight w:val="none"/>
        </w:rPr>
      </w:pPr>
      <w:bookmarkStart w:id="1741" w:name="_Toc43476030"/>
      <w:r>
        <w:rPr>
          <w:rFonts w:hint="eastAsia"/>
          <w:color w:val="auto"/>
          <w:sz w:val="84"/>
          <w:szCs w:val="84"/>
          <w:highlight w:val="none"/>
        </w:rPr>
        <w:t>第四卷</w:t>
      </w:r>
      <w:bookmarkEnd w:id="1741"/>
    </w:p>
    <w:p w14:paraId="002AABFC">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05F938ED">
      <w:pPr>
        <w:jc w:val="center"/>
        <w:rPr>
          <w:rFonts w:ascii="宋体" w:hAnsi="宋体"/>
          <w:color w:val="auto"/>
          <w:sz w:val="72"/>
          <w:szCs w:val="72"/>
          <w:highlight w:val="none"/>
          <w:u w:val="single"/>
        </w:rPr>
      </w:pPr>
    </w:p>
    <w:p w14:paraId="1C809F17">
      <w:pPr>
        <w:jc w:val="center"/>
        <w:rPr>
          <w:rFonts w:ascii="宋体" w:hAnsi="宋体"/>
          <w:color w:val="auto"/>
          <w:sz w:val="72"/>
          <w:szCs w:val="72"/>
          <w:highlight w:val="none"/>
          <w:u w:val="single"/>
        </w:rPr>
      </w:pPr>
    </w:p>
    <w:p w14:paraId="4711E760">
      <w:pPr>
        <w:jc w:val="center"/>
        <w:rPr>
          <w:rFonts w:ascii="宋体" w:hAnsi="宋体"/>
          <w:color w:val="auto"/>
          <w:sz w:val="72"/>
          <w:szCs w:val="72"/>
          <w:highlight w:val="none"/>
          <w:u w:val="single"/>
        </w:rPr>
      </w:pPr>
    </w:p>
    <w:p w14:paraId="5F61DB65">
      <w:pPr>
        <w:jc w:val="center"/>
        <w:rPr>
          <w:rFonts w:ascii="宋体" w:hAnsi="宋体"/>
          <w:color w:val="auto"/>
          <w:sz w:val="72"/>
          <w:szCs w:val="72"/>
          <w:highlight w:val="none"/>
          <w:u w:val="single"/>
        </w:rPr>
      </w:pPr>
    </w:p>
    <w:p w14:paraId="6384846D">
      <w:pPr>
        <w:pStyle w:val="2"/>
        <w:jc w:val="center"/>
        <w:rPr>
          <w:color w:val="auto"/>
          <w:highlight w:val="none"/>
        </w:rPr>
      </w:pPr>
      <w:bookmarkStart w:id="1742" w:name="_Toc43476031"/>
      <w:r>
        <w:rPr>
          <w:rFonts w:hint="eastAsia"/>
          <w:color w:val="auto"/>
          <w:highlight w:val="none"/>
        </w:rPr>
        <w:t>第九章</w:t>
      </w:r>
      <w:r>
        <w:rPr>
          <w:rFonts w:hint="eastAsia"/>
          <w:color w:val="auto"/>
          <w:highlight w:val="none"/>
          <w:lang w:val="en-US" w:eastAsia="zh-CN"/>
        </w:rPr>
        <w:t xml:space="preserve"> </w:t>
      </w:r>
      <w:r>
        <w:rPr>
          <w:rFonts w:hint="eastAsia"/>
          <w:color w:val="auto"/>
          <w:highlight w:val="none"/>
        </w:rPr>
        <w:t>投标文件格式</w:t>
      </w:r>
      <w:bookmarkEnd w:id="1742"/>
    </w:p>
    <w:p w14:paraId="0AC5D26B">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br w:type="page"/>
      </w:r>
    </w:p>
    <w:p w14:paraId="58F06322">
      <w:pPr>
        <w:spacing w:line="360" w:lineRule="auto"/>
        <w:ind w:firstLine="643" w:firstLineChars="200"/>
        <w:jc w:val="center"/>
        <w:rPr>
          <w:rFonts w:ascii="宋体" w:hAnsi="宋体"/>
          <w:b/>
          <w:color w:val="auto"/>
          <w:sz w:val="32"/>
          <w:szCs w:val="32"/>
          <w:highlight w:val="none"/>
          <w:u w:val="single"/>
        </w:rPr>
      </w:pPr>
    </w:p>
    <w:p w14:paraId="1617258A">
      <w:pPr>
        <w:spacing w:line="360" w:lineRule="auto"/>
        <w:jc w:val="center"/>
        <w:rPr>
          <w:rFonts w:ascii="宋体" w:hAnsi="宋体"/>
          <w:b/>
          <w:color w:val="auto"/>
          <w:sz w:val="32"/>
          <w:szCs w:val="32"/>
          <w:highlight w:val="none"/>
          <w:u w:val="single"/>
        </w:rPr>
      </w:pPr>
      <w:r>
        <w:rPr>
          <w:rFonts w:hint="eastAsia" w:ascii="宋体" w:hAnsi="宋体"/>
          <w:b/>
          <w:color w:val="auto"/>
          <w:sz w:val="44"/>
          <w:szCs w:val="44"/>
          <w:highlight w:val="none"/>
          <w:u w:val="none"/>
          <w:lang w:val="en-US" w:eastAsia="zh-CN"/>
        </w:rPr>
        <w:t>广东省</w:t>
      </w:r>
    </w:p>
    <w:p w14:paraId="1FA16F7B">
      <w:pPr>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u w:val="single"/>
          <w:lang w:val="en-US" w:eastAsia="zh-CN"/>
        </w:rPr>
        <w:t xml:space="preserve">   </w:t>
      </w:r>
      <w:r>
        <w:rPr>
          <w:rFonts w:ascii="宋体" w:hAnsi="宋体"/>
          <w:b/>
          <w:color w:val="auto"/>
          <w:sz w:val="32"/>
          <w:szCs w:val="32"/>
          <w:highlight w:val="none"/>
          <w:u w:val="single"/>
        </w:rPr>
        <w:t>（项目名称）</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rPr>
        <w:t>招标</w:t>
      </w:r>
    </w:p>
    <w:p w14:paraId="6A12FA4F">
      <w:pPr>
        <w:spacing w:line="360" w:lineRule="auto"/>
        <w:ind w:firstLine="420" w:firstLineChars="200"/>
        <w:rPr>
          <w:rFonts w:ascii="宋体" w:hAnsi="宋体"/>
          <w:color w:val="auto"/>
          <w:szCs w:val="21"/>
          <w:highlight w:val="none"/>
        </w:rPr>
      </w:pPr>
    </w:p>
    <w:p w14:paraId="08D907BE">
      <w:pPr>
        <w:spacing w:line="360" w:lineRule="auto"/>
        <w:ind w:firstLine="420" w:firstLineChars="200"/>
        <w:rPr>
          <w:rFonts w:ascii="宋体" w:hAnsi="宋体"/>
          <w:color w:val="auto"/>
          <w:szCs w:val="21"/>
          <w:highlight w:val="none"/>
        </w:rPr>
      </w:pPr>
    </w:p>
    <w:p w14:paraId="77322CC6">
      <w:pPr>
        <w:spacing w:line="360" w:lineRule="auto"/>
        <w:jc w:val="center"/>
        <w:rPr>
          <w:rFonts w:ascii="宋体" w:hAnsi="宋体"/>
          <w:b/>
          <w:color w:val="auto"/>
          <w:sz w:val="52"/>
          <w:szCs w:val="52"/>
          <w:highlight w:val="none"/>
        </w:rPr>
      </w:pPr>
    </w:p>
    <w:p w14:paraId="3AD0B974">
      <w:pPr>
        <w:spacing w:line="360" w:lineRule="auto"/>
        <w:jc w:val="center"/>
        <w:rPr>
          <w:rFonts w:ascii="宋体" w:hAnsi="宋体"/>
          <w:b/>
          <w:color w:val="auto"/>
          <w:sz w:val="52"/>
          <w:szCs w:val="52"/>
          <w:highlight w:val="none"/>
        </w:rPr>
      </w:pPr>
    </w:p>
    <w:p w14:paraId="5A64484D">
      <w:pPr>
        <w:jc w:val="center"/>
        <w:rPr>
          <w:rFonts w:ascii="宋体" w:hAnsi="宋体"/>
          <w:b/>
          <w:bCs/>
          <w:color w:val="auto"/>
          <w:sz w:val="48"/>
          <w:szCs w:val="48"/>
          <w:highlight w:val="none"/>
        </w:rPr>
      </w:pPr>
      <w:r>
        <w:rPr>
          <w:rFonts w:hint="eastAsia" w:ascii="宋体" w:hAnsi="宋体"/>
          <w:b/>
          <w:bCs/>
          <w:color w:val="auto"/>
          <w:sz w:val="48"/>
          <w:szCs w:val="48"/>
          <w:highlight w:val="none"/>
        </w:rPr>
        <w:t>投 标 文 件</w:t>
      </w:r>
    </w:p>
    <w:p w14:paraId="22B17108">
      <w:pPr>
        <w:pStyle w:val="52"/>
        <w:rPr>
          <w:color w:val="auto"/>
          <w:highlight w:val="none"/>
        </w:rPr>
      </w:pPr>
    </w:p>
    <w:p w14:paraId="24463410">
      <w:pPr>
        <w:jc w:val="center"/>
        <w:rPr>
          <w:rFonts w:ascii="宋体" w:hAnsi="宋体"/>
          <w:b/>
          <w:bCs/>
          <w:color w:val="auto"/>
          <w:sz w:val="32"/>
          <w:szCs w:val="32"/>
          <w:highlight w:val="none"/>
        </w:rPr>
      </w:pPr>
      <w:r>
        <w:rPr>
          <w:rFonts w:hint="eastAsia" w:ascii="宋体" w:hAnsi="宋体"/>
          <w:b/>
          <w:bCs/>
          <w:color w:val="auto"/>
          <w:sz w:val="32"/>
          <w:szCs w:val="32"/>
          <w:highlight w:val="none"/>
        </w:rPr>
        <w:t>（第一信封：商务及技术文件）</w:t>
      </w:r>
    </w:p>
    <w:p w14:paraId="3A6B301B">
      <w:pPr>
        <w:spacing w:line="360" w:lineRule="auto"/>
        <w:rPr>
          <w:rFonts w:ascii="宋体" w:hAnsi="宋体"/>
          <w:b/>
          <w:color w:val="auto"/>
          <w:sz w:val="32"/>
          <w:szCs w:val="32"/>
          <w:highlight w:val="none"/>
        </w:rPr>
      </w:pPr>
    </w:p>
    <w:p w14:paraId="1E36062D">
      <w:pPr>
        <w:spacing w:line="360" w:lineRule="auto"/>
        <w:rPr>
          <w:rFonts w:ascii="宋体" w:hAnsi="宋体"/>
          <w:b/>
          <w:color w:val="auto"/>
          <w:sz w:val="32"/>
          <w:szCs w:val="32"/>
          <w:highlight w:val="none"/>
        </w:rPr>
      </w:pPr>
    </w:p>
    <w:p w14:paraId="2E610A31">
      <w:pPr>
        <w:spacing w:line="360" w:lineRule="auto"/>
        <w:rPr>
          <w:rFonts w:ascii="宋体" w:hAnsi="宋体"/>
          <w:b/>
          <w:color w:val="auto"/>
          <w:sz w:val="32"/>
          <w:szCs w:val="32"/>
          <w:highlight w:val="none"/>
        </w:rPr>
      </w:pPr>
    </w:p>
    <w:p w14:paraId="40F3A3BC">
      <w:pPr>
        <w:spacing w:line="360" w:lineRule="auto"/>
        <w:rPr>
          <w:rFonts w:ascii="宋体" w:hAnsi="宋体"/>
          <w:b/>
          <w:color w:val="auto"/>
          <w:sz w:val="32"/>
          <w:szCs w:val="32"/>
          <w:highlight w:val="none"/>
        </w:rPr>
      </w:pPr>
    </w:p>
    <w:p w14:paraId="3862DE6C">
      <w:pPr>
        <w:spacing w:line="360" w:lineRule="auto"/>
        <w:rPr>
          <w:rFonts w:ascii="宋体" w:hAnsi="宋体"/>
          <w:b/>
          <w:color w:val="auto"/>
          <w:sz w:val="32"/>
          <w:szCs w:val="32"/>
          <w:highlight w:val="none"/>
        </w:rPr>
      </w:pPr>
    </w:p>
    <w:p w14:paraId="2A0FD61C">
      <w:pPr>
        <w:spacing w:line="360" w:lineRule="auto"/>
        <w:rPr>
          <w:rFonts w:ascii="宋体" w:hAnsi="宋体"/>
          <w:b/>
          <w:color w:val="auto"/>
          <w:sz w:val="32"/>
          <w:szCs w:val="32"/>
          <w:highlight w:val="none"/>
        </w:rPr>
      </w:pPr>
    </w:p>
    <w:p w14:paraId="54167A3E">
      <w:pPr>
        <w:spacing w:line="360" w:lineRule="auto"/>
        <w:rPr>
          <w:rFonts w:ascii="宋体" w:hAnsi="宋体"/>
          <w:b/>
          <w:color w:val="auto"/>
          <w:sz w:val="32"/>
          <w:szCs w:val="32"/>
          <w:highlight w:val="none"/>
        </w:rPr>
      </w:pPr>
    </w:p>
    <w:p w14:paraId="34F1FA0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w:t>
      </w:r>
      <w:r>
        <w:rPr>
          <w:rFonts w:hint="eastAsia" w:ascii="宋体" w:hAnsi="宋体" w:cs="宋体"/>
          <w:b/>
          <w:color w:val="auto"/>
          <w:sz w:val="32"/>
          <w:szCs w:val="32"/>
          <w:highlight w:val="none"/>
          <w:u w:val="single"/>
          <w:lang w:val="en-US" w:eastAsia="zh-CN"/>
        </w:rPr>
        <w:t xml:space="preserve">                  </w:t>
      </w:r>
      <w:r>
        <w:rPr>
          <w:rFonts w:hint="eastAsia" w:ascii="宋体" w:hAnsi="宋体" w:cs="宋体"/>
          <w:b/>
          <w:color w:val="auto"/>
          <w:sz w:val="32"/>
          <w:szCs w:val="32"/>
          <w:highlight w:val="none"/>
        </w:rPr>
        <w:t>（盖单位章）</w:t>
      </w:r>
    </w:p>
    <w:p w14:paraId="12B64F20">
      <w:pPr>
        <w:spacing w:line="360" w:lineRule="auto"/>
        <w:ind w:firstLine="3534" w:firstLineChars="1100"/>
        <w:rPr>
          <w:rFonts w:ascii="宋体" w:hAnsi="宋体"/>
          <w:b/>
          <w:color w:val="auto"/>
          <w:sz w:val="32"/>
          <w:szCs w:val="32"/>
          <w:highlight w:val="none"/>
        </w:rPr>
      </w:pP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日</w:t>
      </w:r>
    </w:p>
    <w:p w14:paraId="5E52BDEA">
      <w:pPr>
        <w:spacing w:line="360" w:lineRule="auto"/>
        <w:jc w:val="center"/>
        <w:rPr>
          <w:rFonts w:ascii="宋体" w:hAnsi="宋体"/>
          <w:b/>
          <w:color w:val="auto"/>
          <w:sz w:val="36"/>
          <w:szCs w:val="36"/>
          <w:highlight w:val="none"/>
        </w:rPr>
      </w:pPr>
      <w:r>
        <w:rPr>
          <w:rFonts w:ascii="宋体" w:hAnsi="宋体"/>
          <w:b/>
          <w:color w:val="auto"/>
          <w:sz w:val="32"/>
          <w:szCs w:val="32"/>
          <w:highlight w:val="none"/>
        </w:rPr>
        <w:br w:type="page"/>
      </w:r>
      <w:r>
        <w:rPr>
          <w:rFonts w:hint="eastAsia" w:ascii="宋体" w:hAnsi="宋体"/>
          <w:b/>
          <w:color w:val="auto"/>
          <w:sz w:val="36"/>
          <w:szCs w:val="36"/>
          <w:highlight w:val="none"/>
        </w:rPr>
        <w:t xml:space="preserve">目  </w:t>
      </w:r>
      <w:r>
        <w:rPr>
          <w:rFonts w:hint="eastAsia" w:ascii="宋体" w:hAnsi="宋体"/>
          <w:b/>
          <w:color w:val="auto"/>
          <w:sz w:val="36"/>
          <w:szCs w:val="36"/>
          <w:highlight w:val="none"/>
        </w:rPr>
        <w:tab/>
      </w:r>
      <w:r>
        <w:rPr>
          <w:rFonts w:hint="eastAsia" w:ascii="宋体" w:hAnsi="宋体"/>
          <w:b/>
          <w:color w:val="auto"/>
          <w:sz w:val="36"/>
          <w:szCs w:val="36"/>
          <w:highlight w:val="none"/>
        </w:rPr>
        <w:t>录</w:t>
      </w:r>
    </w:p>
    <w:p w14:paraId="08C71E64">
      <w:pPr>
        <w:pStyle w:val="52"/>
        <w:rPr>
          <w:color w:val="auto"/>
          <w:highlight w:val="none"/>
        </w:rPr>
      </w:pPr>
    </w:p>
    <w:p w14:paraId="2088CD11">
      <w:pPr>
        <w:spacing w:line="480" w:lineRule="auto"/>
        <w:rPr>
          <w:color w:val="auto"/>
          <w:sz w:val="24"/>
          <w:highlight w:val="none"/>
        </w:rPr>
      </w:pPr>
      <w:r>
        <w:rPr>
          <w:color w:val="auto"/>
          <w:sz w:val="24"/>
          <w:highlight w:val="none"/>
        </w:rPr>
        <w:t>第一信封</w:t>
      </w:r>
      <w:r>
        <w:rPr>
          <w:rFonts w:hint="eastAsia"/>
          <w:color w:val="auto"/>
          <w:sz w:val="24"/>
          <w:highlight w:val="none"/>
        </w:rPr>
        <w:t>（</w:t>
      </w:r>
      <w:r>
        <w:rPr>
          <w:color w:val="auto"/>
          <w:sz w:val="24"/>
          <w:highlight w:val="none"/>
        </w:rPr>
        <w:t>商务及技术文件</w:t>
      </w:r>
      <w:r>
        <w:rPr>
          <w:rFonts w:hint="eastAsia"/>
          <w:color w:val="auto"/>
          <w:sz w:val="24"/>
          <w:highlight w:val="none"/>
        </w:rPr>
        <w:t>）</w:t>
      </w:r>
    </w:p>
    <w:p w14:paraId="6298FA40">
      <w:pPr>
        <w:spacing w:line="480" w:lineRule="auto"/>
        <w:rPr>
          <w:rFonts w:hint="eastAsia" w:ascii="宋体" w:hAnsi="宋体" w:cs="宋体"/>
          <w:color w:val="auto"/>
          <w:sz w:val="24"/>
          <w:highlight w:val="none"/>
        </w:rPr>
      </w:pPr>
      <w:r>
        <w:rPr>
          <w:rFonts w:hint="eastAsia" w:ascii="宋体" w:hAnsi="宋体" w:cs="宋体"/>
          <w:color w:val="auto"/>
          <w:sz w:val="24"/>
          <w:highlight w:val="none"/>
        </w:rPr>
        <w:t>一、投标函及投标函附录</w:t>
      </w:r>
    </w:p>
    <w:p w14:paraId="04D08129">
      <w:pPr>
        <w:spacing w:line="480" w:lineRule="auto"/>
        <w:rPr>
          <w:rFonts w:hint="eastAsia" w:ascii="宋体" w:hAnsi="宋体" w:cs="宋体"/>
          <w:color w:val="auto"/>
          <w:sz w:val="24"/>
          <w:highlight w:val="none"/>
        </w:rPr>
      </w:pPr>
      <w:r>
        <w:rPr>
          <w:rFonts w:hint="eastAsia" w:ascii="宋体" w:hAnsi="宋体" w:cs="宋体"/>
          <w:color w:val="auto"/>
          <w:sz w:val="24"/>
          <w:highlight w:val="none"/>
        </w:rPr>
        <w:t>二、授权委托书或法定代表人身份证明</w:t>
      </w:r>
    </w:p>
    <w:p w14:paraId="6AB992B0">
      <w:pPr>
        <w:spacing w:line="480" w:lineRule="auto"/>
        <w:rPr>
          <w:rFonts w:hint="eastAsia" w:ascii="宋体" w:hAnsi="宋体" w:cs="宋体"/>
          <w:color w:val="auto"/>
          <w:sz w:val="24"/>
          <w:highlight w:val="none"/>
        </w:rPr>
      </w:pPr>
      <w:r>
        <w:rPr>
          <w:rFonts w:hint="eastAsia" w:ascii="宋体" w:hAnsi="宋体" w:cs="宋体"/>
          <w:color w:val="auto"/>
          <w:sz w:val="24"/>
          <w:highlight w:val="none"/>
        </w:rPr>
        <w:t>三、投标保证金</w:t>
      </w:r>
    </w:p>
    <w:p w14:paraId="742BDF9F">
      <w:pPr>
        <w:spacing w:line="480" w:lineRule="auto"/>
        <w:rPr>
          <w:rFonts w:hint="eastAsia" w:ascii="宋体" w:hAnsi="宋体" w:cs="宋体"/>
          <w:color w:val="auto"/>
          <w:sz w:val="24"/>
          <w:highlight w:val="none"/>
        </w:rPr>
      </w:pPr>
      <w:r>
        <w:rPr>
          <w:rFonts w:hint="eastAsia" w:ascii="宋体" w:hAnsi="宋体" w:cs="宋体"/>
          <w:color w:val="auto"/>
          <w:sz w:val="24"/>
          <w:highlight w:val="none"/>
        </w:rPr>
        <w:t>四、施工组织设计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承诺函</w:t>
      </w:r>
    </w:p>
    <w:p w14:paraId="41A480B2">
      <w:pPr>
        <w:spacing w:line="480" w:lineRule="auto"/>
        <w:rPr>
          <w:rFonts w:hint="eastAsia" w:ascii="宋体" w:hAnsi="宋体" w:cs="宋体"/>
          <w:color w:val="auto"/>
          <w:sz w:val="24"/>
          <w:highlight w:val="none"/>
        </w:rPr>
      </w:pPr>
      <w:r>
        <w:rPr>
          <w:rFonts w:hint="eastAsia" w:ascii="宋体" w:hAnsi="宋体" w:cs="宋体"/>
          <w:color w:val="auto"/>
          <w:sz w:val="24"/>
          <w:highlight w:val="none"/>
        </w:rPr>
        <w:t>五、项目管理机构</w:t>
      </w:r>
    </w:p>
    <w:p w14:paraId="20318E31">
      <w:pPr>
        <w:spacing w:line="480" w:lineRule="auto"/>
        <w:rPr>
          <w:rFonts w:hint="eastAsia" w:ascii="宋体" w:hAnsi="宋体" w:cs="宋体"/>
          <w:color w:val="auto"/>
          <w:sz w:val="24"/>
          <w:highlight w:val="none"/>
        </w:rPr>
      </w:pPr>
      <w:r>
        <w:rPr>
          <w:rFonts w:hint="eastAsia" w:ascii="宋体" w:hAnsi="宋体" w:cs="宋体"/>
          <w:color w:val="auto"/>
          <w:sz w:val="24"/>
          <w:highlight w:val="none"/>
        </w:rPr>
        <w:t>六、拟分包项目情况表</w:t>
      </w:r>
    </w:p>
    <w:p w14:paraId="2C64CA0A">
      <w:pPr>
        <w:spacing w:line="480" w:lineRule="auto"/>
        <w:rPr>
          <w:rFonts w:hint="eastAsia" w:ascii="宋体" w:hAnsi="宋体" w:cs="宋体"/>
          <w:color w:val="auto"/>
          <w:sz w:val="24"/>
          <w:highlight w:val="none"/>
        </w:rPr>
      </w:pPr>
      <w:r>
        <w:rPr>
          <w:rFonts w:hint="eastAsia" w:ascii="宋体" w:hAnsi="宋体" w:cs="宋体"/>
          <w:color w:val="auto"/>
          <w:sz w:val="24"/>
          <w:highlight w:val="none"/>
        </w:rPr>
        <w:t>七、资格审查资料</w:t>
      </w:r>
    </w:p>
    <w:p w14:paraId="692CD135">
      <w:pPr>
        <w:spacing w:line="480" w:lineRule="auto"/>
        <w:rPr>
          <w:rFonts w:ascii="宋体" w:hAnsi="宋体" w:cs="宋体"/>
          <w:color w:val="auto"/>
          <w:sz w:val="24"/>
          <w:highlight w:val="none"/>
        </w:rPr>
      </w:pPr>
      <w:r>
        <w:rPr>
          <w:rFonts w:hint="eastAsia" w:ascii="宋体" w:hAnsi="宋体" w:cs="宋体"/>
          <w:color w:val="auto"/>
          <w:sz w:val="24"/>
          <w:highlight w:val="none"/>
        </w:rPr>
        <w:t>八、其他资料</w:t>
      </w:r>
    </w:p>
    <w:p w14:paraId="42ECA24F">
      <w:pPr>
        <w:spacing w:line="480" w:lineRule="auto"/>
        <w:rPr>
          <w:rFonts w:cs="Calibri"/>
          <w:color w:val="auto"/>
          <w:sz w:val="24"/>
          <w:highlight w:val="none"/>
        </w:rPr>
      </w:pPr>
    </w:p>
    <w:p w14:paraId="65DF6F16">
      <w:pPr>
        <w:adjustRightInd w:val="0"/>
        <w:snapToGrid w:val="0"/>
        <w:spacing w:line="360" w:lineRule="auto"/>
        <w:jc w:val="center"/>
        <w:rPr>
          <w:rFonts w:ascii="宋体" w:hAnsi="宋体"/>
          <w:b/>
          <w:color w:val="auto"/>
          <w:sz w:val="28"/>
          <w:szCs w:val="28"/>
          <w:highlight w:val="none"/>
        </w:rPr>
      </w:pPr>
      <w:r>
        <w:rPr>
          <w:rFonts w:hint="eastAsia" w:ascii="宋体" w:hAnsi="宋体"/>
          <w:color w:val="auto"/>
          <w:sz w:val="24"/>
          <w:highlight w:val="none"/>
        </w:rPr>
        <w:br w:type="page"/>
      </w:r>
      <w:bookmarkStart w:id="1743" w:name="_Toc234382957"/>
      <w:r>
        <w:rPr>
          <w:rFonts w:ascii="宋体" w:hAnsi="宋体"/>
          <w:b/>
          <w:color w:val="auto"/>
          <w:sz w:val="28"/>
          <w:szCs w:val="28"/>
          <w:highlight w:val="none"/>
        </w:rPr>
        <w:t>一、投标函及投标函附录</w:t>
      </w:r>
      <w:bookmarkEnd w:id="1743"/>
    </w:p>
    <w:p w14:paraId="5C6FA246">
      <w:pPr>
        <w:jc w:val="center"/>
        <w:rPr>
          <w:rFonts w:ascii="宋体" w:hAnsi="宋体"/>
          <w:b/>
          <w:color w:val="auto"/>
          <w:sz w:val="28"/>
          <w:szCs w:val="28"/>
          <w:highlight w:val="none"/>
        </w:rPr>
      </w:pPr>
      <w:bookmarkStart w:id="1744" w:name="_Toc234382958"/>
      <w:r>
        <w:rPr>
          <w:rFonts w:ascii="宋体" w:hAnsi="宋体"/>
          <w:b/>
          <w:color w:val="auto"/>
          <w:sz w:val="28"/>
          <w:szCs w:val="28"/>
          <w:highlight w:val="none"/>
        </w:rPr>
        <w:t>（一）投  标  函</w:t>
      </w:r>
      <w:bookmarkEnd w:id="1744"/>
    </w:p>
    <w:p w14:paraId="41EF4FB6">
      <w:pPr>
        <w:spacing w:line="360" w:lineRule="exact"/>
        <w:rPr>
          <w:rFonts w:ascii="宋体" w:hAnsi="宋体"/>
          <w:color w:val="auto"/>
          <w:sz w:val="24"/>
          <w:highlight w:val="none"/>
        </w:rPr>
      </w:pPr>
    </w:p>
    <w:p w14:paraId="7A1AA01F">
      <w:pPr>
        <w:spacing w:line="3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14:paraId="0BADF490">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1.我方已仔细研究了</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招标文件的全部内容（含</w:t>
      </w:r>
      <w:r>
        <w:rPr>
          <w:rFonts w:hint="eastAsia" w:ascii="宋体" w:hAnsi="宋体" w:cs="宋体"/>
          <w:color w:val="auto"/>
          <w:sz w:val="24"/>
          <w:highlight w:val="none"/>
          <w:lang w:val="en-US" w:eastAsia="zh-CN"/>
        </w:rPr>
        <w:t>补遗书或答疑书等</w:t>
      </w:r>
      <w:r>
        <w:rPr>
          <w:rFonts w:hint="eastAsia" w:ascii="宋体" w:hAnsi="宋体" w:cs="宋体"/>
          <w:color w:val="auto"/>
          <w:sz w:val="24"/>
          <w:highlight w:val="none"/>
        </w:rPr>
        <w:t>），</w:t>
      </w:r>
      <w:r>
        <w:rPr>
          <w:rFonts w:hint="eastAsia" w:ascii="宋体" w:hAnsi="宋体" w:cs="宋体"/>
          <w:color w:val="auto"/>
          <w:sz w:val="24"/>
          <w:highlight w:val="none"/>
          <w:u w:val="single"/>
        </w:rPr>
        <w:t>在考察工程现场后（如有），</w:t>
      </w:r>
      <w:r>
        <w:rPr>
          <w:rFonts w:hint="eastAsia" w:ascii="宋体" w:hAnsi="宋体" w:cs="宋体"/>
          <w:color w:val="auto"/>
          <w:sz w:val="24"/>
          <w:highlight w:val="none"/>
        </w:rPr>
        <w:t>愿意以第二个信封 (报价文件) 中的投标总报价 (或根据招标文件规定修正核实后确定的另一金额)， 按合同约定实施和完成承包工程， 修补工程中的任何缺陷 。</w:t>
      </w:r>
    </w:p>
    <w:p w14:paraId="11EEF4D1">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2.我方承诺在招标文件规定的投标有效期内不撤销投标文件 。</w:t>
      </w:r>
    </w:p>
    <w:p w14:paraId="732F0214">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3.工程质量：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，安全目标：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w:t>
      </w:r>
    </w:p>
    <w:p w14:paraId="135FCDE2">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789CC15">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（1）在收到中标通知书后， 在中标通知书规定的期限内与你方签订合同；</w:t>
      </w:r>
    </w:p>
    <w:p w14:paraId="615EF4AA">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（2）在签订合同时不向你方提出附加条件；</w:t>
      </w:r>
    </w:p>
    <w:p w14:paraId="74B49A1E">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（3）按照招标文件要求提交履约保证金；</w:t>
      </w:r>
    </w:p>
    <w:p w14:paraId="6FB0E69D">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（4）在合同约定的期限内完成合同规定的全部义务；</w:t>
      </w:r>
    </w:p>
    <w:p w14:paraId="19A2CBCA">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57F54DA9">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5.我方在此声明，所递交的投标文件及有关资料内容完整、真实和准确，且不存在招标文件第二章“投标人须知”第 1.4.3 项和第 1.4.4 项规定的任何一种情形。</w:t>
      </w:r>
    </w:p>
    <w:p w14:paraId="0438B2C0">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14:paraId="21235EC8">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7.我方在此承诺：权利义务满足招标文件规定。</w:t>
      </w:r>
    </w:p>
    <w:p w14:paraId="0779140F">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8.在合同协议书正式签署生效之前，本投标函连同你方的中标通知书将构成我们双方之间共同遵守的文件，对双方具有约束力。</w:t>
      </w:r>
    </w:p>
    <w:p w14:paraId="2C014338">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    9.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（其他补充说明）。</w:t>
      </w:r>
    </w:p>
    <w:p w14:paraId="34DC5E27">
      <w:pPr>
        <w:pStyle w:val="15"/>
        <w:rPr>
          <w:rFonts w:hint="eastAsia" w:ascii="宋体" w:hAnsi="宋体" w:cs="宋体"/>
          <w:color w:val="auto"/>
          <w:sz w:val="24"/>
          <w:highlight w:val="none"/>
        </w:rPr>
      </w:pPr>
    </w:p>
    <w:p w14:paraId="1A28656E">
      <w:pPr>
        <w:tabs>
          <w:tab w:val="left" w:pos="2977"/>
          <w:tab w:val="left" w:pos="3261"/>
        </w:tabs>
        <w:spacing w:line="360" w:lineRule="exact"/>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371399C3">
      <w:pPr>
        <w:spacing w:line="360" w:lineRule="atLeast"/>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2DD9D454">
      <w:pPr>
        <w:spacing w:line="360" w:lineRule="atLeast"/>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051D5260">
      <w:pPr>
        <w:spacing w:line="360" w:lineRule="atLeast"/>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网址：</w:t>
      </w:r>
      <w:r>
        <w:rPr>
          <w:rFonts w:hint="eastAsia" w:ascii="宋体" w:hAnsi="宋体" w:cs="宋体"/>
          <w:color w:val="auto"/>
          <w:sz w:val="24"/>
          <w:highlight w:val="none"/>
          <w:u w:val="single"/>
        </w:rPr>
        <w:t xml:space="preserve">                                      </w:t>
      </w:r>
    </w:p>
    <w:p w14:paraId="1208152E">
      <w:pPr>
        <w:spacing w:line="360" w:lineRule="atLeast"/>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p w14:paraId="4E79A5D4">
      <w:pPr>
        <w:spacing w:line="360" w:lineRule="exact"/>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p w14:paraId="0290C48F">
      <w:pPr>
        <w:spacing w:line="360" w:lineRule="exact"/>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63ECBE2">
      <w:pPr>
        <w:spacing w:line="360" w:lineRule="exact"/>
        <w:ind w:firstLine="3578" w:firstLineChars="1491"/>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7955537">
      <w:pPr>
        <w:spacing w:line="360" w:lineRule="exact"/>
        <w:rPr>
          <w:rFonts w:ascii="宋体" w:hAnsi="宋体"/>
          <w:color w:val="auto"/>
          <w:sz w:val="24"/>
          <w:highlight w:val="none"/>
        </w:rPr>
      </w:pPr>
    </w:p>
    <w:p w14:paraId="3A500B79">
      <w:pPr>
        <w:jc w:val="center"/>
        <w:rPr>
          <w:rFonts w:ascii="宋体" w:hAnsi="宋体"/>
          <w:color w:val="auto"/>
          <w:sz w:val="24"/>
          <w:highlight w:val="none"/>
        </w:rPr>
      </w:pPr>
      <w:bookmarkStart w:id="1745" w:name="_Toc234382959"/>
      <w:r>
        <w:rPr>
          <w:rFonts w:ascii="宋体" w:hAnsi="宋体"/>
          <w:b/>
          <w:color w:val="auto"/>
          <w:sz w:val="28"/>
          <w:szCs w:val="28"/>
          <w:highlight w:val="none"/>
        </w:rPr>
        <w:br w:type="page"/>
      </w:r>
      <w:r>
        <w:rPr>
          <w:rFonts w:ascii="宋体" w:hAnsi="宋体"/>
          <w:b/>
          <w:color w:val="auto"/>
          <w:sz w:val="28"/>
          <w:szCs w:val="28"/>
          <w:highlight w:val="none"/>
        </w:rPr>
        <w:t>（二）投标函附录</w:t>
      </w:r>
      <w:bookmarkEnd w:id="1745"/>
    </w:p>
    <w:tbl>
      <w:tblPr>
        <w:tblStyle w:val="42"/>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14:paraId="779CE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2D606602">
            <w:pPr>
              <w:jc w:val="center"/>
              <w:rPr>
                <w:rFonts w:ascii="Calibri" w:hAnsi="Calibri"/>
                <w:b/>
                <w:color w:val="auto"/>
                <w:sz w:val="24"/>
                <w:szCs w:val="24"/>
                <w:highlight w:val="none"/>
              </w:rPr>
            </w:pPr>
            <w:r>
              <w:rPr>
                <w:rFonts w:ascii="宋体" w:hAnsi="宋体"/>
                <w:b/>
                <w:color w:val="auto"/>
                <w:sz w:val="24"/>
                <w:szCs w:val="24"/>
                <w:highlight w:val="none"/>
              </w:rPr>
              <w:t>序号</w:t>
            </w:r>
          </w:p>
        </w:tc>
        <w:tc>
          <w:tcPr>
            <w:tcW w:w="2693" w:type="dxa"/>
            <w:vAlign w:val="center"/>
          </w:tcPr>
          <w:p w14:paraId="006227AE">
            <w:pPr>
              <w:jc w:val="center"/>
              <w:rPr>
                <w:rFonts w:ascii="Calibri" w:hAnsi="Calibri"/>
                <w:b/>
                <w:color w:val="auto"/>
                <w:sz w:val="24"/>
                <w:szCs w:val="24"/>
                <w:highlight w:val="none"/>
              </w:rPr>
            </w:pPr>
            <w:r>
              <w:rPr>
                <w:rFonts w:ascii="宋体" w:hAnsi="宋体"/>
                <w:b/>
                <w:color w:val="auto"/>
                <w:sz w:val="24"/>
                <w:szCs w:val="24"/>
                <w:highlight w:val="none"/>
              </w:rPr>
              <w:t>条款名称</w:t>
            </w:r>
          </w:p>
        </w:tc>
        <w:tc>
          <w:tcPr>
            <w:tcW w:w="1417" w:type="dxa"/>
            <w:vAlign w:val="center"/>
          </w:tcPr>
          <w:p w14:paraId="72774B90">
            <w:pPr>
              <w:jc w:val="center"/>
              <w:rPr>
                <w:rFonts w:ascii="Calibri" w:hAnsi="Calibri"/>
                <w:b/>
                <w:color w:val="auto"/>
                <w:sz w:val="24"/>
                <w:szCs w:val="24"/>
                <w:highlight w:val="none"/>
              </w:rPr>
            </w:pPr>
            <w:r>
              <w:rPr>
                <w:rFonts w:ascii="宋体" w:hAnsi="宋体"/>
                <w:b/>
                <w:color w:val="auto"/>
                <w:sz w:val="24"/>
                <w:szCs w:val="24"/>
                <w:highlight w:val="none"/>
              </w:rPr>
              <w:t>合同条目号</w:t>
            </w:r>
          </w:p>
        </w:tc>
        <w:tc>
          <w:tcPr>
            <w:tcW w:w="3686" w:type="dxa"/>
            <w:vAlign w:val="center"/>
          </w:tcPr>
          <w:p w14:paraId="78F641F4">
            <w:pPr>
              <w:jc w:val="center"/>
              <w:rPr>
                <w:rFonts w:ascii="Calibri" w:hAnsi="Calibri"/>
                <w:b/>
                <w:color w:val="auto"/>
                <w:sz w:val="24"/>
                <w:szCs w:val="24"/>
                <w:highlight w:val="none"/>
              </w:rPr>
            </w:pPr>
            <w:r>
              <w:rPr>
                <w:rFonts w:ascii="宋体" w:hAnsi="宋体"/>
                <w:b/>
                <w:color w:val="auto"/>
                <w:sz w:val="24"/>
                <w:szCs w:val="24"/>
                <w:highlight w:val="none"/>
              </w:rPr>
              <w:t>约定内容</w:t>
            </w:r>
          </w:p>
        </w:tc>
        <w:tc>
          <w:tcPr>
            <w:tcW w:w="1190" w:type="dxa"/>
            <w:vAlign w:val="center"/>
          </w:tcPr>
          <w:p w14:paraId="0E965222">
            <w:pPr>
              <w:jc w:val="center"/>
              <w:rPr>
                <w:rFonts w:ascii="Calibri" w:hAnsi="Calibri"/>
                <w:b/>
                <w:color w:val="auto"/>
                <w:sz w:val="24"/>
                <w:szCs w:val="24"/>
                <w:highlight w:val="none"/>
              </w:rPr>
            </w:pPr>
            <w:r>
              <w:rPr>
                <w:rFonts w:ascii="宋体" w:hAnsi="宋体"/>
                <w:b/>
                <w:color w:val="auto"/>
                <w:sz w:val="24"/>
                <w:szCs w:val="24"/>
                <w:highlight w:val="none"/>
              </w:rPr>
              <w:t>备注</w:t>
            </w:r>
          </w:p>
        </w:tc>
      </w:tr>
      <w:tr w14:paraId="3D107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7E53C4B8">
            <w:pPr>
              <w:jc w:val="center"/>
              <w:rPr>
                <w:rFonts w:ascii="Calibri" w:hAnsi="Calibri"/>
                <w:color w:val="auto"/>
                <w:sz w:val="24"/>
                <w:szCs w:val="24"/>
                <w:highlight w:val="none"/>
              </w:rPr>
            </w:pPr>
            <w:r>
              <w:rPr>
                <w:rFonts w:ascii="宋体" w:hAnsi="宋体"/>
                <w:color w:val="auto"/>
                <w:sz w:val="24"/>
                <w:szCs w:val="24"/>
                <w:highlight w:val="none"/>
              </w:rPr>
              <w:t>1</w:t>
            </w:r>
          </w:p>
        </w:tc>
        <w:tc>
          <w:tcPr>
            <w:tcW w:w="2693" w:type="dxa"/>
            <w:vAlign w:val="center"/>
          </w:tcPr>
          <w:p w14:paraId="7BC876D9">
            <w:pPr>
              <w:jc w:val="center"/>
              <w:rPr>
                <w:rFonts w:ascii="Calibri" w:hAnsi="Calibri"/>
                <w:color w:val="auto"/>
                <w:sz w:val="24"/>
                <w:szCs w:val="24"/>
                <w:highlight w:val="none"/>
              </w:rPr>
            </w:pPr>
            <w:r>
              <w:rPr>
                <w:rFonts w:ascii="宋体" w:hAnsi="宋体"/>
                <w:color w:val="auto"/>
                <w:sz w:val="24"/>
                <w:szCs w:val="24"/>
                <w:highlight w:val="none"/>
              </w:rPr>
              <w:t>缺陷责任期</w:t>
            </w:r>
          </w:p>
        </w:tc>
        <w:tc>
          <w:tcPr>
            <w:tcW w:w="1417" w:type="dxa"/>
            <w:vAlign w:val="center"/>
          </w:tcPr>
          <w:p w14:paraId="1887FFB7">
            <w:pPr>
              <w:jc w:val="center"/>
              <w:rPr>
                <w:rFonts w:ascii="Calibri" w:hAnsi="Calibri"/>
                <w:color w:val="auto"/>
                <w:sz w:val="24"/>
                <w:szCs w:val="24"/>
                <w:highlight w:val="none"/>
              </w:rPr>
            </w:pPr>
            <w:r>
              <w:rPr>
                <w:rFonts w:ascii="宋体" w:hAnsi="宋体"/>
                <w:color w:val="auto"/>
                <w:sz w:val="24"/>
                <w:szCs w:val="24"/>
                <w:highlight w:val="none"/>
              </w:rPr>
              <w:t>1.1.4.5</w:t>
            </w:r>
          </w:p>
        </w:tc>
        <w:tc>
          <w:tcPr>
            <w:tcW w:w="3686" w:type="dxa"/>
            <w:vAlign w:val="center"/>
          </w:tcPr>
          <w:p w14:paraId="5F4CCD14">
            <w:pPr>
              <w:rPr>
                <w:rFonts w:ascii="Calibri" w:hAnsi="Calibri"/>
                <w:color w:val="auto"/>
                <w:sz w:val="24"/>
                <w:szCs w:val="24"/>
                <w:highlight w:val="none"/>
              </w:rPr>
            </w:pPr>
            <w:r>
              <w:rPr>
                <w:rFonts w:ascii="宋体" w:hAnsi="宋体"/>
                <w:color w:val="auto"/>
                <w:sz w:val="24"/>
                <w:szCs w:val="24"/>
                <w:highlight w:val="none"/>
              </w:rPr>
              <w:t>自实际</w:t>
            </w:r>
            <w:r>
              <w:rPr>
                <w:rFonts w:hint="eastAsia" w:ascii="宋体" w:hAnsi="宋体"/>
                <w:color w:val="auto"/>
                <w:sz w:val="24"/>
                <w:szCs w:val="24"/>
                <w:highlight w:val="none"/>
              </w:rPr>
              <w:t>交工</w:t>
            </w:r>
            <w:r>
              <w:rPr>
                <w:rFonts w:ascii="宋体" w:hAnsi="宋体"/>
                <w:color w:val="auto"/>
                <w:sz w:val="24"/>
                <w:szCs w:val="24"/>
                <w:highlight w:val="none"/>
              </w:rPr>
              <w:t>日期起计算</w:t>
            </w:r>
            <w:r>
              <w:rPr>
                <w:rFonts w:hint="eastAsia" w:ascii="宋体" w:hAnsi="宋体"/>
                <w:color w:val="auto"/>
                <w:sz w:val="24"/>
                <w:szCs w:val="24"/>
                <w:highlight w:val="none"/>
                <w:u w:val="single"/>
                <w:lang w:val="en-US" w:eastAsia="zh-CN"/>
              </w:rPr>
              <w:t>1</w:t>
            </w:r>
            <w:r>
              <w:rPr>
                <w:rFonts w:ascii="宋体" w:hAnsi="宋体"/>
                <w:color w:val="auto"/>
                <w:sz w:val="24"/>
                <w:szCs w:val="24"/>
                <w:highlight w:val="none"/>
              </w:rPr>
              <w:t>年</w:t>
            </w:r>
          </w:p>
        </w:tc>
        <w:tc>
          <w:tcPr>
            <w:tcW w:w="1190" w:type="dxa"/>
            <w:vAlign w:val="center"/>
          </w:tcPr>
          <w:p w14:paraId="488CF3A1">
            <w:pPr>
              <w:jc w:val="center"/>
              <w:rPr>
                <w:rFonts w:ascii="Calibri" w:hAnsi="Calibri"/>
                <w:color w:val="auto"/>
                <w:sz w:val="24"/>
                <w:szCs w:val="24"/>
                <w:highlight w:val="none"/>
              </w:rPr>
            </w:pPr>
          </w:p>
        </w:tc>
      </w:tr>
      <w:tr w14:paraId="0A0AC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8355AD3">
            <w:pPr>
              <w:jc w:val="center"/>
              <w:rPr>
                <w:rFonts w:ascii="Calibri" w:hAnsi="Calibri"/>
                <w:color w:val="auto"/>
                <w:sz w:val="24"/>
                <w:szCs w:val="24"/>
                <w:highlight w:val="none"/>
              </w:rPr>
            </w:pPr>
            <w:r>
              <w:rPr>
                <w:rFonts w:ascii="宋体" w:hAnsi="宋体"/>
                <w:color w:val="auto"/>
                <w:sz w:val="24"/>
                <w:szCs w:val="24"/>
                <w:highlight w:val="none"/>
              </w:rPr>
              <w:t>2</w:t>
            </w:r>
          </w:p>
        </w:tc>
        <w:tc>
          <w:tcPr>
            <w:tcW w:w="2693" w:type="dxa"/>
            <w:vAlign w:val="center"/>
          </w:tcPr>
          <w:p w14:paraId="1999BEB4">
            <w:pPr>
              <w:jc w:val="center"/>
              <w:rPr>
                <w:rFonts w:ascii="Calibri" w:hAnsi="Calibri"/>
                <w:color w:val="auto"/>
                <w:sz w:val="24"/>
                <w:szCs w:val="24"/>
                <w:highlight w:val="none"/>
              </w:rPr>
            </w:pPr>
            <w:r>
              <w:rPr>
                <w:rFonts w:ascii="宋体" w:hAnsi="宋体"/>
                <w:color w:val="auto"/>
                <w:sz w:val="24"/>
                <w:szCs w:val="24"/>
                <w:highlight w:val="none"/>
              </w:rPr>
              <w:t>逾期交工违约金</w:t>
            </w:r>
          </w:p>
        </w:tc>
        <w:tc>
          <w:tcPr>
            <w:tcW w:w="1417" w:type="dxa"/>
            <w:vAlign w:val="center"/>
          </w:tcPr>
          <w:p w14:paraId="3ABC7678">
            <w:pPr>
              <w:jc w:val="center"/>
              <w:rPr>
                <w:rFonts w:hint="eastAsia" w:ascii="Calibri" w:hAnsi="Calibri" w:eastAsia="宋体"/>
                <w:color w:val="auto"/>
                <w:sz w:val="24"/>
                <w:szCs w:val="24"/>
                <w:highlight w:val="none"/>
                <w:lang w:eastAsia="zh-CN"/>
              </w:rPr>
            </w:pPr>
            <w:r>
              <w:rPr>
                <w:rFonts w:ascii="宋体" w:hAnsi="宋体"/>
                <w:color w:val="auto"/>
                <w:sz w:val="24"/>
                <w:szCs w:val="24"/>
                <w:highlight w:val="none"/>
              </w:rPr>
              <w:t>11.5</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p>
        </w:tc>
        <w:tc>
          <w:tcPr>
            <w:tcW w:w="3686" w:type="dxa"/>
            <w:vAlign w:val="center"/>
          </w:tcPr>
          <w:p w14:paraId="28EE5321">
            <w:pPr>
              <w:jc w:val="left"/>
              <w:rPr>
                <w:rFonts w:ascii="Calibri" w:hAnsi="Calibri"/>
                <w:color w:val="auto"/>
                <w:sz w:val="24"/>
                <w:szCs w:val="24"/>
                <w:highlight w:val="none"/>
              </w:rPr>
            </w:pPr>
            <w:r>
              <w:rPr>
                <w:rFonts w:hint="eastAsia" w:ascii="宋体" w:hAnsi="宋体"/>
                <w:color w:val="auto"/>
                <w:sz w:val="24"/>
                <w:szCs w:val="24"/>
                <w:highlight w:val="none"/>
                <w:u w:val="single"/>
              </w:rPr>
              <w:t>5000元/天</w:t>
            </w:r>
          </w:p>
        </w:tc>
        <w:tc>
          <w:tcPr>
            <w:tcW w:w="1190" w:type="dxa"/>
            <w:vAlign w:val="center"/>
          </w:tcPr>
          <w:p w14:paraId="5E4ECDEB">
            <w:pPr>
              <w:jc w:val="center"/>
              <w:rPr>
                <w:rFonts w:ascii="Calibri" w:hAnsi="Calibri"/>
                <w:color w:val="auto"/>
                <w:sz w:val="24"/>
                <w:szCs w:val="24"/>
                <w:highlight w:val="none"/>
              </w:rPr>
            </w:pPr>
          </w:p>
        </w:tc>
      </w:tr>
      <w:tr w14:paraId="4E5F9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61526B26">
            <w:pPr>
              <w:jc w:val="center"/>
              <w:rPr>
                <w:rFonts w:ascii="Calibri" w:hAnsi="Calibri"/>
                <w:color w:val="auto"/>
                <w:sz w:val="24"/>
                <w:szCs w:val="24"/>
                <w:highlight w:val="none"/>
              </w:rPr>
            </w:pPr>
            <w:r>
              <w:rPr>
                <w:rFonts w:ascii="宋体" w:hAnsi="宋体"/>
                <w:color w:val="auto"/>
                <w:sz w:val="24"/>
                <w:szCs w:val="24"/>
                <w:highlight w:val="none"/>
              </w:rPr>
              <w:t>3</w:t>
            </w:r>
          </w:p>
        </w:tc>
        <w:tc>
          <w:tcPr>
            <w:tcW w:w="2693" w:type="dxa"/>
            <w:vAlign w:val="center"/>
          </w:tcPr>
          <w:p w14:paraId="14D2789D">
            <w:pPr>
              <w:jc w:val="center"/>
              <w:rPr>
                <w:rFonts w:ascii="Calibri" w:hAnsi="Calibri"/>
                <w:color w:val="auto"/>
                <w:sz w:val="24"/>
                <w:szCs w:val="24"/>
                <w:highlight w:val="none"/>
              </w:rPr>
            </w:pPr>
            <w:r>
              <w:rPr>
                <w:rFonts w:ascii="宋体" w:hAnsi="宋体"/>
                <w:color w:val="auto"/>
                <w:sz w:val="24"/>
                <w:szCs w:val="24"/>
                <w:highlight w:val="none"/>
              </w:rPr>
              <w:t>逾期交工违约金限额</w:t>
            </w:r>
          </w:p>
        </w:tc>
        <w:tc>
          <w:tcPr>
            <w:tcW w:w="1417" w:type="dxa"/>
            <w:vAlign w:val="center"/>
          </w:tcPr>
          <w:p w14:paraId="3009B2EF">
            <w:pPr>
              <w:jc w:val="center"/>
              <w:rPr>
                <w:rFonts w:hint="eastAsia" w:ascii="Calibri" w:hAnsi="Calibri" w:eastAsia="宋体"/>
                <w:color w:val="auto"/>
                <w:sz w:val="24"/>
                <w:szCs w:val="24"/>
                <w:highlight w:val="none"/>
                <w:lang w:eastAsia="zh-CN"/>
              </w:rPr>
            </w:pPr>
            <w:r>
              <w:rPr>
                <w:rFonts w:ascii="宋体" w:hAnsi="宋体"/>
                <w:color w:val="auto"/>
                <w:sz w:val="24"/>
                <w:szCs w:val="24"/>
                <w:highlight w:val="none"/>
              </w:rPr>
              <w:t>11.5</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p>
        </w:tc>
        <w:tc>
          <w:tcPr>
            <w:tcW w:w="3686" w:type="dxa"/>
            <w:vAlign w:val="center"/>
          </w:tcPr>
          <w:p w14:paraId="7BC33899">
            <w:pPr>
              <w:rPr>
                <w:rFonts w:ascii="Calibri" w:hAnsi="Calibri"/>
                <w:color w:val="auto"/>
                <w:sz w:val="24"/>
                <w:szCs w:val="24"/>
                <w:highlight w:val="none"/>
              </w:rPr>
            </w:pPr>
            <w:r>
              <w:rPr>
                <w:rFonts w:ascii="宋体" w:hAnsi="宋体"/>
                <w:color w:val="auto"/>
                <w:sz w:val="24"/>
                <w:szCs w:val="24"/>
                <w:highlight w:val="none"/>
                <w:u w:val="single"/>
              </w:rPr>
              <w:t xml:space="preserve"> 10 </w:t>
            </w:r>
            <w:r>
              <w:rPr>
                <w:rFonts w:ascii="宋体" w:hAnsi="宋体"/>
                <w:color w:val="auto"/>
                <w:sz w:val="24"/>
                <w:szCs w:val="24"/>
                <w:highlight w:val="none"/>
              </w:rPr>
              <w:t>%签约合同价</w:t>
            </w:r>
          </w:p>
        </w:tc>
        <w:tc>
          <w:tcPr>
            <w:tcW w:w="1190" w:type="dxa"/>
            <w:vAlign w:val="center"/>
          </w:tcPr>
          <w:p w14:paraId="513F2CB7">
            <w:pPr>
              <w:jc w:val="center"/>
              <w:rPr>
                <w:rFonts w:ascii="Calibri" w:hAnsi="Calibri"/>
                <w:color w:val="auto"/>
                <w:sz w:val="24"/>
                <w:szCs w:val="24"/>
                <w:highlight w:val="none"/>
              </w:rPr>
            </w:pPr>
          </w:p>
        </w:tc>
      </w:tr>
      <w:tr w14:paraId="075DC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2AECAADC">
            <w:pPr>
              <w:jc w:val="center"/>
              <w:rPr>
                <w:rFonts w:ascii="Calibri" w:hAnsi="Calibri"/>
                <w:color w:val="auto"/>
                <w:sz w:val="24"/>
                <w:szCs w:val="24"/>
                <w:highlight w:val="none"/>
              </w:rPr>
            </w:pPr>
            <w:r>
              <w:rPr>
                <w:rFonts w:ascii="宋体" w:hAnsi="宋体"/>
                <w:color w:val="auto"/>
                <w:sz w:val="24"/>
                <w:szCs w:val="24"/>
                <w:highlight w:val="none"/>
              </w:rPr>
              <w:t>4</w:t>
            </w:r>
          </w:p>
        </w:tc>
        <w:tc>
          <w:tcPr>
            <w:tcW w:w="2693" w:type="dxa"/>
            <w:vAlign w:val="center"/>
          </w:tcPr>
          <w:p w14:paraId="3D6799D9">
            <w:pPr>
              <w:jc w:val="center"/>
              <w:rPr>
                <w:rFonts w:ascii="Calibri" w:hAnsi="Calibri"/>
                <w:color w:val="auto"/>
                <w:sz w:val="24"/>
                <w:szCs w:val="24"/>
                <w:highlight w:val="none"/>
              </w:rPr>
            </w:pPr>
            <w:r>
              <w:rPr>
                <w:rFonts w:ascii="宋体" w:hAnsi="宋体"/>
                <w:color w:val="auto"/>
                <w:sz w:val="24"/>
                <w:szCs w:val="24"/>
                <w:highlight w:val="none"/>
              </w:rPr>
              <w:t>提前交工的奖金</w:t>
            </w:r>
          </w:p>
        </w:tc>
        <w:tc>
          <w:tcPr>
            <w:tcW w:w="1417" w:type="dxa"/>
            <w:vAlign w:val="center"/>
          </w:tcPr>
          <w:p w14:paraId="4C888E90">
            <w:pPr>
              <w:jc w:val="center"/>
              <w:rPr>
                <w:rFonts w:ascii="Calibri" w:hAnsi="Calibri"/>
                <w:color w:val="auto"/>
                <w:sz w:val="24"/>
                <w:szCs w:val="24"/>
                <w:highlight w:val="none"/>
              </w:rPr>
            </w:pPr>
            <w:r>
              <w:rPr>
                <w:rFonts w:ascii="宋体" w:hAnsi="宋体"/>
                <w:color w:val="auto"/>
                <w:sz w:val="24"/>
                <w:szCs w:val="24"/>
                <w:highlight w:val="none"/>
              </w:rPr>
              <w:t>11.6</w:t>
            </w:r>
          </w:p>
        </w:tc>
        <w:tc>
          <w:tcPr>
            <w:tcW w:w="3686" w:type="dxa"/>
            <w:vAlign w:val="center"/>
          </w:tcPr>
          <w:p w14:paraId="2E47F38C">
            <w:pPr>
              <w:rPr>
                <w:rFonts w:ascii="Calibri" w:hAnsi="Calibri"/>
                <w:color w:val="auto"/>
                <w:sz w:val="24"/>
                <w:szCs w:val="24"/>
                <w:highlight w:val="none"/>
              </w:rPr>
            </w:pPr>
            <w:r>
              <w:rPr>
                <w:rFonts w:hint="eastAsia" w:ascii="宋体" w:hAnsi="宋体"/>
                <w:color w:val="auto"/>
                <w:sz w:val="24"/>
                <w:szCs w:val="24"/>
                <w:highlight w:val="none"/>
                <w:u w:val="single"/>
              </w:rPr>
              <w:t>0</w:t>
            </w:r>
            <w:r>
              <w:rPr>
                <w:rFonts w:hint="eastAsia" w:ascii="宋体" w:hAnsi="宋体"/>
                <w:color w:val="auto"/>
                <w:sz w:val="24"/>
                <w:szCs w:val="24"/>
                <w:highlight w:val="none"/>
              </w:rPr>
              <w:t>元/天</w:t>
            </w:r>
          </w:p>
        </w:tc>
        <w:tc>
          <w:tcPr>
            <w:tcW w:w="1190" w:type="dxa"/>
            <w:vAlign w:val="center"/>
          </w:tcPr>
          <w:p w14:paraId="7C8E812F">
            <w:pPr>
              <w:jc w:val="center"/>
              <w:rPr>
                <w:rFonts w:ascii="Calibri" w:hAnsi="Calibri"/>
                <w:color w:val="auto"/>
                <w:sz w:val="24"/>
                <w:szCs w:val="24"/>
                <w:highlight w:val="none"/>
              </w:rPr>
            </w:pPr>
          </w:p>
        </w:tc>
      </w:tr>
      <w:tr w14:paraId="7D454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54A3845">
            <w:pPr>
              <w:jc w:val="center"/>
              <w:rPr>
                <w:rFonts w:ascii="Calibri" w:hAnsi="Calibri"/>
                <w:color w:val="auto"/>
                <w:sz w:val="24"/>
                <w:szCs w:val="24"/>
                <w:highlight w:val="none"/>
              </w:rPr>
            </w:pPr>
            <w:r>
              <w:rPr>
                <w:rFonts w:ascii="宋体" w:hAnsi="宋体"/>
                <w:color w:val="auto"/>
                <w:sz w:val="24"/>
                <w:szCs w:val="24"/>
                <w:highlight w:val="none"/>
              </w:rPr>
              <w:t>5</w:t>
            </w:r>
          </w:p>
        </w:tc>
        <w:tc>
          <w:tcPr>
            <w:tcW w:w="2693" w:type="dxa"/>
            <w:vAlign w:val="center"/>
          </w:tcPr>
          <w:p w14:paraId="4DE88DA4">
            <w:pPr>
              <w:jc w:val="center"/>
              <w:rPr>
                <w:rFonts w:ascii="Calibri" w:hAnsi="Calibri"/>
                <w:color w:val="auto"/>
                <w:sz w:val="24"/>
                <w:szCs w:val="24"/>
                <w:highlight w:val="none"/>
              </w:rPr>
            </w:pPr>
            <w:r>
              <w:rPr>
                <w:rFonts w:ascii="宋体" w:hAnsi="宋体"/>
                <w:color w:val="auto"/>
                <w:sz w:val="24"/>
                <w:szCs w:val="24"/>
                <w:highlight w:val="none"/>
              </w:rPr>
              <w:t>提前交工的奖金限额</w:t>
            </w:r>
          </w:p>
        </w:tc>
        <w:tc>
          <w:tcPr>
            <w:tcW w:w="1417" w:type="dxa"/>
            <w:vAlign w:val="center"/>
          </w:tcPr>
          <w:p w14:paraId="76245CBB">
            <w:pPr>
              <w:jc w:val="center"/>
              <w:rPr>
                <w:rFonts w:ascii="Calibri" w:hAnsi="Calibri"/>
                <w:color w:val="auto"/>
                <w:sz w:val="24"/>
                <w:szCs w:val="24"/>
                <w:highlight w:val="none"/>
              </w:rPr>
            </w:pPr>
            <w:r>
              <w:rPr>
                <w:rFonts w:ascii="宋体" w:hAnsi="宋体"/>
                <w:color w:val="auto"/>
                <w:sz w:val="24"/>
                <w:szCs w:val="24"/>
                <w:highlight w:val="none"/>
              </w:rPr>
              <w:t>11.6</w:t>
            </w:r>
          </w:p>
        </w:tc>
        <w:tc>
          <w:tcPr>
            <w:tcW w:w="3686" w:type="dxa"/>
            <w:vAlign w:val="center"/>
          </w:tcPr>
          <w:p w14:paraId="02BC12AF">
            <w:pPr>
              <w:ind w:firstLine="28" w:firstLineChars="12"/>
              <w:rPr>
                <w:rFonts w:ascii="Calibri" w:hAnsi="Calibri"/>
                <w:color w:val="auto"/>
                <w:sz w:val="24"/>
                <w:szCs w:val="24"/>
                <w:highlight w:val="none"/>
              </w:rPr>
            </w:pPr>
            <w:r>
              <w:rPr>
                <w:rFonts w:hint="eastAsia" w:ascii="宋体" w:hAnsi="宋体"/>
                <w:color w:val="auto"/>
                <w:sz w:val="24"/>
                <w:szCs w:val="24"/>
                <w:highlight w:val="none"/>
                <w:u w:val="single"/>
              </w:rPr>
              <w:t>0</w:t>
            </w:r>
            <w:r>
              <w:rPr>
                <w:rFonts w:hint="eastAsia" w:ascii="宋体" w:hAnsi="宋体"/>
                <w:color w:val="auto"/>
                <w:sz w:val="24"/>
                <w:szCs w:val="24"/>
                <w:highlight w:val="none"/>
              </w:rPr>
              <w:t>%签约合同价</w:t>
            </w:r>
          </w:p>
        </w:tc>
        <w:tc>
          <w:tcPr>
            <w:tcW w:w="1190" w:type="dxa"/>
            <w:vAlign w:val="center"/>
          </w:tcPr>
          <w:p w14:paraId="1771C98D">
            <w:pPr>
              <w:jc w:val="center"/>
              <w:rPr>
                <w:rFonts w:ascii="Calibri" w:hAnsi="Calibri"/>
                <w:color w:val="auto"/>
                <w:sz w:val="24"/>
                <w:szCs w:val="24"/>
                <w:highlight w:val="none"/>
              </w:rPr>
            </w:pPr>
          </w:p>
        </w:tc>
      </w:tr>
      <w:tr w14:paraId="70D6E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7641D42">
            <w:pPr>
              <w:jc w:val="center"/>
              <w:rPr>
                <w:rFonts w:ascii="宋体" w:hAnsi="宋体"/>
                <w:color w:val="auto"/>
                <w:sz w:val="24"/>
                <w:szCs w:val="24"/>
                <w:highlight w:val="none"/>
              </w:rPr>
            </w:pPr>
            <w:r>
              <w:rPr>
                <w:rFonts w:hint="eastAsia" w:ascii="宋体" w:hAnsi="宋体"/>
                <w:color w:val="auto"/>
                <w:sz w:val="24"/>
                <w:szCs w:val="24"/>
                <w:highlight w:val="none"/>
              </w:rPr>
              <w:t>6</w:t>
            </w:r>
          </w:p>
        </w:tc>
        <w:tc>
          <w:tcPr>
            <w:tcW w:w="2693" w:type="dxa"/>
            <w:vAlign w:val="center"/>
          </w:tcPr>
          <w:p w14:paraId="76DCA354">
            <w:pPr>
              <w:jc w:val="center"/>
              <w:rPr>
                <w:rFonts w:ascii="Calibri" w:hAnsi="Calibri"/>
                <w:color w:val="auto"/>
                <w:sz w:val="24"/>
                <w:szCs w:val="24"/>
                <w:highlight w:val="none"/>
              </w:rPr>
            </w:pPr>
            <w:r>
              <w:rPr>
                <w:rFonts w:ascii="宋体" w:hAnsi="宋体"/>
                <w:color w:val="auto"/>
                <w:sz w:val="24"/>
                <w:szCs w:val="24"/>
                <w:highlight w:val="none"/>
              </w:rPr>
              <w:t>因物价波动引起的价格调整</w:t>
            </w:r>
          </w:p>
        </w:tc>
        <w:tc>
          <w:tcPr>
            <w:tcW w:w="1417" w:type="dxa"/>
            <w:vAlign w:val="center"/>
          </w:tcPr>
          <w:p w14:paraId="0F2DB876">
            <w:pPr>
              <w:jc w:val="center"/>
              <w:rPr>
                <w:rFonts w:ascii="宋体" w:hAnsi="宋体"/>
                <w:color w:val="auto"/>
                <w:sz w:val="24"/>
                <w:szCs w:val="24"/>
                <w:highlight w:val="none"/>
              </w:rPr>
            </w:pPr>
            <w:r>
              <w:rPr>
                <w:rFonts w:ascii="宋体" w:hAnsi="宋体"/>
                <w:color w:val="auto"/>
                <w:sz w:val="24"/>
                <w:szCs w:val="24"/>
                <w:highlight w:val="none"/>
              </w:rPr>
              <w:t>16.1</w:t>
            </w:r>
          </w:p>
        </w:tc>
        <w:tc>
          <w:tcPr>
            <w:tcW w:w="3686" w:type="dxa"/>
            <w:vAlign w:val="center"/>
          </w:tcPr>
          <w:p w14:paraId="1F2A26B0">
            <w:pPr>
              <w:spacing w:line="320" w:lineRule="exact"/>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因物价波动引起的价格调整按照</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项约定的原则处理</w:t>
            </w:r>
          </w:p>
          <w:p w14:paraId="24156D30">
            <w:pPr>
              <w:rPr>
                <w:rFonts w:ascii="宋体" w:hAnsi="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olor w:val="auto"/>
                <w:sz w:val="24"/>
                <w:szCs w:val="24"/>
                <w:highlight w:val="none"/>
              </w:rPr>
              <w:t>合同期内不调价</w:t>
            </w:r>
          </w:p>
        </w:tc>
        <w:tc>
          <w:tcPr>
            <w:tcW w:w="1190" w:type="dxa"/>
            <w:vAlign w:val="center"/>
          </w:tcPr>
          <w:p w14:paraId="47BB2F13">
            <w:pPr>
              <w:jc w:val="center"/>
              <w:rPr>
                <w:rFonts w:ascii="宋体" w:hAnsi="宋体"/>
                <w:color w:val="auto"/>
                <w:sz w:val="24"/>
                <w:szCs w:val="24"/>
                <w:highlight w:val="none"/>
              </w:rPr>
            </w:pPr>
          </w:p>
        </w:tc>
      </w:tr>
      <w:tr w14:paraId="3160C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4B9CD4BD">
            <w:pPr>
              <w:jc w:val="center"/>
              <w:rPr>
                <w:rFonts w:ascii="Calibri" w:hAnsi="Calibri"/>
                <w:color w:val="auto"/>
                <w:sz w:val="24"/>
                <w:szCs w:val="24"/>
                <w:highlight w:val="none"/>
              </w:rPr>
            </w:pPr>
            <w:r>
              <w:rPr>
                <w:rFonts w:ascii="宋体" w:hAnsi="宋体"/>
                <w:color w:val="auto"/>
                <w:sz w:val="24"/>
                <w:szCs w:val="24"/>
                <w:highlight w:val="none"/>
              </w:rPr>
              <w:t>7</w:t>
            </w:r>
          </w:p>
        </w:tc>
        <w:tc>
          <w:tcPr>
            <w:tcW w:w="2693" w:type="dxa"/>
            <w:vAlign w:val="center"/>
          </w:tcPr>
          <w:p w14:paraId="56DE495B">
            <w:pPr>
              <w:jc w:val="center"/>
              <w:rPr>
                <w:rFonts w:ascii="Calibri" w:hAnsi="Calibri"/>
                <w:color w:val="auto"/>
                <w:sz w:val="24"/>
                <w:szCs w:val="24"/>
                <w:highlight w:val="none"/>
              </w:rPr>
            </w:pPr>
            <w:r>
              <w:rPr>
                <w:rFonts w:ascii="宋体" w:hAnsi="宋体"/>
                <w:color w:val="auto"/>
                <w:sz w:val="24"/>
                <w:szCs w:val="24"/>
                <w:highlight w:val="none"/>
              </w:rPr>
              <w:t>开工预付款金额</w:t>
            </w:r>
          </w:p>
        </w:tc>
        <w:tc>
          <w:tcPr>
            <w:tcW w:w="1417" w:type="dxa"/>
            <w:vAlign w:val="center"/>
          </w:tcPr>
          <w:p w14:paraId="1A452200">
            <w:pPr>
              <w:jc w:val="center"/>
              <w:rPr>
                <w:rFonts w:hint="eastAsia" w:ascii="Calibri" w:hAnsi="Calibri" w:eastAsia="宋体"/>
                <w:color w:val="auto"/>
                <w:sz w:val="24"/>
                <w:szCs w:val="24"/>
                <w:highlight w:val="none"/>
                <w:lang w:eastAsia="zh-CN"/>
              </w:rPr>
            </w:pPr>
            <w:r>
              <w:rPr>
                <w:rFonts w:ascii="宋体" w:hAnsi="宋体"/>
                <w:color w:val="auto"/>
                <w:sz w:val="24"/>
                <w:szCs w:val="24"/>
                <w:highlight w:val="none"/>
              </w:rPr>
              <w:t>17.2.1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p>
        </w:tc>
        <w:tc>
          <w:tcPr>
            <w:tcW w:w="3686" w:type="dxa"/>
            <w:vAlign w:val="center"/>
          </w:tcPr>
          <w:p w14:paraId="7772A372">
            <w:pPr>
              <w:ind w:firstLine="28" w:firstLineChars="12"/>
              <w:rPr>
                <w:rFonts w:ascii="宋体" w:hAnsi="宋体"/>
                <w:color w:val="auto"/>
                <w:sz w:val="24"/>
                <w:szCs w:val="24"/>
                <w:highlight w:val="none"/>
              </w:rPr>
            </w:pP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rPr>
              <w:t>%签约合同价</w:t>
            </w:r>
          </w:p>
        </w:tc>
        <w:tc>
          <w:tcPr>
            <w:tcW w:w="1190" w:type="dxa"/>
            <w:vAlign w:val="center"/>
          </w:tcPr>
          <w:p w14:paraId="1107DE7C">
            <w:pPr>
              <w:jc w:val="center"/>
              <w:rPr>
                <w:rFonts w:ascii="Calibri" w:hAnsi="Calibri"/>
                <w:color w:val="auto"/>
                <w:sz w:val="24"/>
                <w:szCs w:val="24"/>
                <w:highlight w:val="none"/>
              </w:rPr>
            </w:pPr>
          </w:p>
        </w:tc>
      </w:tr>
      <w:tr w14:paraId="7098D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6E88B234">
            <w:pPr>
              <w:jc w:val="center"/>
              <w:rPr>
                <w:rFonts w:ascii="Calibri" w:hAnsi="Calibri"/>
                <w:color w:val="auto"/>
                <w:sz w:val="24"/>
                <w:szCs w:val="24"/>
                <w:highlight w:val="none"/>
              </w:rPr>
            </w:pPr>
            <w:r>
              <w:rPr>
                <w:rFonts w:ascii="宋体" w:hAnsi="宋体"/>
                <w:color w:val="auto"/>
                <w:sz w:val="24"/>
                <w:szCs w:val="24"/>
                <w:highlight w:val="none"/>
              </w:rPr>
              <w:t>8</w:t>
            </w:r>
          </w:p>
        </w:tc>
        <w:tc>
          <w:tcPr>
            <w:tcW w:w="2693" w:type="dxa"/>
            <w:vAlign w:val="center"/>
          </w:tcPr>
          <w:p w14:paraId="6192C974">
            <w:pPr>
              <w:jc w:val="center"/>
              <w:rPr>
                <w:rFonts w:ascii="Calibri" w:hAnsi="Calibri"/>
                <w:color w:val="auto"/>
                <w:sz w:val="24"/>
                <w:szCs w:val="24"/>
                <w:highlight w:val="none"/>
              </w:rPr>
            </w:pPr>
            <w:r>
              <w:rPr>
                <w:rFonts w:ascii="宋体" w:hAnsi="宋体"/>
                <w:color w:val="auto"/>
                <w:sz w:val="24"/>
                <w:szCs w:val="24"/>
                <w:highlight w:val="none"/>
              </w:rPr>
              <w:t>材料、设备预付款比例</w:t>
            </w:r>
          </w:p>
        </w:tc>
        <w:tc>
          <w:tcPr>
            <w:tcW w:w="1417" w:type="dxa"/>
            <w:vAlign w:val="center"/>
          </w:tcPr>
          <w:p w14:paraId="55C549F3">
            <w:pPr>
              <w:jc w:val="center"/>
              <w:rPr>
                <w:rFonts w:hint="eastAsia" w:ascii="Calibri" w:hAnsi="Calibri" w:eastAsia="宋体"/>
                <w:color w:val="auto"/>
                <w:sz w:val="24"/>
                <w:szCs w:val="24"/>
                <w:highlight w:val="none"/>
                <w:lang w:eastAsia="zh-CN"/>
              </w:rPr>
            </w:pPr>
            <w:r>
              <w:rPr>
                <w:rFonts w:ascii="宋体" w:hAnsi="宋体"/>
                <w:color w:val="auto"/>
                <w:sz w:val="24"/>
                <w:szCs w:val="24"/>
                <w:highlight w:val="none"/>
              </w:rPr>
              <w:t>17.2.1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p>
        </w:tc>
        <w:tc>
          <w:tcPr>
            <w:tcW w:w="3686" w:type="dxa"/>
            <w:vAlign w:val="center"/>
          </w:tcPr>
          <w:p w14:paraId="5ACFB820">
            <w:pPr>
              <w:ind w:firstLine="28" w:firstLineChars="12"/>
              <w:rPr>
                <w:rFonts w:ascii="Calibri" w:hAnsi="Calibri"/>
                <w:color w:val="auto"/>
                <w:sz w:val="24"/>
                <w:szCs w:val="24"/>
                <w:highlight w:val="none"/>
              </w:rPr>
            </w:pP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等主要材料、设备单据所列费用的</w:t>
            </w:r>
            <w:r>
              <w:rPr>
                <w:rFonts w:hint="eastAsia" w:ascii="宋体" w:hAnsi="宋体"/>
                <w:color w:val="auto"/>
                <w:sz w:val="24"/>
                <w:szCs w:val="24"/>
                <w:highlight w:val="none"/>
                <w:u w:val="single"/>
              </w:rPr>
              <w:t>0</w:t>
            </w:r>
            <w:r>
              <w:rPr>
                <w:rFonts w:hint="eastAsia" w:ascii="宋体" w:hAnsi="宋体"/>
                <w:color w:val="auto"/>
                <w:sz w:val="24"/>
                <w:szCs w:val="24"/>
                <w:highlight w:val="none"/>
              </w:rPr>
              <w:t xml:space="preserve"> %</w:t>
            </w:r>
          </w:p>
        </w:tc>
        <w:tc>
          <w:tcPr>
            <w:tcW w:w="1190" w:type="dxa"/>
            <w:vAlign w:val="center"/>
          </w:tcPr>
          <w:p w14:paraId="6C96CC9D">
            <w:pPr>
              <w:jc w:val="center"/>
              <w:rPr>
                <w:rFonts w:ascii="Calibri" w:hAnsi="Calibri"/>
                <w:color w:val="auto"/>
                <w:sz w:val="24"/>
                <w:szCs w:val="24"/>
                <w:highlight w:val="none"/>
              </w:rPr>
            </w:pPr>
          </w:p>
        </w:tc>
      </w:tr>
      <w:tr w14:paraId="79BCD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5953AF33">
            <w:pPr>
              <w:jc w:val="center"/>
              <w:rPr>
                <w:rFonts w:ascii="Calibri" w:hAnsi="Calibri"/>
                <w:color w:val="auto"/>
                <w:sz w:val="24"/>
                <w:szCs w:val="24"/>
                <w:highlight w:val="none"/>
              </w:rPr>
            </w:pPr>
            <w:r>
              <w:rPr>
                <w:rFonts w:ascii="宋体" w:hAnsi="宋体"/>
                <w:color w:val="auto"/>
                <w:sz w:val="24"/>
                <w:szCs w:val="24"/>
                <w:highlight w:val="none"/>
              </w:rPr>
              <w:t>9</w:t>
            </w:r>
          </w:p>
        </w:tc>
        <w:tc>
          <w:tcPr>
            <w:tcW w:w="2693" w:type="dxa"/>
            <w:vAlign w:val="center"/>
          </w:tcPr>
          <w:p w14:paraId="7BA44258">
            <w:pPr>
              <w:jc w:val="center"/>
              <w:rPr>
                <w:rFonts w:ascii="Calibri" w:hAnsi="Calibri"/>
                <w:color w:val="auto"/>
                <w:sz w:val="24"/>
                <w:szCs w:val="24"/>
                <w:highlight w:val="none"/>
              </w:rPr>
            </w:pPr>
            <w:r>
              <w:rPr>
                <w:rFonts w:ascii="宋体" w:hAnsi="宋体"/>
                <w:color w:val="auto"/>
                <w:sz w:val="24"/>
                <w:szCs w:val="24"/>
                <w:highlight w:val="none"/>
              </w:rPr>
              <w:t>进度付款证书最低限额</w:t>
            </w:r>
          </w:p>
        </w:tc>
        <w:tc>
          <w:tcPr>
            <w:tcW w:w="1417" w:type="dxa"/>
            <w:vAlign w:val="center"/>
          </w:tcPr>
          <w:p w14:paraId="5068FC52">
            <w:pPr>
              <w:jc w:val="center"/>
              <w:rPr>
                <w:rFonts w:ascii="Calibri" w:hAnsi="Calibri"/>
                <w:color w:val="auto"/>
                <w:sz w:val="24"/>
                <w:szCs w:val="24"/>
                <w:highlight w:val="none"/>
              </w:rPr>
            </w:pPr>
            <w:r>
              <w:rPr>
                <w:rFonts w:ascii="宋体" w:hAnsi="宋体"/>
                <w:color w:val="auto"/>
                <w:sz w:val="24"/>
                <w:szCs w:val="24"/>
                <w:highlight w:val="none"/>
              </w:rPr>
              <w:t>17.3.3(1)</w:t>
            </w:r>
          </w:p>
        </w:tc>
        <w:tc>
          <w:tcPr>
            <w:tcW w:w="3686" w:type="dxa"/>
            <w:vAlign w:val="center"/>
          </w:tcPr>
          <w:p w14:paraId="41D4AF34">
            <w:pPr>
              <w:rPr>
                <w:rFonts w:ascii="Calibri" w:hAnsi="Calibri"/>
                <w:color w:val="auto"/>
                <w:sz w:val="24"/>
                <w:szCs w:val="24"/>
                <w:highlight w:val="none"/>
              </w:rPr>
            </w:pPr>
            <w:r>
              <w:rPr>
                <w:rFonts w:hint="eastAsia" w:ascii="宋体" w:hAnsi="宋体"/>
                <w:color w:val="auto"/>
                <w:sz w:val="24"/>
                <w:szCs w:val="24"/>
                <w:highlight w:val="none"/>
                <w:u w:val="single"/>
                <w:lang w:val="en-US" w:eastAsia="zh-CN"/>
              </w:rPr>
              <w:t>30</w:t>
            </w:r>
            <w:r>
              <w:rPr>
                <w:rFonts w:ascii="宋体" w:hAnsi="宋体"/>
                <w:color w:val="auto"/>
                <w:sz w:val="24"/>
                <w:szCs w:val="24"/>
                <w:highlight w:val="none"/>
              </w:rPr>
              <w:t>万元</w:t>
            </w:r>
          </w:p>
        </w:tc>
        <w:tc>
          <w:tcPr>
            <w:tcW w:w="1190" w:type="dxa"/>
            <w:vAlign w:val="center"/>
          </w:tcPr>
          <w:p w14:paraId="4FEF0FB2">
            <w:pPr>
              <w:jc w:val="center"/>
              <w:rPr>
                <w:rFonts w:ascii="Calibri" w:hAnsi="Calibri"/>
                <w:color w:val="auto"/>
                <w:sz w:val="24"/>
                <w:szCs w:val="24"/>
                <w:highlight w:val="none"/>
              </w:rPr>
            </w:pPr>
          </w:p>
        </w:tc>
      </w:tr>
      <w:tr w14:paraId="21A90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19914F6D">
            <w:pPr>
              <w:jc w:val="center"/>
              <w:rPr>
                <w:rFonts w:ascii="Calibri" w:hAnsi="Calibri"/>
                <w:color w:val="auto"/>
                <w:sz w:val="24"/>
                <w:szCs w:val="24"/>
                <w:highlight w:val="none"/>
              </w:rPr>
            </w:pPr>
            <w:r>
              <w:rPr>
                <w:rFonts w:ascii="宋体" w:hAnsi="宋体"/>
                <w:color w:val="auto"/>
                <w:sz w:val="24"/>
                <w:szCs w:val="24"/>
                <w:highlight w:val="none"/>
              </w:rPr>
              <w:t>10</w:t>
            </w:r>
          </w:p>
        </w:tc>
        <w:tc>
          <w:tcPr>
            <w:tcW w:w="2693" w:type="dxa"/>
            <w:vAlign w:val="center"/>
          </w:tcPr>
          <w:p w14:paraId="774B0E1C">
            <w:pPr>
              <w:jc w:val="center"/>
              <w:rPr>
                <w:rFonts w:ascii="Calibri" w:hAnsi="Calibri"/>
                <w:color w:val="auto"/>
                <w:sz w:val="24"/>
                <w:szCs w:val="24"/>
                <w:highlight w:val="none"/>
              </w:rPr>
            </w:pPr>
            <w:r>
              <w:rPr>
                <w:rFonts w:ascii="宋体" w:hAnsi="宋体"/>
                <w:color w:val="auto"/>
                <w:sz w:val="24"/>
                <w:szCs w:val="24"/>
                <w:highlight w:val="none"/>
              </w:rPr>
              <w:t>逾期付款违约金的利率</w:t>
            </w:r>
          </w:p>
        </w:tc>
        <w:tc>
          <w:tcPr>
            <w:tcW w:w="1417" w:type="dxa"/>
            <w:vAlign w:val="center"/>
          </w:tcPr>
          <w:p w14:paraId="79271B8A">
            <w:pPr>
              <w:jc w:val="center"/>
              <w:rPr>
                <w:rFonts w:ascii="Calibri" w:hAnsi="Calibri"/>
                <w:color w:val="auto"/>
                <w:sz w:val="24"/>
                <w:szCs w:val="24"/>
                <w:highlight w:val="none"/>
              </w:rPr>
            </w:pPr>
            <w:r>
              <w:rPr>
                <w:rFonts w:ascii="宋体" w:hAnsi="宋体"/>
                <w:color w:val="auto"/>
                <w:sz w:val="24"/>
                <w:szCs w:val="24"/>
                <w:highlight w:val="none"/>
              </w:rPr>
              <w:t>17.3.3(2)</w:t>
            </w:r>
          </w:p>
        </w:tc>
        <w:tc>
          <w:tcPr>
            <w:tcW w:w="3686" w:type="dxa"/>
            <w:vAlign w:val="center"/>
          </w:tcPr>
          <w:p w14:paraId="6D4ECC17">
            <w:pPr>
              <w:rPr>
                <w:rFonts w:ascii="Calibri" w:hAnsi="Calibri"/>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rPr>
              <w:t>‰/天</w:t>
            </w:r>
          </w:p>
        </w:tc>
        <w:tc>
          <w:tcPr>
            <w:tcW w:w="1190" w:type="dxa"/>
            <w:vAlign w:val="center"/>
          </w:tcPr>
          <w:p w14:paraId="3E18FD63">
            <w:pPr>
              <w:jc w:val="center"/>
              <w:rPr>
                <w:rFonts w:ascii="Calibri" w:hAnsi="Calibri"/>
                <w:color w:val="auto"/>
                <w:sz w:val="24"/>
                <w:szCs w:val="24"/>
                <w:highlight w:val="none"/>
              </w:rPr>
            </w:pPr>
          </w:p>
        </w:tc>
      </w:tr>
      <w:tr w14:paraId="2BFC9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53" w:type="dxa"/>
            <w:vAlign w:val="center"/>
          </w:tcPr>
          <w:p w14:paraId="53D2F5C6">
            <w:pPr>
              <w:jc w:val="center"/>
              <w:rPr>
                <w:rFonts w:ascii="宋体" w:hAnsi="宋体"/>
                <w:color w:val="auto"/>
                <w:sz w:val="24"/>
                <w:szCs w:val="24"/>
                <w:highlight w:val="none"/>
              </w:rPr>
            </w:pPr>
            <w:r>
              <w:rPr>
                <w:rFonts w:hint="eastAsia" w:ascii="宋体" w:hAnsi="宋体"/>
                <w:color w:val="auto"/>
                <w:sz w:val="24"/>
                <w:szCs w:val="24"/>
                <w:highlight w:val="none"/>
              </w:rPr>
              <w:t>11</w:t>
            </w:r>
          </w:p>
        </w:tc>
        <w:tc>
          <w:tcPr>
            <w:tcW w:w="2693" w:type="dxa"/>
            <w:vAlign w:val="center"/>
          </w:tcPr>
          <w:p w14:paraId="505FFA0F">
            <w:pPr>
              <w:jc w:val="center"/>
              <w:rPr>
                <w:rFonts w:ascii="宋体" w:hAnsi="宋体"/>
                <w:color w:val="auto"/>
                <w:sz w:val="24"/>
                <w:szCs w:val="24"/>
                <w:highlight w:val="none"/>
              </w:rPr>
            </w:pPr>
            <w:r>
              <w:rPr>
                <w:rFonts w:ascii="宋体" w:hAnsi="宋体"/>
                <w:color w:val="auto"/>
                <w:sz w:val="24"/>
                <w:szCs w:val="24"/>
                <w:highlight w:val="none"/>
              </w:rPr>
              <w:t>质量保证金</w:t>
            </w:r>
            <w:r>
              <w:rPr>
                <w:rFonts w:hint="eastAsia" w:ascii="宋体" w:hAnsi="宋体"/>
                <w:color w:val="auto"/>
                <w:sz w:val="24"/>
                <w:szCs w:val="24"/>
                <w:highlight w:val="none"/>
              </w:rPr>
              <w:t>限额</w:t>
            </w:r>
          </w:p>
        </w:tc>
        <w:tc>
          <w:tcPr>
            <w:tcW w:w="1417" w:type="dxa"/>
            <w:vAlign w:val="center"/>
          </w:tcPr>
          <w:p w14:paraId="44B714E4">
            <w:pPr>
              <w:jc w:val="center"/>
              <w:rPr>
                <w:rFonts w:ascii="Calibri" w:hAnsi="Calibri"/>
                <w:color w:val="auto"/>
                <w:sz w:val="24"/>
                <w:szCs w:val="24"/>
                <w:highlight w:val="none"/>
              </w:rPr>
            </w:pPr>
            <w:r>
              <w:rPr>
                <w:rFonts w:ascii="宋体" w:hAnsi="宋体"/>
                <w:color w:val="auto"/>
                <w:sz w:val="24"/>
                <w:szCs w:val="24"/>
                <w:highlight w:val="none"/>
              </w:rPr>
              <w:t>17.4.1</w:t>
            </w:r>
          </w:p>
        </w:tc>
        <w:tc>
          <w:tcPr>
            <w:tcW w:w="3686" w:type="dxa"/>
            <w:vAlign w:val="center"/>
          </w:tcPr>
          <w:p w14:paraId="5135F87C">
            <w:pPr>
              <w:rPr>
                <w:rFonts w:ascii="Calibri" w:hAnsi="Calibri"/>
                <w:color w:val="auto"/>
                <w:sz w:val="24"/>
                <w:szCs w:val="24"/>
                <w:highlight w:val="none"/>
              </w:rPr>
            </w:pPr>
            <w:r>
              <w:rPr>
                <w:rFonts w:hint="eastAsia" w:ascii="宋体" w:hAnsi="宋体"/>
                <w:color w:val="auto"/>
                <w:sz w:val="24"/>
                <w:szCs w:val="24"/>
                <w:highlight w:val="none"/>
                <w:u w:val="single"/>
              </w:rPr>
              <w:t xml:space="preserve"> 3 </w:t>
            </w:r>
            <w:r>
              <w:rPr>
                <w:rFonts w:hint="eastAsia" w:ascii="宋体" w:hAnsi="宋体"/>
                <w:color w:val="auto"/>
                <w:sz w:val="24"/>
                <w:szCs w:val="24"/>
                <w:highlight w:val="none"/>
              </w:rPr>
              <w:t>%合同价格</w:t>
            </w:r>
          </w:p>
        </w:tc>
        <w:tc>
          <w:tcPr>
            <w:tcW w:w="1190" w:type="dxa"/>
            <w:vAlign w:val="center"/>
          </w:tcPr>
          <w:p w14:paraId="70498263">
            <w:pPr>
              <w:jc w:val="center"/>
              <w:rPr>
                <w:rFonts w:ascii="Calibri" w:hAnsi="Calibri"/>
                <w:color w:val="auto"/>
                <w:sz w:val="24"/>
                <w:szCs w:val="24"/>
                <w:highlight w:val="none"/>
              </w:rPr>
            </w:pPr>
          </w:p>
        </w:tc>
      </w:tr>
      <w:tr w14:paraId="3C998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3EE34FCF">
            <w:pPr>
              <w:jc w:val="center"/>
              <w:rPr>
                <w:rFonts w:ascii="Calibri" w:hAnsi="Calibri"/>
                <w:color w:val="auto"/>
                <w:sz w:val="24"/>
                <w:szCs w:val="24"/>
                <w:highlight w:val="none"/>
              </w:rPr>
            </w:pPr>
            <w:r>
              <w:rPr>
                <w:rFonts w:ascii="宋体" w:hAnsi="宋体"/>
                <w:color w:val="auto"/>
                <w:sz w:val="24"/>
                <w:szCs w:val="24"/>
                <w:highlight w:val="none"/>
              </w:rPr>
              <w:t>12</w:t>
            </w:r>
          </w:p>
        </w:tc>
        <w:tc>
          <w:tcPr>
            <w:tcW w:w="2693" w:type="dxa"/>
            <w:vAlign w:val="center"/>
          </w:tcPr>
          <w:p w14:paraId="7081681E">
            <w:pPr>
              <w:jc w:val="center"/>
              <w:rPr>
                <w:rFonts w:ascii="Calibri" w:hAnsi="Calibri"/>
                <w:color w:val="auto"/>
                <w:sz w:val="24"/>
                <w:szCs w:val="24"/>
                <w:highlight w:val="none"/>
              </w:rPr>
            </w:pPr>
            <w:r>
              <w:rPr>
                <w:rFonts w:ascii="宋体" w:hAnsi="宋体"/>
                <w:color w:val="auto"/>
                <w:sz w:val="24"/>
                <w:szCs w:val="24"/>
                <w:highlight w:val="none"/>
              </w:rPr>
              <w:t>保修期</w:t>
            </w:r>
          </w:p>
        </w:tc>
        <w:tc>
          <w:tcPr>
            <w:tcW w:w="1417" w:type="dxa"/>
            <w:vAlign w:val="center"/>
          </w:tcPr>
          <w:p w14:paraId="62258DD5">
            <w:pPr>
              <w:jc w:val="center"/>
              <w:rPr>
                <w:rFonts w:hint="eastAsia" w:ascii="Calibri" w:hAnsi="Calibri" w:eastAsia="宋体"/>
                <w:color w:val="auto"/>
                <w:sz w:val="24"/>
                <w:szCs w:val="24"/>
                <w:highlight w:val="none"/>
                <w:lang w:eastAsia="zh-CN"/>
              </w:rPr>
            </w:pPr>
            <w:r>
              <w:rPr>
                <w:rFonts w:ascii="宋体" w:hAnsi="宋体"/>
                <w:color w:val="auto"/>
                <w:sz w:val="24"/>
                <w:szCs w:val="24"/>
                <w:highlight w:val="none"/>
              </w:rPr>
              <w:t>19.7</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p>
        </w:tc>
        <w:tc>
          <w:tcPr>
            <w:tcW w:w="3686" w:type="dxa"/>
            <w:vAlign w:val="center"/>
          </w:tcPr>
          <w:p w14:paraId="0E3044EE">
            <w:pPr>
              <w:rPr>
                <w:rFonts w:ascii="Calibri" w:hAnsi="Calibri"/>
                <w:color w:val="auto"/>
                <w:sz w:val="24"/>
                <w:szCs w:val="24"/>
                <w:highlight w:val="none"/>
              </w:rPr>
            </w:pPr>
            <w:r>
              <w:rPr>
                <w:rFonts w:ascii="宋体" w:hAnsi="宋体"/>
                <w:color w:val="auto"/>
                <w:sz w:val="24"/>
                <w:szCs w:val="24"/>
                <w:highlight w:val="none"/>
              </w:rPr>
              <w:t>自实际</w:t>
            </w:r>
            <w:r>
              <w:rPr>
                <w:rFonts w:hint="eastAsia" w:ascii="宋体" w:hAnsi="宋体"/>
                <w:color w:val="auto"/>
                <w:sz w:val="24"/>
                <w:szCs w:val="24"/>
                <w:highlight w:val="none"/>
              </w:rPr>
              <w:t>交工</w:t>
            </w:r>
            <w:r>
              <w:rPr>
                <w:rFonts w:ascii="宋体" w:hAnsi="宋体"/>
                <w:color w:val="auto"/>
                <w:sz w:val="24"/>
                <w:szCs w:val="24"/>
                <w:highlight w:val="none"/>
              </w:rPr>
              <w:t>日期起计算</w:t>
            </w:r>
            <w:r>
              <w:rPr>
                <w:rFonts w:hint="eastAsia" w:ascii="宋体" w:hAnsi="宋体"/>
                <w:color w:val="auto"/>
                <w:sz w:val="24"/>
                <w:szCs w:val="24"/>
                <w:highlight w:val="none"/>
                <w:u w:val="single"/>
                <w:lang w:val="en-US" w:eastAsia="zh-CN"/>
              </w:rPr>
              <w:t>5</w:t>
            </w:r>
            <w:r>
              <w:rPr>
                <w:rFonts w:ascii="宋体" w:hAnsi="宋体"/>
                <w:color w:val="auto"/>
                <w:sz w:val="24"/>
                <w:szCs w:val="24"/>
                <w:highlight w:val="none"/>
              </w:rPr>
              <w:t>年</w:t>
            </w:r>
          </w:p>
        </w:tc>
        <w:tc>
          <w:tcPr>
            <w:tcW w:w="1190" w:type="dxa"/>
            <w:vAlign w:val="center"/>
          </w:tcPr>
          <w:p w14:paraId="551AC332">
            <w:pPr>
              <w:jc w:val="center"/>
              <w:rPr>
                <w:rFonts w:ascii="Calibri" w:hAnsi="Calibri"/>
                <w:color w:val="auto"/>
                <w:sz w:val="24"/>
                <w:szCs w:val="24"/>
                <w:highlight w:val="none"/>
              </w:rPr>
            </w:pPr>
          </w:p>
        </w:tc>
      </w:tr>
    </w:tbl>
    <w:p w14:paraId="5226787A">
      <w:pPr>
        <w:spacing w:line="500" w:lineRule="exact"/>
        <w:ind w:right="480" w:firstLine="3480" w:firstLineChars="1450"/>
        <w:rPr>
          <w:rFonts w:ascii="宋体" w:hAnsi="宋体"/>
          <w:color w:val="auto"/>
          <w:sz w:val="24"/>
          <w:highlight w:val="none"/>
        </w:rPr>
      </w:pPr>
    </w:p>
    <w:p w14:paraId="0E5DEAE3">
      <w:pPr>
        <w:spacing w:line="500" w:lineRule="exact"/>
        <w:ind w:right="480" w:firstLine="3480" w:firstLineChars="1450"/>
        <w:rPr>
          <w:rFonts w:ascii="宋体" w:hAnsi="宋体"/>
          <w:color w:val="auto"/>
          <w:sz w:val="24"/>
          <w:highlight w:val="none"/>
        </w:rPr>
      </w:pPr>
    </w:p>
    <w:p w14:paraId="749AE9DA">
      <w:pPr>
        <w:spacing w:line="500" w:lineRule="exact"/>
        <w:ind w:right="480" w:firstLine="3480" w:firstLineChars="1450"/>
        <w:rPr>
          <w:rFonts w:ascii="宋体" w:hAnsi="宋体"/>
          <w:color w:val="auto"/>
          <w:sz w:val="24"/>
          <w:highlight w:val="none"/>
        </w:rPr>
      </w:pPr>
    </w:p>
    <w:p w14:paraId="7FA91873">
      <w:pPr>
        <w:spacing w:line="500" w:lineRule="exact"/>
        <w:ind w:right="480"/>
        <w:rPr>
          <w:rFonts w:ascii="宋体" w:hAnsi="宋体"/>
          <w:color w:val="auto"/>
          <w:sz w:val="24"/>
          <w:highlight w:val="none"/>
        </w:rPr>
      </w:pPr>
    </w:p>
    <w:p w14:paraId="214FAE3E">
      <w:pPr>
        <w:jc w:val="center"/>
        <w:rPr>
          <w:rFonts w:ascii="宋体" w:hAnsi="宋体"/>
          <w:color w:val="auto"/>
          <w:sz w:val="28"/>
          <w:szCs w:val="28"/>
          <w:highlight w:val="none"/>
        </w:rPr>
      </w:pPr>
      <w:bookmarkStart w:id="1746" w:name="_Toc234382961"/>
      <w:r>
        <w:rPr>
          <w:rFonts w:ascii="宋体" w:hAnsi="宋体"/>
          <w:b/>
          <w:color w:val="auto"/>
          <w:sz w:val="28"/>
          <w:szCs w:val="28"/>
          <w:highlight w:val="none"/>
        </w:rPr>
        <w:br w:type="page"/>
      </w:r>
      <w:r>
        <w:rPr>
          <w:rFonts w:ascii="宋体" w:hAnsi="宋体"/>
          <w:b/>
          <w:color w:val="auto"/>
          <w:sz w:val="28"/>
          <w:szCs w:val="28"/>
          <w:highlight w:val="none"/>
        </w:rPr>
        <w:t>二、授权委托书</w:t>
      </w:r>
      <w:bookmarkEnd w:id="1746"/>
      <w:r>
        <w:rPr>
          <w:rFonts w:hint="eastAsia" w:ascii="宋体" w:hAnsi="宋体"/>
          <w:b/>
          <w:color w:val="auto"/>
          <w:sz w:val="28"/>
          <w:szCs w:val="28"/>
          <w:highlight w:val="none"/>
        </w:rPr>
        <w:t>或</w:t>
      </w:r>
      <w:r>
        <w:rPr>
          <w:rFonts w:ascii="宋体" w:hAnsi="宋体"/>
          <w:b/>
          <w:color w:val="auto"/>
          <w:sz w:val="28"/>
          <w:szCs w:val="28"/>
          <w:highlight w:val="none"/>
        </w:rPr>
        <w:t>法定代表人身份证明</w:t>
      </w:r>
    </w:p>
    <w:p w14:paraId="717D6C79">
      <w:pPr>
        <w:jc w:val="center"/>
        <w:rPr>
          <w:rFonts w:ascii="宋体" w:hAnsi="宋体"/>
          <w:color w:val="auto"/>
          <w:highlight w:val="none"/>
        </w:rPr>
      </w:pPr>
      <w:bookmarkStart w:id="1747" w:name="_Toc234382962"/>
    </w:p>
    <w:p w14:paraId="37A93E06">
      <w:pPr>
        <w:jc w:val="center"/>
        <w:rPr>
          <w:rFonts w:ascii="宋体" w:hAnsi="宋体"/>
          <w:b/>
          <w:color w:val="auto"/>
          <w:sz w:val="32"/>
          <w:szCs w:val="32"/>
          <w:highlight w:val="none"/>
        </w:rPr>
      </w:pPr>
      <w:r>
        <w:rPr>
          <w:rFonts w:ascii="宋体" w:hAnsi="宋体"/>
          <w:b/>
          <w:bCs/>
          <w:color w:val="auto"/>
          <w:kern w:val="44"/>
          <w:sz w:val="28"/>
          <w:szCs w:val="28"/>
          <w:highlight w:val="none"/>
        </w:rPr>
        <w:t>（</w:t>
      </w:r>
      <w:r>
        <w:rPr>
          <w:rFonts w:hint="eastAsia" w:ascii="宋体" w:hAnsi="宋体"/>
          <w:b/>
          <w:bCs/>
          <w:color w:val="auto"/>
          <w:kern w:val="44"/>
          <w:sz w:val="28"/>
          <w:szCs w:val="28"/>
          <w:highlight w:val="none"/>
        </w:rPr>
        <w:t>一</w:t>
      </w:r>
      <w:r>
        <w:rPr>
          <w:rFonts w:ascii="宋体" w:hAnsi="宋体"/>
          <w:b/>
          <w:bCs/>
          <w:color w:val="auto"/>
          <w:kern w:val="44"/>
          <w:sz w:val="28"/>
          <w:szCs w:val="28"/>
          <w:highlight w:val="none"/>
        </w:rPr>
        <w:t>）授权委托书</w:t>
      </w:r>
    </w:p>
    <w:p w14:paraId="209BC2FF">
      <w:pPr>
        <w:spacing w:line="500" w:lineRule="exact"/>
        <w:rPr>
          <w:rFonts w:ascii="宋体" w:hAnsi="宋体"/>
          <w:color w:val="auto"/>
          <w:sz w:val="24"/>
          <w:highlight w:val="none"/>
        </w:rPr>
      </w:pPr>
    </w:p>
    <w:p w14:paraId="36A2650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（姓名）为我方代理人。代理人根据授权，以我方名义签署、澄清确认、递交、撤回、修改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投标文件、签订合同和处理有关事宜，其法律后果由我方承担。</w:t>
      </w:r>
    </w:p>
    <w:p w14:paraId="5D62F631">
      <w:pPr>
        <w:snapToGrid w:val="0"/>
        <w:spacing w:line="440" w:lineRule="exact"/>
        <w:ind w:firstLine="480" w:firstLineChars="200"/>
        <w:rPr>
          <w:rFonts w:hAnsi="宋体" w:cs="宋体"/>
          <w:color w:val="auto"/>
          <w:szCs w:val="21"/>
          <w:highlight w:val="none"/>
        </w:rPr>
      </w:pPr>
      <w:r>
        <w:rPr>
          <w:rFonts w:ascii="宋体" w:hAnsi="宋体"/>
          <w:color w:val="auto"/>
          <w:sz w:val="24"/>
          <w:highlight w:val="none"/>
        </w:rPr>
        <w:t>委托期限：</w:t>
      </w:r>
      <w:r>
        <w:rPr>
          <w:rFonts w:hint="eastAsia" w:ascii="宋体" w:hAnsi="宋体"/>
          <w:color w:val="auto"/>
          <w:sz w:val="24"/>
          <w:highlight w:val="none"/>
        </w:rPr>
        <w:t>自本委托书签署之日起至投标有效期期满。</w:t>
      </w:r>
    </w:p>
    <w:p w14:paraId="20BE9332">
      <w:pPr>
        <w:spacing w:line="500" w:lineRule="exact"/>
        <w:ind w:firstLine="480" w:firstLineChars="200"/>
        <w:rPr>
          <w:rFonts w:ascii="宋体" w:hAnsi="宋体"/>
          <w:color w:val="auto"/>
          <w:sz w:val="24"/>
          <w:highlight w:val="none"/>
        </w:rPr>
      </w:pPr>
      <w:r>
        <w:rPr>
          <w:rFonts w:ascii="宋体" w:hAnsi="宋体"/>
          <w:color w:val="auto"/>
          <w:sz w:val="24"/>
          <w:highlight w:val="none"/>
        </w:rPr>
        <w:t>代理人无转委托权。</w:t>
      </w:r>
    </w:p>
    <w:p w14:paraId="5112B101">
      <w:pPr>
        <w:spacing w:line="500" w:lineRule="exact"/>
        <w:ind w:firstLine="480" w:firstLineChars="200"/>
        <w:rPr>
          <w:rFonts w:ascii="宋体" w:hAnsi="宋体"/>
          <w:color w:val="auto"/>
          <w:sz w:val="24"/>
          <w:highlight w:val="none"/>
        </w:rPr>
      </w:pPr>
    </w:p>
    <w:p w14:paraId="073C465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w:t>
      </w:r>
      <w:r>
        <w:rPr>
          <w:rFonts w:hint="eastAsia" w:ascii="宋体" w:hAnsi="宋体"/>
          <w:color w:val="auto"/>
          <w:sz w:val="24"/>
          <w:highlight w:val="none"/>
          <w:lang w:val="en-US" w:eastAsia="zh-CN"/>
        </w:rPr>
        <w:t>扫描</w:t>
      </w:r>
      <w:r>
        <w:rPr>
          <w:rFonts w:hint="eastAsia" w:ascii="宋体" w:hAnsi="宋体"/>
          <w:color w:val="auto"/>
          <w:sz w:val="24"/>
          <w:highlight w:val="none"/>
        </w:rPr>
        <w:t>件及委托代理人身份证</w:t>
      </w:r>
      <w:r>
        <w:rPr>
          <w:rFonts w:hint="eastAsia" w:ascii="宋体" w:hAnsi="宋体"/>
          <w:color w:val="auto"/>
          <w:sz w:val="24"/>
          <w:highlight w:val="none"/>
          <w:lang w:val="en-US" w:eastAsia="zh-CN"/>
        </w:rPr>
        <w:t>扫描</w:t>
      </w:r>
      <w:r>
        <w:rPr>
          <w:rFonts w:hint="eastAsia" w:ascii="宋体" w:hAnsi="宋体"/>
          <w:color w:val="auto"/>
          <w:sz w:val="24"/>
          <w:highlight w:val="none"/>
        </w:rPr>
        <w:t>件。</w:t>
      </w:r>
    </w:p>
    <w:p w14:paraId="0817099D">
      <w:pPr>
        <w:spacing w:line="500" w:lineRule="exact"/>
        <w:rPr>
          <w:rFonts w:ascii="宋体" w:hAnsi="宋体"/>
          <w:color w:val="auto"/>
          <w:sz w:val="24"/>
          <w:highlight w:val="none"/>
        </w:rPr>
      </w:pPr>
    </w:p>
    <w:p w14:paraId="3507EB22">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rPr>
        <w:t>投  标  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7D5C02CE">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2207CA3E">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身份证号码：</w:t>
      </w:r>
      <w:r>
        <w:rPr>
          <w:rFonts w:hint="eastAsia" w:ascii="宋体" w:hAnsi="宋体" w:cs="宋体"/>
          <w:color w:val="auto"/>
          <w:sz w:val="24"/>
          <w:highlight w:val="none"/>
          <w:u w:val="single"/>
        </w:rPr>
        <w:t xml:space="preserve">                           </w:t>
      </w:r>
    </w:p>
    <w:p w14:paraId="64C29484">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0ACD2DA0">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身份证号码：</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A97A267">
      <w:pPr>
        <w:spacing w:line="500" w:lineRule="exact"/>
        <w:rPr>
          <w:rFonts w:hint="eastAsia" w:ascii="宋体" w:hAnsi="宋体" w:cs="宋体"/>
          <w:color w:val="auto"/>
          <w:sz w:val="24"/>
          <w:highlight w:val="none"/>
        </w:rPr>
      </w:pPr>
    </w:p>
    <w:p w14:paraId="0E07AD52">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89E5119">
      <w:pPr>
        <w:spacing w:line="500" w:lineRule="exact"/>
        <w:rPr>
          <w:rFonts w:ascii="宋体" w:hAnsi="宋体"/>
          <w:color w:val="auto"/>
          <w:sz w:val="24"/>
          <w:highlight w:val="none"/>
        </w:rPr>
      </w:pPr>
    </w:p>
    <w:p w14:paraId="3F4E0610">
      <w:pPr>
        <w:rPr>
          <w:rFonts w:ascii="宋体" w:hAnsi="宋体"/>
          <w:color w:val="auto"/>
          <w:sz w:val="24"/>
          <w:highlight w:val="none"/>
        </w:rPr>
      </w:pPr>
    </w:p>
    <w:p w14:paraId="7166869C">
      <w:pPr>
        <w:spacing w:line="400" w:lineRule="exact"/>
        <w:rPr>
          <w:rFonts w:ascii="宋体" w:hAnsi="宋体"/>
          <w:color w:val="auto"/>
          <w:sz w:val="24"/>
          <w:highlight w:val="none"/>
        </w:rPr>
      </w:pPr>
    </w:p>
    <w:p w14:paraId="05E7F28C">
      <w:pPr>
        <w:spacing w:line="400" w:lineRule="exact"/>
        <w:rPr>
          <w:rFonts w:ascii="宋体" w:hAnsi="宋体"/>
          <w:color w:val="auto"/>
          <w:sz w:val="24"/>
          <w:highlight w:val="none"/>
        </w:rPr>
      </w:pPr>
    </w:p>
    <w:p w14:paraId="47607C61">
      <w:pPr>
        <w:spacing w:line="400" w:lineRule="exact"/>
        <w:rPr>
          <w:rFonts w:ascii="宋体" w:hAnsi="宋体"/>
          <w:color w:val="auto"/>
          <w:szCs w:val="21"/>
          <w:highlight w:val="none"/>
        </w:rPr>
      </w:pPr>
      <w:r>
        <w:rPr>
          <w:rFonts w:ascii="宋体" w:hAnsi="宋体"/>
          <w:color w:val="auto"/>
          <w:szCs w:val="21"/>
          <w:highlight w:val="none"/>
        </w:rPr>
        <w:t>注：</w:t>
      </w:r>
      <w:r>
        <w:rPr>
          <w:rFonts w:hint="eastAsia" w:ascii="宋体" w:hAnsi="宋体" w:cs="宋体"/>
          <w:color w:val="auto"/>
          <w:szCs w:val="21"/>
          <w:highlight w:val="none"/>
        </w:rPr>
        <w:t>法定代表人和委托代理人必须亲笔签名，不得使用印章、签名章或其他电子制版签名</w:t>
      </w:r>
      <w:r>
        <w:rPr>
          <w:rFonts w:hint="eastAsia" w:ascii="宋体" w:hAnsi="宋体"/>
          <w:color w:val="auto"/>
          <w:szCs w:val="21"/>
          <w:highlight w:val="none"/>
        </w:rPr>
        <w:t>。</w:t>
      </w:r>
    </w:p>
    <w:p w14:paraId="47F94A59">
      <w:pPr>
        <w:pStyle w:val="52"/>
        <w:rPr>
          <w:color w:val="auto"/>
          <w:highlight w:val="none"/>
        </w:rPr>
      </w:pPr>
      <w:r>
        <w:rPr>
          <w:rFonts w:hint="eastAsia" w:ascii="宋体" w:hAnsi="宋体"/>
          <w:b/>
          <w:color w:val="auto"/>
          <w:highlight w:val="none"/>
        </w:rPr>
        <w:br w:type="page"/>
      </w:r>
    </w:p>
    <w:bookmarkEnd w:id="1747"/>
    <w:p w14:paraId="1FB86D0B">
      <w:pPr>
        <w:spacing w:line="360" w:lineRule="auto"/>
        <w:jc w:val="center"/>
        <w:rPr>
          <w:rFonts w:ascii="宋体" w:hAnsi="宋体" w:cs="宋体"/>
          <w:b/>
          <w:bCs/>
          <w:color w:val="auto"/>
          <w:sz w:val="32"/>
          <w:szCs w:val="32"/>
          <w:highlight w:val="none"/>
        </w:rPr>
      </w:pPr>
      <w:bookmarkStart w:id="1748" w:name="_Toc453057211"/>
      <w:r>
        <w:rPr>
          <w:rFonts w:hint="eastAsia" w:ascii="宋体" w:hAnsi="宋体" w:cs="宋体"/>
          <w:b/>
          <w:bCs/>
          <w:color w:val="auto"/>
          <w:sz w:val="28"/>
          <w:szCs w:val="28"/>
          <w:highlight w:val="none"/>
        </w:rPr>
        <w:t>（二）</w:t>
      </w:r>
      <w:bookmarkEnd w:id="1748"/>
      <w:r>
        <w:rPr>
          <w:rFonts w:hint="eastAsia" w:ascii="宋体" w:hAnsi="宋体" w:cs="宋体"/>
          <w:b/>
          <w:bCs/>
          <w:color w:val="auto"/>
          <w:sz w:val="28"/>
          <w:highlight w:val="none"/>
        </w:rPr>
        <w:t>法定代表人身份证明</w:t>
      </w:r>
    </w:p>
    <w:p w14:paraId="5435CEFA">
      <w:pPr>
        <w:spacing w:line="500" w:lineRule="exact"/>
        <w:rPr>
          <w:rFonts w:ascii="宋体" w:hAnsi="宋体" w:cs="宋体"/>
          <w:color w:val="auto"/>
          <w:sz w:val="24"/>
          <w:highlight w:val="none"/>
        </w:rPr>
      </w:pPr>
    </w:p>
    <w:p w14:paraId="17497032">
      <w:pPr>
        <w:spacing w:line="360" w:lineRule="auto"/>
        <w:ind w:firstLine="480" w:firstLineChars="200"/>
        <w:rPr>
          <w:rFonts w:ascii="宋体" w:hAnsi="宋体" w:cs="宋体"/>
          <w:color w:val="auto"/>
          <w:sz w:val="24"/>
          <w:highlight w:val="none"/>
        </w:rPr>
      </w:pPr>
    </w:p>
    <w:p w14:paraId="0E6E59A0">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4FAFE3B">
      <w:pPr>
        <w:spacing w:line="48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（法定代表人亲笔签名）</w:t>
      </w:r>
      <w:r>
        <w:rPr>
          <w:rFonts w:hint="eastAsia" w:ascii="宋体" w:hAnsi="宋体" w:cs="宋体"/>
          <w:color w:val="auto"/>
          <w:sz w:val="24"/>
          <w:highlight w:val="none"/>
        </w:rPr>
        <w:tab/>
      </w:r>
      <w:r>
        <w:rPr>
          <w:rFonts w:hint="eastAsia" w:ascii="宋体" w:hAnsi="宋体" w:cs="宋体"/>
          <w:color w:val="auto"/>
          <w:sz w:val="24"/>
          <w:highlight w:val="none"/>
        </w:rPr>
        <w:t>性别：</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p>
    <w:p w14:paraId="7826530C">
      <w:pPr>
        <w:spacing w:line="480" w:lineRule="auto"/>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（投标人名称）的法定代表人。</w:t>
      </w:r>
    </w:p>
    <w:p w14:paraId="44C726F3">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132B8D57">
      <w:pPr>
        <w:spacing w:line="360" w:lineRule="auto"/>
        <w:rPr>
          <w:rFonts w:ascii="宋体" w:hAnsi="宋体" w:cs="宋体"/>
          <w:color w:val="auto"/>
          <w:sz w:val="24"/>
          <w:highlight w:val="none"/>
        </w:rPr>
      </w:pPr>
    </w:p>
    <w:p w14:paraId="47DE33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w:t>
      </w:r>
      <w:r>
        <w:rPr>
          <w:rFonts w:hint="eastAsia" w:ascii="宋体" w:hAnsi="宋体" w:cs="宋体"/>
          <w:color w:val="auto"/>
          <w:sz w:val="24"/>
          <w:highlight w:val="none"/>
          <w:lang w:val="en-US" w:eastAsia="zh-CN"/>
        </w:rPr>
        <w:t>扫描</w:t>
      </w:r>
      <w:r>
        <w:rPr>
          <w:rFonts w:hint="eastAsia" w:ascii="宋体" w:hAnsi="宋体" w:cs="宋体"/>
          <w:color w:val="auto"/>
          <w:sz w:val="24"/>
          <w:highlight w:val="none"/>
        </w:rPr>
        <w:t>件。</w:t>
      </w:r>
    </w:p>
    <w:p w14:paraId="4F9A7FBD">
      <w:pPr>
        <w:pStyle w:val="15"/>
        <w:rPr>
          <w:rFonts w:ascii="宋体" w:hAnsi="宋体" w:cs="宋体"/>
          <w:color w:val="auto"/>
          <w:sz w:val="20"/>
          <w:highlight w:val="none"/>
        </w:rPr>
      </w:pPr>
    </w:p>
    <w:p w14:paraId="1C0F02A7">
      <w:pPr>
        <w:pStyle w:val="15"/>
        <w:spacing w:before="3"/>
        <w:rPr>
          <w:rFonts w:ascii="宋体" w:hAnsi="宋体" w:cs="宋体"/>
          <w:color w:val="auto"/>
          <w:sz w:val="28"/>
          <w:highlight w:val="none"/>
        </w:rPr>
      </w:pPr>
    </w:p>
    <w:p w14:paraId="5ED9E99E">
      <w:pPr>
        <w:tabs>
          <w:tab w:val="left" w:pos="6918"/>
        </w:tabs>
        <w:spacing w:before="75"/>
        <w:ind w:left="4398"/>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ab/>
      </w:r>
      <w:r>
        <w:rPr>
          <w:rFonts w:hint="eastAsia" w:ascii="宋体" w:hAnsi="宋体" w:cs="宋体"/>
          <w:color w:val="auto"/>
          <w:sz w:val="24"/>
          <w:highlight w:val="none"/>
        </w:rPr>
        <w:t>（盖单位章）</w:t>
      </w:r>
    </w:p>
    <w:p w14:paraId="27A8D218">
      <w:pPr>
        <w:tabs>
          <w:tab w:val="left" w:pos="6558"/>
          <w:tab w:val="left" w:pos="7278"/>
          <w:tab w:val="left" w:pos="7998"/>
        </w:tabs>
        <w:spacing w:before="113"/>
        <w:ind w:left="5598"/>
        <w:jc w:val="left"/>
        <w:rPr>
          <w:rFonts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hint="eastAsia" w:ascii="宋体" w:hAnsi="宋体" w:cs="宋体"/>
          <w:color w:val="auto"/>
          <w:sz w:val="24"/>
          <w:highlight w:val="none"/>
        </w:rPr>
        <w:t>日</w:t>
      </w:r>
    </w:p>
    <w:p w14:paraId="11FB0581">
      <w:pPr>
        <w:spacing w:line="500" w:lineRule="exact"/>
        <w:rPr>
          <w:rFonts w:ascii="宋体" w:hAnsi="宋体" w:cs="宋体"/>
          <w:color w:val="auto"/>
          <w:sz w:val="24"/>
          <w:highlight w:val="none"/>
        </w:rPr>
      </w:pPr>
    </w:p>
    <w:p w14:paraId="34D88C5F">
      <w:pPr>
        <w:spacing w:line="500" w:lineRule="exact"/>
        <w:rPr>
          <w:rFonts w:ascii="宋体" w:hAnsi="宋体" w:cs="宋体"/>
          <w:color w:val="auto"/>
          <w:sz w:val="24"/>
          <w:highlight w:val="none"/>
        </w:rPr>
      </w:pPr>
    </w:p>
    <w:p w14:paraId="1DE2EA64">
      <w:pPr>
        <w:rPr>
          <w:rFonts w:ascii="宋体" w:hAnsi="宋体" w:cs="宋体"/>
          <w:color w:val="auto"/>
          <w:sz w:val="24"/>
          <w:highlight w:val="none"/>
        </w:rPr>
      </w:pPr>
    </w:p>
    <w:p w14:paraId="2D4EAC59">
      <w:pPr>
        <w:spacing w:line="400" w:lineRule="exact"/>
        <w:ind w:firstLine="420" w:firstLineChars="200"/>
        <w:rPr>
          <w:rFonts w:ascii="宋体" w:hAnsi="宋体" w:cs="宋体"/>
          <w:color w:val="auto"/>
          <w:sz w:val="24"/>
          <w:highlight w:val="none"/>
        </w:rPr>
      </w:pPr>
      <w:r>
        <w:rPr>
          <w:rFonts w:hint="eastAsia" w:ascii="宋体" w:hAnsi="宋体" w:cs="宋体"/>
          <w:color w:val="auto"/>
          <w:highlight w:val="none"/>
        </w:rPr>
        <w:t>注：法定代表人和委托代理人必须亲笔签名，不得使用印章、签名章或其他电子制版签名。</w:t>
      </w:r>
    </w:p>
    <w:p w14:paraId="5836AAAC">
      <w:pPr>
        <w:jc w:val="center"/>
        <w:rPr>
          <w:rFonts w:ascii="宋体" w:hAnsi="宋体"/>
          <w:b/>
          <w:color w:val="auto"/>
          <w:sz w:val="28"/>
          <w:szCs w:val="28"/>
          <w:highlight w:val="none"/>
        </w:rPr>
      </w:pPr>
    </w:p>
    <w:p w14:paraId="4070D460">
      <w:pPr>
        <w:jc w:val="center"/>
        <w:rPr>
          <w:rFonts w:ascii="宋体" w:hAnsi="宋体"/>
          <w:b/>
          <w:color w:val="auto"/>
          <w:sz w:val="28"/>
          <w:szCs w:val="28"/>
          <w:highlight w:val="none"/>
        </w:rPr>
      </w:pPr>
    </w:p>
    <w:p w14:paraId="5DFB0D21">
      <w:pPr>
        <w:jc w:val="center"/>
        <w:rPr>
          <w:rFonts w:ascii="宋体" w:hAnsi="宋体"/>
          <w:b/>
          <w:color w:val="auto"/>
          <w:sz w:val="28"/>
          <w:szCs w:val="28"/>
          <w:highlight w:val="none"/>
        </w:rPr>
      </w:pPr>
    </w:p>
    <w:p w14:paraId="439803A9">
      <w:pPr>
        <w:jc w:val="center"/>
        <w:rPr>
          <w:rFonts w:ascii="宋体" w:hAnsi="宋体"/>
          <w:b/>
          <w:color w:val="auto"/>
          <w:sz w:val="28"/>
          <w:szCs w:val="28"/>
          <w:highlight w:val="none"/>
        </w:rPr>
      </w:pPr>
    </w:p>
    <w:p w14:paraId="6668B9A0">
      <w:pPr>
        <w:jc w:val="center"/>
        <w:rPr>
          <w:rFonts w:ascii="宋体" w:hAnsi="宋体"/>
          <w:b/>
          <w:color w:val="auto"/>
          <w:sz w:val="28"/>
          <w:szCs w:val="28"/>
          <w:highlight w:val="none"/>
        </w:rPr>
      </w:pPr>
    </w:p>
    <w:p w14:paraId="31D16B1E">
      <w:pPr>
        <w:jc w:val="center"/>
        <w:rPr>
          <w:rFonts w:ascii="宋体" w:hAnsi="宋体"/>
          <w:b/>
          <w:color w:val="auto"/>
          <w:sz w:val="28"/>
          <w:szCs w:val="28"/>
          <w:highlight w:val="none"/>
        </w:rPr>
      </w:pPr>
    </w:p>
    <w:p w14:paraId="67E0B362">
      <w:pPr>
        <w:jc w:val="center"/>
        <w:rPr>
          <w:rFonts w:ascii="宋体" w:hAnsi="宋体"/>
          <w:b/>
          <w:color w:val="auto"/>
          <w:sz w:val="28"/>
          <w:szCs w:val="28"/>
          <w:highlight w:val="none"/>
        </w:rPr>
      </w:pPr>
    </w:p>
    <w:p w14:paraId="50B072EC">
      <w:pPr>
        <w:jc w:val="center"/>
        <w:rPr>
          <w:rFonts w:ascii="宋体" w:hAnsi="宋体"/>
          <w:b/>
          <w:color w:val="auto"/>
          <w:sz w:val="28"/>
          <w:szCs w:val="28"/>
          <w:highlight w:val="none"/>
        </w:rPr>
      </w:pPr>
    </w:p>
    <w:p w14:paraId="39B94F94">
      <w:pPr>
        <w:jc w:val="center"/>
        <w:rPr>
          <w:rFonts w:ascii="宋体" w:hAnsi="宋体"/>
          <w:b/>
          <w:color w:val="auto"/>
          <w:sz w:val="28"/>
          <w:szCs w:val="28"/>
          <w:highlight w:val="none"/>
        </w:rPr>
      </w:pPr>
    </w:p>
    <w:p w14:paraId="65325E8F">
      <w:pPr>
        <w:jc w:val="center"/>
        <w:rPr>
          <w:rFonts w:ascii="宋体" w:hAnsi="宋体"/>
          <w:b/>
          <w:color w:val="auto"/>
          <w:sz w:val="28"/>
          <w:szCs w:val="28"/>
          <w:highlight w:val="none"/>
        </w:rPr>
      </w:pPr>
      <w:r>
        <w:rPr>
          <w:rFonts w:hint="eastAsia" w:ascii="宋体" w:hAnsi="宋体"/>
          <w:b/>
          <w:color w:val="auto"/>
          <w:sz w:val="28"/>
          <w:szCs w:val="28"/>
          <w:highlight w:val="none"/>
        </w:rPr>
        <w:t>三、投标保证金</w:t>
      </w:r>
    </w:p>
    <w:p w14:paraId="3E3FC7E3">
      <w:pPr>
        <w:spacing w:line="360" w:lineRule="auto"/>
        <w:ind w:firstLine="480" w:firstLineChars="200"/>
        <w:rPr>
          <w:rFonts w:ascii="宋体" w:hAnsi="宋体" w:cs="宋体"/>
          <w:color w:val="auto"/>
          <w:kern w:val="0"/>
          <w:sz w:val="24"/>
          <w:highlight w:val="none"/>
          <w:lang w:val="zh-CN"/>
        </w:rPr>
      </w:pPr>
    </w:p>
    <w:p w14:paraId="4F96516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如采用银行转账，投标人应在此提供汇款凭证的彩色扫描件</w:t>
      </w:r>
      <w:r>
        <w:rPr>
          <w:rFonts w:hint="eastAsia" w:ascii="宋体" w:hAnsi="宋体" w:cs="宋体"/>
          <w:color w:val="auto"/>
          <w:sz w:val="24"/>
          <w:highlight w:val="none"/>
        </w:rPr>
        <w:t>或截图</w:t>
      </w:r>
      <w:r>
        <w:rPr>
          <w:rFonts w:hint="eastAsia" w:ascii="宋体" w:hAnsi="宋体" w:cs="宋体"/>
          <w:color w:val="auto"/>
          <w:kern w:val="0"/>
          <w:sz w:val="24"/>
          <w:highlight w:val="none"/>
          <w:lang w:val="zh-CN"/>
        </w:rPr>
        <w:t>。</w:t>
      </w:r>
    </w:p>
    <w:p w14:paraId="78FFF9A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如采用电子保函，投标人应在此提供电子保函彩色扫描件</w:t>
      </w:r>
      <w:r>
        <w:rPr>
          <w:rFonts w:hint="eastAsia" w:ascii="宋体" w:hAnsi="宋体" w:cs="宋体"/>
          <w:color w:val="auto"/>
          <w:sz w:val="24"/>
          <w:highlight w:val="none"/>
        </w:rPr>
        <w:t>或截图</w:t>
      </w:r>
      <w:r>
        <w:rPr>
          <w:rFonts w:hint="eastAsia" w:ascii="宋体" w:hAnsi="宋体" w:cs="宋体"/>
          <w:color w:val="auto"/>
          <w:kern w:val="0"/>
          <w:sz w:val="24"/>
          <w:highlight w:val="none"/>
          <w:lang w:val="zh-CN"/>
        </w:rPr>
        <w:t>。</w:t>
      </w:r>
    </w:p>
    <w:p w14:paraId="3BD9EB6E">
      <w:pPr>
        <w:pStyle w:val="59"/>
        <w:ind w:firstLine="480" w:firstLineChars="200"/>
        <w:rPr>
          <w:rFonts w:ascii="宋体" w:hAnsi="宋体" w:cs="宋体"/>
          <w:color w:val="auto"/>
          <w:highlight w:val="none"/>
        </w:rPr>
      </w:pPr>
      <w:r>
        <w:rPr>
          <w:rFonts w:hint="eastAsia" w:ascii="宋体" w:hAnsi="宋体" w:cs="宋体"/>
          <w:color w:val="auto"/>
          <w:highlight w:val="none"/>
        </w:rPr>
        <w:t>如采用投标保证金保险，投标人应在此提供保单</w:t>
      </w:r>
      <w:r>
        <w:rPr>
          <w:rFonts w:hint="eastAsia" w:ascii="宋体" w:hAnsi="宋体" w:cs="宋体"/>
          <w:color w:val="auto"/>
          <w:highlight w:val="none"/>
          <w:lang w:val="zh-CN"/>
        </w:rPr>
        <w:t>彩色扫描件</w:t>
      </w:r>
      <w:r>
        <w:rPr>
          <w:rFonts w:hint="eastAsia" w:ascii="宋体" w:hAnsi="宋体" w:cs="宋体"/>
          <w:color w:val="auto"/>
          <w:sz w:val="24"/>
          <w:highlight w:val="none"/>
        </w:rPr>
        <w:t>或截图</w:t>
      </w:r>
      <w:r>
        <w:rPr>
          <w:rFonts w:hint="eastAsia" w:ascii="宋体" w:hAnsi="宋体" w:cs="宋体"/>
          <w:color w:val="auto"/>
          <w:highlight w:val="none"/>
        </w:rPr>
        <w:t>。</w:t>
      </w:r>
    </w:p>
    <w:p w14:paraId="47DDC63B">
      <w:pPr>
        <w:spacing w:line="360" w:lineRule="exact"/>
        <w:rPr>
          <w:rFonts w:ascii="宋体" w:hAnsi="宋体"/>
          <w:color w:val="auto"/>
          <w:sz w:val="24"/>
          <w:highlight w:val="none"/>
        </w:rPr>
      </w:pPr>
    </w:p>
    <w:p w14:paraId="30D82D4B">
      <w:pPr>
        <w:adjustRightInd w:val="0"/>
        <w:snapToGrid w:val="0"/>
        <w:spacing w:line="360" w:lineRule="auto"/>
        <w:rPr>
          <w:rFonts w:ascii="宋体" w:hAnsi="宋体"/>
          <w:color w:val="auto"/>
          <w:sz w:val="24"/>
          <w:highlight w:val="none"/>
        </w:rPr>
      </w:pPr>
    </w:p>
    <w:p w14:paraId="67DBCFF0">
      <w:pPr>
        <w:widowControl/>
        <w:jc w:val="left"/>
        <w:rPr>
          <w:rFonts w:ascii="宋体" w:hAnsi="宋体"/>
          <w:color w:val="auto"/>
          <w:sz w:val="24"/>
          <w:highlight w:val="none"/>
        </w:rPr>
      </w:pPr>
    </w:p>
    <w:p w14:paraId="608D5B66">
      <w:pPr>
        <w:adjustRightInd w:val="0"/>
        <w:snapToGrid w:val="0"/>
        <w:spacing w:line="360" w:lineRule="auto"/>
        <w:rPr>
          <w:rFonts w:ascii="宋体" w:hAnsi="宋体"/>
          <w:color w:val="auto"/>
          <w:sz w:val="24"/>
          <w:highlight w:val="none"/>
        </w:rPr>
        <w:sectPr>
          <w:footerReference r:id="rId17" w:type="first"/>
          <w:footerReference r:id="rId16" w:type="default"/>
          <w:pgSz w:w="11906" w:h="16838"/>
          <w:pgMar w:top="1276" w:right="924" w:bottom="935" w:left="1418" w:header="624" w:footer="590" w:gutter="0"/>
          <w:cols w:space="720" w:num="1"/>
          <w:docGrid w:type="lines" w:linePitch="312" w:charSpace="0"/>
        </w:sectPr>
      </w:pPr>
    </w:p>
    <w:p w14:paraId="5530CDFF">
      <w:pPr>
        <w:spacing w:line="400" w:lineRule="exact"/>
        <w:ind w:left="-283" w:leftChars="-135"/>
        <w:rPr>
          <w:rFonts w:ascii="宋体" w:hAnsi="宋体"/>
          <w:color w:val="auto"/>
          <w:sz w:val="24"/>
          <w:highlight w:val="none"/>
        </w:rPr>
      </w:pPr>
    </w:p>
    <w:p w14:paraId="191EED8A">
      <w:pPr>
        <w:rPr>
          <w:rFonts w:ascii="宋体" w:hAnsi="宋体"/>
          <w:b/>
          <w:color w:val="auto"/>
          <w:sz w:val="24"/>
          <w:highlight w:val="none"/>
        </w:rPr>
      </w:pPr>
    </w:p>
    <w:p w14:paraId="246994D2">
      <w:pPr>
        <w:jc w:val="center"/>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t>四、</w:t>
      </w:r>
      <w:r>
        <w:rPr>
          <w:rFonts w:hint="eastAsia" w:ascii="宋体" w:hAnsi="宋体"/>
          <w:b/>
          <w:color w:val="auto"/>
          <w:sz w:val="28"/>
          <w:szCs w:val="28"/>
          <w:highlight w:val="none"/>
        </w:rPr>
        <w:t>施工组织设计</w:t>
      </w:r>
    </w:p>
    <w:p w14:paraId="1D77BDF5">
      <w:pPr>
        <w:spacing w:line="480" w:lineRule="auto"/>
        <w:ind w:right="263"/>
        <w:jc w:val="center"/>
        <w:rPr>
          <w:color w:val="auto"/>
          <w:sz w:val="28"/>
          <w:highlight w:val="none"/>
        </w:rPr>
      </w:pPr>
    </w:p>
    <w:p w14:paraId="3CF321C5">
      <w:pPr>
        <w:spacing w:line="480" w:lineRule="auto"/>
        <w:ind w:right="263"/>
        <w:jc w:val="center"/>
        <w:rPr>
          <w:color w:val="auto"/>
          <w:sz w:val="12"/>
          <w:highlight w:val="none"/>
        </w:rPr>
      </w:pPr>
      <w:r>
        <w:rPr>
          <w:color w:val="auto"/>
          <w:sz w:val="28"/>
          <w:highlight w:val="none"/>
        </w:rPr>
        <w:t>承诺函</w:t>
      </w:r>
    </w:p>
    <w:p w14:paraId="02E5E418">
      <w:pPr>
        <w:pStyle w:val="15"/>
        <w:spacing w:before="13" w:line="480" w:lineRule="auto"/>
        <w:rPr>
          <w:color w:val="auto"/>
          <w:sz w:val="17"/>
          <w:highlight w:val="none"/>
        </w:rPr>
      </w:pPr>
    </w:p>
    <w:p w14:paraId="49E4A9EA">
      <w:pPr>
        <w:pStyle w:val="9"/>
        <w:tabs>
          <w:tab w:val="left" w:pos="2358"/>
        </w:tabs>
        <w:spacing w:line="480" w:lineRule="auto"/>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hAnsi="宋体" w:eastAsia="宋体" w:cs="宋体"/>
          <w:color w:val="auto"/>
          <w:highlight w:val="none"/>
        </w:rPr>
        <w:t>（招标人名称）：</w:t>
      </w:r>
    </w:p>
    <w:p w14:paraId="5F48D5BE">
      <w:pPr>
        <w:tabs>
          <w:tab w:val="left" w:pos="3276"/>
          <w:tab w:val="left" w:pos="5181"/>
        </w:tabs>
        <w:spacing w:before="7" w:line="480" w:lineRule="auto"/>
        <w:ind w:left="438" w:right="700" w:firstLine="480"/>
        <w:jc w:val="left"/>
        <w:rPr>
          <w:color w:val="auto"/>
          <w:sz w:val="24"/>
          <w:highlight w:val="none"/>
        </w:rPr>
      </w:pPr>
      <w:r>
        <w:rPr>
          <w:color w:val="auto"/>
          <w:sz w:val="24"/>
          <w:highlight w:val="none"/>
        </w:rPr>
        <w:t>我单位在</w:t>
      </w:r>
      <w:r>
        <w:rPr>
          <w:color w:val="auto"/>
          <w:sz w:val="24"/>
          <w:highlight w:val="none"/>
          <w:u w:val="single"/>
        </w:rPr>
        <w:t xml:space="preserve"> </w:t>
      </w:r>
      <w:r>
        <w:rPr>
          <w:color w:val="auto"/>
          <w:sz w:val="24"/>
          <w:highlight w:val="none"/>
          <w:u w:val="single"/>
        </w:rPr>
        <w:tab/>
      </w:r>
      <w:r>
        <w:rPr>
          <w:color w:val="auto"/>
          <w:sz w:val="24"/>
          <w:highlight w:val="none"/>
          <w:u w:val="single"/>
        </w:rPr>
        <w:t xml:space="preserve">（项目名称） </w:t>
      </w:r>
      <w:r>
        <w:rPr>
          <w:color w:val="auto"/>
          <w:sz w:val="24"/>
          <w:highlight w:val="none"/>
          <w:u w:val="single"/>
        </w:rPr>
        <w:tab/>
      </w:r>
      <w:r>
        <w:rPr>
          <w:color w:val="auto"/>
          <w:sz w:val="24"/>
          <w:highlight w:val="none"/>
        </w:rPr>
        <w:t>的投标中，若我方被确定为中标人后，我方将在收到中标通知书后</w:t>
      </w:r>
      <w:r>
        <w:rPr>
          <w:color w:val="auto"/>
          <w:spacing w:val="-60"/>
          <w:sz w:val="24"/>
          <w:highlight w:val="none"/>
        </w:rPr>
        <w:t xml:space="preserve"> </w:t>
      </w:r>
      <w:r>
        <w:rPr>
          <w:color w:val="auto"/>
          <w:sz w:val="24"/>
          <w:highlight w:val="none"/>
        </w:rPr>
        <w:t>7</w:t>
      </w:r>
      <w:r>
        <w:rPr>
          <w:color w:val="auto"/>
          <w:spacing w:val="-60"/>
          <w:sz w:val="24"/>
          <w:highlight w:val="none"/>
        </w:rPr>
        <w:t xml:space="preserve"> </w:t>
      </w:r>
      <w:r>
        <w:rPr>
          <w:color w:val="auto"/>
          <w:sz w:val="24"/>
          <w:highlight w:val="none"/>
        </w:rPr>
        <w:t>天内按要求提交详细的施工组织设计。</w:t>
      </w:r>
    </w:p>
    <w:p w14:paraId="7030C12F">
      <w:pPr>
        <w:spacing w:line="480" w:lineRule="auto"/>
        <w:ind w:left="918"/>
        <w:jc w:val="left"/>
        <w:rPr>
          <w:color w:val="auto"/>
          <w:sz w:val="24"/>
          <w:highlight w:val="none"/>
        </w:rPr>
      </w:pPr>
      <w:r>
        <w:rPr>
          <w:color w:val="auto"/>
          <w:sz w:val="24"/>
          <w:highlight w:val="none"/>
        </w:rPr>
        <w:t>特此承诺</w:t>
      </w:r>
    </w:p>
    <w:p w14:paraId="06A5ACEF">
      <w:pPr>
        <w:pStyle w:val="15"/>
        <w:spacing w:before="9" w:line="480" w:lineRule="auto"/>
        <w:rPr>
          <w:color w:val="auto"/>
          <w:highlight w:val="none"/>
        </w:rPr>
      </w:pPr>
    </w:p>
    <w:p w14:paraId="6DF69C23">
      <w:pPr>
        <w:tabs>
          <w:tab w:val="left" w:pos="7998"/>
          <w:tab w:val="left" w:pos="8478"/>
        </w:tabs>
        <w:spacing w:before="1" w:line="480" w:lineRule="auto"/>
        <w:ind w:right="765"/>
        <w:jc w:val="right"/>
        <w:rPr>
          <w:color w:val="auto"/>
          <w:sz w:val="24"/>
          <w:highlight w:val="none"/>
        </w:rPr>
      </w:pPr>
      <w:r>
        <w:rPr>
          <w:color w:val="auto"/>
          <w:sz w:val="24"/>
          <w:highlight w:val="none"/>
        </w:rPr>
        <w:t>投标人：</w:t>
      </w:r>
      <w:r>
        <w:rPr>
          <w:rFonts w:hint="eastAsia"/>
          <w:color w:val="auto"/>
          <w:sz w:val="24"/>
          <w:highlight w:val="none"/>
          <w:u w:val="single"/>
        </w:rPr>
        <w:t xml:space="preserve">                       </w:t>
      </w:r>
      <w:r>
        <w:rPr>
          <w:color w:val="auto"/>
          <w:sz w:val="24"/>
          <w:highlight w:val="none"/>
        </w:rPr>
        <w:t>（盖单位章）</w:t>
      </w:r>
    </w:p>
    <w:p w14:paraId="25AF87EF">
      <w:pPr>
        <w:tabs>
          <w:tab w:val="left" w:pos="7998"/>
          <w:tab w:val="left" w:pos="8478"/>
        </w:tabs>
        <w:spacing w:before="1" w:line="480" w:lineRule="auto"/>
        <w:ind w:right="765" w:firstLine="3840" w:firstLineChars="1600"/>
        <w:jc w:val="right"/>
        <w:rPr>
          <w:color w:val="auto"/>
          <w:sz w:val="24"/>
          <w:highlight w:val="none"/>
        </w:rPr>
      </w:pPr>
    </w:p>
    <w:p w14:paraId="2229C6B5">
      <w:pPr>
        <w:tabs>
          <w:tab w:val="left" w:pos="7998"/>
          <w:tab w:val="left" w:pos="8478"/>
        </w:tabs>
        <w:spacing w:before="1" w:line="480" w:lineRule="auto"/>
        <w:ind w:right="765"/>
        <w:jc w:val="right"/>
        <w:rPr>
          <w:color w:val="auto"/>
          <w:sz w:val="24"/>
          <w:highlight w:val="none"/>
        </w:rPr>
      </w:pPr>
      <w:r>
        <w:rPr>
          <w:color w:val="auto"/>
          <w:sz w:val="24"/>
          <w:highlight w:val="none"/>
        </w:rPr>
        <w:t>法定代表人或其委托代理人：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（签字）</w:t>
      </w:r>
    </w:p>
    <w:p w14:paraId="4FB683F5">
      <w:pPr>
        <w:pStyle w:val="59"/>
        <w:spacing w:line="480" w:lineRule="auto"/>
        <w:ind w:firstLine="5280" w:firstLineChars="2200"/>
        <w:rPr>
          <w:color w:val="auto"/>
          <w:highlight w:val="none"/>
        </w:rPr>
      </w:pPr>
      <w:r>
        <w:rPr>
          <w:rFonts w:hint="eastAsia"/>
          <w:color w:val="auto"/>
          <w:highlight w:val="none"/>
        </w:rPr>
        <w:t xml:space="preserve">   </w:t>
      </w:r>
    </w:p>
    <w:p w14:paraId="499C16EA">
      <w:pPr>
        <w:pStyle w:val="59"/>
        <w:spacing w:line="480" w:lineRule="auto"/>
        <w:ind w:firstLine="5280" w:firstLineChars="2200"/>
        <w:rPr>
          <w:color w:val="auto"/>
          <w:highlight w:val="none"/>
        </w:rPr>
      </w:pPr>
      <w:r>
        <w:rPr>
          <w:rFonts w:hint="eastAsia"/>
          <w:color w:val="auto"/>
          <w:highlight w:val="none"/>
        </w:rPr>
        <w:t xml:space="preserve"> </w:t>
      </w: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5ECCA49E">
      <w:pPr>
        <w:adjustRightInd w:val="0"/>
        <w:snapToGrid w:val="0"/>
        <w:spacing w:line="360" w:lineRule="auto"/>
        <w:rPr>
          <w:rFonts w:ascii="宋体" w:hAnsi="宋体"/>
          <w:color w:val="auto"/>
          <w:sz w:val="24"/>
          <w:highlight w:val="none"/>
        </w:rPr>
      </w:pPr>
    </w:p>
    <w:p w14:paraId="4F9D8033">
      <w:pPr>
        <w:adjustRightInd w:val="0"/>
        <w:snapToGrid w:val="0"/>
        <w:spacing w:line="360" w:lineRule="auto"/>
        <w:rPr>
          <w:rFonts w:ascii="宋体" w:hAnsi="宋体"/>
          <w:color w:val="auto"/>
          <w:sz w:val="24"/>
          <w:highlight w:val="none"/>
        </w:rPr>
      </w:pPr>
    </w:p>
    <w:p w14:paraId="37ACEDCB">
      <w:pPr>
        <w:adjustRightInd w:val="0"/>
        <w:snapToGrid w:val="0"/>
        <w:spacing w:line="360" w:lineRule="auto"/>
        <w:rPr>
          <w:rFonts w:ascii="宋体" w:hAnsi="宋体"/>
          <w:color w:val="auto"/>
          <w:sz w:val="24"/>
          <w:highlight w:val="none"/>
        </w:rPr>
      </w:pPr>
    </w:p>
    <w:p w14:paraId="638E5068">
      <w:pPr>
        <w:pStyle w:val="59"/>
        <w:rPr>
          <w:rFonts w:ascii="宋体" w:hAnsi="宋体" w:cs="宋体"/>
          <w:color w:val="auto"/>
          <w:highlight w:val="none"/>
        </w:rPr>
      </w:pPr>
    </w:p>
    <w:p w14:paraId="6A4D109E">
      <w:pPr>
        <w:pStyle w:val="59"/>
        <w:rPr>
          <w:rFonts w:ascii="宋体" w:hAnsi="宋体" w:cs="宋体"/>
          <w:color w:val="auto"/>
          <w:highlight w:val="none"/>
        </w:rPr>
      </w:pPr>
    </w:p>
    <w:p w14:paraId="02BF0893">
      <w:pPr>
        <w:pStyle w:val="59"/>
        <w:rPr>
          <w:rFonts w:ascii="宋体" w:hAnsi="宋体" w:cs="宋体"/>
          <w:color w:val="auto"/>
          <w:highlight w:val="none"/>
        </w:rPr>
      </w:pPr>
    </w:p>
    <w:p w14:paraId="22FCAAF2">
      <w:pPr>
        <w:pStyle w:val="59"/>
        <w:rPr>
          <w:rFonts w:ascii="宋体" w:hAnsi="宋体" w:cs="宋体"/>
          <w:color w:val="auto"/>
          <w:highlight w:val="none"/>
        </w:rPr>
      </w:pPr>
    </w:p>
    <w:p w14:paraId="4BE90D3A">
      <w:pPr>
        <w:pStyle w:val="59"/>
        <w:rPr>
          <w:rFonts w:ascii="宋体" w:hAnsi="宋体" w:cs="宋体"/>
          <w:color w:val="auto"/>
          <w:highlight w:val="none"/>
        </w:rPr>
      </w:pPr>
    </w:p>
    <w:p w14:paraId="799EFC6B">
      <w:pPr>
        <w:pStyle w:val="59"/>
        <w:rPr>
          <w:rFonts w:ascii="宋体" w:hAnsi="宋体" w:cs="宋体"/>
          <w:color w:val="auto"/>
          <w:highlight w:val="none"/>
        </w:rPr>
      </w:pPr>
    </w:p>
    <w:p w14:paraId="533F7D78">
      <w:pPr>
        <w:pStyle w:val="52"/>
        <w:widowControl w:val="0"/>
        <w:numPr>
          <w:ilvl w:val="0"/>
          <w:numId w:val="0"/>
        </w:numPr>
        <w:spacing w:line="560" w:lineRule="exact"/>
        <w:ind w:left="15" w:leftChars="7" w:firstLine="403" w:firstLineChars="168"/>
        <w:jc w:val="both"/>
        <w:rPr>
          <w:rFonts w:hint="default" w:ascii="宋体" w:hAnsi="宋体" w:cs="宋体"/>
          <w:color w:val="auto"/>
          <w:sz w:val="24"/>
          <w:szCs w:val="24"/>
          <w:highlight w:val="none"/>
          <w:lang w:val="en-US" w:eastAsia="zh-CN"/>
        </w:rPr>
        <w:sectPr>
          <w:headerReference r:id="rId18" w:type="default"/>
          <w:footerReference r:id="rId19" w:type="default"/>
          <w:footnotePr>
            <w:numFmt w:val="decimalEnclosedCircleChinese"/>
          </w:footnotePr>
          <w:pgSz w:w="11906" w:h="16838"/>
          <w:pgMar w:top="1038" w:right="924" w:bottom="936" w:left="1418" w:header="624" w:footer="590" w:gutter="0"/>
          <w:cols w:space="720" w:num="1"/>
          <w:docGrid w:type="lines" w:linePitch="312" w:charSpace="0"/>
        </w:sectPr>
      </w:pPr>
      <w:r>
        <w:rPr>
          <w:rFonts w:hint="eastAsia" w:ascii="宋体" w:hAnsi="宋体" w:cs="宋体"/>
          <w:color w:val="auto"/>
          <w:kern w:val="0"/>
          <w:sz w:val="24"/>
          <w:highlight w:val="none"/>
          <w:lang w:val="zh-CN"/>
        </w:rPr>
        <w:t>注：因为双信封的合理低价法规定施工组织设计的分值为 0，故投标人投标时可不提供具体的施工组织设计，但须按此承诺函格式进行承诺。</w:t>
      </w:r>
    </w:p>
    <w:p w14:paraId="3C6A837B">
      <w:pPr>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五、项目管理机构</w:t>
      </w:r>
    </w:p>
    <w:tbl>
      <w:tblPr>
        <w:tblStyle w:val="42"/>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03B28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14:paraId="01FACA93">
            <w:pPr>
              <w:rPr>
                <w:rFonts w:ascii="宋体" w:hAnsi="宋体" w:cs="宋体"/>
                <w:color w:val="auto"/>
                <w:szCs w:val="21"/>
                <w:highlight w:val="none"/>
              </w:rPr>
            </w:pPr>
          </w:p>
          <w:p w14:paraId="29C0A995">
            <w:pPr>
              <w:rPr>
                <w:rFonts w:ascii="宋体" w:hAnsi="宋体" w:cs="宋体"/>
                <w:color w:val="auto"/>
                <w:szCs w:val="21"/>
                <w:highlight w:val="none"/>
              </w:rPr>
            </w:pPr>
            <w:r>
              <w:rPr>
                <w:rFonts w:hint="eastAsia" w:ascii="宋体" w:hAnsi="宋体" w:cs="宋体"/>
                <w:color w:val="auto"/>
                <w:szCs w:val="21"/>
                <w:highlight w:val="none"/>
              </w:rPr>
              <w:t>拟为承包本标段工程设立的组织机构以框图方式表示。</w:t>
            </w:r>
          </w:p>
        </w:tc>
      </w:tr>
      <w:tr w14:paraId="1A5CA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14:paraId="628E902C">
            <w:pPr>
              <w:rPr>
                <w:rFonts w:ascii="宋体" w:hAnsi="宋体" w:cs="宋体"/>
                <w:color w:val="auto"/>
                <w:szCs w:val="21"/>
                <w:highlight w:val="none"/>
              </w:rPr>
            </w:pPr>
          </w:p>
          <w:p w14:paraId="654609DD">
            <w:pPr>
              <w:rPr>
                <w:rFonts w:ascii="宋体" w:hAnsi="宋体" w:cs="宋体"/>
                <w:color w:val="auto"/>
                <w:szCs w:val="21"/>
                <w:highlight w:val="none"/>
              </w:rPr>
            </w:pPr>
            <w:r>
              <w:rPr>
                <w:rFonts w:hint="eastAsia" w:ascii="宋体" w:hAnsi="宋体" w:cs="宋体"/>
                <w:color w:val="auto"/>
                <w:szCs w:val="21"/>
                <w:highlight w:val="none"/>
              </w:rPr>
              <w:t>说明</w:t>
            </w:r>
          </w:p>
        </w:tc>
      </w:tr>
    </w:tbl>
    <w:p w14:paraId="01A4C795">
      <w:pPr>
        <w:pStyle w:val="52"/>
        <w:widowControl w:val="0"/>
        <w:numPr>
          <w:ilvl w:val="0"/>
          <w:numId w:val="0"/>
        </w:numPr>
        <w:spacing w:line="560" w:lineRule="exact"/>
        <w:ind w:left="15" w:leftChars="7" w:firstLine="403" w:firstLineChars="168"/>
        <w:jc w:val="both"/>
        <w:rPr>
          <w:rFonts w:hint="default" w:ascii="宋体" w:hAnsi="宋体" w:cs="宋体"/>
          <w:color w:val="auto"/>
          <w:sz w:val="24"/>
          <w:szCs w:val="24"/>
          <w:highlight w:val="none"/>
          <w:lang w:val="en-US" w:eastAsia="zh-CN"/>
        </w:rPr>
        <w:sectPr>
          <w:footnotePr>
            <w:numFmt w:val="decimalEnclosedCircleChinese"/>
          </w:footnotePr>
          <w:pgSz w:w="11906" w:h="16838"/>
          <w:pgMar w:top="1038" w:right="924" w:bottom="936" w:left="1418" w:header="624" w:footer="590" w:gutter="0"/>
          <w:cols w:space="720" w:num="1"/>
          <w:docGrid w:type="lines" w:linePitch="312" w:charSpace="0"/>
        </w:sectPr>
      </w:pPr>
    </w:p>
    <w:p w14:paraId="6DD8E838">
      <w:pPr>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六、拟分包项目情况表</w:t>
      </w:r>
    </w:p>
    <w:tbl>
      <w:tblPr>
        <w:tblStyle w:val="42"/>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14:paraId="60B233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14:paraId="7622AE50">
            <w:pPr>
              <w:pStyle w:val="80"/>
              <w:spacing w:before="46" w:line="242" w:lineRule="auto"/>
              <w:ind w:left="964" w:right="461" w:hanging="480"/>
              <w:rPr>
                <w:rFonts w:ascii="宋体" w:hAnsi="宋体" w:cs="宋体"/>
                <w:color w:val="auto"/>
                <w:sz w:val="24"/>
                <w:highlight w:val="none"/>
              </w:rPr>
            </w:pPr>
            <w:r>
              <w:rPr>
                <w:rFonts w:hint="eastAsia" w:ascii="宋体" w:hAnsi="宋体" w:cs="宋体"/>
                <w:color w:val="auto"/>
                <w:sz w:val="24"/>
                <w:highlight w:val="none"/>
              </w:rPr>
              <w:t>拟分包的工程项目</w:t>
            </w:r>
          </w:p>
        </w:tc>
        <w:tc>
          <w:tcPr>
            <w:tcW w:w="2409" w:type="dxa"/>
            <w:tcBorders>
              <w:left w:val="single" w:color="000000" w:sz="6" w:space="0"/>
              <w:bottom w:val="single" w:color="000000" w:sz="6" w:space="0"/>
              <w:right w:val="single" w:color="000000" w:sz="6" w:space="0"/>
            </w:tcBorders>
          </w:tcPr>
          <w:p w14:paraId="617A3026">
            <w:pPr>
              <w:pStyle w:val="80"/>
              <w:spacing w:before="201"/>
              <w:ind w:left="491"/>
              <w:rPr>
                <w:rFonts w:ascii="宋体" w:hAnsi="宋体" w:cs="宋体"/>
                <w:color w:val="auto"/>
                <w:sz w:val="24"/>
                <w:highlight w:val="none"/>
              </w:rPr>
            </w:pPr>
            <w:r>
              <w:rPr>
                <w:rFonts w:hint="eastAsia" w:ascii="宋体" w:hAnsi="宋体" w:cs="宋体"/>
                <w:color w:val="auto"/>
                <w:sz w:val="24"/>
                <w:highlight w:val="none"/>
              </w:rPr>
              <w:t>主要工程内容</w:t>
            </w:r>
          </w:p>
        </w:tc>
        <w:tc>
          <w:tcPr>
            <w:tcW w:w="2409" w:type="dxa"/>
            <w:tcBorders>
              <w:left w:val="single" w:color="000000" w:sz="6" w:space="0"/>
              <w:bottom w:val="single" w:color="000000" w:sz="6" w:space="0"/>
              <w:right w:val="single" w:color="000000" w:sz="6" w:space="0"/>
            </w:tcBorders>
          </w:tcPr>
          <w:p w14:paraId="62E4E884">
            <w:pPr>
              <w:pStyle w:val="80"/>
              <w:spacing w:before="201"/>
              <w:ind w:left="253"/>
              <w:rPr>
                <w:rFonts w:ascii="宋体" w:hAnsi="宋体" w:cs="宋体"/>
                <w:color w:val="auto"/>
                <w:sz w:val="24"/>
                <w:highlight w:val="none"/>
              </w:rPr>
            </w:pPr>
            <w:r>
              <w:rPr>
                <w:rFonts w:hint="eastAsia" w:ascii="宋体" w:hAnsi="宋体" w:cs="宋体"/>
                <w:color w:val="auto"/>
                <w:sz w:val="24"/>
                <w:highlight w:val="none"/>
              </w:rPr>
              <w:t>预计造价（万元）</w:t>
            </w:r>
          </w:p>
        </w:tc>
        <w:tc>
          <w:tcPr>
            <w:tcW w:w="2410" w:type="dxa"/>
            <w:tcBorders>
              <w:left w:val="single" w:color="000000" w:sz="6" w:space="0"/>
              <w:bottom w:val="single" w:color="000000" w:sz="6" w:space="0"/>
            </w:tcBorders>
          </w:tcPr>
          <w:p w14:paraId="3812FAC9">
            <w:pPr>
              <w:pStyle w:val="80"/>
              <w:spacing w:before="201"/>
              <w:ind w:left="130" w:right="91"/>
              <w:jc w:val="center"/>
              <w:rPr>
                <w:rFonts w:ascii="宋体" w:hAnsi="宋体" w:cs="宋体"/>
                <w:color w:val="auto"/>
                <w:sz w:val="24"/>
                <w:highlight w:val="none"/>
              </w:rPr>
            </w:pPr>
            <w:r>
              <w:rPr>
                <w:rFonts w:hint="eastAsia" w:ascii="宋体" w:hAnsi="宋体" w:cs="宋体"/>
                <w:color w:val="auto"/>
                <w:sz w:val="24"/>
                <w:highlight w:val="none"/>
              </w:rPr>
              <w:t>备注</w:t>
            </w:r>
          </w:p>
        </w:tc>
      </w:tr>
      <w:tr w14:paraId="24C09B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14:paraId="7911FA05">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352950A5">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7012FA23">
            <w:pPr>
              <w:pStyle w:val="80"/>
              <w:rPr>
                <w:rFonts w:ascii="宋体" w:hAnsi="宋体" w:cs="宋体"/>
                <w:color w:val="auto"/>
                <w:sz w:val="20"/>
                <w:highlight w:val="none"/>
              </w:rPr>
            </w:pPr>
          </w:p>
        </w:tc>
        <w:tc>
          <w:tcPr>
            <w:tcW w:w="2410" w:type="dxa"/>
            <w:vMerge w:val="restart"/>
            <w:tcBorders>
              <w:top w:val="single" w:color="000000" w:sz="6" w:space="0"/>
              <w:left w:val="single" w:color="000000" w:sz="6" w:space="0"/>
            </w:tcBorders>
          </w:tcPr>
          <w:p w14:paraId="0DCE7C9D">
            <w:pPr>
              <w:pStyle w:val="80"/>
              <w:rPr>
                <w:rFonts w:ascii="宋体" w:hAnsi="宋体" w:cs="宋体"/>
                <w:color w:val="auto"/>
                <w:sz w:val="24"/>
                <w:highlight w:val="none"/>
              </w:rPr>
            </w:pPr>
          </w:p>
          <w:p w14:paraId="51FF87DA">
            <w:pPr>
              <w:pStyle w:val="80"/>
              <w:rPr>
                <w:rFonts w:ascii="宋体" w:hAnsi="宋体" w:cs="宋体"/>
                <w:color w:val="auto"/>
                <w:sz w:val="24"/>
                <w:highlight w:val="none"/>
              </w:rPr>
            </w:pPr>
          </w:p>
          <w:p w14:paraId="292C69FC">
            <w:pPr>
              <w:pStyle w:val="80"/>
              <w:rPr>
                <w:rFonts w:ascii="宋体" w:hAnsi="宋体" w:cs="宋体"/>
                <w:color w:val="auto"/>
                <w:sz w:val="24"/>
                <w:highlight w:val="none"/>
              </w:rPr>
            </w:pPr>
          </w:p>
          <w:p w14:paraId="7D9AAFAE">
            <w:pPr>
              <w:pStyle w:val="80"/>
              <w:rPr>
                <w:rFonts w:ascii="宋体" w:hAnsi="宋体" w:cs="宋体"/>
                <w:color w:val="auto"/>
                <w:sz w:val="24"/>
                <w:highlight w:val="none"/>
              </w:rPr>
            </w:pPr>
          </w:p>
          <w:p w14:paraId="450FB778">
            <w:pPr>
              <w:pStyle w:val="80"/>
              <w:rPr>
                <w:rFonts w:ascii="宋体" w:hAnsi="宋体" w:cs="宋体"/>
                <w:color w:val="auto"/>
                <w:sz w:val="24"/>
                <w:highlight w:val="none"/>
              </w:rPr>
            </w:pPr>
          </w:p>
          <w:p w14:paraId="19A2E793">
            <w:pPr>
              <w:pStyle w:val="80"/>
              <w:rPr>
                <w:rFonts w:ascii="宋体" w:hAnsi="宋体" w:cs="宋体"/>
                <w:color w:val="auto"/>
                <w:sz w:val="24"/>
                <w:highlight w:val="none"/>
              </w:rPr>
            </w:pPr>
          </w:p>
          <w:p w14:paraId="455DD03C">
            <w:pPr>
              <w:pStyle w:val="80"/>
              <w:rPr>
                <w:rFonts w:ascii="宋体" w:hAnsi="宋体" w:cs="宋体"/>
                <w:color w:val="auto"/>
                <w:sz w:val="24"/>
                <w:highlight w:val="none"/>
              </w:rPr>
            </w:pPr>
          </w:p>
          <w:p w14:paraId="53746EEA">
            <w:pPr>
              <w:pStyle w:val="80"/>
              <w:rPr>
                <w:rFonts w:ascii="宋体" w:hAnsi="宋体" w:cs="宋体"/>
                <w:color w:val="auto"/>
                <w:sz w:val="24"/>
                <w:highlight w:val="none"/>
              </w:rPr>
            </w:pPr>
          </w:p>
          <w:p w14:paraId="03498336">
            <w:pPr>
              <w:pStyle w:val="80"/>
              <w:rPr>
                <w:rFonts w:ascii="宋体" w:hAnsi="宋体" w:cs="宋体"/>
                <w:color w:val="auto"/>
                <w:sz w:val="24"/>
                <w:highlight w:val="none"/>
              </w:rPr>
            </w:pPr>
          </w:p>
          <w:p w14:paraId="0A223683">
            <w:pPr>
              <w:pStyle w:val="80"/>
              <w:rPr>
                <w:rFonts w:ascii="宋体" w:hAnsi="宋体" w:cs="宋体"/>
                <w:color w:val="auto"/>
                <w:sz w:val="24"/>
                <w:highlight w:val="none"/>
              </w:rPr>
            </w:pPr>
          </w:p>
          <w:p w14:paraId="5F537921">
            <w:pPr>
              <w:pStyle w:val="80"/>
              <w:rPr>
                <w:rFonts w:ascii="宋体" w:hAnsi="宋体" w:cs="宋体"/>
                <w:color w:val="auto"/>
                <w:sz w:val="24"/>
                <w:highlight w:val="none"/>
              </w:rPr>
            </w:pPr>
          </w:p>
          <w:p w14:paraId="72DE85C9">
            <w:pPr>
              <w:pStyle w:val="80"/>
              <w:rPr>
                <w:rFonts w:ascii="宋体" w:hAnsi="宋体" w:cs="宋体"/>
                <w:color w:val="auto"/>
                <w:sz w:val="24"/>
                <w:highlight w:val="none"/>
              </w:rPr>
            </w:pPr>
          </w:p>
          <w:p w14:paraId="696795A2">
            <w:pPr>
              <w:pStyle w:val="80"/>
              <w:spacing w:before="1"/>
              <w:rPr>
                <w:rFonts w:ascii="宋体" w:hAnsi="宋体" w:cs="宋体"/>
                <w:color w:val="auto"/>
                <w:sz w:val="29"/>
                <w:highlight w:val="none"/>
              </w:rPr>
            </w:pPr>
          </w:p>
          <w:p w14:paraId="2B76BB25">
            <w:pPr>
              <w:pStyle w:val="80"/>
              <w:spacing w:line="242" w:lineRule="auto"/>
              <w:ind w:left="133" w:right="91"/>
              <w:jc w:val="center"/>
              <w:rPr>
                <w:rFonts w:ascii="宋体" w:hAnsi="宋体" w:cs="宋体"/>
                <w:color w:val="auto"/>
                <w:sz w:val="24"/>
                <w:highlight w:val="none"/>
              </w:rPr>
            </w:pPr>
            <w:r>
              <w:rPr>
                <w:rFonts w:hint="eastAsia" w:ascii="宋体" w:hAnsi="宋体" w:cs="宋体"/>
                <w:color w:val="auto"/>
                <w:sz w:val="24"/>
                <w:highlight w:val="none"/>
              </w:rPr>
              <w:t>注：若无分包计划， 则投标人应在本表填写“无”。</w:t>
            </w:r>
          </w:p>
        </w:tc>
      </w:tr>
      <w:tr w14:paraId="742903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1DA40ECA">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73F1EEFA">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42963FE2">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08DFBD20">
            <w:pPr>
              <w:rPr>
                <w:rFonts w:ascii="宋体" w:hAnsi="宋体" w:cs="宋体"/>
                <w:color w:val="auto"/>
                <w:sz w:val="2"/>
                <w:szCs w:val="2"/>
                <w:highlight w:val="none"/>
              </w:rPr>
            </w:pPr>
          </w:p>
        </w:tc>
      </w:tr>
      <w:tr w14:paraId="178608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02364AC9">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28804486">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75B09AF8">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5D324EC3">
            <w:pPr>
              <w:rPr>
                <w:rFonts w:ascii="宋体" w:hAnsi="宋体" w:cs="宋体"/>
                <w:color w:val="auto"/>
                <w:sz w:val="2"/>
                <w:szCs w:val="2"/>
                <w:highlight w:val="none"/>
              </w:rPr>
            </w:pPr>
          </w:p>
        </w:tc>
      </w:tr>
      <w:tr w14:paraId="08A150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037AF67F">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3FF65CE6">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02B47288">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7003A502">
            <w:pPr>
              <w:rPr>
                <w:rFonts w:ascii="宋体" w:hAnsi="宋体" w:cs="宋体"/>
                <w:color w:val="auto"/>
                <w:sz w:val="2"/>
                <w:szCs w:val="2"/>
                <w:highlight w:val="none"/>
              </w:rPr>
            </w:pPr>
          </w:p>
        </w:tc>
      </w:tr>
      <w:tr w14:paraId="1E0ECC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7F769A37">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412A5B43">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3265E762">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04D51F38">
            <w:pPr>
              <w:rPr>
                <w:rFonts w:ascii="宋体" w:hAnsi="宋体" w:cs="宋体"/>
                <w:color w:val="auto"/>
                <w:sz w:val="2"/>
                <w:szCs w:val="2"/>
                <w:highlight w:val="none"/>
              </w:rPr>
            </w:pPr>
          </w:p>
        </w:tc>
      </w:tr>
      <w:tr w14:paraId="1C4F34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0C6B73E4">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7BA6D83E">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2E1302EE">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060A4CE9">
            <w:pPr>
              <w:rPr>
                <w:rFonts w:ascii="宋体" w:hAnsi="宋体" w:cs="宋体"/>
                <w:color w:val="auto"/>
                <w:sz w:val="2"/>
                <w:szCs w:val="2"/>
                <w:highlight w:val="none"/>
              </w:rPr>
            </w:pPr>
          </w:p>
        </w:tc>
      </w:tr>
      <w:tr w14:paraId="299C0A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1CB5686C">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4EB7E5E8">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735698C0">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74FCA664">
            <w:pPr>
              <w:rPr>
                <w:rFonts w:ascii="宋体" w:hAnsi="宋体" w:cs="宋体"/>
                <w:color w:val="auto"/>
                <w:sz w:val="2"/>
                <w:szCs w:val="2"/>
                <w:highlight w:val="none"/>
              </w:rPr>
            </w:pPr>
          </w:p>
        </w:tc>
      </w:tr>
      <w:tr w14:paraId="133E42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12825430">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5F1A3F41">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6756A57A">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0FE5E621">
            <w:pPr>
              <w:rPr>
                <w:rFonts w:ascii="宋体" w:hAnsi="宋体" w:cs="宋体"/>
                <w:color w:val="auto"/>
                <w:sz w:val="2"/>
                <w:szCs w:val="2"/>
                <w:highlight w:val="none"/>
              </w:rPr>
            </w:pPr>
          </w:p>
        </w:tc>
      </w:tr>
      <w:tr w14:paraId="32760E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3227325D">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21A27693">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4564AD7E">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58095414">
            <w:pPr>
              <w:rPr>
                <w:rFonts w:ascii="宋体" w:hAnsi="宋体" w:cs="宋体"/>
                <w:color w:val="auto"/>
                <w:sz w:val="2"/>
                <w:szCs w:val="2"/>
                <w:highlight w:val="none"/>
              </w:rPr>
            </w:pPr>
          </w:p>
        </w:tc>
      </w:tr>
      <w:tr w14:paraId="099D1E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150A9E80">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042905EC">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353A1369">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19E727F0">
            <w:pPr>
              <w:rPr>
                <w:rFonts w:ascii="宋体" w:hAnsi="宋体" w:cs="宋体"/>
                <w:color w:val="auto"/>
                <w:sz w:val="2"/>
                <w:szCs w:val="2"/>
                <w:highlight w:val="none"/>
              </w:rPr>
            </w:pPr>
          </w:p>
        </w:tc>
      </w:tr>
      <w:tr w14:paraId="578323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5AE3209C">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00B8F8DD">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45080E48">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2E16C41F">
            <w:pPr>
              <w:rPr>
                <w:rFonts w:ascii="宋体" w:hAnsi="宋体" w:cs="宋体"/>
                <w:color w:val="auto"/>
                <w:sz w:val="2"/>
                <w:szCs w:val="2"/>
                <w:highlight w:val="none"/>
              </w:rPr>
            </w:pPr>
          </w:p>
        </w:tc>
      </w:tr>
      <w:tr w14:paraId="02CC0C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351AF979">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6B662869">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75511083">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4C430E64">
            <w:pPr>
              <w:rPr>
                <w:rFonts w:ascii="宋体" w:hAnsi="宋体" w:cs="宋体"/>
                <w:color w:val="auto"/>
                <w:sz w:val="2"/>
                <w:szCs w:val="2"/>
                <w:highlight w:val="none"/>
              </w:rPr>
            </w:pPr>
          </w:p>
        </w:tc>
      </w:tr>
      <w:tr w14:paraId="7DF5BD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3C39D6FA">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540C525F">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33A7AD61">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2BAE616E">
            <w:pPr>
              <w:rPr>
                <w:rFonts w:ascii="宋体" w:hAnsi="宋体" w:cs="宋体"/>
                <w:color w:val="auto"/>
                <w:sz w:val="2"/>
                <w:szCs w:val="2"/>
                <w:highlight w:val="none"/>
              </w:rPr>
            </w:pPr>
          </w:p>
        </w:tc>
      </w:tr>
      <w:tr w14:paraId="0D84DB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19AA869B">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0B733970">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6362DE0C">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0E6C28CB">
            <w:pPr>
              <w:rPr>
                <w:rFonts w:ascii="宋体" w:hAnsi="宋体" w:cs="宋体"/>
                <w:color w:val="auto"/>
                <w:sz w:val="2"/>
                <w:szCs w:val="2"/>
                <w:highlight w:val="none"/>
              </w:rPr>
            </w:pPr>
          </w:p>
        </w:tc>
      </w:tr>
      <w:tr w14:paraId="2D9763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48D14B6D">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1698D4FA">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5179A8A2">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5402CB9E">
            <w:pPr>
              <w:rPr>
                <w:rFonts w:ascii="宋体" w:hAnsi="宋体" w:cs="宋体"/>
                <w:color w:val="auto"/>
                <w:sz w:val="2"/>
                <w:szCs w:val="2"/>
                <w:highlight w:val="none"/>
              </w:rPr>
            </w:pPr>
          </w:p>
        </w:tc>
      </w:tr>
      <w:tr w14:paraId="22322A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14:paraId="725F19DC">
            <w:pPr>
              <w:pStyle w:val="80"/>
              <w:spacing w:before="140"/>
              <w:ind w:left="1109"/>
              <w:rPr>
                <w:rFonts w:ascii="宋体" w:hAnsi="宋体" w:cs="宋体"/>
                <w:color w:val="auto"/>
                <w:sz w:val="20"/>
                <w:highlight w:val="none"/>
              </w:rPr>
            </w:pPr>
            <w:r>
              <w:rPr>
                <w:rFonts w:hint="eastAsia" w:ascii="宋体" w:hAnsi="宋体" w:cs="宋体"/>
                <w:color w:val="auto"/>
                <w:sz w:val="24"/>
                <w:highlight w:val="none"/>
              </w:rPr>
              <w:t>拟分包工程造价合计（万元）</w:t>
            </w:r>
          </w:p>
        </w:tc>
        <w:tc>
          <w:tcPr>
            <w:tcW w:w="2409" w:type="dxa"/>
            <w:tcBorders>
              <w:top w:val="single" w:color="000000" w:sz="6" w:space="0"/>
              <w:left w:val="single" w:color="000000" w:sz="6" w:space="0"/>
              <w:right w:val="single" w:color="000000" w:sz="6" w:space="0"/>
            </w:tcBorders>
          </w:tcPr>
          <w:p w14:paraId="21E9B0EB">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69A3335B">
            <w:pPr>
              <w:rPr>
                <w:rFonts w:ascii="宋体" w:hAnsi="宋体" w:cs="宋体"/>
                <w:color w:val="auto"/>
                <w:sz w:val="2"/>
                <w:szCs w:val="2"/>
                <w:highlight w:val="none"/>
              </w:rPr>
            </w:pPr>
          </w:p>
        </w:tc>
      </w:tr>
    </w:tbl>
    <w:p w14:paraId="72D3E168">
      <w:pPr>
        <w:pStyle w:val="15"/>
        <w:spacing w:before="4"/>
        <w:rPr>
          <w:rFonts w:ascii="宋体" w:hAnsi="宋体" w:cs="宋体"/>
          <w:color w:val="auto"/>
          <w:sz w:val="24"/>
          <w:highlight w:val="none"/>
        </w:rPr>
      </w:pPr>
    </w:p>
    <w:p w14:paraId="1041488D">
      <w:pPr>
        <w:pStyle w:val="15"/>
        <w:spacing w:before="2"/>
        <w:rPr>
          <w:rFonts w:hint="eastAsia" w:ascii="宋体" w:hAnsi="宋体" w:cs="宋体"/>
          <w:color w:val="auto"/>
          <w:sz w:val="24"/>
          <w:highlight w:val="none"/>
        </w:rPr>
      </w:pPr>
      <w:r>
        <w:rPr>
          <w:rFonts w:hint="eastAsia" w:ascii="宋体" w:hAnsi="宋体" w:cs="宋体"/>
          <w:color w:val="auto"/>
          <w:sz w:val="24"/>
          <w:highlight w:val="none"/>
        </w:rPr>
        <w:t>注：1、若投标人中标须按本招标文件的约定执行。</w:t>
      </w:r>
    </w:p>
    <w:p w14:paraId="0FD2F7A5">
      <w:pPr>
        <w:pStyle w:val="15"/>
        <w:spacing w:before="2"/>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2、本表填写的造价不属于投标报价的内容。</w:t>
      </w:r>
    </w:p>
    <w:p w14:paraId="3482B431">
      <w:pPr>
        <w:pStyle w:val="15"/>
        <w:spacing w:before="2"/>
        <w:ind w:firstLine="480" w:firstLineChars="200"/>
        <w:rPr>
          <w:rFonts w:ascii="宋体" w:hAnsi="宋体" w:cs="宋体"/>
          <w:color w:val="auto"/>
          <w:sz w:val="24"/>
          <w:highlight w:val="none"/>
        </w:rPr>
      </w:pPr>
      <w:r>
        <w:rPr>
          <w:rFonts w:hint="eastAsia" w:ascii="宋体" w:hAnsi="宋体" w:cs="宋体"/>
          <w:color w:val="auto"/>
          <w:sz w:val="24"/>
          <w:highlight w:val="none"/>
        </w:rPr>
        <w:t>3、如投标人不具备拟分包工程所需的某专项工程相应资质或投标人如有分包计划，应符合招标文件第二章“投标人须知” 第 1.11 款规定，且按本表的要求填写。</w:t>
      </w:r>
    </w:p>
    <w:p w14:paraId="0B435FF1">
      <w:pPr>
        <w:jc w:val="center"/>
        <w:rPr>
          <w:rFonts w:hint="eastAsia" w:ascii="宋体" w:hAnsi="宋体" w:cs="宋体"/>
          <w:b/>
          <w:color w:val="auto"/>
          <w:sz w:val="28"/>
          <w:szCs w:val="28"/>
          <w:highlight w:val="none"/>
        </w:rPr>
        <w:sectPr>
          <w:footnotePr>
            <w:numFmt w:val="decimalEnclosedCircleChinese"/>
          </w:footnotePr>
          <w:pgSz w:w="11906" w:h="16838"/>
          <w:pgMar w:top="1038" w:right="924" w:bottom="936" w:left="1418" w:header="624" w:footer="590" w:gutter="0"/>
          <w:cols w:space="720" w:num="1"/>
          <w:docGrid w:type="lines" w:linePitch="312" w:charSpace="0"/>
        </w:sectPr>
      </w:pPr>
    </w:p>
    <w:p w14:paraId="14798F85">
      <w:pPr>
        <w:numPr>
          <w:ilvl w:val="0"/>
          <w:numId w:val="21"/>
        </w:numPr>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资格审查资料</w:t>
      </w:r>
    </w:p>
    <w:p w14:paraId="732AC49F">
      <w:pPr>
        <w:pStyle w:val="52"/>
        <w:widowControl w:val="0"/>
        <w:numPr>
          <w:ilvl w:val="0"/>
          <w:numId w:val="0"/>
        </w:numPr>
        <w:spacing w:line="560" w:lineRule="exact"/>
        <w:jc w:val="both"/>
        <w:rPr>
          <w:rFonts w:hint="eastAsia"/>
          <w:color w:val="auto"/>
          <w:highlight w:val="none"/>
          <w:lang w:val="en-US" w:eastAsia="zh-CN"/>
        </w:rPr>
      </w:pPr>
    </w:p>
    <w:p w14:paraId="127F28A7">
      <w:pPr>
        <w:spacing w:line="360" w:lineRule="auto"/>
        <w:ind w:left="0" w:leftChars="0" w:firstLine="840" w:firstLineChars="35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一</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投标人基本情况表</w:t>
      </w:r>
    </w:p>
    <w:p w14:paraId="7BDA363B">
      <w:pPr>
        <w:spacing w:line="360" w:lineRule="auto"/>
        <w:ind w:left="0" w:leftChars="0" w:firstLine="840" w:firstLineChars="35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二</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投标人企业组织机构框图</w:t>
      </w:r>
    </w:p>
    <w:p w14:paraId="47729AC4">
      <w:pPr>
        <w:spacing w:line="360" w:lineRule="auto"/>
        <w:ind w:left="0" w:leftChars="0" w:firstLine="840" w:firstLineChars="35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三</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近年财务状况表</w:t>
      </w:r>
    </w:p>
    <w:p w14:paraId="391E969F">
      <w:pPr>
        <w:spacing w:line="360" w:lineRule="auto"/>
        <w:ind w:left="0" w:leftChars="0" w:firstLine="840" w:firstLineChars="35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四</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近年完成的类似项目情况表</w:t>
      </w:r>
    </w:p>
    <w:p w14:paraId="57A5ADDC">
      <w:pPr>
        <w:spacing w:line="360" w:lineRule="auto"/>
        <w:ind w:left="0" w:leftChars="0" w:firstLine="840" w:firstLineChars="35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四</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-1完成的类似项目情况表</w:t>
      </w:r>
    </w:p>
    <w:p w14:paraId="6F035A33">
      <w:pPr>
        <w:spacing w:line="360" w:lineRule="auto"/>
        <w:ind w:left="0" w:leftChars="0" w:firstLine="840" w:firstLineChars="35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四</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-2 完成的类似项目情况汇总表</w:t>
      </w:r>
    </w:p>
    <w:p w14:paraId="384E6925">
      <w:pPr>
        <w:spacing w:line="360" w:lineRule="auto"/>
        <w:ind w:left="0" w:leftChars="0" w:firstLine="840" w:firstLineChars="35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（五）投标人的信誉情况表</w:t>
      </w:r>
    </w:p>
    <w:p w14:paraId="034656A9">
      <w:pPr>
        <w:spacing w:line="360" w:lineRule="auto"/>
        <w:ind w:left="0" w:leftChars="0" w:firstLine="840" w:firstLineChars="35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（六）拟委任的项目经理和项目总工情况表</w:t>
      </w:r>
    </w:p>
    <w:p w14:paraId="13AE7DEB">
      <w:pPr>
        <w:spacing w:line="360" w:lineRule="auto"/>
        <w:ind w:left="0" w:leftChars="0" w:firstLine="840" w:firstLineChars="35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（六）-1 拟委任的项目经理和项目总工汇总表</w:t>
      </w:r>
    </w:p>
    <w:p w14:paraId="4DB88E9F">
      <w:pPr>
        <w:spacing w:line="360" w:lineRule="auto"/>
        <w:ind w:left="0" w:leftChars="0" w:firstLine="840" w:firstLineChars="35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（六）-2拟委任的项目经理和项目总工资历表</w:t>
      </w:r>
    </w:p>
    <w:p w14:paraId="726B8819">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53E42C2">
      <w:pPr>
        <w:jc w:val="center"/>
        <w:rPr>
          <w:rFonts w:ascii="宋体" w:hAnsi="宋体" w:cs="宋体"/>
          <w:b/>
          <w:color w:val="auto"/>
          <w:sz w:val="24"/>
          <w:highlight w:val="none"/>
        </w:rPr>
      </w:pPr>
    </w:p>
    <w:p w14:paraId="15E8DC62">
      <w:pPr>
        <w:jc w:val="center"/>
        <w:rPr>
          <w:rFonts w:ascii="宋体" w:hAnsi="宋体" w:cs="宋体"/>
          <w:b/>
          <w:color w:val="auto"/>
          <w:sz w:val="24"/>
          <w:highlight w:val="none"/>
        </w:rPr>
      </w:pPr>
      <w:r>
        <w:rPr>
          <w:rFonts w:hint="eastAsia" w:ascii="宋体" w:hAnsi="宋体" w:cs="宋体"/>
          <w:b/>
          <w:color w:val="auto"/>
          <w:sz w:val="24"/>
          <w:highlight w:val="none"/>
        </w:rPr>
        <w:t>（一）投标人基本情况表</w:t>
      </w:r>
    </w:p>
    <w:tbl>
      <w:tblPr>
        <w:tblStyle w:val="42"/>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14:paraId="625C6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3BBEA231">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2C61806F">
            <w:pPr>
              <w:topLinePunct/>
              <w:spacing w:line="320" w:lineRule="exact"/>
              <w:jc w:val="center"/>
              <w:rPr>
                <w:rFonts w:ascii="宋体" w:hAnsi="宋体" w:cs="宋体"/>
                <w:color w:val="auto"/>
                <w:sz w:val="24"/>
                <w:highlight w:val="none"/>
              </w:rPr>
            </w:pPr>
          </w:p>
        </w:tc>
      </w:tr>
      <w:tr w14:paraId="683A6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365DEF4E">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14:paraId="716A261B">
            <w:pPr>
              <w:topLinePunct/>
              <w:spacing w:line="320" w:lineRule="exact"/>
              <w:jc w:val="center"/>
              <w:rPr>
                <w:rFonts w:ascii="宋体" w:hAnsi="宋体" w:cs="宋体"/>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77C47C91">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31EECF83">
            <w:pPr>
              <w:topLinePunct/>
              <w:spacing w:line="320" w:lineRule="exact"/>
              <w:jc w:val="center"/>
              <w:rPr>
                <w:rFonts w:ascii="宋体" w:hAnsi="宋体" w:cs="宋体"/>
                <w:color w:val="auto"/>
                <w:sz w:val="24"/>
                <w:highlight w:val="none"/>
              </w:rPr>
            </w:pPr>
          </w:p>
        </w:tc>
      </w:tr>
      <w:tr w14:paraId="42A3E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14:paraId="265A4BC6">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14:paraId="63A6D25A">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3EC86133">
            <w:pPr>
              <w:topLinePunct/>
              <w:spacing w:line="320" w:lineRule="exact"/>
              <w:jc w:val="center"/>
              <w:rPr>
                <w:rFonts w:ascii="宋体" w:hAnsi="宋体" w:cs="宋体"/>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154BC8F1">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353B37D6">
            <w:pPr>
              <w:topLinePunct/>
              <w:spacing w:line="320" w:lineRule="exact"/>
              <w:jc w:val="center"/>
              <w:rPr>
                <w:rFonts w:ascii="宋体" w:hAnsi="宋体" w:cs="宋体"/>
                <w:color w:val="auto"/>
                <w:sz w:val="24"/>
                <w:highlight w:val="none"/>
              </w:rPr>
            </w:pPr>
          </w:p>
        </w:tc>
      </w:tr>
      <w:tr w14:paraId="03935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14:paraId="7F02651C">
            <w:pPr>
              <w:topLinePunct/>
              <w:spacing w:line="320" w:lineRule="exact"/>
              <w:jc w:val="center"/>
              <w:rPr>
                <w:rFonts w:ascii="宋体" w:hAnsi="宋体" w:cs="宋体"/>
                <w:color w:val="auto"/>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14:paraId="0ABB9F7A">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1ADC651F">
            <w:pPr>
              <w:topLinePunct/>
              <w:spacing w:line="320" w:lineRule="exact"/>
              <w:jc w:val="center"/>
              <w:rPr>
                <w:rFonts w:ascii="宋体" w:hAnsi="宋体" w:cs="宋体"/>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2662AFD1">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4849A033">
            <w:pPr>
              <w:topLinePunct/>
              <w:spacing w:line="320" w:lineRule="exact"/>
              <w:jc w:val="center"/>
              <w:rPr>
                <w:rFonts w:ascii="宋体" w:hAnsi="宋体" w:cs="宋体"/>
                <w:color w:val="auto"/>
                <w:sz w:val="24"/>
                <w:highlight w:val="none"/>
              </w:rPr>
            </w:pPr>
          </w:p>
        </w:tc>
      </w:tr>
      <w:tr w14:paraId="1DD64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024E3031">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14:paraId="577523DC">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774AB11D">
            <w:pPr>
              <w:topLinePunct/>
              <w:spacing w:line="320" w:lineRule="exact"/>
              <w:jc w:val="center"/>
              <w:rPr>
                <w:rFonts w:ascii="宋体" w:hAnsi="宋体" w:cs="宋体"/>
                <w:color w:val="auto"/>
                <w:sz w:val="24"/>
                <w:highlight w:val="none"/>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27FD52E6">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78480C0B">
            <w:pPr>
              <w:topLinePunct/>
              <w:spacing w:line="320" w:lineRule="exact"/>
              <w:jc w:val="center"/>
              <w:rPr>
                <w:rFonts w:ascii="宋体" w:hAnsi="宋体" w:cs="宋体"/>
                <w:color w:val="auto"/>
                <w:sz w:val="24"/>
                <w:highlight w:val="none"/>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2F1805DD">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124FCDBE">
            <w:pPr>
              <w:topLinePunct/>
              <w:spacing w:line="320" w:lineRule="exact"/>
              <w:jc w:val="center"/>
              <w:rPr>
                <w:rFonts w:ascii="宋体" w:hAnsi="宋体" w:cs="宋体"/>
                <w:color w:val="auto"/>
                <w:sz w:val="24"/>
                <w:highlight w:val="none"/>
              </w:rPr>
            </w:pPr>
          </w:p>
        </w:tc>
      </w:tr>
      <w:tr w14:paraId="3FC9C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43030F44">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14:paraId="24D995EE">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19C00721">
            <w:pPr>
              <w:topLinePunct/>
              <w:spacing w:line="320" w:lineRule="exact"/>
              <w:jc w:val="center"/>
              <w:rPr>
                <w:rFonts w:ascii="宋体" w:hAnsi="宋体" w:cs="宋体"/>
                <w:color w:val="auto"/>
                <w:sz w:val="24"/>
                <w:highlight w:val="none"/>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4C099203">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430E501D">
            <w:pPr>
              <w:topLinePunct/>
              <w:spacing w:line="320" w:lineRule="exact"/>
              <w:jc w:val="center"/>
              <w:rPr>
                <w:rFonts w:ascii="宋体" w:hAnsi="宋体" w:cs="宋体"/>
                <w:color w:val="auto"/>
                <w:sz w:val="24"/>
                <w:highlight w:val="none"/>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11996810">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4DF55E19">
            <w:pPr>
              <w:topLinePunct/>
              <w:spacing w:line="320" w:lineRule="exact"/>
              <w:jc w:val="center"/>
              <w:rPr>
                <w:rFonts w:ascii="宋体" w:hAnsi="宋体" w:cs="宋体"/>
                <w:color w:val="auto"/>
                <w:sz w:val="24"/>
                <w:highlight w:val="none"/>
              </w:rPr>
            </w:pPr>
          </w:p>
        </w:tc>
      </w:tr>
      <w:tr w14:paraId="35FFF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4224CF14">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3F50EC4">
            <w:pPr>
              <w:topLinePunct/>
              <w:spacing w:line="320" w:lineRule="exact"/>
              <w:jc w:val="center"/>
              <w:rPr>
                <w:rFonts w:ascii="宋体" w:hAnsi="宋体" w:cs="宋体"/>
                <w:color w:val="auto"/>
                <w:sz w:val="24"/>
                <w:highlight w:val="none"/>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14:paraId="094365E1">
            <w:pPr>
              <w:topLinePunct/>
              <w:spacing w:line="320" w:lineRule="exact"/>
              <w:ind w:firstLine="1200" w:firstLineChars="500"/>
              <w:rPr>
                <w:rFonts w:ascii="宋体" w:hAnsi="宋体" w:cs="宋体"/>
                <w:color w:val="auto"/>
                <w:sz w:val="24"/>
                <w:highlight w:val="none"/>
              </w:rPr>
            </w:pPr>
            <w:r>
              <w:rPr>
                <w:rFonts w:hint="eastAsia" w:ascii="宋体" w:hAnsi="宋体" w:cs="宋体"/>
                <w:color w:val="auto"/>
                <w:sz w:val="24"/>
                <w:highlight w:val="none"/>
              </w:rPr>
              <w:t>员工总人数：</w:t>
            </w:r>
          </w:p>
        </w:tc>
      </w:tr>
      <w:tr w14:paraId="27C39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07722C57">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1F922450">
            <w:pPr>
              <w:topLinePunct/>
              <w:spacing w:line="320" w:lineRule="exact"/>
              <w:jc w:val="center"/>
              <w:rPr>
                <w:rFonts w:ascii="宋体" w:hAnsi="宋体" w:cs="宋体"/>
                <w:color w:val="auto"/>
                <w:sz w:val="24"/>
                <w:highlight w:val="none"/>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14:paraId="7FC01879">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其</w:t>
            </w:r>
          </w:p>
          <w:p w14:paraId="375D52E0">
            <w:pPr>
              <w:topLinePunct/>
              <w:spacing w:line="320" w:lineRule="exact"/>
              <w:jc w:val="center"/>
              <w:rPr>
                <w:rFonts w:ascii="宋体" w:hAnsi="宋体" w:cs="宋体"/>
                <w:color w:val="auto"/>
                <w:sz w:val="24"/>
                <w:highlight w:val="none"/>
              </w:rPr>
            </w:pPr>
          </w:p>
          <w:p w14:paraId="580CE9EC">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199900A2">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67333D5F">
            <w:pPr>
              <w:topLinePunct/>
              <w:spacing w:line="320" w:lineRule="exact"/>
              <w:jc w:val="center"/>
              <w:rPr>
                <w:rFonts w:ascii="宋体" w:hAnsi="宋体" w:cs="宋体"/>
                <w:color w:val="auto"/>
                <w:sz w:val="24"/>
                <w:highlight w:val="none"/>
              </w:rPr>
            </w:pPr>
          </w:p>
        </w:tc>
      </w:tr>
      <w:tr w14:paraId="15BD5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019B74C6">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3F098692">
            <w:pPr>
              <w:topLinePunct/>
              <w:spacing w:line="320" w:lineRule="exact"/>
              <w:jc w:val="center"/>
              <w:rPr>
                <w:rFonts w:ascii="宋体" w:hAnsi="宋体" w:cs="宋体"/>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7190CE80">
            <w:pPr>
              <w:topLinePunct/>
              <w:spacing w:line="320" w:lineRule="exact"/>
              <w:jc w:val="center"/>
              <w:rPr>
                <w:rFonts w:ascii="宋体" w:hAnsi="宋体" w:cs="宋体"/>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6919EA31">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428E120E">
            <w:pPr>
              <w:topLinePunct/>
              <w:spacing w:line="320" w:lineRule="exact"/>
              <w:jc w:val="center"/>
              <w:rPr>
                <w:rFonts w:ascii="宋体" w:hAnsi="宋体" w:cs="宋体"/>
                <w:color w:val="auto"/>
                <w:sz w:val="24"/>
                <w:highlight w:val="none"/>
              </w:rPr>
            </w:pPr>
          </w:p>
        </w:tc>
      </w:tr>
      <w:tr w14:paraId="0CA9E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02D852C0">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32AAA5B6">
            <w:pPr>
              <w:topLinePunct/>
              <w:spacing w:line="320" w:lineRule="exact"/>
              <w:jc w:val="center"/>
              <w:rPr>
                <w:rFonts w:ascii="宋体" w:hAnsi="宋体" w:cs="宋体"/>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23594410">
            <w:pPr>
              <w:topLinePunct/>
              <w:spacing w:line="320" w:lineRule="exact"/>
              <w:jc w:val="center"/>
              <w:rPr>
                <w:rFonts w:ascii="宋体" w:hAnsi="宋体" w:cs="宋体"/>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08076840">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78CE3E19">
            <w:pPr>
              <w:topLinePunct/>
              <w:spacing w:line="320" w:lineRule="exact"/>
              <w:jc w:val="center"/>
              <w:rPr>
                <w:rFonts w:ascii="宋体" w:hAnsi="宋体" w:cs="宋体"/>
                <w:color w:val="auto"/>
                <w:sz w:val="24"/>
                <w:highlight w:val="none"/>
              </w:rPr>
            </w:pPr>
          </w:p>
        </w:tc>
      </w:tr>
      <w:tr w14:paraId="4C295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447C3C1E">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08A2D4B">
            <w:pPr>
              <w:topLinePunct/>
              <w:spacing w:line="320" w:lineRule="exact"/>
              <w:jc w:val="center"/>
              <w:rPr>
                <w:rFonts w:ascii="宋体" w:hAnsi="宋体" w:cs="宋体"/>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04520DF2">
            <w:pPr>
              <w:topLinePunct/>
              <w:spacing w:line="320" w:lineRule="exact"/>
              <w:jc w:val="center"/>
              <w:rPr>
                <w:rFonts w:ascii="宋体" w:hAnsi="宋体" w:cs="宋体"/>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213200D7">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002203DE">
            <w:pPr>
              <w:topLinePunct/>
              <w:spacing w:line="320" w:lineRule="exact"/>
              <w:jc w:val="center"/>
              <w:rPr>
                <w:rFonts w:ascii="宋体" w:hAnsi="宋体" w:cs="宋体"/>
                <w:color w:val="auto"/>
                <w:sz w:val="24"/>
                <w:highlight w:val="none"/>
              </w:rPr>
            </w:pPr>
          </w:p>
        </w:tc>
      </w:tr>
      <w:tr w14:paraId="5DCE8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5227591F">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基本账户银行账号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6EA3BAC4">
            <w:pPr>
              <w:topLinePunct/>
              <w:spacing w:line="320" w:lineRule="exact"/>
              <w:jc w:val="center"/>
              <w:rPr>
                <w:rFonts w:ascii="宋体" w:hAnsi="宋体" w:cs="宋体"/>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71AD01D6">
            <w:pPr>
              <w:topLinePunct/>
              <w:spacing w:line="320" w:lineRule="exact"/>
              <w:jc w:val="center"/>
              <w:rPr>
                <w:rFonts w:ascii="宋体" w:hAnsi="宋体" w:cs="宋体"/>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0843916B">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5422E0EA">
            <w:pPr>
              <w:topLinePunct/>
              <w:spacing w:line="320" w:lineRule="exact"/>
              <w:jc w:val="center"/>
              <w:rPr>
                <w:rFonts w:ascii="宋体" w:hAnsi="宋体" w:cs="宋体"/>
                <w:color w:val="auto"/>
                <w:sz w:val="24"/>
                <w:highlight w:val="none"/>
              </w:rPr>
            </w:pPr>
          </w:p>
        </w:tc>
      </w:tr>
      <w:tr w14:paraId="0012F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14:paraId="473E282D">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77A42217">
            <w:pPr>
              <w:topLinePunct/>
              <w:spacing w:line="320" w:lineRule="exact"/>
              <w:jc w:val="center"/>
              <w:rPr>
                <w:rFonts w:ascii="宋体" w:hAnsi="宋体" w:cs="宋体"/>
                <w:color w:val="auto"/>
                <w:sz w:val="24"/>
                <w:highlight w:val="none"/>
              </w:rPr>
            </w:pPr>
          </w:p>
        </w:tc>
      </w:tr>
      <w:tr w14:paraId="11BC9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14:paraId="5A902866">
            <w:pPr>
              <w:pStyle w:val="59"/>
              <w:jc w:val="center"/>
              <w:rPr>
                <w:rFonts w:ascii="宋体" w:hAnsi="宋体" w:cs="宋体"/>
                <w:color w:val="auto"/>
                <w:highlight w:val="none"/>
              </w:rPr>
            </w:pPr>
            <w:r>
              <w:rPr>
                <w:rFonts w:hint="eastAsia" w:ascii="宋体" w:hAnsi="宋体" w:cs="宋体"/>
                <w:color w:val="auto"/>
                <w:highlight w:val="none"/>
              </w:rPr>
              <w:t>投标人关联企业</w:t>
            </w:r>
          </w:p>
          <w:p w14:paraId="737AC73E">
            <w:pPr>
              <w:pStyle w:val="59"/>
              <w:jc w:val="center"/>
              <w:rPr>
                <w:rFonts w:ascii="宋体" w:hAnsi="宋体" w:cs="宋体"/>
                <w:color w:val="auto"/>
                <w:highlight w:val="none"/>
              </w:rPr>
            </w:pPr>
            <w:r>
              <w:rPr>
                <w:rFonts w:hint="eastAsia" w:ascii="宋体" w:hAnsi="宋体" w:cs="宋体"/>
                <w:color w:val="auto"/>
                <w:highlight w:val="none"/>
              </w:rPr>
              <w:t>情况</w:t>
            </w:r>
          </w:p>
        </w:tc>
        <w:tc>
          <w:tcPr>
            <w:tcW w:w="7127" w:type="dxa"/>
            <w:gridSpan w:val="8"/>
            <w:tcBorders>
              <w:top w:val="single" w:color="auto" w:sz="4" w:space="0"/>
              <w:left w:val="single" w:color="auto" w:sz="4" w:space="0"/>
              <w:right w:val="single" w:color="auto" w:sz="4" w:space="0"/>
            </w:tcBorders>
            <w:vAlign w:val="center"/>
          </w:tcPr>
          <w:p w14:paraId="35F4DC9E">
            <w:pPr>
              <w:pStyle w:val="59"/>
              <w:jc w:val="left"/>
              <w:rPr>
                <w:rFonts w:hint="eastAsia" w:ascii="宋体" w:hAnsi="宋体" w:cs="宋体"/>
                <w:color w:val="auto"/>
                <w:highlight w:val="none"/>
              </w:rPr>
            </w:pPr>
            <w:r>
              <w:rPr>
                <w:rFonts w:hint="eastAsia" w:ascii="宋体" w:hAnsi="宋体" w:cs="宋体"/>
                <w:color w:val="auto"/>
                <w:highlight w:val="none"/>
              </w:rPr>
              <w:t>投标人应提供关联企业情况，包括：</w:t>
            </w:r>
          </w:p>
          <w:p w14:paraId="614F7CC6">
            <w:pPr>
              <w:pStyle w:val="59"/>
              <w:jc w:val="left"/>
              <w:rPr>
                <w:rFonts w:hint="eastAsia" w:ascii="宋体" w:hAnsi="宋体" w:cs="宋体"/>
                <w:color w:val="auto"/>
                <w:highlight w:val="none"/>
              </w:rPr>
            </w:pPr>
            <w:r>
              <w:rPr>
                <w:rFonts w:hint="eastAsia" w:ascii="宋体" w:hAnsi="宋体" w:cs="宋体"/>
                <w:color w:val="auto"/>
                <w:highlight w:val="none"/>
              </w:rPr>
              <w:t>（1）投标人的所有股东名称及相应股权（出资额）比例；如投标人为上市公司，投标人应提供股权占公司股份总数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以上的所有股东名称及相应股权比例；</w:t>
            </w:r>
          </w:p>
          <w:p w14:paraId="15BB33AD">
            <w:pPr>
              <w:pStyle w:val="59"/>
              <w:jc w:val="left"/>
              <w:rPr>
                <w:rFonts w:hint="eastAsia" w:ascii="宋体" w:hAnsi="宋体" w:cs="宋体"/>
                <w:color w:val="auto"/>
                <w:highlight w:val="none"/>
              </w:rPr>
            </w:pPr>
            <w:r>
              <w:rPr>
                <w:rFonts w:hint="eastAsia" w:ascii="宋体" w:hAnsi="宋体" w:cs="宋体"/>
                <w:color w:val="auto"/>
                <w:highlight w:val="none"/>
              </w:rPr>
              <w:t>（2）投标人投资（控股）或管理的下属企业名称、持有股权（出资额）比例；</w:t>
            </w:r>
          </w:p>
          <w:p w14:paraId="2B61DAC7">
            <w:pPr>
              <w:pStyle w:val="59"/>
              <w:jc w:val="left"/>
              <w:rPr>
                <w:rFonts w:ascii="宋体" w:hAnsi="宋体" w:cs="宋体"/>
                <w:color w:val="auto"/>
                <w:highlight w:val="none"/>
              </w:rPr>
            </w:pPr>
            <w:r>
              <w:rPr>
                <w:rFonts w:hint="eastAsia" w:ascii="宋体" w:hAnsi="宋体" w:cs="宋体"/>
                <w:color w:val="auto"/>
                <w:highlight w:val="none"/>
              </w:rPr>
              <w:t>（3）与投标人单位负责人（即法定代表人）为同一人的其他单位名称。</w:t>
            </w:r>
          </w:p>
        </w:tc>
      </w:tr>
      <w:tr w14:paraId="1A2CC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14:paraId="226825AA">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614F20FD">
            <w:pPr>
              <w:topLinePunct/>
              <w:spacing w:line="320" w:lineRule="exact"/>
              <w:jc w:val="center"/>
              <w:rPr>
                <w:rFonts w:ascii="宋体" w:hAnsi="宋体" w:cs="宋体"/>
                <w:color w:val="auto"/>
                <w:sz w:val="24"/>
                <w:highlight w:val="none"/>
              </w:rPr>
            </w:pPr>
          </w:p>
        </w:tc>
      </w:tr>
    </w:tbl>
    <w:p w14:paraId="584B5701">
      <w:pPr>
        <w:spacing w:line="400" w:lineRule="exact"/>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注：1. 投标人应根据招标文件第二章“投标人须知”第3.5.1项的要求在本表后附相关证明材料。</w:t>
      </w:r>
    </w:p>
    <w:p w14:paraId="231B1FB5">
      <w:pPr>
        <w:spacing w:line="400" w:lineRule="exact"/>
        <w:ind w:left="719" w:leftChars="228" w:hanging="240" w:hangingChars="100"/>
        <w:rPr>
          <w:rFonts w:ascii="宋体" w:hAnsi="宋体" w:cs="宋体"/>
          <w:color w:val="auto"/>
          <w:sz w:val="24"/>
          <w:highlight w:val="none"/>
        </w:rPr>
      </w:pPr>
      <w:r>
        <w:rPr>
          <w:rFonts w:hint="eastAsia" w:ascii="宋体" w:hAnsi="宋体" w:cs="宋体"/>
          <w:color w:val="auto"/>
          <w:sz w:val="24"/>
          <w:highlight w:val="none"/>
        </w:rPr>
        <w:t>2.上述信息如经调查核实未如实填写的，按提供虚假材料对待。</w:t>
      </w:r>
    </w:p>
    <w:p w14:paraId="3FFDF40F">
      <w:pPr>
        <w:jc w:val="center"/>
        <w:rPr>
          <w:rFonts w:ascii="宋体" w:hAnsi="宋体" w:cs="宋体"/>
          <w:b/>
          <w:color w:val="auto"/>
          <w:sz w:val="28"/>
          <w:szCs w:val="28"/>
          <w:highlight w:val="none"/>
        </w:rPr>
      </w:pPr>
      <w:bookmarkStart w:id="1749" w:name="_Toc238804116"/>
      <w:bookmarkEnd w:id="1749"/>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（二）投标人企业组织机构框图</w:t>
      </w:r>
    </w:p>
    <w:p w14:paraId="06DD4B72">
      <w:pPr>
        <w:spacing w:line="400" w:lineRule="exact"/>
        <w:rPr>
          <w:rFonts w:ascii="宋体" w:hAnsi="宋体" w:cs="宋体"/>
          <w:color w:val="auto"/>
          <w:highlight w:val="none"/>
        </w:rPr>
      </w:pPr>
    </w:p>
    <w:tbl>
      <w:tblPr>
        <w:tblStyle w:val="4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14:paraId="4E482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14:paraId="5EA7EF9C">
            <w:pPr>
              <w:topLinePunct/>
              <w:spacing w:line="320" w:lineRule="exact"/>
              <w:rPr>
                <w:rFonts w:ascii="宋体" w:hAnsi="宋体" w:cs="宋体"/>
                <w:color w:val="auto"/>
                <w:sz w:val="24"/>
                <w:highlight w:val="none"/>
              </w:rPr>
            </w:pPr>
            <w:r>
              <w:rPr>
                <w:rFonts w:hint="eastAsia" w:ascii="宋体" w:hAnsi="宋体" w:cs="宋体"/>
                <w:color w:val="auto"/>
                <w:sz w:val="24"/>
                <w:highlight w:val="none"/>
              </w:rPr>
              <w:t>以框图方式表示</w:t>
            </w:r>
          </w:p>
        </w:tc>
      </w:tr>
      <w:tr w14:paraId="3FCC1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633" w:hRule="atLeast"/>
        </w:trPr>
        <w:tc>
          <w:tcPr>
            <w:tcW w:w="9356" w:type="dxa"/>
            <w:tcBorders>
              <w:top w:val="single" w:color="auto" w:sz="4" w:space="0"/>
              <w:left w:val="single" w:color="auto" w:sz="4" w:space="0"/>
              <w:right w:val="single" w:color="auto" w:sz="4" w:space="0"/>
            </w:tcBorders>
          </w:tcPr>
          <w:p w14:paraId="78FC01FD">
            <w:pPr>
              <w:topLinePunct/>
              <w:spacing w:line="320" w:lineRule="exact"/>
              <w:rPr>
                <w:rFonts w:ascii="宋体" w:hAnsi="宋体" w:cs="宋体"/>
                <w:color w:val="auto"/>
                <w:sz w:val="24"/>
                <w:highlight w:val="none"/>
              </w:rPr>
            </w:pPr>
            <w:r>
              <w:rPr>
                <w:rFonts w:hint="eastAsia" w:ascii="宋体" w:hAnsi="宋体" w:cs="宋体"/>
                <w:color w:val="auto"/>
                <w:sz w:val="24"/>
                <w:highlight w:val="none"/>
              </w:rPr>
              <w:t>说明</w:t>
            </w:r>
          </w:p>
        </w:tc>
      </w:tr>
    </w:tbl>
    <w:p w14:paraId="662D90D9">
      <w:pPr>
        <w:jc w:val="center"/>
        <w:rPr>
          <w:rFonts w:ascii="宋体" w:hAnsi="宋体" w:cs="宋体"/>
          <w:b/>
          <w:color w:val="auto"/>
          <w:sz w:val="28"/>
          <w:szCs w:val="28"/>
          <w:highlight w:val="none"/>
        </w:rPr>
      </w:pPr>
      <w:bookmarkStart w:id="1750" w:name="_Toc238804117"/>
      <w:bookmarkEnd w:id="1750"/>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（三）近年财务状况表</w:t>
      </w:r>
    </w:p>
    <w:tbl>
      <w:tblPr>
        <w:tblStyle w:val="42"/>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14:paraId="7ACCD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73D462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项目或指标</w:t>
            </w:r>
          </w:p>
        </w:tc>
        <w:tc>
          <w:tcPr>
            <w:tcW w:w="1276" w:type="dxa"/>
          </w:tcPr>
          <w:p w14:paraId="2A54786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730" w:type="dxa"/>
            <w:vAlign w:val="top"/>
          </w:tcPr>
          <w:p w14:paraId="58AD7656">
            <w:pPr>
              <w:keepNext w:val="0"/>
              <w:keepLines w:val="0"/>
              <w:suppressLineNumbers w:val="0"/>
              <w:spacing w:before="0" w:beforeAutospacing="0" w:after="0" w:afterAutospacing="0" w:line="400" w:lineRule="exact"/>
              <w:ind w:left="0" w:leftChars="0" w:right="0" w:rightChars="0" w:firstLine="458" w:firstLineChars="191"/>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tc>
        <w:tc>
          <w:tcPr>
            <w:tcW w:w="1672" w:type="dxa"/>
            <w:vAlign w:val="top"/>
          </w:tcPr>
          <w:p w14:paraId="69C464F9">
            <w:pPr>
              <w:keepNext w:val="0"/>
              <w:keepLines w:val="0"/>
              <w:suppressLineNumbers w:val="0"/>
              <w:spacing w:before="0" w:beforeAutospacing="0" w:after="0" w:afterAutospacing="0" w:line="400" w:lineRule="exact"/>
              <w:ind w:left="0" w:leftChars="0" w:right="0" w:rightChars="0" w:firstLine="458" w:firstLineChars="191"/>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tc>
        <w:tc>
          <w:tcPr>
            <w:tcW w:w="1701" w:type="dxa"/>
            <w:vAlign w:val="top"/>
          </w:tcPr>
          <w:p w14:paraId="35F91116">
            <w:pPr>
              <w:keepNext w:val="0"/>
              <w:keepLines w:val="0"/>
              <w:suppressLineNumbers w:val="0"/>
              <w:spacing w:before="0" w:beforeAutospacing="0" w:after="0" w:afterAutospacing="0" w:line="400" w:lineRule="exact"/>
              <w:ind w:left="0" w:leftChars="0" w:right="0" w:rightChars="0" w:firstLine="458" w:firstLineChars="191"/>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tc>
      </w:tr>
      <w:tr w14:paraId="7BA8C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2DA1E93">
            <w:pPr>
              <w:spacing w:line="400" w:lineRule="exact"/>
              <w:rPr>
                <w:rFonts w:ascii="宋体" w:hAnsi="宋体" w:cs="宋体"/>
                <w:color w:val="auto"/>
                <w:sz w:val="24"/>
                <w:highlight w:val="none"/>
              </w:rPr>
            </w:pPr>
            <w:r>
              <w:rPr>
                <w:rFonts w:hint="eastAsia" w:ascii="宋体" w:hAnsi="宋体" w:cs="宋体"/>
                <w:color w:val="auto"/>
                <w:sz w:val="24"/>
                <w:highlight w:val="none"/>
              </w:rPr>
              <w:t>一、注册资金</w:t>
            </w:r>
          </w:p>
        </w:tc>
        <w:tc>
          <w:tcPr>
            <w:tcW w:w="1276" w:type="dxa"/>
          </w:tcPr>
          <w:p w14:paraId="56CE503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5ADC20BA">
            <w:pPr>
              <w:spacing w:line="400" w:lineRule="exact"/>
              <w:rPr>
                <w:rFonts w:ascii="宋体" w:hAnsi="宋体" w:cs="宋体"/>
                <w:color w:val="auto"/>
                <w:sz w:val="24"/>
                <w:highlight w:val="none"/>
              </w:rPr>
            </w:pPr>
          </w:p>
        </w:tc>
        <w:tc>
          <w:tcPr>
            <w:tcW w:w="1672" w:type="dxa"/>
          </w:tcPr>
          <w:p w14:paraId="300E91FF">
            <w:pPr>
              <w:spacing w:line="400" w:lineRule="exact"/>
              <w:rPr>
                <w:rFonts w:ascii="宋体" w:hAnsi="宋体" w:cs="宋体"/>
                <w:color w:val="auto"/>
                <w:sz w:val="24"/>
                <w:highlight w:val="none"/>
              </w:rPr>
            </w:pPr>
          </w:p>
        </w:tc>
        <w:tc>
          <w:tcPr>
            <w:tcW w:w="1701" w:type="dxa"/>
          </w:tcPr>
          <w:p w14:paraId="2BDFD7F0">
            <w:pPr>
              <w:spacing w:line="400" w:lineRule="exact"/>
              <w:rPr>
                <w:rFonts w:ascii="宋体" w:hAnsi="宋体" w:cs="宋体"/>
                <w:color w:val="auto"/>
                <w:sz w:val="24"/>
                <w:highlight w:val="none"/>
              </w:rPr>
            </w:pPr>
          </w:p>
        </w:tc>
      </w:tr>
      <w:tr w14:paraId="3F270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72E8C2E">
            <w:pPr>
              <w:spacing w:line="400" w:lineRule="exact"/>
              <w:rPr>
                <w:rFonts w:ascii="宋体" w:hAnsi="宋体" w:cs="宋体"/>
                <w:color w:val="auto"/>
                <w:sz w:val="24"/>
                <w:highlight w:val="none"/>
              </w:rPr>
            </w:pPr>
            <w:r>
              <w:rPr>
                <w:rFonts w:hint="eastAsia" w:ascii="宋体" w:hAnsi="宋体" w:cs="宋体"/>
                <w:color w:val="auto"/>
                <w:sz w:val="24"/>
                <w:highlight w:val="none"/>
              </w:rPr>
              <w:t>二、净资产</w:t>
            </w:r>
          </w:p>
        </w:tc>
        <w:tc>
          <w:tcPr>
            <w:tcW w:w="1276" w:type="dxa"/>
          </w:tcPr>
          <w:p w14:paraId="2967DAF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0014B96C">
            <w:pPr>
              <w:spacing w:line="400" w:lineRule="exact"/>
              <w:rPr>
                <w:rFonts w:ascii="宋体" w:hAnsi="宋体" w:cs="宋体"/>
                <w:color w:val="auto"/>
                <w:sz w:val="24"/>
                <w:highlight w:val="none"/>
              </w:rPr>
            </w:pPr>
          </w:p>
        </w:tc>
        <w:tc>
          <w:tcPr>
            <w:tcW w:w="1672" w:type="dxa"/>
          </w:tcPr>
          <w:p w14:paraId="68648B80">
            <w:pPr>
              <w:spacing w:line="400" w:lineRule="exact"/>
              <w:rPr>
                <w:rFonts w:ascii="宋体" w:hAnsi="宋体" w:cs="宋体"/>
                <w:color w:val="auto"/>
                <w:sz w:val="24"/>
                <w:highlight w:val="none"/>
              </w:rPr>
            </w:pPr>
          </w:p>
        </w:tc>
        <w:tc>
          <w:tcPr>
            <w:tcW w:w="1701" w:type="dxa"/>
          </w:tcPr>
          <w:p w14:paraId="48DC3E63">
            <w:pPr>
              <w:spacing w:line="400" w:lineRule="exact"/>
              <w:rPr>
                <w:rFonts w:ascii="宋体" w:hAnsi="宋体" w:cs="宋体"/>
                <w:color w:val="auto"/>
                <w:sz w:val="24"/>
                <w:highlight w:val="none"/>
              </w:rPr>
            </w:pPr>
          </w:p>
        </w:tc>
      </w:tr>
      <w:tr w14:paraId="65257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24D7464">
            <w:pPr>
              <w:spacing w:line="400" w:lineRule="exact"/>
              <w:rPr>
                <w:rFonts w:ascii="宋体" w:hAnsi="宋体" w:cs="宋体"/>
                <w:color w:val="auto"/>
                <w:sz w:val="24"/>
                <w:highlight w:val="none"/>
              </w:rPr>
            </w:pPr>
            <w:r>
              <w:rPr>
                <w:rFonts w:hint="eastAsia" w:ascii="宋体" w:hAnsi="宋体" w:cs="宋体"/>
                <w:color w:val="auto"/>
                <w:sz w:val="24"/>
                <w:highlight w:val="none"/>
              </w:rPr>
              <w:t>三、总资产</w:t>
            </w:r>
          </w:p>
        </w:tc>
        <w:tc>
          <w:tcPr>
            <w:tcW w:w="1276" w:type="dxa"/>
          </w:tcPr>
          <w:p w14:paraId="226D885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7A4D31D7">
            <w:pPr>
              <w:spacing w:line="400" w:lineRule="exact"/>
              <w:rPr>
                <w:rFonts w:ascii="宋体" w:hAnsi="宋体" w:cs="宋体"/>
                <w:color w:val="auto"/>
                <w:sz w:val="24"/>
                <w:highlight w:val="none"/>
              </w:rPr>
            </w:pPr>
          </w:p>
        </w:tc>
        <w:tc>
          <w:tcPr>
            <w:tcW w:w="1672" w:type="dxa"/>
          </w:tcPr>
          <w:p w14:paraId="30D10F87">
            <w:pPr>
              <w:spacing w:line="400" w:lineRule="exact"/>
              <w:rPr>
                <w:rFonts w:ascii="宋体" w:hAnsi="宋体" w:cs="宋体"/>
                <w:color w:val="auto"/>
                <w:sz w:val="24"/>
                <w:highlight w:val="none"/>
              </w:rPr>
            </w:pPr>
          </w:p>
        </w:tc>
        <w:tc>
          <w:tcPr>
            <w:tcW w:w="1701" w:type="dxa"/>
          </w:tcPr>
          <w:p w14:paraId="2AB0B9BB">
            <w:pPr>
              <w:spacing w:line="400" w:lineRule="exact"/>
              <w:rPr>
                <w:rFonts w:ascii="宋体" w:hAnsi="宋体" w:cs="宋体"/>
                <w:color w:val="auto"/>
                <w:sz w:val="24"/>
                <w:highlight w:val="none"/>
              </w:rPr>
            </w:pPr>
          </w:p>
        </w:tc>
      </w:tr>
      <w:tr w14:paraId="1046B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84DDA19">
            <w:pPr>
              <w:spacing w:line="400" w:lineRule="exact"/>
              <w:rPr>
                <w:rFonts w:ascii="宋体" w:hAnsi="宋体" w:cs="宋体"/>
                <w:color w:val="auto"/>
                <w:sz w:val="24"/>
                <w:highlight w:val="none"/>
              </w:rPr>
            </w:pPr>
            <w:r>
              <w:rPr>
                <w:rFonts w:hint="eastAsia" w:ascii="宋体" w:hAnsi="宋体" w:cs="宋体"/>
                <w:color w:val="auto"/>
                <w:sz w:val="24"/>
                <w:highlight w:val="none"/>
              </w:rPr>
              <w:t>四、固定资产</w:t>
            </w:r>
          </w:p>
        </w:tc>
        <w:tc>
          <w:tcPr>
            <w:tcW w:w="1276" w:type="dxa"/>
          </w:tcPr>
          <w:p w14:paraId="7F8B8C0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184F2726">
            <w:pPr>
              <w:spacing w:line="400" w:lineRule="exact"/>
              <w:rPr>
                <w:rFonts w:ascii="宋体" w:hAnsi="宋体" w:cs="宋体"/>
                <w:color w:val="auto"/>
                <w:sz w:val="24"/>
                <w:highlight w:val="none"/>
              </w:rPr>
            </w:pPr>
          </w:p>
        </w:tc>
        <w:tc>
          <w:tcPr>
            <w:tcW w:w="1672" w:type="dxa"/>
          </w:tcPr>
          <w:p w14:paraId="0DF6F3A6">
            <w:pPr>
              <w:spacing w:line="400" w:lineRule="exact"/>
              <w:rPr>
                <w:rFonts w:ascii="宋体" w:hAnsi="宋体" w:cs="宋体"/>
                <w:color w:val="auto"/>
                <w:sz w:val="24"/>
                <w:highlight w:val="none"/>
              </w:rPr>
            </w:pPr>
          </w:p>
        </w:tc>
        <w:tc>
          <w:tcPr>
            <w:tcW w:w="1701" w:type="dxa"/>
          </w:tcPr>
          <w:p w14:paraId="63DBD64B">
            <w:pPr>
              <w:spacing w:line="400" w:lineRule="exact"/>
              <w:rPr>
                <w:rFonts w:ascii="宋体" w:hAnsi="宋体" w:cs="宋体"/>
                <w:color w:val="auto"/>
                <w:sz w:val="24"/>
                <w:highlight w:val="none"/>
              </w:rPr>
            </w:pPr>
          </w:p>
        </w:tc>
      </w:tr>
      <w:tr w14:paraId="6EC3E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94AE3F2">
            <w:pPr>
              <w:spacing w:line="400" w:lineRule="exact"/>
              <w:rPr>
                <w:rFonts w:ascii="宋体" w:hAnsi="宋体" w:cs="宋体"/>
                <w:color w:val="auto"/>
                <w:sz w:val="24"/>
                <w:highlight w:val="none"/>
              </w:rPr>
            </w:pPr>
            <w:r>
              <w:rPr>
                <w:rFonts w:hint="eastAsia" w:ascii="宋体" w:hAnsi="宋体" w:cs="宋体"/>
                <w:color w:val="auto"/>
                <w:sz w:val="24"/>
                <w:highlight w:val="none"/>
              </w:rPr>
              <w:t>五、流动资产</w:t>
            </w:r>
          </w:p>
        </w:tc>
        <w:tc>
          <w:tcPr>
            <w:tcW w:w="1276" w:type="dxa"/>
          </w:tcPr>
          <w:p w14:paraId="0CB01B4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668DD181">
            <w:pPr>
              <w:spacing w:line="400" w:lineRule="exact"/>
              <w:rPr>
                <w:rFonts w:ascii="宋体" w:hAnsi="宋体" w:cs="宋体"/>
                <w:color w:val="auto"/>
                <w:sz w:val="24"/>
                <w:highlight w:val="none"/>
              </w:rPr>
            </w:pPr>
          </w:p>
        </w:tc>
        <w:tc>
          <w:tcPr>
            <w:tcW w:w="1672" w:type="dxa"/>
          </w:tcPr>
          <w:p w14:paraId="04E8D616">
            <w:pPr>
              <w:spacing w:line="400" w:lineRule="exact"/>
              <w:rPr>
                <w:rFonts w:ascii="宋体" w:hAnsi="宋体" w:cs="宋体"/>
                <w:color w:val="auto"/>
                <w:sz w:val="24"/>
                <w:highlight w:val="none"/>
              </w:rPr>
            </w:pPr>
          </w:p>
        </w:tc>
        <w:tc>
          <w:tcPr>
            <w:tcW w:w="1701" w:type="dxa"/>
          </w:tcPr>
          <w:p w14:paraId="01DAF67A">
            <w:pPr>
              <w:spacing w:line="400" w:lineRule="exact"/>
              <w:rPr>
                <w:rFonts w:ascii="宋体" w:hAnsi="宋体" w:cs="宋体"/>
                <w:color w:val="auto"/>
                <w:sz w:val="24"/>
                <w:highlight w:val="none"/>
              </w:rPr>
            </w:pPr>
          </w:p>
        </w:tc>
      </w:tr>
      <w:tr w14:paraId="45F9A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2A8F578">
            <w:pPr>
              <w:spacing w:line="400" w:lineRule="exact"/>
              <w:rPr>
                <w:rFonts w:ascii="宋体" w:hAnsi="宋体" w:cs="宋体"/>
                <w:color w:val="auto"/>
                <w:sz w:val="24"/>
                <w:highlight w:val="none"/>
              </w:rPr>
            </w:pPr>
            <w:r>
              <w:rPr>
                <w:rFonts w:hint="eastAsia" w:ascii="宋体" w:hAnsi="宋体" w:cs="宋体"/>
                <w:color w:val="auto"/>
                <w:sz w:val="24"/>
                <w:highlight w:val="none"/>
              </w:rPr>
              <w:t>六、流动负债</w:t>
            </w:r>
          </w:p>
        </w:tc>
        <w:tc>
          <w:tcPr>
            <w:tcW w:w="1276" w:type="dxa"/>
          </w:tcPr>
          <w:p w14:paraId="12F2332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38611B3B">
            <w:pPr>
              <w:spacing w:line="400" w:lineRule="exact"/>
              <w:rPr>
                <w:rFonts w:ascii="宋体" w:hAnsi="宋体" w:cs="宋体"/>
                <w:color w:val="auto"/>
                <w:sz w:val="24"/>
                <w:highlight w:val="none"/>
              </w:rPr>
            </w:pPr>
          </w:p>
        </w:tc>
        <w:tc>
          <w:tcPr>
            <w:tcW w:w="1672" w:type="dxa"/>
          </w:tcPr>
          <w:p w14:paraId="0ADD041C">
            <w:pPr>
              <w:spacing w:line="400" w:lineRule="exact"/>
              <w:rPr>
                <w:rFonts w:ascii="宋体" w:hAnsi="宋体" w:cs="宋体"/>
                <w:color w:val="auto"/>
                <w:sz w:val="24"/>
                <w:highlight w:val="none"/>
              </w:rPr>
            </w:pPr>
          </w:p>
        </w:tc>
        <w:tc>
          <w:tcPr>
            <w:tcW w:w="1701" w:type="dxa"/>
          </w:tcPr>
          <w:p w14:paraId="396FBE02">
            <w:pPr>
              <w:spacing w:line="400" w:lineRule="exact"/>
              <w:rPr>
                <w:rFonts w:ascii="宋体" w:hAnsi="宋体" w:cs="宋体"/>
                <w:color w:val="auto"/>
                <w:sz w:val="24"/>
                <w:highlight w:val="none"/>
              </w:rPr>
            </w:pPr>
          </w:p>
        </w:tc>
      </w:tr>
      <w:tr w14:paraId="585E3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16268158">
            <w:pPr>
              <w:spacing w:line="400" w:lineRule="exact"/>
              <w:rPr>
                <w:rFonts w:ascii="宋体" w:hAnsi="宋体" w:cs="宋体"/>
                <w:color w:val="auto"/>
                <w:sz w:val="24"/>
                <w:highlight w:val="none"/>
              </w:rPr>
            </w:pPr>
            <w:r>
              <w:rPr>
                <w:rFonts w:hint="eastAsia" w:ascii="宋体" w:hAnsi="宋体" w:cs="宋体"/>
                <w:color w:val="auto"/>
                <w:sz w:val="24"/>
                <w:highlight w:val="none"/>
              </w:rPr>
              <w:t>七、负债合计</w:t>
            </w:r>
          </w:p>
        </w:tc>
        <w:tc>
          <w:tcPr>
            <w:tcW w:w="1276" w:type="dxa"/>
          </w:tcPr>
          <w:p w14:paraId="5A1AE8E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7E038336">
            <w:pPr>
              <w:spacing w:line="400" w:lineRule="exact"/>
              <w:rPr>
                <w:rFonts w:ascii="宋体" w:hAnsi="宋体" w:cs="宋体"/>
                <w:color w:val="auto"/>
                <w:sz w:val="24"/>
                <w:highlight w:val="none"/>
              </w:rPr>
            </w:pPr>
          </w:p>
        </w:tc>
        <w:tc>
          <w:tcPr>
            <w:tcW w:w="1672" w:type="dxa"/>
          </w:tcPr>
          <w:p w14:paraId="6FD28716">
            <w:pPr>
              <w:spacing w:line="400" w:lineRule="exact"/>
              <w:rPr>
                <w:rFonts w:ascii="宋体" w:hAnsi="宋体" w:cs="宋体"/>
                <w:color w:val="auto"/>
                <w:sz w:val="24"/>
                <w:highlight w:val="none"/>
              </w:rPr>
            </w:pPr>
          </w:p>
        </w:tc>
        <w:tc>
          <w:tcPr>
            <w:tcW w:w="1701" w:type="dxa"/>
          </w:tcPr>
          <w:p w14:paraId="329F7893">
            <w:pPr>
              <w:spacing w:line="400" w:lineRule="exact"/>
              <w:rPr>
                <w:rFonts w:ascii="宋体" w:hAnsi="宋体" w:cs="宋体"/>
                <w:color w:val="auto"/>
                <w:sz w:val="24"/>
                <w:highlight w:val="none"/>
              </w:rPr>
            </w:pPr>
          </w:p>
        </w:tc>
      </w:tr>
      <w:tr w14:paraId="4C607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A97FBAA">
            <w:pPr>
              <w:spacing w:line="400" w:lineRule="exact"/>
              <w:rPr>
                <w:rFonts w:ascii="宋体" w:hAnsi="宋体" w:cs="宋体"/>
                <w:color w:val="auto"/>
                <w:sz w:val="24"/>
                <w:highlight w:val="none"/>
              </w:rPr>
            </w:pPr>
            <w:r>
              <w:rPr>
                <w:rFonts w:hint="eastAsia" w:ascii="宋体" w:hAnsi="宋体" w:cs="宋体"/>
                <w:color w:val="auto"/>
                <w:sz w:val="24"/>
                <w:highlight w:val="none"/>
              </w:rPr>
              <w:t>八、营业收入</w:t>
            </w:r>
          </w:p>
        </w:tc>
        <w:tc>
          <w:tcPr>
            <w:tcW w:w="1276" w:type="dxa"/>
          </w:tcPr>
          <w:p w14:paraId="6D63409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2BFA9922">
            <w:pPr>
              <w:spacing w:line="400" w:lineRule="exact"/>
              <w:rPr>
                <w:rFonts w:ascii="宋体" w:hAnsi="宋体" w:cs="宋体"/>
                <w:color w:val="auto"/>
                <w:sz w:val="24"/>
                <w:highlight w:val="none"/>
              </w:rPr>
            </w:pPr>
          </w:p>
        </w:tc>
        <w:tc>
          <w:tcPr>
            <w:tcW w:w="1672" w:type="dxa"/>
          </w:tcPr>
          <w:p w14:paraId="3346D2A2">
            <w:pPr>
              <w:spacing w:line="400" w:lineRule="exact"/>
              <w:rPr>
                <w:rFonts w:ascii="宋体" w:hAnsi="宋体" w:cs="宋体"/>
                <w:color w:val="auto"/>
                <w:sz w:val="24"/>
                <w:highlight w:val="none"/>
              </w:rPr>
            </w:pPr>
          </w:p>
        </w:tc>
        <w:tc>
          <w:tcPr>
            <w:tcW w:w="1701" w:type="dxa"/>
          </w:tcPr>
          <w:p w14:paraId="1832210C">
            <w:pPr>
              <w:spacing w:line="400" w:lineRule="exact"/>
              <w:rPr>
                <w:rFonts w:ascii="宋体" w:hAnsi="宋体" w:cs="宋体"/>
                <w:color w:val="auto"/>
                <w:sz w:val="24"/>
                <w:highlight w:val="none"/>
              </w:rPr>
            </w:pPr>
          </w:p>
        </w:tc>
      </w:tr>
      <w:tr w14:paraId="368F1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27A9C181">
            <w:pPr>
              <w:spacing w:line="400" w:lineRule="exact"/>
              <w:rPr>
                <w:rFonts w:ascii="宋体" w:hAnsi="宋体" w:cs="宋体"/>
                <w:color w:val="auto"/>
                <w:sz w:val="24"/>
                <w:highlight w:val="none"/>
              </w:rPr>
            </w:pPr>
            <w:r>
              <w:rPr>
                <w:rFonts w:hint="eastAsia" w:ascii="宋体" w:hAnsi="宋体" w:cs="宋体"/>
                <w:color w:val="auto"/>
                <w:sz w:val="24"/>
                <w:highlight w:val="none"/>
              </w:rPr>
              <w:t>九、净利润</w:t>
            </w:r>
          </w:p>
        </w:tc>
        <w:tc>
          <w:tcPr>
            <w:tcW w:w="1276" w:type="dxa"/>
          </w:tcPr>
          <w:p w14:paraId="3164C5E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09C2929F">
            <w:pPr>
              <w:spacing w:line="400" w:lineRule="exact"/>
              <w:rPr>
                <w:rFonts w:ascii="宋体" w:hAnsi="宋体" w:cs="宋体"/>
                <w:color w:val="auto"/>
                <w:sz w:val="24"/>
                <w:highlight w:val="none"/>
              </w:rPr>
            </w:pPr>
          </w:p>
        </w:tc>
        <w:tc>
          <w:tcPr>
            <w:tcW w:w="1672" w:type="dxa"/>
          </w:tcPr>
          <w:p w14:paraId="09302E7B">
            <w:pPr>
              <w:spacing w:line="400" w:lineRule="exact"/>
              <w:rPr>
                <w:rFonts w:ascii="宋体" w:hAnsi="宋体" w:cs="宋体"/>
                <w:color w:val="auto"/>
                <w:sz w:val="24"/>
                <w:highlight w:val="none"/>
              </w:rPr>
            </w:pPr>
          </w:p>
        </w:tc>
        <w:tc>
          <w:tcPr>
            <w:tcW w:w="1701" w:type="dxa"/>
          </w:tcPr>
          <w:p w14:paraId="1D7872DA">
            <w:pPr>
              <w:spacing w:line="400" w:lineRule="exact"/>
              <w:rPr>
                <w:rFonts w:ascii="宋体" w:hAnsi="宋体" w:cs="宋体"/>
                <w:color w:val="auto"/>
                <w:sz w:val="24"/>
                <w:highlight w:val="none"/>
              </w:rPr>
            </w:pPr>
          </w:p>
        </w:tc>
      </w:tr>
      <w:tr w14:paraId="31C8F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633D2AE">
            <w:pPr>
              <w:spacing w:line="400" w:lineRule="exact"/>
              <w:rPr>
                <w:rFonts w:ascii="宋体" w:hAnsi="宋体" w:cs="宋体"/>
                <w:color w:val="auto"/>
                <w:sz w:val="24"/>
                <w:highlight w:val="none"/>
              </w:rPr>
            </w:pPr>
            <w:r>
              <w:rPr>
                <w:rFonts w:hint="eastAsia" w:ascii="宋体" w:hAnsi="宋体" w:cs="宋体"/>
                <w:color w:val="auto"/>
                <w:sz w:val="24"/>
                <w:highlight w:val="none"/>
              </w:rPr>
              <w:t>十、现金流量净额</w:t>
            </w:r>
          </w:p>
        </w:tc>
        <w:tc>
          <w:tcPr>
            <w:tcW w:w="1276" w:type="dxa"/>
          </w:tcPr>
          <w:p w14:paraId="1F82241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0AACCFD1">
            <w:pPr>
              <w:spacing w:line="400" w:lineRule="exact"/>
              <w:rPr>
                <w:rFonts w:ascii="宋体" w:hAnsi="宋体" w:cs="宋体"/>
                <w:color w:val="auto"/>
                <w:sz w:val="24"/>
                <w:highlight w:val="none"/>
              </w:rPr>
            </w:pPr>
          </w:p>
        </w:tc>
        <w:tc>
          <w:tcPr>
            <w:tcW w:w="1672" w:type="dxa"/>
          </w:tcPr>
          <w:p w14:paraId="0FCB293F">
            <w:pPr>
              <w:spacing w:line="400" w:lineRule="exact"/>
              <w:rPr>
                <w:rFonts w:ascii="宋体" w:hAnsi="宋体" w:cs="宋体"/>
                <w:color w:val="auto"/>
                <w:sz w:val="24"/>
                <w:highlight w:val="none"/>
              </w:rPr>
            </w:pPr>
          </w:p>
        </w:tc>
        <w:tc>
          <w:tcPr>
            <w:tcW w:w="1701" w:type="dxa"/>
          </w:tcPr>
          <w:p w14:paraId="07227BD2">
            <w:pPr>
              <w:spacing w:line="400" w:lineRule="exact"/>
              <w:rPr>
                <w:rFonts w:ascii="宋体" w:hAnsi="宋体" w:cs="宋体"/>
                <w:color w:val="auto"/>
                <w:sz w:val="24"/>
                <w:highlight w:val="none"/>
              </w:rPr>
            </w:pPr>
          </w:p>
        </w:tc>
      </w:tr>
      <w:tr w14:paraId="14FDA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20AFFE45">
            <w:pPr>
              <w:spacing w:line="400" w:lineRule="exact"/>
              <w:rPr>
                <w:rFonts w:ascii="宋体" w:hAnsi="宋体" w:cs="宋体"/>
                <w:color w:val="auto"/>
                <w:sz w:val="24"/>
                <w:highlight w:val="none"/>
              </w:rPr>
            </w:pPr>
            <w:r>
              <w:rPr>
                <w:rFonts w:hint="eastAsia" w:ascii="宋体" w:hAnsi="宋体" w:cs="宋体"/>
                <w:color w:val="auto"/>
                <w:sz w:val="24"/>
                <w:highlight w:val="none"/>
              </w:rPr>
              <w:t>十一、主要财务指标</w:t>
            </w:r>
          </w:p>
        </w:tc>
        <w:tc>
          <w:tcPr>
            <w:tcW w:w="1276" w:type="dxa"/>
          </w:tcPr>
          <w:p w14:paraId="3754E645">
            <w:pPr>
              <w:spacing w:line="400" w:lineRule="exact"/>
              <w:jc w:val="center"/>
              <w:rPr>
                <w:rFonts w:ascii="宋体" w:hAnsi="宋体" w:cs="宋体"/>
                <w:color w:val="auto"/>
                <w:sz w:val="24"/>
                <w:highlight w:val="none"/>
              </w:rPr>
            </w:pPr>
          </w:p>
        </w:tc>
        <w:tc>
          <w:tcPr>
            <w:tcW w:w="1730" w:type="dxa"/>
          </w:tcPr>
          <w:p w14:paraId="6B5F7DB0">
            <w:pPr>
              <w:spacing w:line="400" w:lineRule="exact"/>
              <w:rPr>
                <w:rFonts w:ascii="宋体" w:hAnsi="宋体" w:cs="宋体"/>
                <w:color w:val="auto"/>
                <w:sz w:val="24"/>
                <w:highlight w:val="none"/>
              </w:rPr>
            </w:pPr>
          </w:p>
        </w:tc>
        <w:tc>
          <w:tcPr>
            <w:tcW w:w="1672" w:type="dxa"/>
          </w:tcPr>
          <w:p w14:paraId="032D89B8">
            <w:pPr>
              <w:spacing w:line="400" w:lineRule="exact"/>
              <w:rPr>
                <w:rFonts w:ascii="宋体" w:hAnsi="宋体" w:cs="宋体"/>
                <w:color w:val="auto"/>
                <w:sz w:val="24"/>
                <w:highlight w:val="none"/>
              </w:rPr>
            </w:pPr>
          </w:p>
        </w:tc>
        <w:tc>
          <w:tcPr>
            <w:tcW w:w="1701" w:type="dxa"/>
          </w:tcPr>
          <w:p w14:paraId="2D84816B">
            <w:pPr>
              <w:spacing w:line="400" w:lineRule="exact"/>
              <w:rPr>
                <w:rFonts w:ascii="宋体" w:hAnsi="宋体" w:cs="宋体"/>
                <w:color w:val="auto"/>
                <w:sz w:val="24"/>
                <w:highlight w:val="none"/>
              </w:rPr>
            </w:pPr>
          </w:p>
        </w:tc>
      </w:tr>
      <w:tr w14:paraId="33D5D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2433E119">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1.净资产收益率</w:t>
            </w:r>
          </w:p>
        </w:tc>
        <w:tc>
          <w:tcPr>
            <w:tcW w:w="1276" w:type="dxa"/>
          </w:tcPr>
          <w:p w14:paraId="0FA7C38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3AEA7A63">
            <w:pPr>
              <w:spacing w:line="400" w:lineRule="exact"/>
              <w:rPr>
                <w:rFonts w:ascii="宋体" w:hAnsi="宋体" w:cs="宋体"/>
                <w:color w:val="auto"/>
                <w:sz w:val="24"/>
                <w:highlight w:val="none"/>
              </w:rPr>
            </w:pPr>
          </w:p>
        </w:tc>
        <w:tc>
          <w:tcPr>
            <w:tcW w:w="1672" w:type="dxa"/>
          </w:tcPr>
          <w:p w14:paraId="40AD9B4E">
            <w:pPr>
              <w:spacing w:line="400" w:lineRule="exact"/>
              <w:rPr>
                <w:rFonts w:ascii="宋体" w:hAnsi="宋体" w:cs="宋体"/>
                <w:color w:val="auto"/>
                <w:sz w:val="24"/>
                <w:highlight w:val="none"/>
              </w:rPr>
            </w:pPr>
          </w:p>
        </w:tc>
        <w:tc>
          <w:tcPr>
            <w:tcW w:w="1701" w:type="dxa"/>
          </w:tcPr>
          <w:p w14:paraId="5BBDA0D6">
            <w:pPr>
              <w:spacing w:line="400" w:lineRule="exact"/>
              <w:rPr>
                <w:rFonts w:ascii="宋体" w:hAnsi="宋体" w:cs="宋体"/>
                <w:color w:val="auto"/>
                <w:sz w:val="24"/>
                <w:highlight w:val="none"/>
              </w:rPr>
            </w:pPr>
          </w:p>
        </w:tc>
      </w:tr>
      <w:tr w14:paraId="7ECEC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024D2DE">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2.总资产报酬率</w:t>
            </w:r>
          </w:p>
        </w:tc>
        <w:tc>
          <w:tcPr>
            <w:tcW w:w="1276" w:type="dxa"/>
          </w:tcPr>
          <w:p w14:paraId="329300B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5720C3FF">
            <w:pPr>
              <w:spacing w:line="400" w:lineRule="exact"/>
              <w:rPr>
                <w:rFonts w:ascii="宋体" w:hAnsi="宋体" w:cs="宋体"/>
                <w:color w:val="auto"/>
                <w:sz w:val="24"/>
                <w:highlight w:val="none"/>
              </w:rPr>
            </w:pPr>
          </w:p>
        </w:tc>
        <w:tc>
          <w:tcPr>
            <w:tcW w:w="1672" w:type="dxa"/>
          </w:tcPr>
          <w:p w14:paraId="49420373">
            <w:pPr>
              <w:spacing w:line="400" w:lineRule="exact"/>
              <w:rPr>
                <w:rFonts w:ascii="宋体" w:hAnsi="宋体" w:cs="宋体"/>
                <w:color w:val="auto"/>
                <w:sz w:val="24"/>
                <w:highlight w:val="none"/>
              </w:rPr>
            </w:pPr>
          </w:p>
        </w:tc>
        <w:tc>
          <w:tcPr>
            <w:tcW w:w="1701" w:type="dxa"/>
          </w:tcPr>
          <w:p w14:paraId="54F433A0">
            <w:pPr>
              <w:spacing w:line="400" w:lineRule="exact"/>
              <w:rPr>
                <w:rFonts w:ascii="宋体" w:hAnsi="宋体" w:cs="宋体"/>
                <w:color w:val="auto"/>
                <w:sz w:val="24"/>
                <w:highlight w:val="none"/>
              </w:rPr>
            </w:pPr>
          </w:p>
        </w:tc>
      </w:tr>
      <w:tr w14:paraId="44394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13F201EE">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3.主营业务利润率</w:t>
            </w:r>
          </w:p>
        </w:tc>
        <w:tc>
          <w:tcPr>
            <w:tcW w:w="1276" w:type="dxa"/>
          </w:tcPr>
          <w:p w14:paraId="18B1C7B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1F00A402">
            <w:pPr>
              <w:spacing w:line="400" w:lineRule="exact"/>
              <w:rPr>
                <w:rFonts w:ascii="宋体" w:hAnsi="宋体" w:cs="宋体"/>
                <w:color w:val="auto"/>
                <w:sz w:val="24"/>
                <w:highlight w:val="none"/>
              </w:rPr>
            </w:pPr>
          </w:p>
        </w:tc>
        <w:tc>
          <w:tcPr>
            <w:tcW w:w="1672" w:type="dxa"/>
          </w:tcPr>
          <w:p w14:paraId="469D2EBA">
            <w:pPr>
              <w:spacing w:line="400" w:lineRule="exact"/>
              <w:rPr>
                <w:rFonts w:ascii="宋体" w:hAnsi="宋体" w:cs="宋体"/>
                <w:color w:val="auto"/>
                <w:sz w:val="24"/>
                <w:highlight w:val="none"/>
              </w:rPr>
            </w:pPr>
          </w:p>
        </w:tc>
        <w:tc>
          <w:tcPr>
            <w:tcW w:w="1701" w:type="dxa"/>
          </w:tcPr>
          <w:p w14:paraId="30061A13">
            <w:pPr>
              <w:spacing w:line="400" w:lineRule="exact"/>
              <w:rPr>
                <w:rFonts w:ascii="宋体" w:hAnsi="宋体" w:cs="宋体"/>
                <w:color w:val="auto"/>
                <w:sz w:val="24"/>
                <w:highlight w:val="none"/>
              </w:rPr>
            </w:pPr>
          </w:p>
        </w:tc>
      </w:tr>
      <w:tr w14:paraId="6EA77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3D54A1A">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4.资产负债率</w:t>
            </w:r>
          </w:p>
        </w:tc>
        <w:tc>
          <w:tcPr>
            <w:tcW w:w="1276" w:type="dxa"/>
          </w:tcPr>
          <w:p w14:paraId="660889D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25359C81">
            <w:pPr>
              <w:spacing w:line="400" w:lineRule="exact"/>
              <w:rPr>
                <w:rFonts w:ascii="宋体" w:hAnsi="宋体" w:cs="宋体"/>
                <w:color w:val="auto"/>
                <w:sz w:val="24"/>
                <w:highlight w:val="none"/>
              </w:rPr>
            </w:pPr>
          </w:p>
        </w:tc>
        <w:tc>
          <w:tcPr>
            <w:tcW w:w="1672" w:type="dxa"/>
          </w:tcPr>
          <w:p w14:paraId="15AAAE72">
            <w:pPr>
              <w:spacing w:line="400" w:lineRule="exact"/>
              <w:rPr>
                <w:rFonts w:ascii="宋体" w:hAnsi="宋体" w:cs="宋体"/>
                <w:color w:val="auto"/>
                <w:sz w:val="24"/>
                <w:highlight w:val="none"/>
              </w:rPr>
            </w:pPr>
          </w:p>
        </w:tc>
        <w:tc>
          <w:tcPr>
            <w:tcW w:w="1701" w:type="dxa"/>
          </w:tcPr>
          <w:p w14:paraId="4D31B3E7">
            <w:pPr>
              <w:spacing w:line="400" w:lineRule="exact"/>
              <w:rPr>
                <w:rFonts w:ascii="宋体" w:hAnsi="宋体" w:cs="宋体"/>
                <w:color w:val="auto"/>
                <w:sz w:val="24"/>
                <w:highlight w:val="none"/>
              </w:rPr>
            </w:pPr>
          </w:p>
        </w:tc>
      </w:tr>
      <w:tr w14:paraId="33C15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BAE72CC">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5.流动比率</w:t>
            </w:r>
          </w:p>
        </w:tc>
        <w:tc>
          <w:tcPr>
            <w:tcW w:w="1276" w:type="dxa"/>
          </w:tcPr>
          <w:p w14:paraId="6CDB703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6A345C60">
            <w:pPr>
              <w:spacing w:line="400" w:lineRule="exact"/>
              <w:rPr>
                <w:rFonts w:ascii="宋体" w:hAnsi="宋体" w:cs="宋体"/>
                <w:color w:val="auto"/>
                <w:sz w:val="24"/>
                <w:highlight w:val="none"/>
              </w:rPr>
            </w:pPr>
          </w:p>
        </w:tc>
        <w:tc>
          <w:tcPr>
            <w:tcW w:w="1672" w:type="dxa"/>
          </w:tcPr>
          <w:p w14:paraId="3CF902C5">
            <w:pPr>
              <w:spacing w:line="400" w:lineRule="exact"/>
              <w:rPr>
                <w:rFonts w:ascii="宋体" w:hAnsi="宋体" w:cs="宋体"/>
                <w:color w:val="auto"/>
                <w:sz w:val="24"/>
                <w:highlight w:val="none"/>
              </w:rPr>
            </w:pPr>
          </w:p>
        </w:tc>
        <w:tc>
          <w:tcPr>
            <w:tcW w:w="1701" w:type="dxa"/>
          </w:tcPr>
          <w:p w14:paraId="1FF23A8D">
            <w:pPr>
              <w:spacing w:line="400" w:lineRule="exact"/>
              <w:rPr>
                <w:rFonts w:ascii="宋体" w:hAnsi="宋体" w:cs="宋体"/>
                <w:color w:val="auto"/>
                <w:sz w:val="24"/>
                <w:highlight w:val="none"/>
              </w:rPr>
            </w:pPr>
          </w:p>
        </w:tc>
      </w:tr>
      <w:tr w14:paraId="449A0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89695F4">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6.速动比率</w:t>
            </w:r>
          </w:p>
        </w:tc>
        <w:tc>
          <w:tcPr>
            <w:tcW w:w="1276" w:type="dxa"/>
          </w:tcPr>
          <w:p w14:paraId="136C75A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355957BC">
            <w:pPr>
              <w:spacing w:line="400" w:lineRule="exact"/>
              <w:rPr>
                <w:rFonts w:ascii="宋体" w:hAnsi="宋体" w:cs="宋体"/>
                <w:color w:val="auto"/>
                <w:sz w:val="24"/>
                <w:highlight w:val="none"/>
              </w:rPr>
            </w:pPr>
          </w:p>
        </w:tc>
        <w:tc>
          <w:tcPr>
            <w:tcW w:w="1672" w:type="dxa"/>
          </w:tcPr>
          <w:p w14:paraId="5269D3B4">
            <w:pPr>
              <w:spacing w:line="400" w:lineRule="exact"/>
              <w:rPr>
                <w:rFonts w:ascii="宋体" w:hAnsi="宋体" w:cs="宋体"/>
                <w:color w:val="auto"/>
                <w:sz w:val="24"/>
                <w:highlight w:val="none"/>
              </w:rPr>
            </w:pPr>
          </w:p>
        </w:tc>
        <w:tc>
          <w:tcPr>
            <w:tcW w:w="1701" w:type="dxa"/>
          </w:tcPr>
          <w:p w14:paraId="6893399F">
            <w:pPr>
              <w:spacing w:line="400" w:lineRule="exact"/>
              <w:rPr>
                <w:rFonts w:ascii="宋体" w:hAnsi="宋体" w:cs="宋体"/>
                <w:color w:val="auto"/>
                <w:sz w:val="24"/>
                <w:highlight w:val="none"/>
              </w:rPr>
            </w:pPr>
          </w:p>
        </w:tc>
      </w:tr>
      <w:tr w14:paraId="6DCC4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1BA3215">
            <w:pPr>
              <w:spacing w:line="400" w:lineRule="exact"/>
              <w:rPr>
                <w:rFonts w:hint="eastAsia" w:ascii="宋体" w:hAnsi="宋体" w:cs="宋体"/>
                <w:color w:val="auto"/>
                <w:sz w:val="24"/>
                <w:highlight w:val="none"/>
              </w:rPr>
            </w:pPr>
            <w:r>
              <w:rPr>
                <w:rFonts w:hint="eastAsia" w:ascii="宋体" w:hAnsi="宋体" w:cs="宋体"/>
                <w:color w:val="auto"/>
                <w:sz w:val="24"/>
                <w:highlight w:val="none"/>
              </w:rPr>
              <w:t>近三个年度的年平均营业总收入</w:t>
            </w:r>
          </w:p>
        </w:tc>
        <w:tc>
          <w:tcPr>
            <w:tcW w:w="1276" w:type="dxa"/>
            <w:vAlign w:val="center"/>
          </w:tcPr>
          <w:p w14:paraId="295609A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5103" w:type="dxa"/>
            <w:gridSpan w:val="3"/>
          </w:tcPr>
          <w:p w14:paraId="0CBE98F9">
            <w:pPr>
              <w:spacing w:line="400" w:lineRule="exact"/>
              <w:rPr>
                <w:rFonts w:ascii="宋体" w:hAnsi="宋体" w:cs="宋体"/>
                <w:color w:val="auto"/>
                <w:sz w:val="24"/>
                <w:highlight w:val="none"/>
              </w:rPr>
            </w:pPr>
          </w:p>
        </w:tc>
      </w:tr>
      <w:tr w14:paraId="195F1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1065B33">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最新年度具有的营运资金（流动资产-流动负债）</w:t>
            </w:r>
          </w:p>
        </w:tc>
        <w:tc>
          <w:tcPr>
            <w:tcW w:w="1276" w:type="dxa"/>
            <w:vAlign w:val="center"/>
          </w:tcPr>
          <w:p w14:paraId="2E1F44E1">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5103" w:type="dxa"/>
            <w:gridSpan w:val="3"/>
          </w:tcPr>
          <w:p w14:paraId="7C700026">
            <w:pPr>
              <w:spacing w:line="400" w:lineRule="exact"/>
              <w:rPr>
                <w:rFonts w:ascii="宋体" w:hAnsi="宋体" w:cs="宋体"/>
                <w:color w:val="auto"/>
                <w:sz w:val="24"/>
                <w:highlight w:val="none"/>
              </w:rPr>
            </w:pPr>
          </w:p>
        </w:tc>
      </w:tr>
    </w:tbl>
    <w:p w14:paraId="28F16EE0">
      <w:pPr>
        <w:ind w:left="810" w:leftChars="100" w:hanging="600" w:hangingChars="250"/>
        <w:jc w:val="left"/>
        <w:rPr>
          <w:rFonts w:hint="eastAsia" w:ascii="宋体" w:hAnsi="宋体" w:cs="宋体"/>
          <w:color w:val="auto"/>
          <w:sz w:val="24"/>
          <w:highlight w:val="none"/>
        </w:rPr>
      </w:pPr>
      <w:r>
        <w:rPr>
          <w:rFonts w:hint="eastAsia" w:ascii="宋体" w:hAnsi="宋体" w:cs="宋体"/>
          <w:color w:val="auto"/>
          <w:sz w:val="24"/>
          <w:highlight w:val="none"/>
        </w:rPr>
        <w:t>注：投标人应根据招标文件第二章“投标人须知”第 3.5.2 项的要求在本表后附相关证明材料。</w:t>
      </w:r>
    </w:p>
    <w:p w14:paraId="521B4E4A">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3C27BB9">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四</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近年完成的类似项目情况表</w:t>
      </w:r>
    </w:p>
    <w:p w14:paraId="23623BFD">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（四）</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1完成的类似项目情况表</w:t>
      </w:r>
    </w:p>
    <w:tbl>
      <w:tblPr>
        <w:tblStyle w:val="42"/>
        <w:tblW w:w="88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6554"/>
      </w:tblGrid>
      <w:tr w14:paraId="4FEE5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531E0A6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序    号</w:t>
            </w:r>
          </w:p>
        </w:tc>
        <w:tc>
          <w:tcPr>
            <w:tcW w:w="6554" w:type="dxa"/>
            <w:vAlign w:val="center"/>
          </w:tcPr>
          <w:p w14:paraId="7914AB27">
            <w:pPr>
              <w:spacing w:line="400" w:lineRule="exact"/>
              <w:jc w:val="center"/>
              <w:rPr>
                <w:rFonts w:ascii="宋体" w:hAnsi="宋体" w:cs="宋体"/>
                <w:color w:val="auto"/>
                <w:sz w:val="24"/>
                <w:highlight w:val="none"/>
              </w:rPr>
            </w:pPr>
          </w:p>
        </w:tc>
      </w:tr>
      <w:tr w14:paraId="54F17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3E75A46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554" w:type="dxa"/>
            <w:vAlign w:val="center"/>
          </w:tcPr>
          <w:p w14:paraId="15AF8BDC">
            <w:pPr>
              <w:spacing w:line="400" w:lineRule="exact"/>
              <w:jc w:val="center"/>
              <w:rPr>
                <w:rFonts w:ascii="宋体" w:hAnsi="宋体" w:cs="宋体"/>
                <w:color w:val="auto"/>
                <w:sz w:val="24"/>
                <w:highlight w:val="none"/>
              </w:rPr>
            </w:pPr>
          </w:p>
        </w:tc>
      </w:tr>
      <w:tr w14:paraId="72C06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2C3EF35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项目所在地</w:t>
            </w:r>
          </w:p>
        </w:tc>
        <w:tc>
          <w:tcPr>
            <w:tcW w:w="6554" w:type="dxa"/>
            <w:vAlign w:val="center"/>
          </w:tcPr>
          <w:p w14:paraId="3EBFA082">
            <w:pPr>
              <w:spacing w:line="400" w:lineRule="exact"/>
              <w:jc w:val="center"/>
              <w:rPr>
                <w:rFonts w:ascii="宋体" w:hAnsi="宋体" w:cs="宋体"/>
                <w:color w:val="auto"/>
                <w:sz w:val="24"/>
                <w:highlight w:val="none"/>
              </w:rPr>
            </w:pPr>
          </w:p>
        </w:tc>
      </w:tr>
      <w:tr w14:paraId="5375E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419F683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发包人名称</w:t>
            </w:r>
          </w:p>
        </w:tc>
        <w:tc>
          <w:tcPr>
            <w:tcW w:w="6554" w:type="dxa"/>
            <w:vAlign w:val="center"/>
          </w:tcPr>
          <w:p w14:paraId="699930A9">
            <w:pPr>
              <w:spacing w:line="400" w:lineRule="exact"/>
              <w:jc w:val="center"/>
              <w:rPr>
                <w:rFonts w:ascii="宋体" w:hAnsi="宋体" w:cs="宋体"/>
                <w:color w:val="auto"/>
                <w:sz w:val="24"/>
                <w:highlight w:val="none"/>
              </w:rPr>
            </w:pPr>
          </w:p>
        </w:tc>
      </w:tr>
      <w:tr w14:paraId="29A6A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6960E88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发包人地址</w:t>
            </w:r>
          </w:p>
        </w:tc>
        <w:tc>
          <w:tcPr>
            <w:tcW w:w="6554" w:type="dxa"/>
            <w:vAlign w:val="center"/>
          </w:tcPr>
          <w:p w14:paraId="5AE5A7F6">
            <w:pPr>
              <w:spacing w:line="400" w:lineRule="exact"/>
              <w:jc w:val="center"/>
              <w:rPr>
                <w:rFonts w:ascii="宋体" w:hAnsi="宋体" w:cs="宋体"/>
                <w:color w:val="auto"/>
                <w:sz w:val="24"/>
                <w:highlight w:val="none"/>
              </w:rPr>
            </w:pPr>
          </w:p>
        </w:tc>
      </w:tr>
      <w:tr w14:paraId="67546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6A57113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发包人电话</w:t>
            </w:r>
          </w:p>
        </w:tc>
        <w:tc>
          <w:tcPr>
            <w:tcW w:w="6554" w:type="dxa"/>
            <w:vAlign w:val="center"/>
          </w:tcPr>
          <w:p w14:paraId="77056EC5">
            <w:pPr>
              <w:spacing w:line="400" w:lineRule="exact"/>
              <w:jc w:val="center"/>
              <w:rPr>
                <w:rFonts w:ascii="宋体" w:hAnsi="宋体" w:cs="宋体"/>
                <w:color w:val="auto"/>
                <w:sz w:val="24"/>
                <w:highlight w:val="none"/>
              </w:rPr>
            </w:pPr>
          </w:p>
        </w:tc>
      </w:tr>
      <w:tr w14:paraId="548C7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1C6429F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合同价格</w:t>
            </w:r>
          </w:p>
        </w:tc>
        <w:tc>
          <w:tcPr>
            <w:tcW w:w="6554" w:type="dxa"/>
            <w:vAlign w:val="center"/>
          </w:tcPr>
          <w:p w14:paraId="37AE57C8">
            <w:pPr>
              <w:spacing w:line="400" w:lineRule="exact"/>
              <w:jc w:val="center"/>
              <w:rPr>
                <w:rFonts w:ascii="宋体" w:hAnsi="宋体" w:cs="宋体"/>
                <w:color w:val="auto"/>
                <w:sz w:val="24"/>
                <w:highlight w:val="none"/>
              </w:rPr>
            </w:pPr>
          </w:p>
        </w:tc>
      </w:tr>
      <w:tr w14:paraId="5F59A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2BADAB5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开工日期</w:t>
            </w:r>
          </w:p>
        </w:tc>
        <w:tc>
          <w:tcPr>
            <w:tcW w:w="6554" w:type="dxa"/>
            <w:vAlign w:val="center"/>
          </w:tcPr>
          <w:p w14:paraId="45B487A6">
            <w:pPr>
              <w:spacing w:line="400" w:lineRule="exact"/>
              <w:jc w:val="center"/>
              <w:rPr>
                <w:rFonts w:ascii="宋体" w:hAnsi="宋体" w:cs="宋体"/>
                <w:color w:val="auto"/>
                <w:sz w:val="24"/>
                <w:highlight w:val="none"/>
              </w:rPr>
            </w:pPr>
          </w:p>
        </w:tc>
      </w:tr>
      <w:tr w14:paraId="0E6D7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62002C3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交工（或一次性竣工）日期</w:t>
            </w:r>
          </w:p>
        </w:tc>
        <w:tc>
          <w:tcPr>
            <w:tcW w:w="6554" w:type="dxa"/>
            <w:vAlign w:val="center"/>
          </w:tcPr>
          <w:p w14:paraId="00B9619B">
            <w:pPr>
              <w:spacing w:line="400" w:lineRule="exact"/>
              <w:jc w:val="center"/>
              <w:rPr>
                <w:rFonts w:ascii="宋体" w:hAnsi="宋体" w:cs="宋体"/>
                <w:color w:val="auto"/>
                <w:sz w:val="24"/>
                <w:highlight w:val="none"/>
              </w:rPr>
            </w:pPr>
          </w:p>
        </w:tc>
      </w:tr>
      <w:tr w14:paraId="0B5B3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522FA1C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承担的工作</w:t>
            </w:r>
          </w:p>
        </w:tc>
        <w:tc>
          <w:tcPr>
            <w:tcW w:w="6554" w:type="dxa"/>
            <w:vAlign w:val="center"/>
          </w:tcPr>
          <w:p w14:paraId="5207B2C6">
            <w:pPr>
              <w:spacing w:line="400" w:lineRule="exact"/>
              <w:jc w:val="center"/>
              <w:rPr>
                <w:rFonts w:ascii="宋体" w:hAnsi="宋体" w:cs="宋体"/>
                <w:color w:val="auto"/>
                <w:sz w:val="24"/>
                <w:highlight w:val="none"/>
              </w:rPr>
            </w:pPr>
          </w:p>
        </w:tc>
      </w:tr>
      <w:tr w14:paraId="01ECC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1EFB130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工程质量评分（或等级）</w:t>
            </w:r>
          </w:p>
        </w:tc>
        <w:tc>
          <w:tcPr>
            <w:tcW w:w="6554" w:type="dxa"/>
            <w:vAlign w:val="center"/>
          </w:tcPr>
          <w:p w14:paraId="24739A80">
            <w:pPr>
              <w:spacing w:line="400" w:lineRule="exact"/>
              <w:jc w:val="center"/>
              <w:rPr>
                <w:rFonts w:ascii="宋体" w:hAnsi="宋体" w:cs="宋体"/>
                <w:color w:val="auto"/>
                <w:sz w:val="24"/>
                <w:highlight w:val="none"/>
              </w:rPr>
            </w:pPr>
          </w:p>
        </w:tc>
      </w:tr>
      <w:tr w14:paraId="5E180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48AF8BA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6554" w:type="dxa"/>
            <w:vAlign w:val="center"/>
          </w:tcPr>
          <w:p w14:paraId="50EDE932">
            <w:pPr>
              <w:spacing w:line="400" w:lineRule="exact"/>
              <w:jc w:val="center"/>
              <w:rPr>
                <w:rFonts w:ascii="宋体" w:hAnsi="宋体" w:cs="宋体"/>
                <w:color w:val="auto"/>
                <w:sz w:val="24"/>
                <w:highlight w:val="none"/>
              </w:rPr>
            </w:pPr>
          </w:p>
        </w:tc>
      </w:tr>
      <w:tr w14:paraId="7949A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7FC5E21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项目总工</w:t>
            </w:r>
          </w:p>
        </w:tc>
        <w:tc>
          <w:tcPr>
            <w:tcW w:w="6554" w:type="dxa"/>
            <w:vAlign w:val="center"/>
          </w:tcPr>
          <w:p w14:paraId="1C6997F3">
            <w:pPr>
              <w:spacing w:line="400" w:lineRule="exact"/>
              <w:jc w:val="center"/>
              <w:rPr>
                <w:rFonts w:ascii="宋体" w:hAnsi="宋体" w:cs="宋体"/>
                <w:color w:val="auto"/>
                <w:sz w:val="24"/>
                <w:highlight w:val="none"/>
              </w:rPr>
            </w:pPr>
          </w:p>
        </w:tc>
      </w:tr>
      <w:tr w14:paraId="61289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3" w:type="dxa"/>
            <w:vAlign w:val="center"/>
          </w:tcPr>
          <w:p w14:paraId="7A84F45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总监理工程师及电话</w:t>
            </w:r>
          </w:p>
        </w:tc>
        <w:tc>
          <w:tcPr>
            <w:tcW w:w="6554" w:type="dxa"/>
            <w:vAlign w:val="center"/>
          </w:tcPr>
          <w:p w14:paraId="1735BFA6">
            <w:pPr>
              <w:spacing w:line="400" w:lineRule="exact"/>
              <w:jc w:val="center"/>
              <w:rPr>
                <w:rFonts w:ascii="宋体" w:hAnsi="宋体" w:cs="宋体"/>
                <w:color w:val="auto"/>
                <w:sz w:val="24"/>
                <w:highlight w:val="none"/>
              </w:rPr>
            </w:pPr>
          </w:p>
        </w:tc>
      </w:tr>
      <w:tr w14:paraId="0C279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33" w:type="dxa"/>
            <w:vAlign w:val="center"/>
          </w:tcPr>
          <w:p w14:paraId="43A5EA8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项目描述</w:t>
            </w:r>
          </w:p>
        </w:tc>
        <w:tc>
          <w:tcPr>
            <w:tcW w:w="6554" w:type="dxa"/>
            <w:vAlign w:val="center"/>
          </w:tcPr>
          <w:p w14:paraId="0620F5D0">
            <w:pPr>
              <w:spacing w:line="400" w:lineRule="exact"/>
              <w:jc w:val="center"/>
              <w:rPr>
                <w:rFonts w:ascii="宋体" w:hAnsi="宋体" w:cs="宋体"/>
                <w:color w:val="auto"/>
                <w:sz w:val="24"/>
                <w:highlight w:val="none"/>
              </w:rPr>
            </w:pPr>
          </w:p>
        </w:tc>
      </w:tr>
      <w:tr w14:paraId="644C1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333" w:type="dxa"/>
            <w:vAlign w:val="center"/>
          </w:tcPr>
          <w:p w14:paraId="711BED1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6554" w:type="dxa"/>
            <w:vAlign w:val="center"/>
          </w:tcPr>
          <w:p w14:paraId="7D53B187">
            <w:pPr>
              <w:spacing w:line="400" w:lineRule="exact"/>
              <w:jc w:val="center"/>
              <w:rPr>
                <w:rFonts w:ascii="宋体" w:hAnsi="宋体" w:cs="宋体"/>
                <w:color w:val="auto"/>
                <w:sz w:val="24"/>
                <w:highlight w:val="none"/>
              </w:rPr>
            </w:pPr>
          </w:p>
        </w:tc>
      </w:tr>
    </w:tbl>
    <w:p w14:paraId="6EFCB418">
      <w:pPr>
        <w:pStyle w:val="59"/>
        <w:rPr>
          <w:rFonts w:hint="eastAsia" w:ascii="宋体" w:hAnsi="宋体" w:cs="宋体"/>
          <w:color w:val="auto"/>
          <w:sz w:val="24"/>
          <w:highlight w:val="none"/>
        </w:rPr>
      </w:pPr>
      <w:r>
        <w:rPr>
          <w:rFonts w:hint="eastAsia" w:ascii="宋体" w:hAnsi="宋体" w:cs="宋体"/>
          <w:color w:val="auto"/>
          <w:sz w:val="24"/>
          <w:highlight w:val="none"/>
        </w:rPr>
        <w:t>注：1.每张表格只填写一个项目，并标明序号。</w:t>
      </w:r>
    </w:p>
    <w:p w14:paraId="3CE6C58E">
      <w:pPr>
        <w:pStyle w:val="59"/>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2.投标人应根据招标文件第二章“投标人须知”第 3.5.3 项的要求在本表后附相关证明材料。</w:t>
      </w:r>
    </w:p>
    <w:p w14:paraId="7BDCAD0A">
      <w:pPr>
        <w:pStyle w:val="59"/>
        <w:ind w:firstLine="562" w:firstLineChars="200"/>
        <w:rPr>
          <w:rFonts w:ascii="宋体" w:hAnsi="宋体" w:cs="宋体"/>
          <w:b/>
          <w:color w:val="auto"/>
          <w:sz w:val="28"/>
          <w:szCs w:val="28"/>
          <w:highlight w:val="none"/>
        </w:rPr>
        <w:sectPr>
          <w:footnotePr>
            <w:numFmt w:val="decimalEnclosedCircleChinese"/>
          </w:footnotePr>
          <w:pgSz w:w="11906" w:h="16838"/>
          <w:pgMar w:top="1038" w:right="924" w:bottom="936" w:left="1418" w:header="624" w:footer="590" w:gutter="0"/>
          <w:cols w:space="720" w:num="1"/>
          <w:docGrid w:type="lines" w:linePitch="312" w:charSpace="0"/>
        </w:sectPr>
      </w:pPr>
    </w:p>
    <w:p w14:paraId="0E7B3C67">
      <w:pPr>
        <w:jc w:val="center"/>
        <w:rPr>
          <w:rFonts w:hint="eastAsia" w:ascii="宋体" w:hAnsi="宋体" w:cs="宋体"/>
          <w:b/>
          <w:bCs/>
          <w:color w:val="auto"/>
          <w:sz w:val="28"/>
          <w:szCs w:val="28"/>
          <w:highlight w:val="none"/>
        </w:rPr>
      </w:pPr>
      <w:r>
        <w:rPr>
          <w:rFonts w:hint="eastAsia" w:ascii="宋体" w:hAnsi="宋体" w:cs="宋体"/>
          <w:b/>
          <w:color w:val="auto"/>
          <w:sz w:val="28"/>
          <w:szCs w:val="28"/>
          <w:highlight w:val="none"/>
        </w:rPr>
        <w:t>（四）-2 完成的类似项目情况汇总表</w:t>
      </w:r>
    </w:p>
    <w:tbl>
      <w:tblPr>
        <w:tblStyle w:val="4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064"/>
        <w:gridCol w:w="1286"/>
        <w:gridCol w:w="1286"/>
        <w:gridCol w:w="936"/>
        <w:gridCol w:w="1034"/>
        <w:gridCol w:w="936"/>
        <w:gridCol w:w="978"/>
        <w:gridCol w:w="805"/>
        <w:gridCol w:w="805"/>
      </w:tblGrid>
      <w:tr w14:paraId="6699E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24" w:type="dxa"/>
            <w:vAlign w:val="center"/>
          </w:tcPr>
          <w:p w14:paraId="48127F1F">
            <w:pPr>
              <w:pStyle w:val="59"/>
              <w:jc w:val="center"/>
              <w:rPr>
                <w:rFonts w:ascii="宋体" w:hAnsi="宋体" w:cs="宋体"/>
                <w:color w:val="auto"/>
                <w:highlight w:val="none"/>
              </w:rPr>
            </w:pPr>
            <w:r>
              <w:rPr>
                <w:rFonts w:hint="eastAsia" w:ascii="宋体" w:hAnsi="宋体" w:cs="宋体"/>
                <w:color w:val="auto"/>
                <w:highlight w:val="none"/>
              </w:rPr>
              <w:t>序号</w:t>
            </w:r>
          </w:p>
        </w:tc>
        <w:tc>
          <w:tcPr>
            <w:tcW w:w="1064" w:type="dxa"/>
            <w:vAlign w:val="center"/>
          </w:tcPr>
          <w:p w14:paraId="6C350230">
            <w:pPr>
              <w:pStyle w:val="59"/>
              <w:jc w:val="center"/>
              <w:rPr>
                <w:rFonts w:hint="eastAsia" w:ascii="宋体" w:hAnsi="宋体" w:cs="宋体"/>
                <w:color w:val="auto"/>
                <w:highlight w:val="none"/>
              </w:rPr>
            </w:pPr>
            <w:r>
              <w:rPr>
                <w:rFonts w:hint="eastAsia" w:ascii="宋体" w:hAnsi="宋体" w:cs="宋体"/>
                <w:color w:val="auto"/>
                <w:highlight w:val="none"/>
              </w:rPr>
              <w:t>项目</w:t>
            </w:r>
          </w:p>
          <w:p w14:paraId="6BD9F328">
            <w:pPr>
              <w:pStyle w:val="59"/>
              <w:jc w:val="center"/>
              <w:rPr>
                <w:rFonts w:ascii="宋体" w:hAnsi="宋体" w:cs="宋体"/>
                <w:color w:val="auto"/>
                <w:highlight w:val="none"/>
              </w:rPr>
            </w:pPr>
            <w:r>
              <w:rPr>
                <w:rFonts w:hint="eastAsia" w:ascii="宋体" w:hAnsi="宋体" w:cs="宋体"/>
                <w:color w:val="auto"/>
                <w:highlight w:val="none"/>
              </w:rPr>
              <w:t>名称</w:t>
            </w:r>
          </w:p>
        </w:tc>
        <w:tc>
          <w:tcPr>
            <w:tcW w:w="1286" w:type="dxa"/>
            <w:vAlign w:val="center"/>
          </w:tcPr>
          <w:p w14:paraId="0786D920">
            <w:pPr>
              <w:pStyle w:val="59"/>
              <w:jc w:val="center"/>
              <w:rPr>
                <w:rFonts w:hint="eastAsia" w:ascii="宋体" w:hAnsi="宋体" w:cs="宋体"/>
                <w:color w:val="auto"/>
                <w:highlight w:val="none"/>
              </w:rPr>
            </w:pPr>
            <w:r>
              <w:rPr>
                <w:rFonts w:hint="eastAsia" w:ascii="宋体" w:hAnsi="宋体" w:cs="宋体"/>
                <w:color w:val="auto"/>
                <w:highlight w:val="none"/>
              </w:rPr>
              <w:t>路基桥涵里程</w:t>
            </w:r>
          </w:p>
          <w:p w14:paraId="7B900F28">
            <w:pPr>
              <w:pStyle w:val="59"/>
              <w:jc w:val="center"/>
              <w:rPr>
                <w:rFonts w:ascii="宋体" w:hAnsi="宋体" w:cs="宋体"/>
                <w:color w:val="auto"/>
                <w:highlight w:val="none"/>
              </w:rPr>
            </w:pPr>
            <w:r>
              <w:rPr>
                <w:rFonts w:hint="eastAsia" w:ascii="宋体" w:hAnsi="宋体" w:cs="宋体"/>
                <w:color w:val="auto"/>
                <w:highlight w:val="none"/>
              </w:rPr>
              <w:t>（km）</w:t>
            </w:r>
          </w:p>
        </w:tc>
        <w:tc>
          <w:tcPr>
            <w:tcW w:w="1286" w:type="dxa"/>
            <w:vAlign w:val="center"/>
          </w:tcPr>
          <w:p w14:paraId="21BC76CC">
            <w:pPr>
              <w:pStyle w:val="59"/>
              <w:jc w:val="center"/>
              <w:rPr>
                <w:rFonts w:ascii="宋体" w:hAnsi="宋体" w:cs="宋体"/>
                <w:color w:val="auto"/>
                <w:highlight w:val="none"/>
              </w:rPr>
            </w:pPr>
            <w:r>
              <w:rPr>
                <w:rFonts w:hint="eastAsia" w:ascii="宋体" w:hAnsi="宋体" w:cs="宋体"/>
                <w:color w:val="auto"/>
                <w:highlight w:val="none"/>
              </w:rPr>
              <w:t>路面类型及里程（km）</w:t>
            </w:r>
          </w:p>
        </w:tc>
        <w:tc>
          <w:tcPr>
            <w:tcW w:w="936" w:type="dxa"/>
            <w:vAlign w:val="center"/>
          </w:tcPr>
          <w:p w14:paraId="79B70905">
            <w:pPr>
              <w:pStyle w:val="59"/>
              <w:jc w:val="center"/>
              <w:rPr>
                <w:rFonts w:ascii="宋体" w:hAnsi="宋体" w:cs="宋体"/>
                <w:color w:val="auto"/>
                <w:highlight w:val="none"/>
              </w:rPr>
            </w:pPr>
            <w:r>
              <w:rPr>
                <w:rFonts w:hint="eastAsia" w:ascii="宋体" w:hAnsi="宋体" w:cs="宋体"/>
                <w:color w:val="auto"/>
                <w:highlight w:val="none"/>
              </w:rPr>
              <w:t>大桥（座）</w:t>
            </w:r>
          </w:p>
        </w:tc>
        <w:tc>
          <w:tcPr>
            <w:tcW w:w="1034" w:type="dxa"/>
            <w:vAlign w:val="center"/>
          </w:tcPr>
          <w:p w14:paraId="5ED78B78">
            <w:pPr>
              <w:pStyle w:val="59"/>
              <w:jc w:val="center"/>
              <w:rPr>
                <w:rFonts w:ascii="宋体" w:hAnsi="宋体" w:cs="宋体"/>
                <w:color w:val="auto"/>
                <w:highlight w:val="none"/>
              </w:rPr>
            </w:pPr>
            <w:r>
              <w:rPr>
                <w:rFonts w:hint="eastAsia" w:ascii="宋体" w:hAnsi="宋体" w:cs="宋体"/>
                <w:color w:val="auto"/>
                <w:highlight w:val="none"/>
              </w:rPr>
              <w:t>特大桥</w:t>
            </w:r>
          </w:p>
          <w:p w14:paraId="5F2F9A6A">
            <w:pPr>
              <w:pStyle w:val="59"/>
              <w:jc w:val="center"/>
              <w:rPr>
                <w:rFonts w:ascii="宋体" w:hAnsi="宋体" w:cs="宋体"/>
                <w:color w:val="auto"/>
                <w:highlight w:val="none"/>
              </w:rPr>
            </w:pPr>
            <w:r>
              <w:rPr>
                <w:rFonts w:hint="eastAsia" w:ascii="宋体" w:hAnsi="宋体" w:cs="宋体"/>
                <w:color w:val="auto"/>
                <w:highlight w:val="none"/>
              </w:rPr>
              <w:t>（座）</w:t>
            </w:r>
          </w:p>
        </w:tc>
        <w:tc>
          <w:tcPr>
            <w:tcW w:w="936" w:type="dxa"/>
            <w:vAlign w:val="center"/>
          </w:tcPr>
          <w:p w14:paraId="167AB63D">
            <w:pPr>
              <w:pStyle w:val="59"/>
              <w:jc w:val="center"/>
              <w:rPr>
                <w:rFonts w:ascii="宋体" w:hAnsi="宋体" w:cs="宋体"/>
                <w:color w:val="auto"/>
                <w:highlight w:val="none"/>
              </w:rPr>
            </w:pPr>
            <w:r>
              <w:rPr>
                <w:rFonts w:hint="eastAsia" w:ascii="宋体" w:hAnsi="宋体" w:cs="宋体"/>
                <w:color w:val="auto"/>
                <w:highlight w:val="none"/>
              </w:rPr>
              <w:t>长隧道</w:t>
            </w:r>
          </w:p>
          <w:p w14:paraId="6AF0074D">
            <w:pPr>
              <w:pStyle w:val="59"/>
              <w:jc w:val="center"/>
              <w:rPr>
                <w:rFonts w:ascii="宋体" w:hAnsi="宋体" w:cs="宋体"/>
                <w:color w:val="auto"/>
                <w:highlight w:val="none"/>
              </w:rPr>
            </w:pPr>
            <w:r>
              <w:rPr>
                <w:rFonts w:hint="eastAsia" w:ascii="宋体" w:hAnsi="宋体" w:cs="宋体"/>
                <w:color w:val="auto"/>
                <w:highlight w:val="none"/>
              </w:rPr>
              <w:t>（座）</w:t>
            </w:r>
          </w:p>
        </w:tc>
        <w:tc>
          <w:tcPr>
            <w:tcW w:w="978" w:type="dxa"/>
            <w:vAlign w:val="center"/>
          </w:tcPr>
          <w:p w14:paraId="48D4280F">
            <w:pPr>
              <w:pStyle w:val="59"/>
              <w:jc w:val="center"/>
              <w:rPr>
                <w:rFonts w:ascii="宋体" w:hAnsi="宋体" w:cs="宋体"/>
                <w:color w:val="auto"/>
                <w:highlight w:val="none"/>
              </w:rPr>
            </w:pPr>
            <w:r>
              <w:rPr>
                <w:rFonts w:hint="eastAsia" w:ascii="宋体" w:hAnsi="宋体" w:cs="宋体"/>
                <w:color w:val="auto"/>
                <w:highlight w:val="none"/>
              </w:rPr>
              <w:t>特长隧道（座）</w:t>
            </w:r>
          </w:p>
        </w:tc>
        <w:tc>
          <w:tcPr>
            <w:tcW w:w="805" w:type="dxa"/>
            <w:vAlign w:val="center"/>
          </w:tcPr>
          <w:p w14:paraId="14C2C26E">
            <w:pPr>
              <w:pStyle w:val="59"/>
              <w:jc w:val="center"/>
              <w:rPr>
                <w:rFonts w:ascii="宋体" w:hAnsi="宋体" w:cs="宋体"/>
                <w:color w:val="auto"/>
                <w:highlight w:val="none"/>
              </w:rPr>
            </w:pPr>
            <w:r>
              <w:rPr>
                <w:rFonts w:hint="eastAsia" w:ascii="宋体" w:hAnsi="宋体" w:cs="宋体"/>
                <w:color w:val="auto"/>
                <w:highlight w:val="none"/>
              </w:rPr>
              <w:t>…</w:t>
            </w:r>
          </w:p>
        </w:tc>
        <w:tc>
          <w:tcPr>
            <w:tcW w:w="805" w:type="dxa"/>
            <w:vAlign w:val="center"/>
          </w:tcPr>
          <w:p w14:paraId="4235AF7C">
            <w:pPr>
              <w:pStyle w:val="59"/>
              <w:jc w:val="center"/>
              <w:rPr>
                <w:rFonts w:ascii="宋体" w:hAnsi="宋体" w:cs="宋体"/>
                <w:color w:val="auto"/>
                <w:highlight w:val="none"/>
              </w:rPr>
            </w:pPr>
            <w:r>
              <w:rPr>
                <w:rFonts w:hint="eastAsia" w:ascii="宋体" w:hAnsi="宋体" w:cs="宋体"/>
                <w:color w:val="auto"/>
                <w:highlight w:val="none"/>
              </w:rPr>
              <w:t>备注</w:t>
            </w:r>
          </w:p>
        </w:tc>
      </w:tr>
      <w:tr w14:paraId="7A40B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1CE9C457">
            <w:pPr>
              <w:pStyle w:val="59"/>
              <w:jc w:val="center"/>
              <w:rPr>
                <w:rFonts w:ascii="宋体" w:hAnsi="宋体" w:cs="宋体"/>
                <w:color w:val="auto"/>
                <w:highlight w:val="none"/>
              </w:rPr>
            </w:pPr>
            <w:r>
              <w:rPr>
                <w:rFonts w:hint="eastAsia" w:ascii="宋体" w:hAnsi="宋体" w:cs="宋体"/>
                <w:color w:val="auto"/>
                <w:highlight w:val="none"/>
              </w:rPr>
              <w:t>1</w:t>
            </w:r>
          </w:p>
        </w:tc>
        <w:tc>
          <w:tcPr>
            <w:tcW w:w="1064" w:type="dxa"/>
            <w:vAlign w:val="center"/>
          </w:tcPr>
          <w:p w14:paraId="3A50B7DD">
            <w:pPr>
              <w:pStyle w:val="59"/>
              <w:jc w:val="center"/>
              <w:rPr>
                <w:rFonts w:ascii="宋体" w:hAnsi="宋体" w:cs="宋体"/>
                <w:color w:val="auto"/>
                <w:highlight w:val="none"/>
              </w:rPr>
            </w:pPr>
          </w:p>
        </w:tc>
        <w:tc>
          <w:tcPr>
            <w:tcW w:w="1286" w:type="dxa"/>
          </w:tcPr>
          <w:p w14:paraId="517B420A">
            <w:pPr>
              <w:pStyle w:val="59"/>
              <w:jc w:val="center"/>
              <w:rPr>
                <w:rFonts w:ascii="宋体" w:hAnsi="宋体" w:cs="宋体"/>
                <w:color w:val="auto"/>
                <w:highlight w:val="none"/>
              </w:rPr>
            </w:pPr>
          </w:p>
        </w:tc>
        <w:tc>
          <w:tcPr>
            <w:tcW w:w="1286" w:type="dxa"/>
          </w:tcPr>
          <w:p w14:paraId="65D0F048">
            <w:pPr>
              <w:pStyle w:val="59"/>
              <w:jc w:val="center"/>
              <w:rPr>
                <w:rFonts w:ascii="宋体" w:hAnsi="宋体" w:cs="宋体"/>
                <w:color w:val="auto"/>
                <w:highlight w:val="none"/>
              </w:rPr>
            </w:pPr>
          </w:p>
        </w:tc>
        <w:tc>
          <w:tcPr>
            <w:tcW w:w="936" w:type="dxa"/>
          </w:tcPr>
          <w:p w14:paraId="500BEF1C">
            <w:pPr>
              <w:pStyle w:val="59"/>
              <w:jc w:val="center"/>
              <w:rPr>
                <w:rFonts w:ascii="宋体" w:hAnsi="宋体" w:cs="宋体"/>
                <w:color w:val="auto"/>
                <w:highlight w:val="none"/>
              </w:rPr>
            </w:pPr>
          </w:p>
        </w:tc>
        <w:tc>
          <w:tcPr>
            <w:tcW w:w="1034" w:type="dxa"/>
          </w:tcPr>
          <w:p w14:paraId="64B5087F">
            <w:pPr>
              <w:pStyle w:val="59"/>
              <w:jc w:val="center"/>
              <w:rPr>
                <w:rFonts w:ascii="宋体" w:hAnsi="宋体" w:cs="宋体"/>
                <w:color w:val="auto"/>
                <w:highlight w:val="none"/>
              </w:rPr>
            </w:pPr>
          </w:p>
        </w:tc>
        <w:tc>
          <w:tcPr>
            <w:tcW w:w="936" w:type="dxa"/>
          </w:tcPr>
          <w:p w14:paraId="720FACA0">
            <w:pPr>
              <w:pStyle w:val="59"/>
              <w:jc w:val="center"/>
              <w:rPr>
                <w:rFonts w:ascii="宋体" w:hAnsi="宋体" w:cs="宋体"/>
                <w:color w:val="auto"/>
                <w:highlight w:val="none"/>
              </w:rPr>
            </w:pPr>
          </w:p>
        </w:tc>
        <w:tc>
          <w:tcPr>
            <w:tcW w:w="978" w:type="dxa"/>
          </w:tcPr>
          <w:p w14:paraId="752778BC">
            <w:pPr>
              <w:pStyle w:val="59"/>
              <w:jc w:val="center"/>
              <w:rPr>
                <w:rFonts w:ascii="宋体" w:hAnsi="宋体" w:cs="宋体"/>
                <w:color w:val="auto"/>
                <w:highlight w:val="none"/>
              </w:rPr>
            </w:pPr>
          </w:p>
        </w:tc>
        <w:tc>
          <w:tcPr>
            <w:tcW w:w="805" w:type="dxa"/>
          </w:tcPr>
          <w:p w14:paraId="726D5054">
            <w:pPr>
              <w:pStyle w:val="59"/>
              <w:jc w:val="center"/>
              <w:rPr>
                <w:rFonts w:ascii="宋体" w:hAnsi="宋体" w:cs="宋体"/>
                <w:color w:val="auto"/>
                <w:highlight w:val="none"/>
              </w:rPr>
            </w:pPr>
          </w:p>
        </w:tc>
        <w:tc>
          <w:tcPr>
            <w:tcW w:w="805" w:type="dxa"/>
          </w:tcPr>
          <w:p w14:paraId="5E325946">
            <w:pPr>
              <w:pStyle w:val="59"/>
              <w:jc w:val="center"/>
              <w:rPr>
                <w:rFonts w:ascii="宋体" w:hAnsi="宋体" w:cs="宋体"/>
                <w:color w:val="auto"/>
                <w:highlight w:val="none"/>
              </w:rPr>
            </w:pPr>
          </w:p>
        </w:tc>
      </w:tr>
      <w:tr w14:paraId="36A35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3FF12D9B">
            <w:pPr>
              <w:pStyle w:val="59"/>
              <w:jc w:val="center"/>
              <w:rPr>
                <w:rFonts w:ascii="宋体" w:hAnsi="宋体" w:cs="宋体"/>
                <w:color w:val="auto"/>
                <w:highlight w:val="none"/>
              </w:rPr>
            </w:pPr>
            <w:r>
              <w:rPr>
                <w:rFonts w:hint="eastAsia" w:ascii="宋体" w:hAnsi="宋体" w:cs="宋体"/>
                <w:color w:val="auto"/>
                <w:highlight w:val="none"/>
              </w:rPr>
              <w:t>2</w:t>
            </w:r>
          </w:p>
        </w:tc>
        <w:tc>
          <w:tcPr>
            <w:tcW w:w="1064" w:type="dxa"/>
            <w:vAlign w:val="center"/>
          </w:tcPr>
          <w:p w14:paraId="13F01377">
            <w:pPr>
              <w:pStyle w:val="59"/>
              <w:jc w:val="center"/>
              <w:rPr>
                <w:rFonts w:ascii="宋体" w:hAnsi="宋体" w:cs="宋体"/>
                <w:color w:val="auto"/>
                <w:highlight w:val="none"/>
              </w:rPr>
            </w:pPr>
          </w:p>
        </w:tc>
        <w:tc>
          <w:tcPr>
            <w:tcW w:w="1286" w:type="dxa"/>
          </w:tcPr>
          <w:p w14:paraId="19ACCB6E">
            <w:pPr>
              <w:pStyle w:val="59"/>
              <w:jc w:val="center"/>
              <w:rPr>
                <w:rFonts w:ascii="宋体" w:hAnsi="宋体" w:cs="宋体"/>
                <w:color w:val="auto"/>
                <w:highlight w:val="none"/>
              </w:rPr>
            </w:pPr>
          </w:p>
        </w:tc>
        <w:tc>
          <w:tcPr>
            <w:tcW w:w="1286" w:type="dxa"/>
          </w:tcPr>
          <w:p w14:paraId="085E88C6">
            <w:pPr>
              <w:pStyle w:val="59"/>
              <w:jc w:val="center"/>
              <w:rPr>
                <w:rFonts w:ascii="宋体" w:hAnsi="宋体" w:cs="宋体"/>
                <w:color w:val="auto"/>
                <w:highlight w:val="none"/>
              </w:rPr>
            </w:pPr>
          </w:p>
        </w:tc>
        <w:tc>
          <w:tcPr>
            <w:tcW w:w="936" w:type="dxa"/>
          </w:tcPr>
          <w:p w14:paraId="06D07C00">
            <w:pPr>
              <w:pStyle w:val="59"/>
              <w:jc w:val="center"/>
              <w:rPr>
                <w:rFonts w:ascii="宋体" w:hAnsi="宋体" w:cs="宋体"/>
                <w:color w:val="auto"/>
                <w:highlight w:val="none"/>
              </w:rPr>
            </w:pPr>
          </w:p>
        </w:tc>
        <w:tc>
          <w:tcPr>
            <w:tcW w:w="1034" w:type="dxa"/>
          </w:tcPr>
          <w:p w14:paraId="0AF916BD">
            <w:pPr>
              <w:pStyle w:val="59"/>
              <w:jc w:val="center"/>
              <w:rPr>
                <w:rFonts w:ascii="宋体" w:hAnsi="宋体" w:cs="宋体"/>
                <w:color w:val="auto"/>
                <w:highlight w:val="none"/>
              </w:rPr>
            </w:pPr>
          </w:p>
        </w:tc>
        <w:tc>
          <w:tcPr>
            <w:tcW w:w="936" w:type="dxa"/>
          </w:tcPr>
          <w:p w14:paraId="2C35222F">
            <w:pPr>
              <w:pStyle w:val="59"/>
              <w:jc w:val="center"/>
              <w:rPr>
                <w:rFonts w:ascii="宋体" w:hAnsi="宋体" w:cs="宋体"/>
                <w:color w:val="auto"/>
                <w:highlight w:val="none"/>
              </w:rPr>
            </w:pPr>
          </w:p>
        </w:tc>
        <w:tc>
          <w:tcPr>
            <w:tcW w:w="978" w:type="dxa"/>
          </w:tcPr>
          <w:p w14:paraId="1A754965">
            <w:pPr>
              <w:pStyle w:val="59"/>
              <w:jc w:val="center"/>
              <w:rPr>
                <w:rFonts w:ascii="宋体" w:hAnsi="宋体" w:cs="宋体"/>
                <w:color w:val="auto"/>
                <w:highlight w:val="none"/>
              </w:rPr>
            </w:pPr>
          </w:p>
        </w:tc>
        <w:tc>
          <w:tcPr>
            <w:tcW w:w="805" w:type="dxa"/>
          </w:tcPr>
          <w:p w14:paraId="5308F22F">
            <w:pPr>
              <w:pStyle w:val="59"/>
              <w:jc w:val="center"/>
              <w:rPr>
                <w:rFonts w:ascii="宋体" w:hAnsi="宋体" w:cs="宋体"/>
                <w:color w:val="auto"/>
                <w:highlight w:val="none"/>
              </w:rPr>
            </w:pPr>
          </w:p>
        </w:tc>
        <w:tc>
          <w:tcPr>
            <w:tcW w:w="805" w:type="dxa"/>
          </w:tcPr>
          <w:p w14:paraId="55C071E9">
            <w:pPr>
              <w:pStyle w:val="59"/>
              <w:jc w:val="center"/>
              <w:rPr>
                <w:rFonts w:ascii="宋体" w:hAnsi="宋体" w:cs="宋体"/>
                <w:color w:val="auto"/>
                <w:highlight w:val="none"/>
              </w:rPr>
            </w:pPr>
          </w:p>
        </w:tc>
      </w:tr>
      <w:tr w14:paraId="0BBD6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60D16754">
            <w:pPr>
              <w:pStyle w:val="59"/>
              <w:jc w:val="center"/>
              <w:rPr>
                <w:rFonts w:ascii="宋体" w:hAnsi="宋体" w:cs="宋体"/>
                <w:color w:val="auto"/>
                <w:highlight w:val="none"/>
              </w:rPr>
            </w:pPr>
            <w:r>
              <w:rPr>
                <w:rFonts w:hint="eastAsia" w:ascii="宋体" w:hAnsi="宋体" w:cs="宋体"/>
                <w:color w:val="auto"/>
                <w:highlight w:val="none"/>
              </w:rPr>
              <w:t>3</w:t>
            </w:r>
          </w:p>
        </w:tc>
        <w:tc>
          <w:tcPr>
            <w:tcW w:w="1064" w:type="dxa"/>
            <w:vAlign w:val="center"/>
          </w:tcPr>
          <w:p w14:paraId="2B23D5D5">
            <w:pPr>
              <w:pStyle w:val="59"/>
              <w:jc w:val="center"/>
              <w:rPr>
                <w:rFonts w:ascii="宋体" w:hAnsi="宋体" w:cs="宋体"/>
                <w:color w:val="auto"/>
                <w:highlight w:val="none"/>
              </w:rPr>
            </w:pPr>
          </w:p>
        </w:tc>
        <w:tc>
          <w:tcPr>
            <w:tcW w:w="1286" w:type="dxa"/>
          </w:tcPr>
          <w:p w14:paraId="109D910F">
            <w:pPr>
              <w:pStyle w:val="59"/>
              <w:jc w:val="center"/>
              <w:rPr>
                <w:rFonts w:ascii="宋体" w:hAnsi="宋体" w:cs="宋体"/>
                <w:color w:val="auto"/>
                <w:highlight w:val="none"/>
              </w:rPr>
            </w:pPr>
          </w:p>
        </w:tc>
        <w:tc>
          <w:tcPr>
            <w:tcW w:w="1286" w:type="dxa"/>
          </w:tcPr>
          <w:p w14:paraId="414E014A">
            <w:pPr>
              <w:pStyle w:val="59"/>
              <w:jc w:val="center"/>
              <w:rPr>
                <w:rFonts w:ascii="宋体" w:hAnsi="宋体" w:cs="宋体"/>
                <w:color w:val="auto"/>
                <w:highlight w:val="none"/>
              </w:rPr>
            </w:pPr>
          </w:p>
        </w:tc>
        <w:tc>
          <w:tcPr>
            <w:tcW w:w="936" w:type="dxa"/>
          </w:tcPr>
          <w:p w14:paraId="42243400">
            <w:pPr>
              <w:pStyle w:val="59"/>
              <w:jc w:val="center"/>
              <w:rPr>
                <w:rFonts w:ascii="宋体" w:hAnsi="宋体" w:cs="宋体"/>
                <w:color w:val="auto"/>
                <w:highlight w:val="none"/>
              </w:rPr>
            </w:pPr>
          </w:p>
        </w:tc>
        <w:tc>
          <w:tcPr>
            <w:tcW w:w="1034" w:type="dxa"/>
          </w:tcPr>
          <w:p w14:paraId="079CD37D">
            <w:pPr>
              <w:pStyle w:val="59"/>
              <w:jc w:val="center"/>
              <w:rPr>
                <w:rFonts w:ascii="宋体" w:hAnsi="宋体" w:cs="宋体"/>
                <w:color w:val="auto"/>
                <w:highlight w:val="none"/>
              </w:rPr>
            </w:pPr>
          </w:p>
        </w:tc>
        <w:tc>
          <w:tcPr>
            <w:tcW w:w="936" w:type="dxa"/>
          </w:tcPr>
          <w:p w14:paraId="2E2CBBF8">
            <w:pPr>
              <w:pStyle w:val="59"/>
              <w:jc w:val="center"/>
              <w:rPr>
                <w:rFonts w:ascii="宋体" w:hAnsi="宋体" w:cs="宋体"/>
                <w:color w:val="auto"/>
                <w:highlight w:val="none"/>
              </w:rPr>
            </w:pPr>
          </w:p>
        </w:tc>
        <w:tc>
          <w:tcPr>
            <w:tcW w:w="978" w:type="dxa"/>
          </w:tcPr>
          <w:p w14:paraId="49A382FE">
            <w:pPr>
              <w:pStyle w:val="59"/>
              <w:jc w:val="center"/>
              <w:rPr>
                <w:rFonts w:ascii="宋体" w:hAnsi="宋体" w:cs="宋体"/>
                <w:color w:val="auto"/>
                <w:highlight w:val="none"/>
              </w:rPr>
            </w:pPr>
          </w:p>
        </w:tc>
        <w:tc>
          <w:tcPr>
            <w:tcW w:w="805" w:type="dxa"/>
          </w:tcPr>
          <w:p w14:paraId="251AB565">
            <w:pPr>
              <w:pStyle w:val="59"/>
              <w:jc w:val="center"/>
              <w:rPr>
                <w:rFonts w:ascii="宋体" w:hAnsi="宋体" w:cs="宋体"/>
                <w:color w:val="auto"/>
                <w:highlight w:val="none"/>
              </w:rPr>
            </w:pPr>
          </w:p>
        </w:tc>
        <w:tc>
          <w:tcPr>
            <w:tcW w:w="805" w:type="dxa"/>
          </w:tcPr>
          <w:p w14:paraId="46A0773F">
            <w:pPr>
              <w:pStyle w:val="59"/>
              <w:jc w:val="center"/>
              <w:rPr>
                <w:rFonts w:ascii="宋体" w:hAnsi="宋体" w:cs="宋体"/>
                <w:color w:val="auto"/>
                <w:highlight w:val="none"/>
              </w:rPr>
            </w:pPr>
          </w:p>
        </w:tc>
      </w:tr>
      <w:tr w14:paraId="22439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4DF0C299">
            <w:pPr>
              <w:pStyle w:val="59"/>
              <w:jc w:val="center"/>
              <w:rPr>
                <w:rFonts w:ascii="宋体" w:hAnsi="宋体" w:cs="宋体"/>
                <w:color w:val="auto"/>
                <w:highlight w:val="none"/>
              </w:rPr>
            </w:pPr>
            <w:r>
              <w:rPr>
                <w:rFonts w:hint="eastAsia" w:ascii="宋体" w:hAnsi="宋体" w:cs="宋体"/>
                <w:color w:val="auto"/>
                <w:highlight w:val="none"/>
              </w:rPr>
              <w:t>4</w:t>
            </w:r>
          </w:p>
        </w:tc>
        <w:tc>
          <w:tcPr>
            <w:tcW w:w="1064" w:type="dxa"/>
            <w:vAlign w:val="center"/>
          </w:tcPr>
          <w:p w14:paraId="256C27DA">
            <w:pPr>
              <w:pStyle w:val="59"/>
              <w:jc w:val="center"/>
              <w:rPr>
                <w:rFonts w:ascii="宋体" w:hAnsi="宋体" w:cs="宋体"/>
                <w:color w:val="auto"/>
                <w:highlight w:val="none"/>
              </w:rPr>
            </w:pPr>
          </w:p>
        </w:tc>
        <w:tc>
          <w:tcPr>
            <w:tcW w:w="1286" w:type="dxa"/>
          </w:tcPr>
          <w:p w14:paraId="141C4D9A">
            <w:pPr>
              <w:pStyle w:val="59"/>
              <w:jc w:val="center"/>
              <w:rPr>
                <w:rFonts w:ascii="宋体" w:hAnsi="宋体" w:cs="宋体"/>
                <w:color w:val="auto"/>
                <w:highlight w:val="none"/>
              </w:rPr>
            </w:pPr>
          </w:p>
        </w:tc>
        <w:tc>
          <w:tcPr>
            <w:tcW w:w="1286" w:type="dxa"/>
          </w:tcPr>
          <w:p w14:paraId="476148D4">
            <w:pPr>
              <w:pStyle w:val="59"/>
              <w:jc w:val="center"/>
              <w:rPr>
                <w:rFonts w:ascii="宋体" w:hAnsi="宋体" w:cs="宋体"/>
                <w:color w:val="auto"/>
                <w:highlight w:val="none"/>
              </w:rPr>
            </w:pPr>
          </w:p>
        </w:tc>
        <w:tc>
          <w:tcPr>
            <w:tcW w:w="936" w:type="dxa"/>
          </w:tcPr>
          <w:p w14:paraId="6C5C4856">
            <w:pPr>
              <w:pStyle w:val="59"/>
              <w:jc w:val="center"/>
              <w:rPr>
                <w:rFonts w:ascii="宋体" w:hAnsi="宋体" w:cs="宋体"/>
                <w:color w:val="auto"/>
                <w:highlight w:val="none"/>
              </w:rPr>
            </w:pPr>
          </w:p>
        </w:tc>
        <w:tc>
          <w:tcPr>
            <w:tcW w:w="1034" w:type="dxa"/>
          </w:tcPr>
          <w:p w14:paraId="7391BADA">
            <w:pPr>
              <w:pStyle w:val="59"/>
              <w:jc w:val="center"/>
              <w:rPr>
                <w:rFonts w:ascii="宋体" w:hAnsi="宋体" w:cs="宋体"/>
                <w:color w:val="auto"/>
                <w:highlight w:val="none"/>
              </w:rPr>
            </w:pPr>
          </w:p>
        </w:tc>
        <w:tc>
          <w:tcPr>
            <w:tcW w:w="936" w:type="dxa"/>
          </w:tcPr>
          <w:p w14:paraId="6A41B4FF">
            <w:pPr>
              <w:pStyle w:val="59"/>
              <w:jc w:val="center"/>
              <w:rPr>
                <w:rFonts w:ascii="宋体" w:hAnsi="宋体" w:cs="宋体"/>
                <w:color w:val="auto"/>
                <w:highlight w:val="none"/>
              </w:rPr>
            </w:pPr>
          </w:p>
        </w:tc>
        <w:tc>
          <w:tcPr>
            <w:tcW w:w="978" w:type="dxa"/>
          </w:tcPr>
          <w:p w14:paraId="438A00F5">
            <w:pPr>
              <w:pStyle w:val="59"/>
              <w:jc w:val="center"/>
              <w:rPr>
                <w:rFonts w:ascii="宋体" w:hAnsi="宋体" w:cs="宋体"/>
                <w:color w:val="auto"/>
                <w:highlight w:val="none"/>
              </w:rPr>
            </w:pPr>
          </w:p>
        </w:tc>
        <w:tc>
          <w:tcPr>
            <w:tcW w:w="805" w:type="dxa"/>
          </w:tcPr>
          <w:p w14:paraId="31F6A43C">
            <w:pPr>
              <w:pStyle w:val="59"/>
              <w:jc w:val="center"/>
              <w:rPr>
                <w:rFonts w:ascii="宋体" w:hAnsi="宋体" w:cs="宋体"/>
                <w:color w:val="auto"/>
                <w:highlight w:val="none"/>
              </w:rPr>
            </w:pPr>
          </w:p>
        </w:tc>
        <w:tc>
          <w:tcPr>
            <w:tcW w:w="805" w:type="dxa"/>
          </w:tcPr>
          <w:p w14:paraId="7C08492B">
            <w:pPr>
              <w:pStyle w:val="59"/>
              <w:jc w:val="center"/>
              <w:rPr>
                <w:rFonts w:ascii="宋体" w:hAnsi="宋体" w:cs="宋体"/>
                <w:color w:val="auto"/>
                <w:highlight w:val="none"/>
              </w:rPr>
            </w:pPr>
          </w:p>
        </w:tc>
      </w:tr>
      <w:tr w14:paraId="6101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12142B2C">
            <w:pPr>
              <w:pStyle w:val="59"/>
              <w:jc w:val="center"/>
              <w:rPr>
                <w:rFonts w:ascii="宋体" w:hAnsi="宋体" w:cs="宋体"/>
                <w:color w:val="auto"/>
                <w:highlight w:val="none"/>
              </w:rPr>
            </w:pPr>
            <w:r>
              <w:rPr>
                <w:rFonts w:hint="eastAsia" w:ascii="宋体" w:hAnsi="宋体" w:cs="宋体"/>
                <w:color w:val="auto"/>
                <w:highlight w:val="none"/>
              </w:rPr>
              <w:t>5</w:t>
            </w:r>
          </w:p>
        </w:tc>
        <w:tc>
          <w:tcPr>
            <w:tcW w:w="1064" w:type="dxa"/>
            <w:vAlign w:val="center"/>
          </w:tcPr>
          <w:p w14:paraId="5A1E9FEB">
            <w:pPr>
              <w:pStyle w:val="59"/>
              <w:jc w:val="center"/>
              <w:rPr>
                <w:rFonts w:ascii="宋体" w:hAnsi="宋体" w:cs="宋体"/>
                <w:color w:val="auto"/>
                <w:highlight w:val="none"/>
              </w:rPr>
            </w:pPr>
          </w:p>
        </w:tc>
        <w:tc>
          <w:tcPr>
            <w:tcW w:w="1286" w:type="dxa"/>
          </w:tcPr>
          <w:p w14:paraId="54404D87">
            <w:pPr>
              <w:pStyle w:val="59"/>
              <w:jc w:val="center"/>
              <w:rPr>
                <w:rFonts w:ascii="宋体" w:hAnsi="宋体" w:cs="宋体"/>
                <w:color w:val="auto"/>
                <w:highlight w:val="none"/>
              </w:rPr>
            </w:pPr>
          </w:p>
        </w:tc>
        <w:tc>
          <w:tcPr>
            <w:tcW w:w="1286" w:type="dxa"/>
          </w:tcPr>
          <w:p w14:paraId="2A1AF812">
            <w:pPr>
              <w:pStyle w:val="59"/>
              <w:jc w:val="center"/>
              <w:rPr>
                <w:rFonts w:ascii="宋体" w:hAnsi="宋体" w:cs="宋体"/>
                <w:color w:val="auto"/>
                <w:highlight w:val="none"/>
              </w:rPr>
            </w:pPr>
          </w:p>
        </w:tc>
        <w:tc>
          <w:tcPr>
            <w:tcW w:w="936" w:type="dxa"/>
          </w:tcPr>
          <w:p w14:paraId="09A53D01">
            <w:pPr>
              <w:pStyle w:val="59"/>
              <w:jc w:val="center"/>
              <w:rPr>
                <w:rFonts w:ascii="宋体" w:hAnsi="宋体" w:cs="宋体"/>
                <w:color w:val="auto"/>
                <w:highlight w:val="none"/>
              </w:rPr>
            </w:pPr>
          </w:p>
        </w:tc>
        <w:tc>
          <w:tcPr>
            <w:tcW w:w="1034" w:type="dxa"/>
          </w:tcPr>
          <w:p w14:paraId="669562C8">
            <w:pPr>
              <w:pStyle w:val="59"/>
              <w:jc w:val="center"/>
              <w:rPr>
                <w:rFonts w:ascii="宋体" w:hAnsi="宋体" w:cs="宋体"/>
                <w:color w:val="auto"/>
                <w:highlight w:val="none"/>
              </w:rPr>
            </w:pPr>
          </w:p>
        </w:tc>
        <w:tc>
          <w:tcPr>
            <w:tcW w:w="936" w:type="dxa"/>
          </w:tcPr>
          <w:p w14:paraId="437D68F2">
            <w:pPr>
              <w:pStyle w:val="59"/>
              <w:jc w:val="center"/>
              <w:rPr>
                <w:rFonts w:ascii="宋体" w:hAnsi="宋体" w:cs="宋体"/>
                <w:color w:val="auto"/>
                <w:highlight w:val="none"/>
              </w:rPr>
            </w:pPr>
          </w:p>
        </w:tc>
        <w:tc>
          <w:tcPr>
            <w:tcW w:w="978" w:type="dxa"/>
          </w:tcPr>
          <w:p w14:paraId="0F792261">
            <w:pPr>
              <w:pStyle w:val="59"/>
              <w:jc w:val="center"/>
              <w:rPr>
                <w:rFonts w:ascii="宋体" w:hAnsi="宋体" w:cs="宋体"/>
                <w:color w:val="auto"/>
                <w:highlight w:val="none"/>
              </w:rPr>
            </w:pPr>
          </w:p>
        </w:tc>
        <w:tc>
          <w:tcPr>
            <w:tcW w:w="805" w:type="dxa"/>
          </w:tcPr>
          <w:p w14:paraId="26205F35">
            <w:pPr>
              <w:pStyle w:val="59"/>
              <w:jc w:val="center"/>
              <w:rPr>
                <w:rFonts w:ascii="宋体" w:hAnsi="宋体" w:cs="宋体"/>
                <w:color w:val="auto"/>
                <w:highlight w:val="none"/>
              </w:rPr>
            </w:pPr>
          </w:p>
        </w:tc>
        <w:tc>
          <w:tcPr>
            <w:tcW w:w="805" w:type="dxa"/>
          </w:tcPr>
          <w:p w14:paraId="378FB80D">
            <w:pPr>
              <w:pStyle w:val="59"/>
              <w:jc w:val="center"/>
              <w:rPr>
                <w:rFonts w:ascii="宋体" w:hAnsi="宋体" w:cs="宋体"/>
                <w:color w:val="auto"/>
                <w:highlight w:val="none"/>
              </w:rPr>
            </w:pPr>
          </w:p>
        </w:tc>
      </w:tr>
      <w:tr w14:paraId="4FF8C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322DE965">
            <w:pPr>
              <w:pStyle w:val="59"/>
              <w:jc w:val="center"/>
              <w:rPr>
                <w:rFonts w:ascii="宋体" w:hAnsi="宋体" w:cs="宋体"/>
                <w:color w:val="auto"/>
                <w:highlight w:val="none"/>
              </w:rPr>
            </w:pPr>
            <w:r>
              <w:rPr>
                <w:rFonts w:hint="eastAsia" w:ascii="宋体" w:hAnsi="宋体" w:cs="宋体"/>
                <w:color w:val="auto"/>
                <w:highlight w:val="none"/>
              </w:rPr>
              <w:t>6</w:t>
            </w:r>
          </w:p>
        </w:tc>
        <w:tc>
          <w:tcPr>
            <w:tcW w:w="1064" w:type="dxa"/>
            <w:vAlign w:val="center"/>
          </w:tcPr>
          <w:p w14:paraId="42D29BF4">
            <w:pPr>
              <w:pStyle w:val="59"/>
              <w:jc w:val="center"/>
              <w:rPr>
                <w:rFonts w:ascii="宋体" w:hAnsi="宋体" w:cs="宋体"/>
                <w:color w:val="auto"/>
                <w:highlight w:val="none"/>
              </w:rPr>
            </w:pPr>
          </w:p>
        </w:tc>
        <w:tc>
          <w:tcPr>
            <w:tcW w:w="1286" w:type="dxa"/>
          </w:tcPr>
          <w:p w14:paraId="7B1251FE">
            <w:pPr>
              <w:pStyle w:val="59"/>
              <w:jc w:val="center"/>
              <w:rPr>
                <w:rFonts w:ascii="宋体" w:hAnsi="宋体" w:cs="宋体"/>
                <w:color w:val="auto"/>
                <w:highlight w:val="none"/>
              </w:rPr>
            </w:pPr>
          </w:p>
        </w:tc>
        <w:tc>
          <w:tcPr>
            <w:tcW w:w="1286" w:type="dxa"/>
          </w:tcPr>
          <w:p w14:paraId="4EF61E7C">
            <w:pPr>
              <w:pStyle w:val="59"/>
              <w:jc w:val="center"/>
              <w:rPr>
                <w:rFonts w:ascii="宋体" w:hAnsi="宋体" w:cs="宋体"/>
                <w:color w:val="auto"/>
                <w:highlight w:val="none"/>
              </w:rPr>
            </w:pPr>
          </w:p>
        </w:tc>
        <w:tc>
          <w:tcPr>
            <w:tcW w:w="936" w:type="dxa"/>
          </w:tcPr>
          <w:p w14:paraId="57946EA0">
            <w:pPr>
              <w:pStyle w:val="59"/>
              <w:jc w:val="center"/>
              <w:rPr>
                <w:rFonts w:ascii="宋体" w:hAnsi="宋体" w:cs="宋体"/>
                <w:color w:val="auto"/>
                <w:highlight w:val="none"/>
              </w:rPr>
            </w:pPr>
          </w:p>
        </w:tc>
        <w:tc>
          <w:tcPr>
            <w:tcW w:w="1034" w:type="dxa"/>
          </w:tcPr>
          <w:p w14:paraId="2380CAC5">
            <w:pPr>
              <w:pStyle w:val="59"/>
              <w:jc w:val="center"/>
              <w:rPr>
                <w:rFonts w:ascii="宋体" w:hAnsi="宋体" w:cs="宋体"/>
                <w:color w:val="auto"/>
                <w:highlight w:val="none"/>
              </w:rPr>
            </w:pPr>
          </w:p>
        </w:tc>
        <w:tc>
          <w:tcPr>
            <w:tcW w:w="936" w:type="dxa"/>
          </w:tcPr>
          <w:p w14:paraId="017598DA">
            <w:pPr>
              <w:pStyle w:val="59"/>
              <w:jc w:val="center"/>
              <w:rPr>
                <w:rFonts w:ascii="宋体" w:hAnsi="宋体" w:cs="宋体"/>
                <w:color w:val="auto"/>
                <w:highlight w:val="none"/>
              </w:rPr>
            </w:pPr>
          </w:p>
        </w:tc>
        <w:tc>
          <w:tcPr>
            <w:tcW w:w="978" w:type="dxa"/>
          </w:tcPr>
          <w:p w14:paraId="5C55B6E9">
            <w:pPr>
              <w:pStyle w:val="59"/>
              <w:jc w:val="center"/>
              <w:rPr>
                <w:rFonts w:ascii="宋体" w:hAnsi="宋体" w:cs="宋体"/>
                <w:color w:val="auto"/>
                <w:highlight w:val="none"/>
              </w:rPr>
            </w:pPr>
          </w:p>
        </w:tc>
        <w:tc>
          <w:tcPr>
            <w:tcW w:w="805" w:type="dxa"/>
          </w:tcPr>
          <w:p w14:paraId="1B8D8B48">
            <w:pPr>
              <w:pStyle w:val="59"/>
              <w:jc w:val="center"/>
              <w:rPr>
                <w:rFonts w:ascii="宋体" w:hAnsi="宋体" w:cs="宋体"/>
                <w:color w:val="auto"/>
                <w:highlight w:val="none"/>
              </w:rPr>
            </w:pPr>
          </w:p>
        </w:tc>
        <w:tc>
          <w:tcPr>
            <w:tcW w:w="805" w:type="dxa"/>
          </w:tcPr>
          <w:p w14:paraId="40884AAE">
            <w:pPr>
              <w:pStyle w:val="59"/>
              <w:jc w:val="center"/>
              <w:rPr>
                <w:rFonts w:ascii="宋体" w:hAnsi="宋体" w:cs="宋体"/>
                <w:color w:val="auto"/>
                <w:highlight w:val="none"/>
              </w:rPr>
            </w:pPr>
          </w:p>
        </w:tc>
      </w:tr>
      <w:tr w14:paraId="570A5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745DB20E">
            <w:pPr>
              <w:pStyle w:val="59"/>
              <w:jc w:val="center"/>
              <w:rPr>
                <w:rFonts w:ascii="宋体" w:hAnsi="宋体" w:cs="宋体"/>
                <w:color w:val="auto"/>
                <w:highlight w:val="none"/>
              </w:rPr>
            </w:pPr>
            <w:r>
              <w:rPr>
                <w:rFonts w:hint="eastAsia" w:ascii="宋体" w:hAnsi="宋体" w:cs="宋体"/>
                <w:color w:val="auto"/>
                <w:highlight w:val="none"/>
              </w:rPr>
              <w:t>7</w:t>
            </w:r>
          </w:p>
        </w:tc>
        <w:tc>
          <w:tcPr>
            <w:tcW w:w="1064" w:type="dxa"/>
            <w:vAlign w:val="center"/>
          </w:tcPr>
          <w:p w14:paraId="0EC71E5C">
            <w:pPr>
              <w:pStyle w:val="59"/>
              <w:jc w:val="center"/>
              <w:rPr>
                <w:rFonts w:ascii="宋体" w:hAnsi="宋体" w:cs="宋体"/>
                <w:color w:val="auto"/>
                <w:highlight w:val="none"/>
              </w:rPr>
            </w:pPr>
          </w:p>
        </w:tc>
        <w:tc>
          <w:tcPr>
            <w:tcW w:w="1286" w:type="dxa"/>
          </w:tcPr>
          <w:p w14:paraId="797698C2">
            <w:pPr>
              <w:pStyle w:val="59"/>
              <w:jc w:val="center"/>
              <w:rPr>
                <w:rFonts w:ascii="宋体" w:hAnsi="宋体" w:cs="宋体"/>
                <w:color w:val="auto"/>
                <w:highlight w:val="none"/>
              </w:rPr>
            </w:pPr>
          </w:p>
        </w:tc>
        <w:tc>
          <w:tcPr>
            <w:tcW w:w="1286" w:type="dxa"/>
          </w:tcPr>
          <w:p w14:paraId="09987B7C">
            <w:pPr>
              <w:pStyle w:val="59"/>
              <w:jc w:val="center"/>
              <w:rPr>
                <w:rFonts w:ascii="宋体" w:hAnsi="宋体" w:cs="宋体"/>
                <w:color w:val="auto"/>
                <w:highlight w:val="none"/>
              </w:rPr>
            </w:pPr>
          </w:p>
        </w:tc>
        <w:tc>
          <w:tcPr>
            <w:tcW w:w="936" w:type="dxa"/>
          </w:tcPr>
          <w:p w14:paraId="2627562A">
            <w:pPr>
              <w:pStyle w:val="59"/>
              <w:jc w:val="center"/>
              <w:rPr>
                <w:rFonts w:ascii="宋体" w:hAnsi="宋体" w:cs="宋体"/>
                <w:color w:val="auto"/>
                <w:highlight w:val="none"/>
              </w:rPr>
            </w:pPr>
          </w:p>
        </w:tc>
        <w:tc>
          <w:tcPr>
            <w:tcW w:w="1034" w:type="dxa"/>
          </w:tcPr>
          <w:p w14:paraId="3C39354A">
            <w:pPr>
              <w:pStyle w:val="59"/>
              <w:jc w:val="center"/>
              <w:rPr>
                <w:rFonts w:ascii="宋体" w:hAnsi="宋体" w:cs="宋体"/>
                <w:color w:val="auto"/>
                <w:highlight w:val="none"/>
              </w:rPr>
            </w:pPr>
          </w:p>
        </w:tc>
        <w:tc>
          <w:tcPr>
            <w:tcW w:w="936" w:type="dxa"/>
          </w:tcPr>
          <w:p w14:paraId="55120E67">
            <w:pPr>
              <w:pStyle w:val="59"/>
              <w:jc w:val="center"/>
              <w:rPr>
                <w:rFonts w:ascii="宋体" w:hAnsi="宋体" w:cs="宋体"/>
                <w:color w:val="auto"/>
                <w:highlight w:val="none"/>
              </w:rPr>
            </w:pPr>
          </w:p>
        </w:tc>
        <w:tc>
          <w:tcPr>
            <w:tcW w:w="978" w:type="dxa"/>
          </w:tcPr>
          <w:p w14:paraId="68E3D198">
            <w:pPr>
              <w:pStyle w:val="59"/>
              <w:jc w:val="center"/>
              <w:rPr>
                <w:rFonts w:ascii="宋体" w:hAnsi="宋体" w:cs="宋体"/>
                <w:color w:val="auto"/>
                <w:highlight w:val="none"/>
              </w:rPr>
            </w:pPr>
          </w:p>
        </w:tc>
        <w:tc>
          <w:tcPr>
            <w:tcW w:w="805" w:type="dxa"/>
          </w:tcPr>
          <w:p w14:paraId="68CB2202">
            <w:pPr>
              <w:pStyle w:val="59"/>
              <w:jc w:val="center"/>
              <w:rPr>
                <w:rFonts w:ascii="宋体" w:hAnsi="宋体" w:cs="宋体"/>
                <w:color w:val="auto"/>
                <w:highlight w:val="none"/>
              </w:rPr>
            </w:pPr>
          </w:p>
        </w:tc>
        <w:tc>
          <w:tcPr>
            <w:tcW w:w="805" w:type="dxa"/>
          </w:tcPr>
          <w:p w14:paraId="2BD12CA2">
            <w:pPr>
              <w:pStyle w:val="59"/>
              <w:jc w:val="center"/>
              <w:rPr>
                <w:rFonts w:ascii="宋体" w:hAnsi="宋体" w:cs="宋体"/>
                <w:color w:val="auto"/>
                <w:highlight w:val="none"/>
              </w:rPr>
            </w:pPr>
          </w:p>
        </w:tc>
      </w:tr>
      <w:tr w14:paraId="6F6F1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4FCE95F2">
            <w:pPr>
              <w:pStyle w:val="59"/>
              <w:jc w:val="center"/>
              <w:rPr>
                <w:rFonts w:ascii="宋体" w:hAnsi="宋体" w:cs="宋体"/>
                <w:color w:val="auto"/>
                <w:highlight w:val="none"/>
              </w:rPr>
            </w:pPr>
            <w:r>
              <w:rPr>
                <w:rFonts w:hint="eastAsia" w:ascii="宋体" w:hAnsi="宋体" w:cs="宋体"/>
                <w:color w:val="auto"/>
                <w:highlight w:val="none"/>
              </w:rPr>
              <w:t>…</w:t>
            </w:r>
          </w:p>
        </w:tc>
        <w:tc>
          <w:tcPr>
            <w:tcW w:w="1064" w:type="dxa"/>
            <w:vAlign w:val="center"/>
          </w:tcPr>
          <w:p w14:paraId="11AC7DE4">
            <w:pPr>
              <w:pStyle w:val="59"/>
              <w:jc w:val="center"/>
              <w:rPr>
                <w:rFonts w:ascii="宋体" w:hAnsi="宋体" w:cs="宋体"/>
                <w:color w:val="auto"/>
                <w:highlight w:val="none"/>
              </w:rPr>
            </w:pPr>
          </w:p>
        </w:tc>
        <w:tc>
          <w:tcPr>
            <w:tcW w:w="1286" w:type="dxa"/>
          </w:tcPr>
          <w:p w14:paraId="4AE9753A">
            <w:pPr>
              <w:pStyle w:val="59"/>
              <w:jc w:val="center"/>
              <w:rPr>
                <w:rFonts w:ascii="宋体" w:hAnsi="宋体" w:cs="宋体"/>
                <w:color w:val="auto"/>
                <w:highlight w:val="none"/>
              </w:rPr>
            </w:pPr>
          </w:p>
        </w:tc>
        <w:tc>
          <w:tcPr>
            <w:tcW w:w="1286" w:type="dxa"/>
          </w:tcPr>
          <w:p w14:paraId="78E38433">
            <w:pPr>
              <w:pStyle w:val="59"/>
              <w:jc w:val="center"/>
              <w:rPr>
                <w:rFonts w:ascii="宋体" w:hAnsi="宋体" w:cs="宋体"/>
                <w:color w:val="auto"/>
                <w:highlight w:val="none"/>
              </w:rPr>
            </w:pPr>
          </w:p>
        </w:tc>
        <w:tc>
          <w:tcPr>
            <w:tcW w:w="936" w:type="dxa"/>
          </w:tcPr>
          <w:p w14:paraId="3E7BD8AD">
            <w:pPr>
              <w:pStyle w:val="59"/>
              <w:jc w:val="center"/>
              <w:rPr>
                <w:rFonts w:ascii="宋体" w:hAnsi="宋体" w:cs="宋体"/>
                <w:color w:val="auto"/>
                <w:highlight w:val="none"/>
              </w:rPr>
            </w:pPr>
          </w:p>
        </w:tc>
        <w:tc>
          <w:tcPr>
            <w:tcW w:w="1034" w:type="dxa"/>
          </w:tcPr>
          <w:p w14:paraId="4DAC3C3C">
            <w:pPr>
              <w:pStyle w:val="59"/>
              <w:jc w:val="center"/>
              <w:rPr>
                <w:rFonts w:ascii="宋体" w:hAnsi="宋体" w:cs="宋体"/>
                <w:color w:val="auto"/>
                <w:highlight w:val="none"/>
              </w:rPr>
            </w:pPr>
          </w:p>
        </w:tc>
        <w:tc>
          <w:tcPr>
            <w:tcW w:w="936" w:type="dxa"/>
          </w:tcPr>
          <w:p w14:paraId="05B8ED37">
            <w:pPr>
              <w:pStyle w:val="59"/>
              <w:jc w:val="center"/>
              <w:rPr>
                <w:rFonts w:ascii="宋体" w:hAnsi="宋体" w:cs="宋体"/>
                <w:color w:val="auto"/>
                <w:highlight w:val="none"/>
              </w:rPr>
            </w:pPr>
          </w:p>
        </w:tc>
        <w:tc>
          <w:tcPr>
            <w:tcW w:w="978" w:type="dxa"/>
          </w:tcPr>
          <w:p w14:paraId="2675C736">
            <w:pPr>
              <w:pStyle w:val="59"/>
              <w:jc w:val="center"/>
              <w:rPr>
                <w:rFonts w:ascii="宋体" w:hAnsi="宋体" w:cs="宋体"/>
                <w:color w:val="auto"/>
                <w:highlight w:val="none"/>
              </w:rPr>
            </w:pPr>
          </w:p>
        </w:tc>
        <w:tc>
          <w:tcPr>
            <w:tcW w:w="805" w:type="dxa"/>
          </w:tcPr>
          <w:p w14:paraId="53B94969">
            <w:pPr>
              <w:pStyle w:val="59"/>
              <w:jc w:val="center"/>
              <w:rPr>
                <w:rFonts w:ascii="宋体" w:hAnsi="宋体" w:cs="宋体"/>
                <w:color w:val="auto"/>
                <w:highlight w:val="none"/>
              </w:rPr>
            </w:pPr>
          </w:p>
        </w:tc>
        <w:tc>
          <w:tcPr>
            <w:tcW w:w="805" w:type="dxa"/>
          </w:tcPr>
          <w:p w14:paraId="75EF9E14">
            <w:pPr>
              <w:pStyle w:val="59"/>
              <w:jc w:val="center"/>
              <w:rPr>
                <w:rFonts w:ascii="宋体" w:hAnsi="宋体" w:cs="宋体"/>
                <w:color w:val="auto"/>
                <w:highlight w:val="none"/>
              </w:rPr>
            </w:pPr>
          </w:p>
        </w:tc>
      </w:tr>
      <w:tr w14:paraId="5E514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88" w:type="dxa"/>
            <w:gridSpan w:val="2"/>
            <w:vAlign w:val="center"/>
          </w:tcPr>
          <w:p w14:paraId="64E4C495">
            <w:pPr>
              <w:pStyle w:val="59"/>
              <w:jc w:val="center"/>
              <w:rPr>
                <w:rFonts w:ascii="宋体" w:hAnsi="宋体" w:cs="宋体"/>
                <w:color w:val="auto"/>
                <w:highlight w:val="none"/>
              </w:rPr>
            </w:pPr>
            <w:r>
              <w:rPr>
                <w:rFonts w:hint="eastAsia" w:ascii="宋体" w:hAnsi="宋体" w:cs="宋体"/>
                <w:color w:val="auto"/>
                <w:highlight w:val="none"/>
              </w:rPr>
              <w:t>业绩合计</w:t>
            </w:r>
          </w:p>
        </w:tc>
        <w:tc>
          <w:tcPr>
            <w:tcW w:w="1286" w:type="dxa"/>
          </w:tcPr>
          <w:p w14:paraId="04C82099">
            <w:pPr>
              <w:pStyle w:val="59"/>
              <w:jc w:val="center"/>
              <w:rPr>
                <w:rFonts w:ascii="宋体" w:hAnsi="宋体" w:cs="宋体"/>
                <w:color w:val="auto"/>
                <w:highlight w:val="none"/>
              </w:rPr>
            </w:pPr>
          </w:p>
        </w:tc>
        <w:tc>
          <w:tcPr>
            <w:tcW w:w="1286" w:type="dxa"/>
          </w:tcPr>
          <w:p w14:paraId="3DCC686C">
            <w:pPr>
              <w:pStyle w:val="59"/>
              <w:jc w:val="center"/>
              <w:rPr>
                <w:rFonts w:ascii="宋体" w:hAnsi="宋体" w:cs="宋体"/>
                <w:color w:val="auto"/>
                <w:highlight w:val="none"/>
              </w:rPr>
            </w:pPr>
          </w:p>
        </w:tc>
        <w:tc>
          <w:tcPr>
            <w:tcW w:w="936" w:type="dxa"/>
          </w:tcPr>
          <w:p w14:paraId="1710E9D6">
            <w:pPr>
              <w:pStyle w:val="59"/>
              <w:jc w:val="center"/>
              <w:rPr>
                <w:rFonts w:ascii="宋体" w:hAnsi="宋体" w:cs="宋体"/>
                <w:color w:val="auto"/>
                <w:highlight w:val="none"/>
              </w:rPr>
            </w:pPr>
          </w:p>
        </w:tc>
        <w:tc>
          <w:tcPr>
            <w:tcW w:w="1034" w:type="dxa"/>
          </w:tcPr>
          <w:p w14:paraId="22A07E2D">
            <w:pPr>
              <w:pStyle w:val="59"/>
              <w:jc w:val="center"/>
              <w:rPr>
                <w:rFonts w:ascii="宋体" w:hAnsi="宋体" w:cs="宋体"/>
                <w:color w:val="auto"/>
                <w:highlight w:val="none"/>
              </w:rPr>
            </w:pPr>
          </w:p>
        </w:tc>
        <w:tc>
          <w:tcPr>
            <w:tcW w:w="936" w:type="dxa"/>
          </w:tcPr>
          <w:p w14:paraId="7631D724">
            <w:pPr>
              <w:pStyle w:val="59"/>
              <w:jc w:val="center"/>
              <w:rPr>
                <w:rFonts w:ascii="宋体" w:hAnsi="宋体" w:cs="宋体"/>
                <w:color w:val="auto"/>
                <w:highlight w:val="none"/>
              </w:rPr>
            </w:pPr>
          </w:p>
        </w:tc>
        <w:tc>
          <w:tcPr>
            <w:tcW w:w="978" w:type="dxa"/>
          </w:tcPr>
          <w:p w14:paraId="66870514">
            <w:pPr>
              <w:pStyle w:val="59"/>
              <w:jc w:val="center"/>
              <w:rPr>
                <w:rFonts w:ascii="宋体" w:hAnsi="宋体" w:cs="宋体"/>
                <w:color w:val="auto"/>
                <w:highlight w:val="none"/>
              </w:rPr>
            </w:pPr>
          </w:p>
        </w:tc>
        <w:tc>
          <w:tcPr>
            <w:tcW w:w="805" w:type="dxa"/>
          </w:tcPr>
          <w:p w14:paraId="05EB2427">
            <w:pPr>
              <w:pStyle w:val="59"/>
              <w:jc w:val="center"/>
              <w:rPr>
                <w:rFonts w:ascii="宋体" w:hAnsi="宋体" w:cs="宋体"/>
                <w:color w:val="auto"/>
                <w:highlight w:val="none"/>
              </w:rPr>
            </w:pPr>
          </w:p>
        </w:tc>
        <w:tc>
          <w:tcPr>
            <w:tcW w:w="805" w:type="dxa"/>
          </w:tcPr>
          <w:p w14:paraId="09CE405D">
            <w:pPr>
              <w:pStyle w:val="59"/>
              <w:jc w:val="center"/>
              <w:rPr>
                <w:rFonts w:ascii="宋体" w:hAnsi="宋体" w:cs="宋体"/>
                <w:color w:val="auto"/>
                <w:highlight w:val="none"/>
              </w:rPr>
            </w:pPr>
          </w:p>
        </w:tc>
      </w:tr>
    </w:tbl>
    <w:p w14:paraId="48DC640B">
      <w:pPr>
        <w:spacing w:line="360" w:lineRule="auto"/>
        <w:ind w:left="621" w:leftChars="-13" w:hanging="648" w:hangingChars="309"/>
        <w:rPr>
          <w:rFonts w:ascii="宋体" w:hAnsi="宋体" w:cs="宋体"/>
          <w:color w:val="auto"/>
          <w:sz w:val="24"/>
          <w:highlight w:val="none"/>
        </w:rPr>
      </w:pPr>
      <w:r>
        <w:rPr>
          <w:rFonts w:hint="eastAsia" w:ascii="宋体" w:hAnsi="宋体" w:cs="宋体"/>
          <w:color w:val="auto"/>
          <w:highlight w:val="none"/>
        </w:rPr>
        <w:t>注：业绩要求应符合投标人须知前附表 3.5.3、10.6 及 10.7 款的要求。</w:t>
      </w:r>
    </w:p>
    <w:p w14:paraId="3009D015">
      <w:pPr>
        <w:jc w:val="center"/>
        <w:rPr>
          <w:rFonts w:hint="eastAsia" w:ascii="宋体" w:hAnsi="宋体" w:cs="宋体"/>
          <w:b/>
          <w:color w:val="auto"/>
          <w:sz w:val="28"/>
          <w:szCs w:val="28"/>
          <w:highlight w:val="none"/>
        </w:rPr>
      </w:pPr>
      <w:r>
        <w:rPr>
          <w:rFonts w:hint="eastAsia" w:ascii="宋体" w:hAnsi="宋体" w:cs="宋体"/>
          <w:color w:val="auto"/>
          <w:sz w:val="24"/>
          <w:highlight w:val="none"/>
        </w:rPr>
        <w:br w:type="page"/>
      </w:r>
      <w:r>
        <w:rPr>
          <w:rFonts w:hint="eastAsia" w:ascii="宋体" w:hAnsi="宋体" w:cs="宋体"/>
          <w:b/>
          <w:color w:val="auto"/>
          <w:sz w:val="28"/>
          <w:szCs w:val="28"/>
          <w:highlight w:val="none"/>
        </w:rPr>
        <w:t>（五）投标人的信誉情况表</w:t>
      </w:r>
    </w:p>
    <w:p w14:paraId="2319F8B5">
      <w:pPr>
        <w:spacing w:line="300" w:lineRule="exact"/>
        <w:rPr>
          <w:rFonts w:ascii="宋体" w:hAnsi="宋体" w:cs="宋体"/>
          <w:color w:val="auto"/>
          <w:sz w:val="24"/>
          <w:highlight w:val="none"/>
        </w:rPr>
      </w:pPr>
    </w:p>
    <w:tbl>
      <w:tblPr>
        <w:tblStyle w:val="4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14:paraId="3BAC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14:paraId="365D8250">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项  目</w:t>
            </w:r>
          </w:p>
        </w:tc>
        <w:tc>
          <w:tcPr>
            <w:tcW w:w="4890" w:type="dxa"/>
            <w:vAlign w:val="center"/>
          </w:tcPr>
          <w:p w14:paraId="4D09328D">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投标人情况说明</w:t>
            </w:r>
          </w:p>
        </w:tc>
      </w:tr>
      <w:tr w14:paraId="0C98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14:paraId="13589EA6">
            <w:pPr>
              <w:spacing w:line="300" w:lineRule="exact"/>
              <w:jc w:val="left"/>
              <w:rPr>
                <w:rFonts w:ascii="宋体" w:hAnsi="宋体" w:cs="宋体"/>
                <w:color w:val="auto"/>
                <w:sz w:val="24"/>
                <w:highlight w:val="none"/>
              </w:rPr>
            </w:pPr>
            <w:r>
              <w:rPr>
                <w:rFonts w:hint="eastAsia" w:ascii="宋体" w:hAnsi="宋体" w:cs="宋体"/>
                <w:color w:val="auto"/>
                <w:sz w:val="24"/>
                <w:highlight w:val="none"/>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4890" w:type="dxa"/>
            <w:vAlign w:val="center"/>
          </w:tcPr>
          <w:p w14:paraId="76014941">
            <w:pPr>
              <w:spacing w:line="300" w:lineRule="exact"/>
              <w:jc w:val="center"/>
              <w:rPr>
                <w:rFonts w:ascii="宋体" w:hAnsi="宋体" w:cs="宋体"/>
                <w:color w:val="auto"/>
                <w:sz w:val="24"/>
                <w:highlight w:val="none"/>
              </w:rPr>
            </w:pPr>
          </w:p>
        </w:tc>
      </w:tr>
      <w:tr w14:paraId="58DE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14:paraId="31DCA727">
            <w:pPr>
              <w:spacing w:line="300" w:lineRule="exact"/>
              <w:jc w:val="left"/>
              <w:rPr>
                <w:rFonts w:ascii="宋体" w:hAnsi="宋体" w:cs="宋体"/>
                <w:color w:val="auto"/>
                <w:sz w:val="24"/>
                <w:highlight w:val="none"/>
              </w:rPr>
            </w:pPr>
            <w:r>
              <w:rPr>
                <w:rFonts w:hint="eastAsia" w:ascii="宋体" w:hAnsi="宋体" w:cs="宋体"/>
                <w:color w:val="auto"/>
                <w:sz w:val="24"/>
                <w:highlight w:val="none"/>
              </w:rPr>
              <w:t>（2）被省级及以上交通运输主管部门取消招标项目所在地的投标资格且处于有效期内；</w:t>
            </w:r>
          </w:p>
        </w:tc>
        <w:tc>
          <w:tcPr>
            <w:tcW w:w="4890" w:type="dxa"/>
            <w:vAlign w:val="center"/>
          </w:tcPr>
          <w:p w14:paraId="65CDC213">
            <w:pPr>
              <w:spacing w:line="300" w:lineRule="exact"/>
              <w:jc w:val="center"/>
              <w:rPr>
                <w:rFonts w:ascii="宋体" w:hAnsi="宋体" w:cs="宋体"/>
                <w:color w:val="auto"/>
                <w:sz w:val="24"/>
                <w:highlight w:val="none"/>
              </w:rPr>
            </w:pPr>
          </w:p>
        </w:tc>
      </w:tr>
      <w:tr w14:paraId="42AF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14:paraId="55D5A52E">
            <w:pPr>
              <w:spacing w:line="300" w:lineRule="exact"/>
              <w:jc w:val="left"/>
              <w:rPr>
                <w:rFonts w:ascii="宋体" w:hAnsi="宋体" w:cs="宋体"/>
                <w:color w:val="auto"/>
                <w:sz w:val="24"/>
                <w:highlight w:val="none"/>
              </w:rPr>
            </w:pPr>
            <w:r>
              <w:rPr>
                <w:rFonts w:hint="eastAsia" w:ascii="宋体" w:hAnsi="宋体" w:cs="宋体"/>
                <w:color w:val="auto"/>
                <w:sz w:val="24"/>
                <w:highlight w:val="none"/>
              </w:rPr>
              <w:t>（3）被责令停业，暂扣或吊销执照，或吊销资质证书；</w:t>
            </w:r>
          </w:p>
        </w:tc>
        <w:tc>
          <w:tcPr>
            <w:tcW w:w="4890" w:type="dxa"/>
            <w:vAlign w:val="center"/>
          </w:tcPr>
          <w:p w14:paraId="71A38FB7">
            <w:pPr>
              <w:spacing w:line="300" w:lineRule="exact"/>
              <w:jc w:val="center"/>
              <w:rPr>
                <w:rFonts w:ascii="宋体" w:hAnsi="宋体" w:cs="宋体"/>
                <w:color w:val="auto"/>
                <w:sz w:val="24"/>
                <w:highlight w:val="none"/>
              </w:rPr>
            </w:pPr>
          </w:p>
        </w:tc>
      </w:tr>
      <w:tr w14:paraId="5934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890" w:type="dxa"/>
            <w:vAlign w:val="center"/>
          </w:tcPr>
          <w:p w14:paraId="46205583">
            <w:pPr>
              <w:spacing w:line="300" w:lineRule="exact"/>
              <w:jc w:val="left"/>
              <w:rPr>
                <w:rFonts w:ascii="宋体" w:hAnsi="宋体" w:cs="宋体"/>
                <w:color w:val="auto"/>
                <w:sz w:val="24"/>
                <w:highlight w:val="none"/>
              </w:rPr>
            </w:pPr>
            <w:r>
              <w:rPr>
                <w:rFonts w:hint="eastAsia" w:ascii="宋体" w:hAnsi="宋体" w:cs="宋体"/>
                <w:color w:val="auto"/>
                <w:sz w:val="24"/>
                <w:highlight w:val="none"/>
              </w:rPr>
              <w:t>（4）进入清算程序，或被宣告破产，或其他丧失履约能力的情形；</w:t>
            </w:r>
          </w:p>
        </w:tc>
        <w:tc>
          <w:tcPr>
            <w:tcW w:w="4890" w:type="dxa"/>
            <w:vAlign w:val="center"/>
          </w:tcPr>
          <w:p w14:paraId="0C647C42">
            <w:pPr>
              <w:spacing w:line="300" w:lineRule="exact"/>
              <w:jc w:val="center"/>
              <w:rPr>
                <w:rFonts w:ascii="宋体" w:hAnsi="宋体" w:cs="宋体"/>
                <w:color w:val="auto"/>
                <w:sz w:val="24"/>
                <w:highlight w:val="none"/>
              </w:rPr>
            </w:pPr>
          </w:p>
        </w:tc>
      </w:tr>
      <w:tr w14:paraId="6E34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890" w:type="dxa"/>
            <w:vAlign w:val="center"/>
          </w:tcPr>
          <w:p w14:paraId="25477354">
            <w:pPr>
              <w:spacing w:line="300" w:lineRule="exact"/>
              <w:jc w:val="left"/>
              <w:rPr>
                <w:rFonts w:ascii="宋体" w:hAnsi="宋体" w:cs="宋体"/>
                <w:color w:val="auto"/>
                <w:sz w:val="24"/>
                <w:highlight w:val="none"/>
              </w:rPr>
            </w:pPr>
            <w:r>
              <w:rPr>
                <w:rFonts w:hint="eastAsia" w:ascii="宋体" w:hAnsi="宋体" w:cs="宋体"/>
                <w:color w:val="auto"/>
                <w:sz w:val="24"/>
                <w:highlight w:val="none"/>
              </w:rPr>
              <w:t>（5）在国家企业信用信息公示系统中被列入严重违法失信企业名单；</w:t>
            </w:r>
          </w:p>
        </w:tc>
        <w:tc>
          <w:tcPr>
            <w:tcW w:w="4890" w:type="dxa"/>
            <w:vAlign w:val="center"/>
          </w:tcPr>
          <w:p w14:paraId="118A0363">
            <w:pPr>
              <w:spacing w:line="300" w:lineRule="exact"/>
              <w:jc w:val="center"/>
              <w:rPr>
                <w:rFonts w:ascii="宋体" w:hAnsi="宋体" w:cs="宋体"/>
                <w:color w:val="auto"/>
                <w:sz w:val="24"/>
                <w:highlight w:val="none"/>
              </w:rPr>
            </w:pPr>
          </w:p>
        </w:tc>
      </w:tr>
      <w:tr w14:paraId="302D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890" w:type="dxa"/>
            <w:vAlign w:val="center"/>
          </w:tcPr>
          <w:p w14:paraId="3B174FA0">
            <w:pPr>
              <w:spacing w:line="300" w:lineRule="exact"/>
              <w:jc w:val="left"/>
              <w:rPr>
                <w:rFonts w:ascii="宋体" w:hAnsi="宋体" w:cs="宋体"/>
                <w:color w:val="auto"/>
                <w:sz w:val="24"/>
                <w:highlight w:val="none"/>
              </w:rPr>
            </w:pPr>
            <w:r>
              <w:rPr>
                <w:rFonts w:hint="eastAsia" w:ascii="宋体" w:hAnsi="宋体" w:cs="宋体"/>
                <w:color w:val="auto"/>
                <w:sz w:val="24"/>
                <w:highlight w:val="none"/>
              </w:rPr>
              <w:t>（6）在“信用中国”网站中被列入失信被执行人名单；</w:t>
            </w:r>
          </w:p>
        </w:tc>
        <w:tc>
          <w:tcPr>
            <w:tcW w:w="4890" w:type="dxa"/>
            <w:vAlign w:val="center"/>
          </w:tcPr>
          <w:p w14:paraId="63432F7E">
            <w:pPr>
              <w:spacing w:line="300" w:lineRule="exact"/>
              <w:jc w:val="center"/>
              <w:rPr>
                <w:rFonts w:ascii="宋体" w:hAnsi="宋体" w:cs="宋体"/>
                <w:color w:val="auto"/>
                <w:sz w:val="24"/>
                <w:highlight w:val="none"/>
              </w:rPr>
            </w:pPr>
          </w:p>
        </w:tc>
      </w:tr>
      <w:tr w14:paraId="3283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14:paraId="0E214157">
            <w:pPr>
              <w:spacing w:line="300" w:lineRule="exact"/>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）法律法规或投标人须知前附表规定的其他情形。</w:t>
            </w:r>
          </w:p>
        </w:tc>
        <w:tc>
          <w:tcPr>
            <w:tcW w:w="4890" w:type="dxa"/>
            <w:vAlign w:val="center"/>
          </w:tcPr>
          <w:p w14:paraId="75807F16">
            <w:pPr>
              <w:spacing w:line="300" w:lineRule="exact"/>
              <w:jc w:val="center"/>
              <w:rPr>
                <w:rFonts w:ascii="宋体" w:hAnsi="宋体" w:cs="宋体"/>
                <w:color w:val="auto"/>
                <w:sz w:val="24"/>
                <w:highlight w:val="none"/>
              </w:rPr>
            </w:pPr>
          </w:p>
        </w:tc>
      </w:tr>
      <w:tr w14:paraId="2074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14:paraId="7331841F">
            <w:pPr>
              <w:spacing w:line="300" w:lineRule="exact"/>
              <w:jc w:val="left"/>
              <w:rPr>
                <w:rFonts w:ascii="宋体" w:hAnsi="宋体" w:cs="宋体"/>
                <w:color w:val="auto"/>
                <w:sz w:val="24"/>
                <w:highlight w:val="none"/>
              </w:rPr>
            </w:pPr>
            <w:r>
              <w:rPr>
                <w:rFonts w:hint="eastAsia" w:ascii="宋体" w:hAnsi="宋体" w:cs="宋体"/>
                <w:color w:val="auto"/>
                <w:sz w:val="24"/>
                <w:highlight w:val="none"/>
              </w:rPr>
              <w:t>……</w:t>
            </w:r>
          </w:p>
        </w:tc>
        <w:tc>
          <w:tcPr>
            <w:tcW w:w="4890" w:type="dxa"/>
            <w:vAlign w:val="center"/>
          </w:tcPr>
          <w:p w14:paraId="08B12966">
            <w:pPr>
              <w:spacing w:line="300" w:lineRule="exact"/>
              <w:jc w:val="center"/>
              <w:rPr>
                <w:rFonts w:ascii="宋体" w:hAnsi="宋体" w:cs="宋体"/>
                <w:color w:val="auto"/>
                <w:sz w:val="24"/>
                <w:highlight w:val="none"/>
              </w:rPr>
            </w:pPr>
          </w:p>
        </w:tc>
      </w:tr>
    </w:tbl>
    <w:p w14:paraId="7DD23513">
      <w:pPr>
        <w:spacing w:line="360" w:lineRule="auto"/>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注：1.投标人应按照招标文件第二章“投标人须知”前附表附录 4 和“投标人须知”第</w:t>
      </w:r>
    </w:p>
    <w:p w14:paraId="44CA7430">
      <w:pPr>
        <w:spacing w:line="360" w:lineRule="auto"/>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1.4.4 条款号中的各项规定，逐条说明其信誉情况。</w:t>
      </w:r>
    </w:p>
    <w:p w14:paraId="42D13B47">
      <w:pPr>
        <w:spacing w:line="360" w:lineRule="auto"/>
        <w:ind w:left="719" w:leftChars="228" w:hanging="240" w:hangingChars="100"/>
        <w:rPr>
          <w:rFonts w:hint="eastAsia" w:ascii="宋体" w:hAnsi="宋体" w:cs="宋体"/>
          <w:color w:val="auto"/>
          <w:sz w:val="24"/>
          <w:highlight w:val="none"/>
        </w:rPr>
      </w:pPr>
      <w:r>
        <w:rPr>
          <w:rFonts w:hint="eastAsia" w:ascii="宋体" w:hAnsi="宋体" w:cs="宋体"/>
          <w:color w:val="auto"/>
          <w:sz w:val="24"/>
          <w:highlight w:val="none"/>
        </w:rPr>
        <w:t>2.投标人应根据招标文件第二章“投标人须知”第 3.5.4 项的要求在本表后附相关</w:t>
      </w:r>
    </w:p>
    <w:p w14:paraId="2B2E2613">
      <w:pPr>
        <w:spacing w:line="360" w:lineRule="auto"/>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证明材料。</w:t>
      </w:r>
    </w:p>
    <w:p w14:paraId="39393412">
      <w:pPr>
        <w:spacing w:line="360" w:lineRule="auto"/>
        <w:ind w:left="719" w:leftChars="228" w:hanging="240" w:hangingChars="100"/>
        <w:rPr>
          <w:rFonts w:ascii="宋体" w:hAnsi="宋体" w:cs="宋体"/>
          <w:color w:val="auto"/>
          <w:sz w:val="24"/>
          <w:highlight w:val="none"/>
        </w:rPr>
      </w:pPr>
    </w:p>
    <w:p w14:paraId="1EEC7E4C">
      <w:pPr>
        <w:spacing w:line="360" w:lineRule="auto"/>
        <w:ind w:left="643" w:leftChars="226" w:hanging="168" w:hangingChars="70"/>
        <w:rPr>
          <w:rFonts w:ascii="宋体" w:hAnsi="宋体" w:cs="宋体"/>
          <w:color w:val="auto"/>
          <w:sz w:val="24"/>
          <w:highlight w:val="none"/>
        </w:rPr>
      </w:pPr>
    </w:p>
    <w:p w14:paraId="0D67A1A6">
      <w:pPr>
        <w:spacing w:line="300" w:lineRule="exact"/>
        <w:rPr>
          <w:rFonts w:ascii="宋体" w:hAnsi="宋体" w:cs="宋体"/>
          <w:color w:val="auto"/>
          <w:sz w:val="24"/>
          <w:highlight w:val="none"/>
        </w:rPr>
        <w:sectPr>
          <w:footerReference r:id="rId21" w:type="first"/>
          <w:footerReference r:id="rId20" w:type="default"/>
          <w:footnotePr>
            <w:numFmt w:val="decimalEnclosedCircleChinese"/>
          </w:footnotePr>
          <w:pgSz w:w="11906" w:h="16838"/>
          <w:pgMar w:top="1038" w:right="924" w:bottom="936" w:left="1418" w:header="624" w:footer="590" w:gutter="0"/>
          <w:cols w:space="720" w:num="1"/>
          <w:docGrid w:type="lines" w:linePitch="312" w:charSpace="0"/>
        </w:sectPr>
      </w:pPr>
    </w:p>
    <w:p w14:paraId="5D4E79D9">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（六）拟委任的项目经理和项目总工情况表</w:t>
      </w:r>
    </w:p>
    <w:p w14:paraId="1B2072C1">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（六）-1拟委任的项目经理和项目总工汇总表</w:t>
      </w:r>
    </w:p>
    <w:p w14:paraId="6A579983">
      <w:pPr>
        <w:pStyle w:val="52"/>
        <w:rPr>
          <w:rFonts w:hint="eastAsia" w:ascii="宋体" w:hAnsi="宋体" w:cs="宋体"/>
          <w:b/>
          <w:color w:val="auto"/>
          <w:sz w:val="28"/>
          <w:szCs w:val="28"/>
          <w:highlight w:val="none"/>
        </w:rPr>
      </w:pPr>
    </w:p>
    <w:tbl>
      <w:tblPr>
        <w:tblStyle w:val="43"/>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7"/>
        <w:gridCol w:w="1397"/>
        <w:gridCol w:w="1397"/>
        <w:gridCol w:w="1397"/>
        <w:gridCol w:w="1397"/>
        <w:gridCol w:w="1398"/>
      </w:tblGrid>
      <w:tr w14:paraId="3386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14:paraId="1FCB280A">
            <w:pPr>
              <w:jc w:val="center"/>
              <w:rPr>
                <w:rFonts w:hint="eastAsia"/>
                <w:color w:val="auto"/>
                <w:sz w:val="24"/>
                <w:szCs w:val="24"/>
                <w:highlight w:val="none"/>
              </w:rPr>
            </w:pPr>
            <w:r>
              <w:rPr>
                <w:rFonts w:hint="eastAsia"/>
                <w:color w:val="auto"/>
                <w:sz w:val="24"/>
                <w:szCs w:val="24"/>
                <w:highlight w:val="none"/>
              </w:rPr>
              <w:t>姓名</w:t>
            </w:r>
          </w:p>
        </w:tc>
        <w:tc>
          <w:tcPr>
            <w:tcW w:w="1397" w:type="dxa"/>
            <w:vAlign w:val="center"/>
          </w:tcPr>
          <w:p w14:paraId="3BB128D3">
            <w:pPr>
              <w:jc w:val="center"/>
              <w:rPr>
                <w:rFonts w:hint="eastAsia"/>
                <w:color w:val="auto"/>
                <w:sz w:val="24"/>
                <w:szCs w:val="24"/>
                <w:highlight w:val="none"/>
              </w:rPr>
            </w:pPr>
            <w:r>
              <w:rPr>
                <w:rFonts w:hint="eastAsia"/>
                <w:color w:val="auto"/>
                <w:sz w:val="24"/>
                <w:szCs w:val="24"/>
                <w:highlight w:val="none"/>
              </w:rPr>
              <w:t>年龄</w:t>
            </w:r>
          </w:p>
        </w:tc>
        <w:tc>
          <w:tcPr>
            <w:tcW w:w="1397" w:type="dxa"/>
            <w:vAlign w:val="center"/>
          </w:tcPr>
          <w:p w14:paraId="7F7E9CE6">
            <w:pPr>
              <w:jc w:val="center"/>
              <w:rPr>
                <w:rFonts w:hint="eastAsia"/>
                <w:color w:val="auto"/>
                <w:sz w:val="24"/>
                <w:szCs w:val="24"/>
                <w:highlight w:val="none"/>
              </w:rPr>
            </w:pPr>
            <w:r>
              <w:rPr>
                <w:rFonts w:hint="eastAsia"/>
                <w:color w:val="auto"/>
                <w:sz w:val="24"/>
                <w:szCs w:val="24"/>
                <w:highlight w:val="none"/>
              </w:rPr>
              <w:t>拟在本项目中担任的职务</w:t>
            </w:r>
          </w:p>
        </w:tc>
        <w:tc>
          <w:tcPr>
            <w:tcW w:w="1397" w:type="dxa"/>
            <w:vAlign w:val="center"/>
          </w:tcPr>
          <w:p w14:paraId="05FD7C56">
            <w:pPr>
              <w:jc w:val="center"/>
              <w:rPr>
                <w:rFonts w:hint="eastAsia"/>
                <w:color w:val="auto"/>
                <w:sz w:val="24"/>
                <w:szCs w:val="24"/>
                <w:highlight w:val="none"/>
              </w:rPr>
            </w:pPr>
            <w:r>
              <w:rPr>
                <w:rFonts w:hint="eastAsia"/>
                <w:color w:val="auto"/>
                <w:sz w:val="24"/>
                <w:szCs w:val="24"/>
                <w:highlight w:val="none"/>
              </w:rPr>
              <w:t>技术</w:t>
            </w:r>
          </w:p>
          <w:p w14:paraId="001ACF33">
            <w:pPr>
              <w:jc w:val="center"/>
              <w:rPr>
                <w:rFonts w:hint="eastAsia"/>
                <w:color w:val="auto"/>
                <w:sz w:val="24"/>
                <w:szCs w:val="24"/>
                <w:highlight w:val="none"/>
              </w:rPr>
            </w:pPr>
            <w:r>
              <w:rPr>
                <w:rFonts w:hint="eastAsia"/>
                <w:color w:val="auto"/>
                <w:sz w:val="24"/>
                <w:szCs w:val="24"/>
                <w:highlight w:val="none"/>
              </w:rPr>
              <w:t>职称</w:t>
            </w:r>
          </w:p>
        </w:tc>
        <w:tc>
          <w:tcPr>
            <w:tcW w:w="1397" w:type="dxa"/>
            <w:vAlign w:val="center"/>
          </w:tcPr>
          <w:p w14:paraId="32FDE4B8">
            <w:pPr>
              <w:jc w:val="center"/>
              <w:rPr>
                <w:rFonts w:hint="eastAsia"/>
                <w:color w:val="auto"/>
                <w:sz w:val="24"/>
                <w:szCs w:val="24"/>
                <w:highlight w:val="none"/>
              </w:rPr>
            </w:pPr>
            <w:r>
              <w:rPr>
                <w:rFonts w:hint="eastAsia"/>
                <w:color w:val="auto"/>
                <w:sz w:val="24"/>
                <w:szCs w:val="24"/>
                <w:highlight w:val="none"/>
              </w:rPr>
              <w:t>建造师类别及注册号</w:t>
            </w:r>
          </w:p>
        </w:tc>
        <w:tc>
          <w:tcPr>
            <w:tcW w:w="1397" w:type="dxa"/>
            <w:vAlign w:val="center"/>
          </w:tcPr>
          <w:p w14:paraId="3B0AC46B">
            <w:pPr>
              <w:jc w:val="center"/>
              <w:rPr>
                <w:rFonts w:hint="eastAsia"/>
                <w:color w:val="auto"/>
                <w:sz w:val="24"/>
                <w:szCs w:val="24"/>
                <w:highlight w:val="none"/>
              </w:rPr>
            </w:pPr>
            <w:r>
              <w:rPr>
                <w:rFonts w:hint="eastAsia"/>
                <w:color w:val="auto"/>
                <w:sz w:val="24"/>
                <w:szCs w:val="24"/>
                <w:highlight w:val="none"/>
              </w:rPr>
              <w:t>累计对应岗位的工作年限（月）</w:t>
            </w:r>
          </w:p>
        </w:tc>
        <w:tc>
          <w:tcPr>
            <w:tcW w:w="1398" w:type="dxa"/>
            <w:vAlign w:val="center"/>
          </w:tcPr>
          <w:p w14:paraId="5E8AC39B">
            <w:pPr>
              <w:jc w:val="center"/>
              <w:rPr>
                <w:rFonts w:hint="eastAsia"/>
                <w:color w:val="auto"/>
                <w:sz w:val="24"/>
                <w:szCs w:val="24"/>
                <w:highlight w:val="none"/>
              </w:rPr>
            </w:pPr>
            <w:r>
              <w:rPr>
                <w:rFonts w:hint="eastAsia"/>
                <w:color w:val="auto"/>
                <w:sz w:val="24"/>
                <w:szCs w:val="24"/>
                <w:highlight w:val="none"/>
              </w:rPr>
              <w:t>备注</w:t>
            </w:r>
          </w:p>
        </w:tc>
      </w:tr>
      <w:tr w14:paraId="6854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6B52893D">
            <w:pPr>
              <w:pStyle w:val="52"/>
              <w:rPr>
                <w:rFonts w:hint="eastAsia" w:ascii="宋体" w:hAnsi="宋体" w:cs="宋体"/>
                <w:b/>
                <w:color w:val="auto"/>
                <w:sz w:val="28"/>
                <w:szCs w:val="28"/>
                <w:highlight w:val="none"/>
                <w:vertAlign w:val="baseline"/>
              </w:rPr>
            </w:pPr>
          </w:p>
        </w:tc>
        <w:tc>
          <w:tcPr>
            <w:tcW w:w="1397" w:type="dxa"/>
          </w:tcPr>
          <w:p w14:paraId="5E060691">
            <w:pPr>
              <w:pStyle w:val="52"/>
              <w:rPr>
                <w:rFonts w:hint="eastAsia" w:ascii="宋体" w:hAnsi="宋体" w:cs="宋体"/>
                <w:b/>
                <w:color w:val="auto"/>
                <w:sz w:val="28"/>
                <w:szCs w:val="28"/>
                <w:highlight w:val="none"/>
                <w:vertAlign w:val="baseline"/>
              </w:rPr>
            </w:pPr>
          </w:p>
        </w:tc>
        <w:tc>
          <w:tcPr>
            <w:tcW w:w="1397" w:type="dxa"/>
          </w:tcPr>
          <w:p w14:paraId="2DCE33CB">
            <w:pPr>
              <w:pStyle w:val="52"/>
              <w:rPr>
                <w:rFonts w:hint="eastAsia" w:ascii="宋体" w:hAnsi="宋体" w:cs="宋体"/>
                <w:b/>
                <w:color w:val="auto"/>
                <w:sz w:val="28"/>
                <w:szCs w:val="28"/>
                <w:highlight w:val="none"/>
                <w:vertAlign w:val="baseline"/>
              </w:rPr>
            </w:pPr>
          </w:p>
        </w:tc>
        <w:tc>
          <w:tcPr>
            <w:tcW w:w="1397" w:type="dxa"/>
          </w:tcPr>
          <w:p w14:paraId="4DF2B5D3">
            <w:pPr>
              <w:pStyle w:val="52"/>
              <w:rPr>
                <w:rFonts w:hint="eastAsia" w:ascii="宋体" w:hAnsi="宋体" w:cs="宋体"/>
                <w:b/>
                <w:color w:val="auto"/>
                <w:sz w:val="28"/>
                <w:szCs w:val="28"/>
                <w:highlight w:val="none"/>
                <w:vertAlign w:val="baseline"/>
              </w:rPr>
            </w:pPr>
          </w:p>
        </w:tc>
        <w:tc>
          <w:tcPr>
            <w:tcW w:w="1397" w:type="dxa"/>
          </w:tcPr>
          <w:p w14:paraId="58154233">
            <w:pPr>
              <w:pStyle w:val="52"/>
              <w:rPr>
                <w:rFonts w:hint="eastAsia" w:ascii="宋体" w:hAnsi="宋体" w:cs="宋体"/>
                <w:b/>
                <w:color w:val="auto"/>
                <w:sz w:val="28"/>
                <w:szCs w:val="28"/>
                <w:highlight w:val="none"/>
                <w:vertAlign w:val="baseline"/>
              </w:rPr>
            </w:pPr>
          </w:p>
        </w:tc>
        <w:tc>
          <w:tcPr>
            <w:tcW w:w="1397" w:type="dxa"/>
          </w:tcPr>
          <w:p w14:paraId="54136C7F">
            <w:pPr>
              <w:pStyle w:val="52"/>
              <w:rPr>
                <w:rFonts w:hint="eastAsia" w:ascii="宋体" w:hAnsi="宋体" w:cs="宋体"/>
                <w:b/>
                <w:color w:val="auto"/>
                <w:sz w:val="28"/>
                <w:szCs w:val="28"/>
                <w:highlight w:val="none"/>
                <w:vertAlign w:val="baseline"/>
              </w:rPr>
            </w:pPr>
          </w:p>
        </w:tc>
        <w:tc>
          <w:tcPr>
            <w:tcW w:w="1398" w:type="dxa"/>
          </w:tcPr>
          <w:p w14:paraId="2A0450CE">
            <w:pPr>
              <w:pStyle w:val="52"/>
              <w:rPr>
                <w:rFonts w:hint="eastAsia" w:ascii="宋体" w:hAnsi="宋体" w:cs="宋体"/>
                <w:b/>
                <w:color w:val="auto"/>
                <w:sz w:val="28"/>
                <w:szCs w:val="28"/>
                <w:highlight w:val="none"/>
                <w:vertAlign w:val="baseline"/>
              </w:rPr>
            </w:pPr>
          </w:p>
        </w:tc>
      </w:tr>
      <w:tr w14:paraId="2110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390A9AD9">
            <w:pPr>
              <w:pStyle w:val="52"/>
              <w:rPr>
                <w:rFonts w:hint="eastAsia" w:ascii="宋体" w:hAnsi="宋体" w:cs="宋体"/>
                <w:b/>
                <w:color w:val="auto"/>
                <w:sz w:val="28"/>
                <w:szCs w:val="28"/>
                <w:highlight w:val="none"/>
                <w:vertAlign w:val="baseline"/>
              </w:rPr>
            </w:pPr>
          </w:p>
        </w:tc>
        <w:tc>
          <w:tcPr>
            <w:tcW w:w="1397" w:type="dxa"/>
          </w:tcPr>
          <w:p w14:paraId="7FABEB65">
            <w:pPr>
              <w:pStyle w:val="52"/>
              <w:rPr>
                <w:rFonts w:hint="eastAsia" w:ascii="宋体" w:hAnsi="宋体" w:cs="宋体"/>
                <w:b/>
                <w:color w:val="auto"/>
                <w:sz w:val="28"/>
                <w:szCs w:val="28"/>
                <w:highlight w:val="none"/>
                <w:vertAlign w:val="baseline"/>
              </w:rPr>
            </w:pPr>
          </w:p>
        </w:tc>
        <w:tc>
          <w:tcPr>
            <w:tcW w:w="1397" w:type="dxa"/>
          </w:tcPr>
          <w:p w14:paraId="7C9E3325">
            <w:pPr>
              <w:pStyle w:val="52"/>
              <w:rPr>
                <w:rFonts w:hint="eastAsia" w:ascii="宋体" w:hAnsi="宋体" w:cs="宋体"/>
                <w:b/>
                <w:color w:val="auto"/>
                <w:sz w:val="28"/>
                <w:szCs w:val="28"/>
                <w:highlight w:val="none"/>
                <w:vertAlign w:val="baseline"/>
              </w:rPr>
            </w:pPr>
          </w:p>
        </w:tc>
        <w:tc>
          <w:tcPr>
            <w:tcW w:w="1397" w:type="dxa"/>
          </w:tcPr>
          <w:p w14:paraId="543FEBE7">
            <w:pPr>
              <w:pStyle w:val="52"/>
              <w:rPr>
                <w:rFonts w:hint="eastAsia" w:ascii="宋体" w:hAnsi="宋体" w:cs="宋体"/>
                <w:b/>
                <w:color w:val="auto"/>
                <w:sz w:val="28"/>
                <w:szCs w:val="28"/>
                <w:highlight w:val="none"/>
                <w:vertAlign w:val="baseline"/>
              </w:rPr>
            </w:pPr>
          </w:p>
        </w:tc>
        <w:tc>
          <w:tcPr>
            <w:tcW w:w="1397" w:type="dxa"/>
          </w:tcPr>
          <w:p w14:paraId="2C331238">
            <w:pPr>
              <w:pStyle w:val="52"/>
              <w:rPr>
                <w:rFonts w:hint="eastAsia" w:ascii="宋体" w:hAnsi="宋体" w:cs="宋体"/>
                <w:b/>
                <w:color w:val="auto"/>
                <w:sz w:val="28"/>
                <w:szCs w:val="28"/>
                <w:highlight w:val="none"/>
                <w:vertAlign w:val="baseline"/>
              </w:rPr>
            </w:pPr>
          </w:p>
        </w:tc>
        <w:tc>
          <w:tcPr>
            <w:tcW w:w="1397" w:type="dxa"/>
          </w:tcPr>
          <w:p w14:paraId="74336364">
            <w:pPr>
              <w:pStyle w:val="52"/>
              <w:rPr>
                <w:rFonts w:hint="eastAsia" w:ascii="宋体" w:hAnsi="宋体" w:cs="宋体"/>
                <w:b/>
                <w:color w:val="auto"/>
                <w:sz w:val="28"/>
                <w:szCs w:val="28"/>
                <w:highlight w:val="none"/>
                <w:vertAlign w:val="baseline"/>
              </w:rPr>
            </w:pPr>
          </w:p>
        </w:tc>
        <w:tc>
          <w:tcPr>
            <w:tcW w:w="1398" w:type="dxa"/>
          </w:tcPr>
          <w:p w14:paraId="5821BD9A">
            <w:pPr>
              <w:pStyle w:val="52"/>
              <w:rPr>
                <w:rFonts w:hint="eastAsia" w:ascii="宋体" w:hAnsi="宋体" w:cs="宋体"/>
                <w:b/>
                <w:color w:val="auto"/>
                <w:sz w:val="28"/>
                <w:szCs w:val="28"/>
                <w:highlight w:val="none"/>
                <w:vertAlign w:val="baseline"/>
              </w:rPr>
            </w:pPr>
          </w:p>
        </w:tc>
      </w:tr>
      <w:tr w14:paraId="0F65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716B93E3">
            <w:pPr>
              <w:pStyle w:val="52"/>
              <w:rPr>
                <w:rFonts w:hint="eastAsia" w:ascii="宋体" w:hAnsi="宋体" w:cs="宋体"/>
                <w:b/>
                <w:color w:val="auto"/>
                <w:sz w:val="28"/>
                <w:szCs w:val="28"/>
                <w:highlight w:val="none"/>
                <w:vertAlign w:val="baseline"/>
              </w:rPr>
            </w:pPr>
          </w:p>
        </w:tc>
        <w:tc>
          <w:tcPr>
            <w:tcW w:w="1397" w:type="dxa"/>
          </w:tcPr>
          <w:p w14:paraId="194079DF">
            <w:pPr>
              <w:pStyle w:val="52"/>
              <w:rPr>
                <w:rFonts w:hint="eastAsia" w:ascii="宋体" w:hAnsi="宋体" w:cs="宋体"/>
                <w:b/>
                <w:color w:val="auto"/>
                <w:sz w:val="28"/>
                <w:szCs w:val="28"/>
                <w:highlight w:val="none"/>
                <w:vertAlign w:val="baseline"/>
              </w:rPr>
            </w:pPr>
          </w:p>
        </w:tc>
        <w:tc>
          <w:tcPr>
            <w:tcW w:w="1397" w:type="dxa"/>
          </w:tcPr>
          <w:p w14:paraId="25DEE7C1">
            <w:pPr>
              <w:pStyle w:val="52"/>
              <w:rPr>
                <w:rFonts w:hint="eastAsia" w:ascii="宋体" w:hAnsi="宋体" w:cs="宋体"/>
                <w:b/>
                <w:color w:val="auto"/>
                <w:sz w:val="28"/>
                <w:szCs w:val="28"/>
                <w:highlight w:val="none"/>
                <w:vertAlign w:val="baseline"/>
              </w:rPr>
            </w:pPr>
          </w:p>
        </w:tc>
        <w:tc>
          <w:tcPr>
            <w:tcW w:w="1397" w:type="dxa"/>
          </w:tcPr>
          <w:p w14:paraId="5187296E">
            <w:pPr>
              <w:pStyle w:val="52"/>
              <w:rPr>
                <w:rFonts w:hint="eastAsia" w:ascii="宋体" w:hAnsi="宋体" w:cs="宋体"/>
                <w:b/>
                <w:color w:val="auto"/>
                <w:sz w:val="28"/>
                <w:szCs w:val="28"/>
                <w:highlight w:val="none"/>
                <w:vertAlign w:val="baseline"/>
              </w:rPr>
            </w:pPr>
          </w:p>
        </w:tc>
        <w:tc>
          <w:tcPr>
            <w:tcW w:w="1397" w:type="dxa"/>
          </w:tcPr>
          <w:p w14:paraId="04440217">
            <w:pPr>
              <w:pStyle w:val="52"/>
              <w:rPr>
                <w:rFonts w:hint="eastAsia" w:ascii="宋体" w:hAnsi="宋体" w:cs="宋体"/>
                <w:b/>
                <w:color w:val="auto"/>
                <w:sz w:val="28"/>
                <w:szCs w:val="28"/>
                <w:highlight w:val="none"/>
                <w:vertAlign w:val="baseline"/>
              </w:rPr>
            </w:pPr>
          </w:p>
        </w:tc>
        <w:tc>
          <w:tcPr>
            <w:tcW w:w="1397" w:type="dxa"/>
          </w:tcPr>
          <w:p w14:paraId="4541BAE0">
            <w:pPr>
              <w:pStyle w:val="52"/>
              <w:rPr>
                <w:rFonts w:hint="eastAsia" w:ascii="宋体" w:hAnsi="宋体" w:cs="宋体"/>
                <w:b/>
                <w:color w:val="auto"/>
                <w:sz w:val="28"/>
                <w:szCs w:val="28"/>
                <w:highlight w:val="none"/>
                <w:vertAlign w:val="baseline"/>
              </w:rPr>
            </w:pPr>
          </w:p>
        </w:tc>
        <w:tc>
          <w:tcPr>
            <w:tcW w:w="1398" w:type="dxa"/>
          </w:tcPr>
          <w:p w14:paraId="1AFEB20F">
            <w:pPr>
              <w:pStyle w:val="52"/>
              <w:rPr>
                <w:rFonts w:hint="eastAsia" w:ascii="宋体" w:hAnsi="宋体" w:cs="宋体"/>
                <w:b/>
                <w:color w:val="auto"/>
                <w:sz w:val="28"/>
                <w:szCs w:val="28"/>
                <w:highlight w:val="none"/>
                <w:vertAlign w:val="baseline"/>
              </w:rPr>
            </w:pPr>
          </w:p>
        </w:tc>
      </w:tr>
      <w:tr w14:paraId="6433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37A18851">
            <w:pPr>
              <w:pStyle w:val="52"/>
              <w:rPr>
                <w:rFonts w:hint="eastAsia" w:ascii="宋体" w:hAnsi="宋体" w:cs="宋体"/>
                <w:b/>
                <w:color w:val="auto"/>
                <w:sz w:val="28"/>
                <w:szCs w:val="28"/>
                <w:highlight w:val="none"/>
                <w:vertAlign w:val="baseline"/>
              </w:rPr>
            </w:pPr>
          </w:p>
        </w:tc>
        <w:tc>
          <w:tcPr>
            <w:tcW w:w="1397" w:type="dxa"/>
          </w:tcPr>
          <w:p w14:paraId="7B976C0A">
            <w:pPr>
              <w:pStyle w:val="52"/>
              <w:rPr>
                <w:rFonts w:hint="eastAsia" w:ascii="宋体" w:hAnsi="宋体" w:cs="宋体"/>
                <w:b/>
                <w:color w:val="auto"/>
                <w:sz w:val="28"/>
                <w:szCs w:val="28"/>
                <w:highlight w:val="none"/>
                <w:vertAlign w:val="baseline"/>
              </w:rPr>
            </w:pPr>
          </w:p>
        </w:tc>
        <w:tc>
          <w:tcPr>
            <w:tcW w:w="1397" w:type="dxa"/>
          </w:tcPr>
          <w:p w14:paraId="0751E545">
            <w:pPr>
              <w:pStyle w:val="52"/>
              <w:rPr>
                <w:rFonts w:hint="eastAsia" w:ascii="宋体" w:hAnsi="宋体" w:cs="宋体"/>
                <w:b/>
                <w:color w:val="auto"/>
                <w:sz w:val="28"/>
                <w:szCs w:val="28"/>
                <w:highlight w:val="none"/>
                <w:vertAlign w:val="baseline"/>
              </w:rPr>
            </w:pPr>
          </w:p>
        </w:tc>
        <w:tc>
          <w:tcPr>
            <w:tcW w:w="1397" w:type="dxa"/>
          </w:tcPr>
          <w:p w14:paraId="5EA29128">
            <w:pPr>
              <w:pStyle w:val="52"/>
              <w:rPr>
                <w:rFonts w:hint="eastAsia" w:ascii="宋体" w:hAnsi="宋体" w:cs="宋体"/>
                <w:b/>
                <w:color w:val="auto"/>
                <w:sz w:val="28"/>
                <w:szCs w:val="28"/>
                <w:highlight w:val="none"/>
                <w:vertAlign w:val="baseline"/>
              </w:rPr>
            </w:pPr>
          </w:p>
        </w:tc>
        <w:tc>
          <w:tcPr>
            <w:tcW w:w="1397" w:type="dxa"/>
          </w:tcPr>
          <w:p w14:paraId="353DB927">
            <w:pPr>
              <w:pStyle w:val="52"/>
              <w:rPr>
                <w:rFonts w:hint="eastAsia" w:ascii="宋体" w:hAnsi="宋体" w:cs="宋体"/>
                <w:b/>
                <w:color w:val="auto"/>
                <w:sz w:val="28"/>
                <w:szCs w:val="28"/>
                <w:highlight w:val="none"/>
                <w:vertAlign w:val="baseline"/>
              </w:rPr>
            </w:pPr>
          </w:p>
        </w:tc>
        <w:tc>
          <w:tcPr>
            <w:tcW w:w="1397" w:type="dxa"/>
          </w:tcPr>
          <w:p w14:paraId="726BDECC">
            <w:pPr>
              <w:pStyle w:val="52"/>
              <w:rPr>
                <w:rFonts w:hint="eastAsia" w:ascii="宋体" w:hAnsi="宋体" w:cs="宋体"/>
                <w:b/>
                <w:color w:val="auto"/>
                <w:sz w:val="28"/>
                <w:szCs w:val="28"/>
                <w:highlight w:val="none"/>
                <w:vertAlign w:val="baseline"/>
              </w:rPr>
            </w:pPr>
          </w:p>
        </w:tc>
        <w:tc>
          <w:tcPr>
            <w:tcW w:w="1398" w:type="dxa"/>
          </w:tcPr>
          <w:p w14:paraId="74D78F3A">
            <w:pPr>
              <w:pStyle w:val="52"/>
              <w:rPr>
                <w:rFonts w:hint="eastAsia" w:ascii="宋体" w:hAnsi="宋体" w:cs="宋体"/>
                <w:b/>
                <w:color w:val="auto"/>
                <w:sz w:val="28"/>
                <w:szCs w:val="28"/>
                <w:highlight w:val="none"/>
                <w:vertAlign w:val="baseline"/>
              </w:rPr>
            </w:pPr>
          </w:p>
        </w:tc>
      </w:tr>
      <w:tr w14:paraId="2150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52A31F24">
            <w:pPr>
              <w:pStyle w:val="52"/>
              <w:rPr>
                <w:rFonts w:hint="eastAsia" w:ascii="宋体" w:hAnsi="宋体" w:cs="宋体"/>
                <w:b/>
                <w:color w:val="auto"/>
                <w:sz w:val="28"/>
                <w:szCs w:val="28"/>
                <w:highlight w:val="none"/>
                <w:vertAlign w:val="baseline"/>
              </w:rPr>
            </w:pPr>
          </w:p>
        </w:tc>
        <w:tc>
          <w:tcPr>
            <w:tcW w:w="1397" w:type="dxa"/>
          </w:tcPr>
          <w:p w14:paraId="0EBE058A">
            <w:pPr>
              <w:pStyle w:val="52"/>
              <w:rPr>
                <w:rFonts w:hint="eastAsia" w:ascii="宋体" w:hAnsi="宋体" w:cs="宋体"/>
                <w:b/>
                <w:color w:val="auto"/>
                <w:sz w:val="28"/>
                <w:szCs w:val="28"/>
                <w:highlight w:val="none"/>
                <w:vertAlign w:val="baseline"/>
              </w:rPr>
            </w:pPr>
          </w:p>
        </w:tc>
        <w:tc>
          <w:tcPr>
            <w:tcW w:w="1397" w:type="dxa"/>
          </w:tcPr>
          <w:p w14:paraId="2E840C22">
            <w:pPr>
              <w:pStyle w:val="52"/>
              <w:rPr>
                <w:rFonts w:hint="eastAsia" w:ascii="宋体" w:hAnsi="宋体" w:cs="宋体"/>
                <w:b/>
                <w:color w:val="auto"/>
                <w:sz w:val="28"/>
                <w:szCs w:val="28"/>
                <w:highlight w:val="none"/>
                <w:vertAlign w:val="baseline"/>
              </w:rPr>
            </w:pPr>
          </w:p>
        </w:tc>
        <w:tc>
          <w:tcPr>
            <w:tcW w:w="1397" w:type="dxa"/>
          </w:tcPr>
          <w:p w14:paraId="1A13EC52">
            <w:pPr>
              <w:pStyle w:val="52"/>
              <w:rPr>
                <w:rFonts w:hint="eastAsia" w:ascii="宋体" w:hAnsi="宋体" w:cs="宋体"/>
                <w:b/>
                <w:color w:val="auto"/>
                <w:sz w:val="28"/>
                <w:szCs w:val="28"/>
                <w:highlight w:val="none"/>
                <w:vertAlign w:val="baseline"/>
              </w:rPr>
            </w:pPr>
          </w:p>
        </w:tc>
        <w:tc>
          <w:tcPr>
            <w:tcW w:w="1397" w:type="dxa"/>
          </w:tcPr>
          <w:p w14:paraId="3CE0589B">
            <w:pPr>
              <w:pStyle w:val="52"/>
              <w:rPr>
                <w:rFonts w:hint="eastAsia" w:ascii="宋体" w:hAnsi="宋体" w:cs="宋体"/>
                <w:b/>
                <w:color w:val="auto"/>
                <w:sz w:val="28"/>
                <w:szCs w:val="28"/>
                <w:highlight w:val="none"/>
                <w:vertAlign w:val="baseline"/>
              </w:rPr>
            </w:pPr>
          </w:p>
        </w:tc>
        <w:tc>
          <w:tcPr>
            <w:tcW w:w="1397" w:type="dxa"/>
          </w:tcPr>
          <w:p w14:paraId="43BA67F7">
            <w:pPr>
              <w:pStyle w:val="52"/>
              <w:rPr>
                <w:rFonts w:hint="eastAsia" w:ascii="宋体" w:hAnsi="宋体" w:cs="宋体"/>
                <w:b/>
                <w:color w:val="auto"/>
                <w:sz w:val="28"/>
                <w:szCs w:val="28"/>
                <w:highlight w:val="none"/>
                <w:vertAlign w:val="baseline"/>
              </w:rPr>
            </w:pPr>
          </w:p>
        </w:tc>
        <w:tc>
          <w:tcPr>
            <w:tcW w:w="1398" w:type="dxa"/>
          </w:tcPr>
          <w:p w14:paraId="2C489173">
            <w:pPr>
              <w:pStyle w:val="52"/>
              <w:rPr>
                <w:rFonts w:hint="eastAsia" w:ascii="宋体" w:hAnsi="宋体" w:cs="宋体"/>
                <w:b/>
                <w:color w:val="auto"/>
                <w:sz w:val="28"/>
                <w:szCs w:val="28"/>
                <w:highlight w:val="none"/>
                <w:vertAlign w:val="baseline"/>
              </w:rPr>
            </w:pPr>
          </w:p>
        </w:tc>
      </w:tr>
    </w:tbl>
    <w:p w14:paraId="7C0A291E">
      <w:pPr>
        <w:pStyle w:val="52"/>
        <w:rPr>
          <w:rFonts w:hint="eastAsia" w:ascii="宋体" w:hAnsi="宋体" w:cs="宋体"/>
          <w:b/>
          <w:color w:val="auto"/>
          <w:sz w:val="28"/>
          <w:szCs w:val="28"/>
          <w:highlight w:val="none"/>
        </w:rPr>
        <w:sectPr>
          <w:pgSz w:w="11906" w:h="16838"/>
          <w:pgMar w:top="1276" w:right="924" w:bottom="935" w:left="1418" w:header="624" w:footer="590" w:gutter="0"/>
          <w:cols w:space="720" w:num="1"/>
          <w:docGrid w:type="lines" w:linePitch="312" w:charSpace="0"/>
        </w:sectPr>
      </w:pPr>
    </w:p>
    <w:p w14:paraId="5A9F2B94">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（六）-2拟委任的项目经理和项目总工资历表</w:t>
      </w:r>
    </w:p>
    <w:tbl>
      <w:tblPr>
        <w:tblStyle w:val="42"/>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14:paraId="6337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59A68529">
            <w:pPr>
              <w:jc w:val="center"/>
              <w:rPr>
                <w:rFonts w:ascii="宋体" w:hAnsi="宋体" w:cs="宋体"/>
                <w:bCs/>
                <w:color w:val="auto"/>
                <w:sz w:val="24"/>
                <w:highlight w:val="none"/>
              </w:rPr>
            </w:pPr>
            <w:r>
              <w:rPr>
                <w:rFonts w:hint="eastAsia" w:ascii="宋体" w:hAnsi="宋体" w:cs="宋体"/>
                <w:bCs/>
                <w:color w:val="auto"/>
                <w:sz w:val="24"/>
                <w:highlight w:val="none"/>
              </w:rPr>
              <w:t>姓    名</w:t>
            </w:r>
          </w:p>
        </w:tc>
        <w:tc>
          <w:tcPr>
            <w:tcW w:w="1400" w:type="dxa"/>
            <w:vAlign w:val="center"/>
          </w:tcPr>
          <w:p w14:paraId="3E038E04">
            <w:pPr>
              <w:jc w:val="center"/>
              <w:rPr>
                <w:rFonts w:ascii="宋体" w:hAnsi="宋体" w:cs="宋体"/>
                <w:bCs/>
                <w:color w:val="auto"/>
                <w:sz w:val="24"/>
                <w:highlight w:val="none"/>
              </w:rPr>
            </w:pPr>
          </w:p>
        </w:tc>
        <w:tc>
          <w:tcPr>
            <w:tcW w:w="1733" w:type="dxa"/>
            <w:gridSpan w:val="2"/>
            <w:vAlign w:val="center"/>
          </w:tcPr>
          <w:p w14:paraId="67E65E27">
            <w:pPr>
              <w:jc w:val="center"/>
              <w:rPr>
                <w:rFonts w:ascii="宋体" w:hAnsi="宋体" w:cs="宋体"/>
                <w:bCs/>
                <w:color w:val="auto"/>
                <w:sz w:val="24"/>
                <w:highlight w:val="none"/>
              </w:rPr>
            </w:pPr>
            <w:r>
              <w:rPr>
                <w:rFonts w:hint="eastAsia" w:ascii="宋体" w:hAnsi="宋体" w:cs="宋体"/>
                <w:bCs/>
                <w:color w:val="auto"/>
                <w:sz w:val="24"/>
                <w:highlight w:val="none"/>
              </w:rPr>
              <w:t>年    龄</w:t>
            </w:r>
          </w:p>
        </w:tc>
        <w:tc>
          <w:tcPr>
            <w:tcW w:w="1450" w:type="dxa"/>
            <w:vAlign w:val="center"/>
          </w:tcPr>
          <w:p w14:paraId="7650F351">
            <w:pPr>
              <w:jc w:val="center"/>
              <w:rPr>
                <w:rFonts w:ascii="宋体" w:hAnsi="宋体" w:cs="宋体"/>
                <w:bCs/>
                <w:color w:val="auto"/>
                <w:sz w:val="24"/>
                <w:highlight w:val="none"/>
              </w:rPr>
            </w:pPr>
          </w:p>
        </w:tc>
        <w:tc>
          <w:tcPr>
            <w:tcW w:w="2382" w:type="dxa"/>
            <w:vAlign w:val="center"/>
          </w:tcPr>
          <w:p w14:paraId="52F099C5">
            <w:pPr>
              <w:jc w:val="center"/>
              <w:rPr>
                <w:rFonts w:ascii="宋体" w:hAnsi="宋体" w:cs="宋体"/>
                <w:bCs/>
                <w:color w:val="auto"/>
                <w:sz w:val="24"/>
                <w:highlight w:val="none"/>
              </w:rPr>
            </w:pPr>
            <w:r>
              <w:rPr>
                <w:rFonts w:hint="eastAsia" w:ascii="宋体" w:hAnsi="宋体" w:cs="宋体"/>
                <w:bCs/>
                <w:color w:val="auto"/>
                <w:sz w:val="24"/>
                <w:highlight w:val="none"/>
              </w:rPr>
              <w:t>专    业</w:t>
            </w:r>
          </w:p>
        </w:tc>
        <w:tc>
          <w:tcPr>
            <w:tcW w:w="1835" w:type="dxa"/>
            <w:vAlign w:val="center"/>
          </w:tcPr>
          <w:p w14:paraId="68C1F884">
            <w:pPr>
              <w:jc w:val="center"/>
              <w:rPr>
                <w:rFonts w:ascii="宋体" w:hAnsi="宋体" w:cs="宋体"/>
                <w:bCs/>
                <w:color w:val="auto"/>
                <w:sz w:val="24"/>
                <w:highlight w:val="none"/>
              </w:rPr>
            </w:pPr>
          </w:p>
        </w:tc>
      </w:tr>
      <w:tr w14:paraId="780C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4AA5F7E2">
            <w:pPr>
              <w:jc w:val="center"/>
              <w:rPr>
                <w:rFonts w:ascii="宋体" w:hAnsi="宋体" w:cs="宋体"/>
                <w:bCs/>
                <w:color w:val="auto"/>
                <w:sz w:val="24"/>
                <w:highlight w:val="none"/>
              </w:rPr>
            </w:pPr>
            <w:r>
              <w:rPr>
                <w:rFonts w:hint="eastAsia" w:ascii="宋体" w:hAnsi="宋体" w:cs="宋体"/>
                <w:bCs/>
                <w:color w:val="auto"/>
                <w:sz w:val="24"/>
                <w:highlight w:val="none"/>
              </w:rPr>
              <w:t>技术职称</w:t>
            </w:r>
          </w:p>
        </w:tc>
        <w:tc>
          <w:tcPr>
            <w:tcW w:w="1400" w:type="dxa"/>
            <w:vAlign w:val="center"/>
          </w:tcPr>
          <w:p w14:paraId="6AAEED36">
            <w:pPr>
              <w:jc w:val="center"/>
              <w:rPr>
                <w:rFonts w:ascii="宋体" w:hAnsi="宋体" w:cs="宋体"/>
                <w:bCs/>
                <w:color w:val="auto"/>
                <w:sz w:val="24"/>
                <w:highlight w:val="none"/>
              </w:rPr>
            </w:pPr>
          </w:p>
        </w:tc>
        <w:tc>
          <w:tcPr>
            <w:tcW w:w="1733" w:type="dxa"/>
            <w:gridSpan w:val="2"/>
            <w:vAlign w:val="center"/>
          </w:tcPr>
          <w:p w14:paraId="4F142997">
            <w:pPr>
              <w:jc w:val="center"/>
              <w:rPr>
                <w:rFonts w:ascii="宋体" w:hAnsi="宋体" w:cs="宋体"/>
                <w:bCs/>
                <w:color w:val="auto"/>
                <w:sz w:val="24"/>
                <w:highlight w:val="none"/>
              </w:rPr>
            </w:pPr>
            <w:r>
              <w:rPr>
                <w:rFonts w:hint="eastAsia" w:ascii="宋体" w:hAnsi="宋体" w:cs="宋体"/>
                <w:bCs/>
                <w:color w:val="auto"/>
                <w:sz w:val="24"/>
                <w:highlight w:val="none"/>
              </w:rPr>
              <w:t>学    历</w:t>
            </w:r>
          </w:p>
        </w:tc>
        <w:tc>
          <w:tcPr>
            <w:tcW w:w="1450" w:type="dxa"/>
            <w:vAlign w:val="center"/>
          </w:tcPr>
          <w:p w14:paraId="0E0AED92">
            <w:pPr>
              <w:jc w:val="center"/>
              <w:rPr>
                <w:rFonts w:ascii="宋体" w:hAnsi="宋体" w:cs="宋体"/>
                <w:bCs/>
                <w:color w:val="auto"/>
                <w:sz w:val="24"/>
                <w:highlight w:val="none"/>
              </w:rPr>
            </w:pPr>
          </w:p>
        </w:tc>
        <w:tc>
          <w:tcPr>
            <w:tcW w:w="2382" w:type="dxa"/>
            <w:vAlign w:val="center"/>
          </w:tcPr>
          <w:p w14:paraId="45A0D19A">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拟在本标段</w:t>
            </w:r>
          </w:p>
          <w:p w14:paraId="11EB780A">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工程任职</w:t>
            </w:r>
          </w:p>
        </w:tc>
        <w:tc>
          <w:tcPr>
            <w:tcW w:w="1835" w:type="dxa"/>
            <w:vAlign w:val="center"/>
          </w:tcPr>
          <w:p w14:paraId="0EB0A9C4">
            <w:pPr>
              <w:jc w:val="center"/>
              <w:rPr>
                <w:rFonts w:ascii="宋体" w:hAnsi="宋体" w:cs="宋体"/>
                <w:bCs/>
                <w:color w:val="auto"/>
                <w:sz w:val="24"/>
                <w:highlight w:val="none"/>
              </w:rPr>
            </w:pPr>
          </w:p>
        </w:tc>
      </w:tr>
      <w:tr w14:paraId="38E8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400" w:type="dxa"/>
            <w:vAlign w:val="center"/>
          </w:tcPr>
          <w:p w14:paraId="759AC231">
            <w:pPr>
              <w:jc w:val="center"/>
              <w:rPr>
                <w:rFonts w:ascii="宋体" w:hAnsi="宋体" w:cs="宋体"/>
                <w:bCs/>
                <w:color w:val="auto"/>
                <w:sz w:val="24"/>
                <w:highlight w:val="none"/>
              </w:rPr>
            </w:pPr>
            <w:r>
              <w:rPr>
                <w:rFonts w:hint="eastAsia" w:ascii="宋体" w:hAnsi="宋体" w:cs="宋体"/>
                <w:bCs/>
                <w:color w:val="auto"/>
                <w:sz w:val="24"/>
                <w:highlight w:val="none"/>
              </w:rPr>
              <w:t>工作年限</w:t>
            </w:r>
          </w:p>
        </w:tc>
        <w:tc>
          <w:tcPr>
            <w:tcW w:w="4583" w:type="dxa"/>
            <w:gridSpan w:val="4"/>
            <w:vAlign w:val="center"/>
          </w:tcPr>
          <w:p w14:paraId="328934BF">
            <w:pPr>
              <w:jc w:val="center"/>
              <w:rPr>
                <w:rFonts w:ascii="宋体" w:hAnsi="宋体" w:cs="宋体"/>
                <w:bCs/>
                <w:color w:val="auto"/>
                <w:sz w:val="24"/>
                <w:highlight w:val="none"/>
              </w:rPr>
            </w:pPr>
          </w:p>
        </w:tc>
        <w:tc>
          <w:tcPr>
            <w:tcW w:w="2382" w:type="dxa"/>
            <w:vAlign w:val="center"/>
          </w:tcPr>
          <w:p w14:paraId="4A2093E2">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类似施工经验年限</w:t>
            </w:r>
          </w:p>
        </w:tc>
        <w:tc>
          <w:tcPr>
            <w:tcW w:w="1835" w:type="dxa"/>
            <w:vAlign w:val="center"/>
          </w:tcPr>
          <w:p w14:paraId="678B62FB">
            <w:pPr>
              <w:jc w:val="center"/>
              <w:rPr>
                <w:rFonts w:ascii="宋体" w:hAnsi="宋体" w:cs="宋体"/>
                <w:bCs/>
                <w:color w:val="auto"/>
                <w:sz w:val="24"/>
                <w:highlight w:val="none"/>
              </w:rPr>
            </w:pPr>
          </w:p>
        </w:tc>
      </w:tr>
      <w:tr w14:paraId="17E6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00" w:type="dxa"/>
            <w:vAlign w:val="center"/>
          </w:tcPr>
          <w:p w14:paraId="5EBBFC86">
            <w:pPr>
              <w:jc w:val="both"/>
              <w:rPr>
                <w:rFonts w:ascii="宋体" w:hAnsi="宋体" w:cs="宋体"/>
                <w:bCs/>
                <w:color w:val="auto"/>
                <w:sz w:val="24"/>
                <w:highlight w:val="none"/>
              </w:rPr>
            </w:pPr>
            <w:r>
              <w:rPr>
                <w:rFonts w:hint="eastAsia" w:ascii="宋体" w:hAnsi="宋体" w:cs="宋体"/>
                <w:bCs/>
                <w:color w:val="auto"/>
                <w:sz w:val="24"/>
                <w:highlight w:val="none"/>
              </w:rPr>
              <w:t>毕业学校</w:t>
            </w:r>
          </w:p>
        </w:tc>
        <w:tc>
          <w:tcPr>
            <w:tcW w:w="8800" w:type="dxa"/>
            <w:gridSpan w:val="6"/>
            <w:vAlign w:val="center"/>
          </w:tcPr>
          <w:p w14:paraId="715C6C19">
            <w:pPr>
              <w:jc w:val="both"/>
              <w:rPr>
                <w:rFonts w:ascii="宋体" w:hAnsi="宋体" w:cs="宋体"/>
                <w:bCs/>
                <w:color w:val="auto"/>
                <w:sz w:val="24"/>
                <w:highlight w:val="none"/>
                <w:u w:val="single"/>
              </w:rPr>
            </w:pP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月毕业于</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学校</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专业，学制</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年</w:t>
            </w:r>
          </w:p>
        </w:tc>
      </w:tr>
      <w:tr w14:paraId="28EB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14:paraId="31C544D4">
            <w:pPr>
              <w:jc w:val="center"/>
              <w:rPr>
                <w:rFonts w:ascii="宋体" w:hAnsi="宋体" w:cs="宋体"/>
                <w:bCs/>
                <w:color w:val="auto"/>
                <w:sz w:val="24"/>
                <w:highlight w:val="none"/>
              </w:rPr>
            </w:pPr>
            <w:r>
              <w:rPr>
                <w:rFonts w:hint="eastAsia" w:ascii="宋体" w:hAnsi="宋体" w:cs="宋体"/>
                <w:bCs/>
                <w:color w:val="auto"/>
                <w:sz w:val="24"/>
                <w:highlight w:val="none"/>
              </w:rPr>
              <w:t>经          历</w:t>
            </w:r>
          </w:p>
        </w:tc>
      </w:tr>
      <w:tr w14:paraId="5BCB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194CD07B">
            <w:pPr>
              <w:spacing w:line="400" w:lineRule="exact"/>
              <w:jc w:val="center"/>
              <w:rPr>
                <w:rFonts w:ascii="宋体" w:hAnsi="宋体" w:cs="宋体"/>
                <w:bCs/>
                <w:color w:val="auto"/>
                <w:sz w:val="24"/>
                <w:highlight w:val="none"/>
                <w:u w:val="single"/>
              </w:rPr>
            </w:pPr>
            <w:r>
              <w:rPr>
                <w:rFonts w:hint="eastAsia" w:ascii="宋体" w:hAnsi="宋体" w:cs="宋体"/>
                <w:bCs/>
                <w:color w:val="auto"/>
                <w:sz w:val="24"/>
                <w:highlight w:val="none"/>
              </w:rPr>
              <w:t>时    间</w:t>
            </w:r>
          </w:p>
        </w:tc>
        <w:tc>
          <w:tcPr>
            <w:tcW w:w="4583" w:type="dxa"/>
            <w:gridSpan w:val="4"/>
            <w:vAlign w:val="center"/>
          </w:tcPr>
          <w:p w14:paraId="38BB881B">
            <w:pPr>
              <w:jc w:val="center"/>
              <w:rPr>
                <w:rFonts w:ascii="宋体" w:hAnsi="宋体" w:cs="宋体"/>
                <w:bCs/>
                <w:color w:val="auto"/>
                <w:sz w:val="24"/>
                <w:highlight w:val="none"/>
              </w:rPr>
            </w:pPr>
            <w:r>
              <w:rPr>
                <w:rFonts w:hint="eastAsia" w:ascii="宋体" w:hAnsi="宋体" w:cs="宋体"/>
                <w:bCs/>
                <w:color w:val="auto"/>
                <w:sz w:val="24"/>
                <w:highlight w:val="none"/>
              </w:rPr>
              <w:t>参加过的类似工程项目名称</w:t>
            </w:r>
          </w:p>
        </w:tc>
        <w:tc>
          <w:tcPr>
            <w:tcW w:w="2382" w:type="dxa"/>
            <w:vAlign w:val="center"/>
          </w:tcPr>
          <w:p w14:paraId="46CB1E2B">
            <w:pPr>
              <w:jc w:val="center"/>
              <w:rPr>
                <w:rFonts w:ascii="宋体" w:hAnsi="宋体" w:cs="宋体"/>
                <w:bCs/>
                <w:color w:val="auto"/>
                <w:sz w:val="24"/>
                <w:highlight w:val="none"/>
              </w:rPr>
            </w:pPr>
            <w:r>
              <w:rPr>
                <w:rFonts w:hint="eastAsia" w:ascii="宋体" w:hAnsi="宋体" w:cs="宋体"/>
                <w:bCs/>
                <w:color w:val="auto"/>
                <w:sz w:val="24"/>
                <w:highlight w:val="none"/>
              </w:rPr>
              <w:t>担任职务</w:t>
            </w:r>
          </w:p>
        </w:tc>
        <w:tc>
          <w:tcPr>
            <w:tcW w:w="1835" w:type="dxa"/>
            <w:vAlign w:val="center"/>
          </w:tcPr>
          <w:p w14:paraId="1814FBED">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发包人及联系电话</w:t>
            </w:r>
          </w:p>
        </w:tc>
      </w:tr>
      <w:tr w14:paraId="182A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2ECD2928">
            <w:pPr>
              <w:tabs>
                <w:tab w:val="left" w:pos="680"/>
              </w:tabs>
              <w:autoSpaceDE w:val="0"/>
              <w:autoSpaceDN w:val="0"/>
              <w:adjustRightInd w:val="0"/>
              <w:spacing w:before="73"/>
              <w:jc w:val="center"/>
              <w:rPr>
                <w:rFonts w:ascii="宋体" w:hAnsi="宋体" w:cs="宋体"/>
                <w:bCs/>
                <w:color w:val="auto"/>
                <w:sz w:val="24"/>
                <w:highlight w:val="none"/>
              </w:rPr>
            </w:pPr>
          </w:p>
        </w:tc>
        <w:tc>
          <w:tcPr>
            <w:tcW w:w="4583" w:type="dxa"/>
            <w:gridSpan w:val="4"/>
            <w:vAlign w:val="center"/>
          </w:tcPr>
          <w:p w14:paraId="3D316924">
            <w:pPr>
              <w:jc w:val="center"/>
              <w:rPr>
                <w:rFonts w:ascii="宋体" w:hAnsi="宋体" w:cs="宋体"/>
                <w:bCs/>
                <w:color w:val="auto"/>
                <w:sz w:val="24"/>
                <w:highlight w:val="none"/>
              </w:rPr>
            </w:pPr>
          </w:p>
        </w:tc>
        <w:tc>
          <w:tcPr>
            <w:tcW w:w="2382" w:type="dxa"/>
            <w:vAlign w:val="center"/>
          </w:tcPr>
          <w:p w14:paraId="6171BB30">
            <w:pPr>
              <w:jc w:val="center"/>
              <w:rPr>
                <w:rFonts w:ascii="宋体" w:hAnsi="宋体" w:cs="宋体"/>
                <w:bCs/>
                <w:color w:val="auto"/>
                <w:sz w:val="24"/>
                <w:highlight w:val="none"/>
              </w:rPr>
            </w:pPr>
          </w:p>
        </w:tc>
        <w:tc>
          <w:tcPr>
            <w:tcW w:w="1835" w:type="dxa"/>
            <w:vAlign w:val="center"/>
          </w:tcPr>
          <w:p w14:paraId="7294C764">
            <w:pPr>
              <w:jc w:val="center"/>
              <w:rPr>
                <w:rFonts w:ascii="宋体" w:hAnsi="宋体" w:cs="宋体"/>
                <w:bCs/>
                <w:color w:val="auto"/>
                <w:sz w:val="24"/>
                <w:highlight w:val="none"/>
              </w:rPr>
            </w:pPr>
          </w:p>
        </w:tc>
      </w:tr>
      <w:tr w14:paraId="7BE7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015B2DAF">
            <w:pPr>
              <w:jc w:val="center"/>
              <w:rPr>
                <w:rFonts w:ascii="宋体" w:hAnsi="宋体" w:cs="宋体"/>
                <w:bCs/>
                <w:color w:val="auto"/>
                <w:sz w:val="24"/>
                <w:highlight w:val="none"/>
              </w:rPr>
            </w:pPr>
          </w:p>
        </w:tc>
        <w:tc>
          <w:tcPr>
            <w:tcW w:w="4583" w:type="dxa"/>
            <w:gridSpan w:val="4"/>
            <w:vAlign w:val="center"/>
          </w:tcPr>
          <w:p w14:paraId="40B3091E">
            <w:pPr>
              <w:jc w:val="center"/>
              <w:rPr>
                <w:rFonts w:ascii="宋体" w:hAnsi="宋体" w:cs="宋体"/>
                <w:bCs/>
                <w:color w:val="auto"/>
                <w:sz w:val="24"/>
                <w:highlight w:val="none"/>
              </w:rPr>
            </w:pPr>
          </w:p>
        </w:tc>
        <w:tc>
          <w:tcPr>
            <w:tcW w:w="2382" w:type="dxa"/>
            <w:vAlign w:val="center"/>
          </w:tcPr>
          <w:p w14:paraId="20E316FD">
            <w:pPr>
              <w:jc w:val="center"/>
              <w:rPr>
                <w:rFonts w:ascii="宋体" w:hAnsi="宋体" w:cs="宋体"/>
                <w:bCs/>
                <w:color w:val="auto"/>
                <w:sz w:val="24"/>
                <w:highlight w:val="none"/>
              </w:rPr>
            </w:pPr>
          </w:p>
        </w:tc>
        <w:tc>
          <w:tcPr>
            <w:tcW w:w="1835" w:type="dxa"/>
            <w:vAlign w:val="center"/>
          </w:tcPr>
          <w:p w14:paraId="73340A82">
            <w:pPr>
              <w:jc w:val="center"/>
              <w:rPr>
                <w:rFonts w:ascii="宋体" w:hAnsi="宋体" w:cs="宋体"/>
                <w:bCs/>
                <w:color w:val="auto"/>
                <w:sz w:val="24"/>
                <w:highlight w:val="none"/>
              </w:rPr>
            </w:pPr>
          </w:p>
        </w:tc>
      </w:tr>
      <w:tr w14:paraId="626A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3A755F06">
            <w:pPr>
              <w:jc w:val="center"/>
              <w:rPr>
                <w:rFonts w:ascii="宋体" w:hAnsi="宋体" w:cs="宋体"/>
                <w:bCs/>
                <w:color w:val="auto"/>
                <w:sz w:val="24"/>
                <w:highlight w:val="none"/>
              </w:rPr>
            </w:pPr>
          </w:p>
        </w:tc>
        <w:tc>
          <w:tcPr>
            <w:tcW w:w="4583" w:type="dxa"/>
            <w:gridSpan w:val="4"/>
            <w:vAlign w:val="center"/>
          </w:tcPr>
          <w:p w14:paraId="564CC715">
            <w:pPr>
              <w:jc w:val="center"/>
              <w:rPr>
                <w:rFonts w:ascii="宋体" w:hAnsi="宋体" w:cs="宋体"/>
                <w:bCs/>
                <w:color w:val="auto"/>
                <w:sz w:val="24"/>
                <w:highlight w:val="none"/>
              </w:rPr>
            </w:pPr>
          </w:p>
        </w:tc>
        <w:tc>
          <w:tcPr>
            <w:tcW w:w="2382" w:type="dxa"/>
            <w:vAlign w:val="center"/>
          </w:tcPr>
          <w:p w14:paraId="26A10186">
            <w:pPr>
              <w:jc w:val="center"/>
              <w:rPr>
                <w:rFonts w:ascii="宋体" w:hAnsi="宋体" w:cs="宋体"/>
                <w:bCs/>
                <w:color w:val="auto"/>
                <w:sz w:val="24"/>
                <w:highlight w:val="none"/>
              </w:rPr>
            </w:pPr>
          </w:p>
        </w:tc>
        <w:tc>
          <w:tcPr>
            <w:tcW w:w="1835" w:type="dxa"/>
            <w:vAlign w:val="center"/>
          </w:tcPr>
          <w:p w14:paraId="416A91C1">
            <w:pPr>
              <w:jc w:val="center"/>
              <w:rPr>
                <w:rFonts w:ascii="宋体" w:hAnsi="宋体" w:cs="宋体"/>
                <w:bCs/>
                <w:color w:val="auto"/>
                <w:sz w:val="24"/>
                <w:highlight w:val="none"/>
              </w:rPr>
            </w:pPr>
          </w:p>
        </w:tc>
      </w:tr>
      <w:tr w14:paraId="0803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2E0924E0">
            <w:pPr>
              <w:spacing w:line="460" w:lineRule="exact"/>
              <w:jc w:val="center"/>
              <w:rPr>
                <w:rFonts w:ascii="宋体" w:hAnsi="宋体" w:cs="宋体"/>
                <w:bCs/>
                <w:color w:val="auto"/>
                <w:sz w:val="24"/>
                <w:highlight w:val="none"/>
              </w:rPr>
            </w:pPr>
          </w:p>
        </w:tc>
        <w:tc>
          <w:tcPr>
            <w:tcW w:w="4583" w:type="dxa"/>
            <w:gridSpan w:val="4"/>
          </w:tcPr>
          <w:p w14:paraId="347D075E">
            <w:pPr>
              <w:spacing w:line="460" w:lineRule="exact"/>
              <w:jc w:val="center"/>
              <w:rPr>
                <w:rFonts w:ascii="宋体" w:hAnsi="宋体" w:cs="宋体"/>
                <w:bCs/>
                <w:color w:val="auto"/>
                <w:sz w:val="24"/>
                <w:highlight w:val="none"/>
              </w:rPr>
            </w:pPr>
          </w:p>
        </w:tc>
        <w:tc>
          <w:tcPr>
            <w:tcW w:w="2382" w:type="dxa"/>
          </w:tcPr>
          <w:p w14:paraId="26EDF223">
            <w:pPr>
              <w:spacing w:line="460" w:lineRule="exact"/>
              <w:jc w:val="center"/>
              <w:rPr>
                <w:rFonts w:ascii="宋体" w:hAnsi="宋体" w:cs="宋体"/>
                <w:bCs/>
                <w:color w:val="auto"/>
                <w:sz w:val="24"/>
                <w:highlight w:val="none"/>
              </w:rPr>
            </w:pPr>
          </w:p>
        </w:tc>
        <w:tc>
          <w:tcPr>
            <w:tcW w:w="1835" w:type="dxa"/>
          </w:tcPr>
          <w:p w14:paraId="7C568960">
            <w:pPr>
              <w:spacing w:line="460" w:lineRule="exact"/>
              <w:jc w:val="center"/>
              <w:rPr>
                <w:rFonts w:ascii="宋体" w:hAnsi="宋体" w:cs="宋体"/>
                <w:bCs/>
                <w:color w:val="auto"/>
                <w:sz w:val="24"/>
                <w:highlight w:val="none"/>
              </w:rPr>
            </w:pPr>
          </w:p>
        </w:tc>
      </w:tr>
      <w:tr w14:paraId="7517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09E8B0E4">
            <w:pPr>
              <w:spacing w:line="460" w:lineRule="exact"/>
              <w:jc w:val="center"/>
              <w:rPr>
                <w:rFonts w:ascii="宋体" w:hAnsi="宋体" w:cs="宋体"/>
                <w:bCs/>
                <w:color w:val="auto"/>
                <w:sz w:val="24"/>
                <w:highlight w:val="none"/>
              </w:rPr>
            </w:pPr>
          </w:p>
        </w:tc>
        <w:tc>
          <w:tcPr>
            <w:tcW w:w="4583" w:type="dxa"/>
            <w:gridSpan w:val="4"/>
          </w:tcPr>
          <w:p w14:paraId="0ABD3B76">
            <w:pPr>
              <w:spacing w:line="460" w:lineRule="exact"/>
              <w:jc w:val="center"/>
              <w:rPr>
                <w:rFonts w:ascii="宋体" w:hAnsi="宋体" w:cs="宋体"/>
                <w:bCs/>
                <w:color w:val="auto"/>
                <w:sz w:val="24"/>
                <w:highlight w:val="none"/>
              </w:rPr>
            </w:pPr>
          </w:p>
        </w:tc>
        <w:tc>
          <w:tcPr>
            <w:tcW w:w="2382" w:type="dxa"/>
          </w:tcPr>
          <w:p w14:paraId="3877561B">
            <w:pPr>
              <w:spacing w:line="460" w:lineRule="exact"/>
              <w:jc w:val="center"/>
              <w:rPr>
                <w:rFonts w:ascii="宋体" w:hAnsi="宋体" w:cs="宋体"/>
                <w:bCs/>
                <w:color w:val="auto"/>
                <w:sz w:val="24"/>
                <w:highlight w:val="none"/>
              </w:rPr>
            </w:pPr>
          </w:p>
        </w:tc>
        <w:tc>
          <w:tcPr>
            <w:tcW w:w="1835" w:type="dxa"/>
          </w:tcPr>
          <w:p w14:paraId="333433E0">
            <w:pPr>
              <w:spacing w:line="460" w:lineRule="exact"/>
              <w:jc w:val="center"/>
              <w:rPr>
                <w:rFonts w:ascii="宋体" w:hAnsi="宋体" w:cs="宋体"/>
                <w:bCs/>
                <w:color w:val="auto"/>
                <w:sz w:val="24"/>
                <w:highlight w:val="none"/>
              </w:rPr>
            </w:pPr>
          </w:p>
        </w:tc>
      </w:tr>
      <w:tr w14:paraId="0D98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01B9F71A">
            <w:pPr>
              <w:spacing w:line="460" w:lineRule="exact"/>
              <w:jc w:val="center"/>
              <w:rPr>
                <w:rFonts w:ascii="宋体" w:hAnsi="宋体" w:cs="宋体"/>
                <w:bCs/>
                <w:color w:val="auto"/>
                <w:sz w:val="24"/>
                <w:highlight w:val="none"/>
              </w:rPr>
            </w:pPr>
          </w:p>
        </w:tc>
        <w:tc>
          <w:tcPr>
            <w:tcW w:w="4583" w:type="dxa"/>
            <w:gridSpan w:val="4"/>
          </w:tcPr>
          <w:p w14:paraId="6207AD31">
            <w:pPr>
              <w:spacing w:line="460" w:lineRule="exact"/>
              <w:jc w:val="center"/>
              <w:rPr>
                <w:rFonts w:ascii="宋体" w:hAnsi="宋体" w:cs="宋体"/>
                <w:bCs/>
                <w:color w:val="auto"/>
                <w:sz w:val="24"/>
                <w:highlight w:val="none"/>
              </w:rPr>
            </w:pPr>
          </w:p>
        </w:tc>
        <w:tc>
          <w:tcPr>
            <w:tcW w:w="2382" w:type="dxa"/>
          </w:tcPr>
          <w:p w14:paraId="55E10E88">
            <w:pPr>
              <w:spacing w:line="460" w:lineRule="exact"/>
              <w:jc w:val="center"/>
              <w:rPr>
                <w:rFonts w:ascii="宋体" w:hAnsi="宋体" w:cs="宋体"/>
                <w:bCs/>
                <w:color w:val="auto"/>
                <w:sz w:val="24"/>
                <w:highlight w:val="none"/>
              </w:rPr>
            </w:pPr>
          </w:p>
        </w:tc>
        <w:tc>
          <w:tcPr>
            <w:tcW w:w="1835" w:type="dxa"/>
          </w:tcPr>
          <w:p w14:paraId="649B8F90">
            <w:pPr>
              <w:spacing w:line="460" w:lineRule="exact"/>
              <w:jc w:val="center"/>
              <w:rPr>
                <w:rFonts w:ascii="宋体" w:hAnsi="宋体" w:cs="宋体"/>
                <w:bCs/>
                <w:color w:val="auto"/>
                <w:sz w:val="24"/>
                <w:highlight w:val="none"/>
              </w:rPr>
            </w:pPr>
          </w:p>
        </w:tc>
      </w:tr>
      <w:tr w14:paraId="33F4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637DDA00">
            <w:pPr>
              <w:jc w:val="center"/>
              <w:rPr>
                <w:rFonts w:ascii="宋体" w:hAnsi="宋体" w:cs="宋体"/>
                <w:bCs/>
                <w:color w:val="auto"/>
                <w:sz w:val="24"/>
                <w:highlight w:val="none"/>
              </w:rPr>
            </w:pPr>
            <w:r>
              <w:rPr>
                <w:rFonts w:hint="eastAsia" w:ascii="宋体" w:hAnsi="宋体" w:cs="宋体"/>
                <w:bCs/>
                <w:color w:val="auto"/>
                <w:sz w:val="24"/>
                <w:highlight w:val="none"/>
              </w:rPr>
              <w:t>获奖情况</w:t>
            </w:r>
          </w:p>
        </w:tc>
        <w:tc>
          <w:tcPr>
            <w:tcW w:w="7183" w:type="dxa"/>
            <w:gridSpan w:val="4"/>
          </w:tcPr>
          <w:p w14:paraId="46127E37">
            <w:pPr>
              <w:jc w:val="center"/>
              <w:rPr>
                <w:rFonts w:ascii="宋体" w:hAnsi="宋体" w:cs="宋体"/>
                <w:bCs/>
                <w:color w:val="auto"/>
                <w:sz w:val="24"/>
                <w:highlight w:val="none"/>
              </w:rPr>
            </w:pPr>
          </w:p>
        </w:tc>
      </w:tr>
      <w:tr w14:paraId="462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00" w:type="dxa"/>
            <w:gridSpan w:val="7"/>
            <w:vAlign w:val="center"/>
          </w:tcPr>
          <w:p w14:paraId="67B59576">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本人</w:t>
            </w:r>
            <w:r>
              <w:rPr>
                <w:rFonts w:hint="eastAsia" w:ascii="宋体" w:hAnsi="宋体" w:cs="宋体"/>
                <w:bCs/>
                <w:color w:val="auto"/>
                <w:sz w:val="24"/>
                <w:highlight w:val="none"/>
                <w:u w:val="single"/>
              </w:rPr>
              <w:t xml:space="preserve"> （亲笔签字）</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知晓自己为本项目的</w:t>
            </w:r>
            <w:r>
              <w:rPr>
                <w:rFonts w:hint="eastAsia" w:ascii="宋体" w:hAnsi="宋体" w:cs="宋体"/>
                <w:bCs/>
                <w:color w:val="auto"/>
                <w:sz w:val="24"/>
                <w:highlight w:val="none"/>
                <w:u w:val="single"/>
              </w:rPr>
              <w:t xml:space="preserve"> (填写项目经理或项目总工)</w:t>
            </w:r>
            <w:r>
              <w:rPr>
                <w:rFonts w:hint="eastAsia" w:ascii="宋体" w:hAnsi="宋体" w:cs="宋体"/>
                <w:bCs/>
                <w:color w:val="auto"/>
                <w:sz w:val="24"/>
                <w:highlight w:val="none"/>
              </w:rPr>
              <w:t>，并对其真实性负责。</w:t>
            </w:r>
          </w:p>
        </w:tc>
      </w:tr>
      <w:tr w14:paraId="1D82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5896D7B9">
            <w:pPr>
              <w:jc w:val="center"/>
              <w:rPr>
                <w:rFonts w:ascii="宋体" w:hAnsi="宋体" w:cs="宋体"/>
                <w:bCs/>
                <w:color w:val="auto"/>
                <w:sz w:val="24"/>
                <w:highlight w:val="none"/>
              </w:rPr>
            </w:pPr>
            <w:r>
              <w:rPr>
                <w:rFonts w:hint="eastAsia" w:ascii="宋体" w:hAnsi="宋体" w:cs="宋体"/>
                <w:bCs/>
                <w:color w:val="auto"/>
                <w:sz w:val="24"/>
                <w:highlight w:val="none"/>
              </w:rPr>
              <w:t>备    注</w:t>
            </w:r>
          </w:p>
        </w:tc>
        <w:tc>
          <w:tcPr>
            <w:tcW w:w="7183" w:type="dxa"/>
            <w:gridSpan w:val="4"/>
          </w:tcPr>
          <w:p w14:paraId="3A466E26">
            <w:pPr>
              <w:jc w:val="center"/>
              <w:rPr>
                <w:rFonts w:ascii="宋体" w:hAnsi="宋体" w:cs="宋体"/>
                <w:bCs/>
                <w:color w:val="auto"/>
                <w:sz w:val="24"/>
                <w:highlight w:val="none"/>
              </w:rPr>
            </w:pPr>
          </w:p>
        </w:tc>
      </w:tr>
    </w:tbl>
    <w:p w14:paraId="7974EC34">
      <w:pPr>
        <w:spacing w:line="400" w:lineRule="exact"/>
        <w:ind w:left="-283" w:leftChars="-135"/>
        <w:rPr>
          <w:rFonts w:hint="eastAsia" w:ascii="宋体" w:hAnsi="宋体" w:cs="宋体"/>
          <w:color w:val="auto"/>
          <w:sz w:val="24"/>
          <w:highlight w:val="none"/>
        </w:rPr>
      </w:pPr>
      <w:r>
        <w:rPr>
          <w:rFonts w:hint="eastAsia" w:ascii="宋体" w:hAnsi="宋体" w:cs="宋体"/>
          <w:color w:val="auto"/>
          <w:sz w:val="24"/>
          <w:highlight w:val="none"/>
        </w:rPr>
        <w:t>注：1.本表后应填写项目经理（以及备选人，如有）和项目总工（以及备选人，如有）相关情况。</w:t>
      </w:r>
    </w:p>
    <w:p w14:paraId="5BAEC8B0">
      <w:pPr>
        <w:spacing w:line="400" w:lineRule="exact"/>
        <w:ind w:left="-283" w:leftChars="-135" w:firstLine="480" w:firstLineChars="200"/>
        <w:rPr>
          <w:rFonts w:ascii="宋体" w:hAnsi="宋体" w:cs="宋体"/>
          <w:color w:val="auto"/>
          <w:sz w:val="24"/>
          <w:highlight w:val="none"/>
        </w:rPr>
      </w:pPr>
      <w:r>
        <w:rPr>
          <w:rFonts w:hint="eastAsia" w:ascii="宋体" w:hAnsi="宋体" w:cs="宋体"/>
          <w:color w:val="auto"/>
          <w:sz w:val="24"/>
          <w:highlight w:val="none"/>
        </w:rPr>
        <w:t>2.投标人应根据招标文件第二章“投标人须知”第 3.5.5 项的要求在本表后附相关证明材料。</w:t>
      </w:r>
    </w:p>
    <w:p w14:paraId="61AB6E4C">
      <w:pPr>
        <w:adjustRightInd w:val="0"/>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八、其 他 材 料</w:t>
      </w:r>
    </w:p>
    <w:tbl>
      <w:tblPr>
        <w:tblStyle w:val="42"/>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2B02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Pr>
          <w:p w14:paraId="26F3338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 提供“</w:t>
            </w: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-1、使用广东省信用评价等级的申请承诺书”。</w:t>
            </w:r>
          </w:p>
          <w:p w14:paraId="15D586A9">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提供最新年度广东省公路工程从业单位（施工单位）信用评价等级（若有），并标识单位所在位置。</w:t>
            </w:r>
          </w:p>
          <w:p w14:paraId="1372579B">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 初次进入广东省的，但在最新年度的全国综合评价结果为 C 级或 D 级的，提供最新年度的全国综合评价结果单位查询所在页。</w:t>
            </w:r>
          </w:p>
          <w:p w14:paraId="08984090">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如上一年度有信用评价而最新年度在广东省无信用等级的需提供上一年度的信用评价（若有），并标识单位所在位置。</w:t>
            </w:r>
          </w:p>
          <w:p w14:paraId="131C0DC4">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14:paraId="43D5ACDF">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、投标人认为需要的其他内容（如体现技术能力的相关证明材料）。</w:t>
            </w:r>
          </w:p>
          <w:p w14:paraId="0F579DA4">
            <w:pPr>
              <w:rPr>
                <w:rFonts w:ascii="宋体" w:hAnsi="宋体" w:cs="宋体"/>
                <w:color w:val="auto"/>
                <w:sz w:val="24"/>
                <w:highlight w:val="none"/>
              </w:rPr>
            </w:pPr>
          </w:p>
          <w:p w14:paraId="69F07798">
            <w:pPr>
              <w:spacing w:line="360" w:lineRule="auto"/>
              <w:rPr>
                <w:rFonts w:ascii="宋体" w:hAnsi="宋体" w:cs="宋体"/>
                <w:b/>
                <w:color w:val="auto"/>
                <w:sz w:val="32"/>
                <w:szCs w:val="32"/>
                <w:highlight w:val="none"/>
              </w:rPr>
            </w:pPr>
          </w:p>
          <w:p w14:paraId="38989228">
            <w:pPr>
              <w:spacing w:line="360" w:lineRule="auto"/>
              <w:rPr>
                <w:rFonts w:ascii="宋体" w:hAnsi="宋体" w:cs="宋体"/>
                <w:bCs/>
                <w:color w:val="auto"/>
                <w:sz w:val="32"/>
                <w:szCs w:val="32"/>
                <w:highlight w:val="none"/>
              </w:rPr>
            </w:pPr>
          </w:p>
          <w:p w14:paraId="56E078E7">
            <w:pPr>
              <w:spacing w:line="360" w:lineRule="auto"/>
              <w:rPr>
                <w:rFonts w:ascii="宋体" w:hAnsi="宋体" w:cs="宋体"/>
                <w:bCs/>
                <w:color w:val="auto"/>
                <w:sz w:val="32"/>
                <w:szCs w:val="32"/>
                <w:highlight w:val="none"/>
              </w:rPr>
            </w:pPr>
          </w:p>
        </w:tc>
      </w:tr>
    </w:tbl>
    <w:p w14:paraId="3D75204B">
      <w:pPr>
        <w:pStyle w:val="59"/>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7AB9E3B5">
      <w:pPr>
        <w:pStyle w:val="59"/>
        <w:jc w:val="center"/>
        <w:rPr>
          <w:rFonts w:ascii="宋体" w:hAnsi="宋体" w:cs="宋体"/>
          <w:b/>
          <w:bCs/>
          <w:color w:val="auto"/>
          <w:sz w:val="28"/>
          <w:szCs w:val="28"/>
          <w:highlight w:val="none"/>
        </w:rPr>
      </w:pPr>
      <w:r>
        <w:rPr>
          <w:rFonts w:hint="eastAsia" w:ascii="宋体" w:hAnsi="宋体" w:cs="宋体"/>
          <w:b/>
          <w:bCs/>
          <w:color w:val="auto"/>
          <w:highlight w:val="none"/>
        </w:rPr>
        <w:t xml:space="preserve">八-1 </w:t>
      </w:r>
      <w:r>
        <w:rPr>
          <w:rFonts w:hint="eastAsia" w:ascii="宋体" w:hAnsi="宋体" w:cs="宋体"/>
          <w:b/>
          <w:bCs/>
          <w:color w:val="auto"/>
          <w:sz w:val="28"/>
          <w:szCs w:val="28"/>
          <w:highlight w:val="none"/>
        </w:rPr>
        <w:t>使用广东省信用评价等级的申请承诺书</w:t>
      </w:r>
      <w:r>
        <w:rPr>
          <w:rFonts w:hint="eastAsia" w:ascii="宋体" w:hAnsi="宋体"/>
          <w:b/>
          <w:bCs/>
          <w:color w:val="auto"/>
          <w:sz w:val="28"/>
          <w:szCs w:val="28"/>
          <w:highlight w:val="none"/>
        </w:rPr>
        <w:t>（格式）</w:t>
      </w:r>
    </w:p>
    <w:p w14:paraId="3091CB1A">
      <w:pPr>
        <w:jc w:val="center"/>
        <w:rPr>
          <w:rFonts w:ascii="宋体" w:hAnsi="宋体"/>
          <w:b/>
          <w:color w:val="auto"/>
          <w:sz w:val="28"/>
          <w:szCs w:val="28"/>
          <w:highlight w:val="none"/>
        </w:rPr>
      </w:pPr>
    </w:p>
    <w:p w14:paraId="7E5B01AF">
      <w:pPr>
        <w:spacing w:line="360" w:lineRule="auto"/>
        <w:jc w:val="left"/>
        <w:rPr>
          <w:rFonts w:ascii="宋体" w:hAnsi="宋体"/>
          <w:color w:val="auto"/>
          <w:sz w:val="24"/>
          <w:highlight w:val="none"/>
        </w:rPr>
      </w:pPr>
      <w:r>
        <w:rPr>
          <w:rFonts w:hint="eastAsia" w:ascii="宋体" w:hAnsi="宋体"/>
          <w:color w:val="auto"/>
          <w:sz w:val="24"/>
          <w:highlight w:val="none"/>
        </w:rPr>
        <w:t>致招标人：</w:t>
      </w:r>
      <w:r>
        <w:rPr>
          <w:rFonts w:ascii="宋体" w:hAnsi="宋体"/>
          <w:color w:val="auto"/>
          <w:sz w:val="24"/>
          <w:highlight w:val="none"/>
          <w:u w:val="single"/>
        </w:rPr>
        <w:t>（招标人全称）</w:t>
      </w:r>
    </w:p>
    <w:p w14:paraId="744EA083">
      <w:pPr>
        <w:spacing w:line="360" w:lineRule="auto"/>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按相关要求，现我单位对使用信用等级申请如下：</w:t>
      </w:r>
    </w:p>
    <w:p w14:paraId="266E9306">
      <w:pPr>
        <w:spacing w:line="360" w:lineRule="auto"/>
        <w:ind w:firstLine="480" w:firstLineChars="200"/>
        <w:jc w:val="left"/>
        <w:rPr>
          <w:rFonts w:ascii="宋体" w:hAnsi="宋体"/>
          <w:color w:val="auto"/>
          <w:sz w:val="24"/>
          <w:highlight w:val="none"/>
          <w:u w:val="single"/>
        </w:rPr>
      </w:pPr>
      <w:r>
        <w:rPr>
          <w:rFonts w:ascii="宋体" w:hAnsi="宋体" w:cs="宋体"/>
          <w:color w:val="auto"/>
          <w:kern w:val="0"/>
          <w:sz w:val="24"/>
          <w:highlight w:val="none"/>
        </w:rPr>
        <w:t>一、我单位在</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招标</w:t>
      </w:r>
      <w:r>
        <w:rPr>
          <w:rFonts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 xml:space="preserve">     </w:t>
      </w:r>
      <w:r>
        <w:rPr>
          <w:rFonts w:ascii="宋体" w:hAnsi="宋体" w:cs="宋体"/>
          <w:color w:val="auto"/>
          <w:kern w:val="0"/>
          <w:sz w:val="24"/>
          <w:highlight w:val="none"/>
        </w:rPr>
        <w:t>标类/标段）的招标中，</w:t>
      </w:r>
      <w:r>
        <w:rPr>
          <w:rFonts w:ascii="宋体" w:hAnsi="宋体" w:cs="宋体"/>
          <w:b/>
          <w:bCs/>
          <w:color w:val="auto"/>
          <w:kern w:val="0"/>
          <w:sz w:val="24"/>
          <w:highlight w:val="none"/>
        </w:rPr>
        <w:t>第</w:t>
      </w:r>
      <w:r>
        <w:rPr>
          <w:rFonts w:hint="eastAsia" w:ascii="宋体" w:hAnsi="宋体" w:cs="宋体"/>
          <w:b/>
          <w:bCs/>
          <w:color w:val="auto"/>
          <w:kern w:val="0"/>
          <w:sz w:val="24"/>
          <w:highlight w:val="none"/>
          <w:u w:val="single"/>
          <w:lang w:val="en-US" w:eastAsia="zh-CN"/>
        </w:rPr>
        <w:t xml:space="preserve">    </w:t>
      </w:r>
      <w:r>
        <w:rPr>
          <w:rFonts w:ascii="宋体" w:hAnsi="宋体" w:cs="宋体"/>
          <w:b/>
          <w:bCs/>
          <w:color w:val="auto"/>
          <w:kern w:val="0"/>
          <w:sz w:val="24"/>
          <w:highlight w:val="none"/>
        </w:rPr>
        <w:t>次使用（或不使用）</w:t>
      </w:r>
      <w:r>
        <w:rPr>
          <w:rFonts w:ascii="宋体" w:hAnsi="宋体" w:cs="宋体"/>
          <w:color w:val="auto"/>
          <w:kern w:val="0"/>
          <w:sz w:val="24"/>
          <w:highlight w:val="none"/>
        </w:rPr>
        <w:t>广东省交通运输厅发布的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none"/>
        </w:rPr>
        <w:t>年</w:t>
      </w:r>
      <w:r>
        <w:rPr>
          <w:rFonts w:ascii="宋体" w:hAnsi="宋体" w:cs="宋体"/>
          <w:color w:val="auto"/>
          <w:kern w:val="0"/>
          <w:sz w:val="24"/>
          <w:highlight w:val="none"/>
        </w:rPr>
        <w:t>度信用评价</w:t>
      </w:r>
      <w:r>
        <w:rPr>
          <w:rFonts w:hint="eastAsia" w:ascii="宋体" w:hAnsi="宋体" w:cs="宋体"/>
          <w:color w:val="auto"/>
          <w:kern w:val="0"/>
          <w:sz w:val="24"/>
          <w:highlight w:val="none"/>
          <w:u w:val="single"/>
          <w:lang w:val="en-US" w:eastAsia="zh-CN"/>
        </w:rPr>
        <w:t xml:space="preserve">     </w:t>
      </w:r>
      <w:r>
        <w:rPr>
          <w:rFonts w:ascii="宋体" w:hAnsi="宋体" w:cs="宋体"/>
          <w:color w:val="auto"/>
          <w:kern w:val="0"/>
          <w:sz w:val="24"/>
          <w:highlight w:val="none"/>
        </w:rPr>
        <w:t>等级结果和对应等级分值。</w:t>
      </w:r>
    </w:p>
    <w:p w14:paraId="03251BB9">
      <w:pPr>
        <w:spacing w:line="360" w:lineRule="auto"/>
        <w:ind w:firstLine="495"/>
        <w:jc w:val="left"/>
        <w:rPr>
          <w:rFonts w:ascii="宋体" w:hAnsi="宋体" w:cs="宋体"/>
          <w:color w:val="auto"/>
          <w:kern w:val="0"/>
          <w:sz w:val="24"/>
          <w:highlight w:val="none"/>
        </w:rPr>
      </w:pPr>
      <w:r>
        <w:rPr>
          <w:rFonts w:ascii="宋体" w:hAnsi="宋体" w:cs="宋体"/>
          <w:color w:val="auto"/>
          <w:kern w:val="0"/>
          <w:sz w:val="24"/>
          <w:highlight w:val="none"/>
        </w:rPr>
        <w:t>二、我单位承诺，在递交本次申请后，我单位将失去一次使用</w:t>
      </w:r>
      <w:r>
        <w:rPr>
          <w:rFonts w:hint="eastAsia" w:ascii="宋体" w:hAnsi="宋体" w:cs="宋体"/>
          <w:color w:val="auto"/>
          <w:kern w:val="0"/>
          <w:sz w:val="24"/>
          <w:highlight w:val="none"/>
          <w:u w:val="single"/>
          <w:lang w:val="en-US" w:eastAsia="zh-CN"/>
        </w:rPr>
        <w:t xml:space="preserve">    </w:t>
      </w:r>
      <w:r>
        <w:rPr>
          <w:rFonts w:ascii="宋体" w:hAnsi="宋体" w:cs="宋体"/>
          <w:color w:val="auto"/>
          <w:kern w:val="0"/>
          <w:sz w:val="24"/>
          <w:highlight w:val="none"/>
        </w:rPr>
        <w:t>等级结果（</w:t>
      </w:r>
      <w:r>
        <w:rPr>
          <w:rFonts w:ascii="宋体" w:hAnsi="宋体" w:cs="宋体"/>
          <w:b/>
          <w:bCs/>
          <w:color w:val="auto"/>
          <w:kern w:val="0"/>
          <w:sz w:val="24"/>
          <w:highlight w:val="none"/>
          <w:u w:val="single"/>
        </w:rPr>
        <w:t>不使用时上述填“/”</w:t>
      </w:r>
      <w:r>
        <w:rPr>
          <w:rFonts w:ascii="宋体" w:hAnsi="宋体" w:cs="宋体"/>
          <w:color w:val="auto"/>
          <w:kern w:val="0"/>
          <w:sz w:val="24"/>
          <w:highlight w:val="none"/>
        </w:rPr>
        <w:t>）参与投标的机会。</w:t>
      </w:r>
      <w:r>
        <w:rPr>
          <w:rFonts w:hint="eastAsia" w:ascii="宋体" w:hAnsi="宋体" w:cs="宋体"/>
          <w:color w:val="auto"/>
          <w:kern w:val="0"/>
          <w:sz w:val="24"/>
          <w:highlight w:val="none"/>
        </w:rPr>
        <w:t>当累计使用超过规定的次数，我单位同意按降低一个信用等级对应分值来认定参与投标评审。</w:t>
      </w:r>
    </w:p>
    <w:p w14:paraId="1F6CA75D">
      <w:pPr>
        <w:spacing w:line="360" w:lineRule="auto"/>
        <w:ind w:firstLine="495"/>
        <w:jc w:val="left"/>
        <w:rPr>
          <w:rFonts w:ascii="宋体" w:hAnsi="宋体" w:cs="宋体"/>
          <w:color w:val="auto"/>
          <w:kern w:val="0"/>
          <w:sz w:val="24"/>
          <w:highlight w:val="none"/>
        </w:rPr>
      </w:pPr>
      <w:r>
        <w:rPr>
          <w:rFonts w:ascii="宋体" w:hAnsi="宋体" w:cs="宋体"/>
          <w:color w:val="auto"/>
          <w:kern w:val="0"/>
          <w:sz w:val="24"/>
          <w:highlight w:val="none"/>
        </w:rPr>
        <w:t>三、</w:t>
      </w:r>
      <w:r>
        <w:rPr>
          <w:rFonts w:hint="eastAsia" w:ascii="宋体" w:hAnsi="宋体" w:cs="宋体"/>
          <w:color w:val="auto"/>
          <w:kern w:val="0"/>
          <w:sz w:val="24"/>
          <w:highlight w:val="none"/>
        </w:rPr>
        <w:t>如果我单位发生违反规定使用信用等级结果的情形，自愿接受省级交通运输主管部门的处理。</w:t>
      </w:r>
    </w:p>
    <w:p w14:paraId="55B5A08C">
      <w:pPr>
        <w:spacing w:line="360" w:lineRule="auto"/>
        <w:ind w:firstLine="495"/>
        <w:jc w:val="left"/>
        <w:rPr>
          <w:rFonts w:hint="eastAsia" w:ascii="宋体" w:hAnsi="宋体" w:eastAsia="宋体"/>
          <w:b/>
          <w:color w:val="auto"/>
          <w:sz w:val="24"/>
          <w:highlight w:val="none"/>
          <w:u w:val="single"/>
          <w:lang w:eastAsia="zh-CN"/>
        </w:rPr>
      </w:pPr>
      <w:r>
        <w:rPr>
          <w:rFonts w:ascii="宋体" w:hAnsi="宋体" w:cs="宋体"/>
          <w:color w:val="auto"/>
          <w:kern w:val="0"/>
          <w:sz w:val="24"/>
          <w:highlight w:val="none"/>
        </w:rPr>
        <w:t>附件：</w:t>
      </w:r>
      <w:r>
        <w:rPr>
          <w:rFonts w:hint="eastAsia" w:ascii="宋体" w:hAnsi="宋体" w:cs="宋体"/>
          <w:color w:val="auto"/>
          <w:kern w:val="0"/>
          <w:sz w:val="24"/>
          <w:highlight w:val="none"/>
          <w:u w:val="single"/>
          <w:lang w:val="en-US" w:eastAsia="zh-CN"/>
        </w:rPr>
        <w:t xml:space="preserve">        </w:t>
      </w:r>
      <w:r>
        <w:rPr>
          <w:rFonts w:ascii="宋体" w:hAnsi="宋体" w:cs="宋体"/>
          <w:color w:val="auto"/>
          <w:kern w:val="0"/>
          <w:sz w:val="24"/>
          <w:highlight w:val="none"/>
        </w:rPr>
        <w:t>单位使用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rPr>
        <w:t>年度广东省公路工程从业单位信用等级情况汇总表</w:t>
      </w:r>
      <w:r>
        <w:rPr>
          <w:rFonts w:hint="eastAsia" w:ascii="宋体" w:hAnsi="宋体" w:cs="宋体"/>
          <w:color w:val="auto"/>
          <w:kern w:val="0"/>
          <w:sz w:val="24"/>
          <w:highlight w:val="none"/>
          <w:u w:val="none"/>
          <w:lang w:eastAsia="zh-CN"/>
        </w:rPr>
        <w:t>。</w:t>
      </w:r>
    </w:p>
    <w:p w14:paraId="24261BC5">
      <w:pPr>
        <w:spacing w:line="360" w:lineRule="auto"/>
        <w:ind w:firstLine="480" w:firstLineChars="200"/>
        <w:jc w:val="left"/>
        <w:rPr>
          <w:rFonts w:ascii="宋体" w:hAnsi="宋体" w:cs="宋体"/>
          <w:color w:val="auto"/>
          <w:kern w:val="0"/>
          <w:sz w:val="24"/>
          <w:highlight w:val="none"/>
        </w:rPr>
      </w:pPr>
    </w:p>
    <w:p w14:paraId="483FF577">
      <w:pPr>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特此承诺</w:t>
      </w:r>
    </w:p>
    <w:p w14:paraId="565EE439">
      <w:pPr>
        <w:spacing w:line="360" w:lineRule="auto"/>
        <w:jc w:val="center"/>
        <w:rPr>
          <w:rFonts w:ascii="宋体" w:hAnsi="宋体" w:cs="宋体"/>
          <w:color w:val="auto"/>
          <w:kern w:val="0"/>
          <w:sz w:val="24"/>
          <w:highlight w:val="none"/>
        </w:rPr>
      </w:pPr>
    </w:p>
    <w:p w14:paraId="68CDC0D7">
      <w:pPr>
        <w:pStyle w:val="52"/>
        <w:rPr>
          <w:color w:val="auto"/>
          <w:highlight w:val="none"/>
        </w:rPr>
      </w:pPr>
    </w:p>
    <w:p w14:paraId="55D4CF2C">
      <w:pPr>
        <w:spacing w:line="360" w:lineRule="auto"/>
        <w:ind w:firstLine="2640" w:firstLineChars="1100"/>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投标人（单位全称）：</w:t>
      </w:r>
      <w:r>
        <w:rPr>
          <w:rFonts w:hint="eastAsia" w:ascii="宋体" w:hAnsi="宋体" w:cs="宋体"/>
          <w:color w:val="auto"/>
          <w:kern w:val="0"/>
          <w:sz w:val="24"/>
          <w:highlight w:val="none"/>
          <w:u w:val="single"/>
          <w:lang w:val="en-US" w:eastAsia="zh-CN"/>
        </w:rPr>
        <w:t xml:space="preserve">                   </w:t>
      </w:r>
    </w:p>
    <w:p w14:paraId="5C519EF3">
      <w:pPr>
        <w:spacing w:line="360" w:lineRule="auto"/>
        <w:ind w:firstLine="2640" w:firstLineChars="1100"/>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投标人的法定代表人或其委托代理人签名：</w:t>
      </w:r>
      <w:r>
        <w:rPr>
          <w:rFonts w:hint="eastAsia" w:ascii="宋体" w:hAnsi="宋体" w:cs="宋体"/>
          <w:color w:val="auto"/>
          <w:kern w:val="0"/>
          <w:sz w:val="24"/>
          <w:highlight w:val="none"/>
          <w:u w:val="single"/>
          <w:lang w:val="en-US" w:eastAsia="zh-CN"/>
        </w:rPr>
        <w:t xml:space="preserve">        </w:t>
      </w:r>
    </w:p>
    <w:p w14:paraId="4D187FB9">
      <w:pPr>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rPr>
        <w:t>年   月   日</w:t>
      </w:r>
    </w:p>
    <w:p w14:paraId="11293C8F">
      <w:pPr>
        <w:spacing w:line="360" w:lineRule="auto"/>
        <w:jc w:val="right"/>
        <w:rPr>
          <w:rFonts w:ascii="宋体" w:hAnsi="宋体" w:cs="宋体"/>
          <w:color w:val="auto"/>
          <w:kern w:val="0"/>
          <w:sz w:val="24"/>
          <w:highlight w:val="none"/>
        </w:rPr>
      </w:pPr>
    </w:p>
    <w:p w14:paraId="07E0D276">
      <w:pPr>
        <w:rPr>
          <w:rFonts w:hint="eastAsia" w:ascii="宋体" w:hAnsi="宋体" w:cs="宋体"/>
          <w:color w:val="auto"/>
          <w:sz w:val="24"/>
          <w:highlight w:val="none"/>
        </w:rPr>
      </w:pPr>
      <w:r>
        <w:rPr>
          <w:rFonts w:hint="eastAsia" w:ascii="宋体" w:hAnsi="宋体" w:cs="宋体"/>
          <w:color w:val="auto"/>
          <w:sz w:val="24"/>
          <w:highlight w:val="none"/>
        </w:rPr>
        <w:t>注：1、AA、A 级信用等级企业必须填写此申请承诺书；选择“使用”时需和附表（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单位使用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年度广东省公路工程从业单位信用等级情况汇总表）一起编入投标文件中。</w:t>
      </w:r>
    </w:p>
    <w:p w14:paraId="42A04E30">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2、AA、A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14:paraId="6F43C3FC">
      <w:pPr>
        <w:ind w:firstLine="480" w:firstLineChars="200"/>
        <w:rPr>
          <w:rFonts w:ascii="宋体" w:hAnsi="宋体" w:cs="宋体"/>
          <w:color w:val="auto"/>
          <w:sz w:val="24"/>
          <w:highlight w:val="none"/>
        </w:rPr>
      </w:pPr>
      <w:r>
        <w:rPr>
          <w:rFonts w:hint="eastAsia" w:ascii="宋体" w:hAnsi="宋体" w:cs="宋体"/>
          <w:color w:val="auto"/>
          <w:sz w:val="24"/>
          <w:highlight w:val="none"/>
        </w:rPr>
        <w:t>3、中标候选人公示中，将对所有承诺使用最新年度 AA、A 级投标人的年度信用等级使用情进行公开。</w:t>
      </w:r>
    </w:p>
    <w:p w14:paraId="36D3A9B9">
      <w:pPr>
        <w:jc w:val="center"/>
        <w:rPr>
          <w:rFonts w:ascii="宋体" w:hAnsi="宋体" w:cs="宋体"/>
          <w:color w:val="auto"/>
          <w:kern w:val="0"/>
          <w:sz w:val="28"/>
          <w:szCs w:val="28"/>
          <w:highlight w:val="none"/>
        </w:rPr>
      </w:pPr>
    </w:p>
    <w:p w14:paraId="469A1941">
      <w:pPr>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8"/>
          <w:szCs w:val="28"/>
          <w:highlight w:val="none"/>
        </w:rPr>
        <w:t>附表：</w:t>
      </w:r>
    </w:p>
    <w:p w14:paraId="4B1F73A7">
      <w:pPr>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u w:val="single"/>
          <w:lang w:val="en-US" w:eastAsia="zh-CN"/>
        </w:rPr>
        <w:t xml:space="preserve">        </w:t>
      </w:r>
      <w:r>
        <w:rPr>
          <w:rFonts w:hint="eastAsia" w:ascii="宋体" w:hAnsi="宋体" w:cs="宋体"/>
          <w:b/>
          <w:bCs/>
          <w:color w:val="auto"/>
          <w:kern w:val="0"/>
          <w:sz w:val="28"/>
          <w:szCs w:val="28"/>
          <w:highlight w:val="none"/>
        </w:rPr>
        <w:t>单位使用</w:t>
      </w:r>
      <w:r>
        <w:rPr>
          <w:rFonts w:hint="eastAsia" w:ascii="宋体" w:hAnsi="宋体" w:cs="宋体"/>
          <w:b/>
          <w:bCs/>
          <w:color w:val="auto"/>
          <w:kern w:val="0"/>
          <w:sz w:val="28"/>
          <w:szCs w:val="28"/>
          <w:highlight w:val="none"/>
          <w:u w:val="single"/>
          <w:lang w:val="en-US" w:eastAsia="zh-CN"/>
        </w:rPr>
        <w:t xml:space="preserve">       </w:t>
      </w:r>
      <w:r>
        <w:rPr>
          <w:rFonts w:hint="eastAsia" w:ascii="宋体" w:hAnsi="宋体" w:cs="宋体"/>
          <w:b/>
          <w:bCs/>
          <w:color w:val="auto"/>
          <w:kern w:val="0"/>
          <w:sz w:val="28"/>
          <w:szCs w:val="28"/>
          <w:highlight w:val="none"/>
        </w:rPr>
        <w:t>年度广东省公路工程从业单位</w:t>
      </w:r>
    </w:p>
    <w:p w14:paraId="6A0E23FD">
      <w:pPr>
        <w:jc w:val="center"/>
        <w:rPr>
          <w:rFonts w:ascii="宋体" w:hAnsi="宋体" w:cs="宋体"/>
          <w:b/>
          <w:bCs/>
          <w:color w:val="auto"/>
          <w:kern w:val="0"/>
          <w:sz w:val="28"/>
          <w:szCs w:val="28"/>
          <w:highlight w:val="none"/>
          <w:u w:val="single"/>
        </w:rPr>
      </w:pPr>
      <w:r>
        <w:rPr>
          <w:rFonts w:hint="eastAsia" w:ascii="宋体" w:hAnsi="宋体" w:cs="宋体"/>
          <w:b/>
          <w:bCs/>
          <w:color w:val="auto"/>
          <w:kern w:val="0"/>
          <w:sz w:val="28"/>
          <w:szCs w:val="28"/>
          <w:highlight w:val="none"/>
        </w:rPr>
        <w:t>信用等级情况汇总表</w:t>
      </w:r>
    </w:p>
    <w:p w14:paraId="3C91B69C">
      <w:pPr>
        <w:jc w:val="center"/>
        <w:rPr>
          <w:rFonts w:ascii="宋体" w:hAnsi="宋体" w:cs="宋体"/>
          <w:color w:val="auto"/>
          <w:kern w:val="0"/>
          <w:sz w:val="28"/>
          <w:szCs w:val="28"/>
          <w:highlight w:val="none"/>
        </w:rPr>
      </w:pPr>
    </w:p>
    <w:tbl>
      <w:tblPr>
        <w:tblStyle w:val="42"/>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14:paraId="536E9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7FF775C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701" w:type="dxa"/>
            <w:vAlign w:val="center"/>
          </w:tcPr>
          <w:p w14:paraId="2E2189E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招标人名称</w:t>
            </w:r>
          </w:p>
        </w:tc>
        <w:tc>
          <w:tcPr>
            <w:tcW w:w="1843" w:type="dxa"/>
            <w:vAlign w:val="center"/>
          </w:tcPr>
          <w:p w14:paraId="571C1D4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标类或（标</w:t>
            </w:r>
          </w:p>
          <w:p w14:paraId="224D53E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段）名称</w:t>
            </w:r>
          </w:p>
        </w:tc>
        <w:tc>
          <w:tcPr>
            <w:tcW w:w="1984" w:type="dxa"/>
            <w:vAlign w:val="center"/>
          </w:tcPr>
          <w:p w14:paraId="6C7E972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递交文件时间</w:t>
            </w:r>
          </w:p>
          <w:p w14:paraId="681DF95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（年月日）</w:t>
            </w:r>
          </w:p>
        </w:tc>
        <w:tc>
          <w:tcPr>
            <w:tcW w:w="2126" w:type="dxa"/>
            <w:vAlign w:val="center"/>
          </w:tcPr>
          <w:p w14:paraId="0DD3E45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使用信用等</w:t>
            </w:r>
          </w:p>
          <w:p w14:paraId="099688F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级（AA/A）</w:t>
            </w:r>
          </w:p>
        </w:tc>
        <w:tc>
          <w:tcPr>
            <w:tcW w:w="1463" w:type="dxa"/>
            <w:vAlign w:val="center"/>
          </w:tcPr>
          <w:p w14:paraId="0B714B8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14:paraId="4E614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52B15A3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701" w:type="dxa"/>
          </w:tcPr>
          <w:p w14:paraId="764D911E">
            <w:pPr>
              <w:spacing w:line="360" w:lineRule="auto"/>
              <w:jc w:val="center"/>
              <w:rPr>
                <w:rFonts w:ascii="宋体" w:hAnsi="宋体" w:cs="宋体"/>
                <w:color w:val="auto"/>
                <w:kern w:val="0"/>
                <w:sz w:val="24"/>
                <w:highlight w:val="none"/>
              </w:rPr>
            </w:pPr>
          </w:p>
        </w:tc>
        <w:tc>
          <w:tcPr>
            <w:tcW w:w="1843" w:type="dxa"/>
          </w:tcPr>
          <w:p w14:paraId="2772F4B6">
            <w:pPr>
              <w:spacing w:line="360" w:lineRule="auto"/>
              <w:jc w:val="center"/>
              <w:rPr>
                <w:rFonts w:ascii="宋体" w:hAnsi="宋体" w:cs="宋体"/>
                <w:color w:val="auto"/>
                <w:kern w:val="0"/>
                <w:sz w:val="24"/>
                <w:highlight w:val="none"/>
              </w:rPr>
            </w:pPr>
          </w:p>
        </w:tc>
        <w:tc>
          <w:tcPr>
            <w:tcW w:w="1984" w:type="dxa"/>
          </w:tcPr>
          <w:p w14:paraId="1E605F0B">
            <w:pPr>
              <w:spacing w:line="360" w:lineRule="auto"/>
              <w:jc w:val="center"/>
              <w:rPr>
                <w:rFonts w:ascii="宋体" w:hAnsi="宋体" w:cs="宋体"/>
                <w:color w:val="auto"/>
                <w:kern w:val="0"/>
                <w:sz w:val="24"/>
                <w:highlight w:val="none"/>
              </w:rPr>
            </w:pPr>
          </w:p>
        </w:tc>
        <w:tc>
          <w:tcPr>
            <w:tcW w:w="2126" w:type="dxa"/>
          </w:tcPr>
          <w:p w14:paraId="140D6A70">
            <w:pPr>
              <w:spacing w:line="360" w:lineRule="auto"/>
              <w:jc w:val="center"/>
              <w:rPr>
                <w:rFonts w:ascii="宋体" w:hAnsi="宋体" w:cs="宋体"/>
                <w:color w:val="auto"/>
                <w:kern w:val="0"/>
                <w:sz w:val="24"/>
                <w:highlight w:val="none"/>
              </w:rPr>
            </w:pPr>
          </w:p>
        </w:tc>
        <w:tc>
          <w:tcPr>
            <w:tcW w:w="1463" w:type="dxa"/>
          </w:tcPr>
          <w:p w14:paraId="0072EFC0">
            <w:pPr>
              <w:spacing w:line="360" w:lineRule="auto"/>
              <w:jc w:val="center"/>
              <w:rPr>
                <w:rFonts w:ascii="宋体" w:hAnsi="宋体" w:cs="宋体"/>
                <w:color w:val="auto"/>
                <w:kern w:val="0"/>
                <w:sz w:val="24"/>
                <w:highlight w:val="none"/>
              </w:rPr>
            </w:pPr>
          </w:p>
        </w:tc>
      </w:tr>
      <w:tr w14:paraId="208E9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7770D6E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701" w:type="dxa"/>
          </w:tcPr>
          <w:p w14:paraId="6E57241F">
            <w:pPr>
              <w:spacing w:line="360" w:lineRule="auto"/>
              <w:jc w:val="center"/>
              <w:rPr>
                <w:rFonts w:ascii="宋体" w:hAnsi="宋体" w:cs="宋体"/>
                <w:color w:val="auto"/>
                <w:kern w:val="0"/>
                <w:sz w:val="24"/>
                <w:highlight w:val="none"/>
              </w:rPr>
            </w:pPr>
          </w:p>
        </w:tc>
        <w:tc>
          <w:tcPr>
            <w:tcW w:w="1843" w:type="dxa"/>
          </w:tcPr>
          <w:p w14:paraId="7C658035">
            <w:pPr>
              <w:spacing w:line="360" w:lineRule="auto"/>
              <w:jc w:val="center"/>
              <w:rPr>
                <w:rFonts w:ascii="宋体" w:hAnsi="宋体" w:cs="宋体"/>
                <w:color w:val="auto"/>
                <w:kern w:val="0"/>
                <w:sz w:val="24"/>
                <w:highlight w:val="none"/>
              </w:rPr>
            </w:pPr>
          </w:p>
        </w:tc>
        <w:tc>
          <w:tcPr>
            <w:tcW w:w="1984" w:type="dxa"/>
          </w:tcPr>
          <w:p w14:paraId="587820AD">
            <w:pPr>
              <w:spacing w:line="360" w:lineRule="auto"/>
              <w:jc w:val="center"/>
              <w:rPr>
                <w:rFonts w:ascii="宋体" w:hAnsi="宋体" w:cs="宋体"/>
                <w:color w:val="auto"/>
                <w:kern w:val="0"/>
                <w:sz w:val="24"/>
                <w:highlight w:val="none"/>
              </w:rPr>
            </w:pPr>
          </w:p>
        </w:tc>
        <w:tc>
          <w:tcPr>
            <w:tcW w:w="2126" w:type="dxa"/>
          </w:tcPr>
          <w:p w14:paraId="5B912E3D">
            <w:pPr>
              <w:spacing w:line="360" w:lineRule="auto"/>
              <w:jc w:val="center"/>
              <w:rPr>
                <w:rFonts w:ascii="宋体" w:hAnsi="宋体" w:cs="宋体"/>
                <w:color w:val="auto"/>
                <w:kern w:val="0"/>
                <w:sz w:val="24"/>
                <w:highlight w:val="none"/>
              </w:rPr>
            </w:pPr>
          </w:p>
        </w:tc>
        <w:tc>
          <w:tcPr>
            <w:tcW w:w="1463" w:type="dxa"/>
          </w:tcPr>
          <w:p w14:paraId="39460152">
            <w:pPr>
              <w:spacing w:line="360" w:lineRule="auto"/>
              <w:jc w:val="center"/>
              <w:rPr>
                <w:rFonts w:ascii="宋体" w:hAnsi="宋体" w:cs="宋体"/>
                <w:color w:val="auto"/>
                <w:kern w:val="0"/>
                <w:sz w:val="24"/>
                <w:highlight w:val="none"/>
              </w:rPr>
            </w:pPr>
          </w:p>
        </w:tc>
      </w:tr>
      <w:tr w14:paraId="01968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C28293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701" w:type="dxa"/>
          </w:tcPr>
          <w:p w14:paraId="2884C72C">
            <w:pPr>
              <w:spacing w:line="360" w:lineRule="auto"/>
              <w:jc w:val="center"/>
              <w:rPr>
                <w:rFonts w:ascii="宋体" w:hAnsi="宋体" w:cs="宋体"/>
                <w:color w:val="auto"/>
                <w:kern w:val="0"/>
                <w:sz w:val="24"/>
                <w:highlight w:val="none"/>
              </w:rPr>
            </w:pPr>
          </w:p>
        </w:tc>
        <w:tc>
          <w:tcPr>
            <w:tcW w:w="1843" w:type="dxa"/>
          </w:tcPr>
          <w:p w14:paraId="49330326">
            <w:pPr>
              <w:spacing w:line="360" w:lineRule="auto"/>
              <w:jc w:val="center"/>
              <w:rPr>
                <w:rFonts w:ascii="宋体" w:hAnsi="宋体" w:cs="宋体"/>
                <w:color w:val="auto"/>
                <w:kern w:val="0"/>
                <w:sz w:val="24"/>
                <w:highlight w:val="none"/>
              </w:rPr>
            </w:pPr>
          </w:p>
        </w:tc>
        <w:tc>
          <w:tcPr>
            <w:tcW w:w="1984" w:type="dxa"/>
          </w:tcPr>
          <w:p w14:paraId="6FF852F4">
            <w:pPr>
              <w:spacing w:line="360" w:lineRule="auto"/>
              <w:jc w:val="center"/>
              <w:rPr>
                <w:rFonts w:ascii="宋体" w:hAnsi="宋体" w:cs="宋体"/>
                <w:color w:val="auto"/>
                <w:kern w:val="0"/>
                <w:sz w:val="24"/>
                <w:highlight w:val="none"/>
              </w:rPr>
            </w:pPr>
          </w:p>
        </w:tc>
        <w:tc>
          <w:tcPr>
            <w:tcW w:w="2126" w:type="dxa"/>
          </w:tcPr>
          <w:p w14:paraId="7042BF0A">
            <w:pPr>
              <w:spacing w:line="360" w:lineRule="auto"/>
              <w:jc w:val="center"/>
              <w:rPr>
                <w:rFonts w:ascii="宋体" w:hAnsi="宋体" w:cs="宋体"/>
                <w:color w:val="auto"/>
                <w:kern w:val="0"/>
                <w:sz w:val="24"/>
                <w:highlight w:val="none"/>
              </w:rPr>
            </w:pPr>
          </w:p>
        </w:tc>
        <w:tc>
          <w:tcPr>
            <w:tcW w:w="1463" w:type="dxa"/>
          </w:tcPr>
          <w:p w14:paraId="220E2A44">
            <w:pPr>
              <w:spacing w:line="360" w:lineRule="auto"/>
              <w:jc w:val="center"/>
              <w:rPr>
                <w:rFonts w:ascii="宋体" w:hAnsi="宋体" w:cs="宋体"/>
                <w:color w:val="auto"/>
                <w:kern w:val="0"/>
                <w:sz w:val="24"/>
                <w:highlight w:val="none"/>
              </w:rPr>
            </w:pPr>
          </w:p>
        </w:tc>
      </w:tr>
      <w:tr w14:paraId="5C91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287322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701" w:type="dxa"/>
          </w:tcPr>
          <w:p w14:paraId="7E4F4568">
            <w:pPr>
              <w:spacing w:line="360" w:lineRule="auto"/>
              <w:jc w:val="center"/>
              <w:rPr>
                <w:rFonts w:ascii="宋体" w:hAnsi="宋体" w:cs="宋体"/>
                <w:color w:val="auto"/>
                <w:kern w:val="0"/>
                <w:sz w:val="24"/>
                <w:highlight w:val="none"/>
              </w:rPr>
            </w:pPr>
          </w:p>
        </w:tc>
        <w:tc>
          <w:tcPr>
            <w:tcW w:w="1843" w:type="dxa"/>
          </w:tcPr>
          <w:p w14:paraId="07636E2D">
            <w:pPr>
              <w:spacing w:line="360" w:lineRule="auto"/>
              <w:jc w:val="center"/>
              <w:rPr>
                <w:rFonts w:ascii="宋体" w:hAnsi="宋体" w:cs="宋体"/>
                <w:color w:val="auto"/>
                <w:kern w:val="0"/>
                <w:sz w:val="24"/>
                <w:highlight w:val="none"/>
              </w:rPr>
            </w:pPr>
          </w:p>
        </w:tc>
        <w:tc>
          <w:tcPr>
            <w:tcW w:w="1984" w:type="dxa"/>
          </w:tcPr>
          <w:p w14:paraId="70D42D25">
            <w:pPr>
              <w:spacing w:line="360" w:lineRule="auto"/>
              <w:jc w:val="center"/>
              <w:rPr>
                <w:rFonts w:ascii="宋体" w:hAnsi="宋体" w:cs="宋体"/>
                <w:color w:val="auto"/>
                <w:kern w:val="0"/>
                <w:sz w:val="24"/>
                <w:highlight w:val="none"/>
              </w:rPr>
            </w:pPr>
          </w:p>
        </w:tc>
        <w:tc>
          <w:tcPr>
            <w:tcW w:w="2126" w:type="dxa"/>
          </w:tcPr>
          <w:p w14:paraId="699138E4">
            <w:pPr>
              <w:spacing w:line="360" w:lineRule="auto"/>
              <w:jc w:val="center"/>
              <w:rPr>
                <w:rFonts w:ascii="宋体" w:hAnsi="宋体" w:cs="宋体"/>
                <w:color w:val="auto"/>
                <w:kern w:val="0"/>
                <w:sz w:val="24"/>
                <w:highlight w:val="none"/>
              </w:rPr>
            </w:pPr>
          </w:p>
        </w:tc>
        <w:tc>
          <w:tcPr>
            <w:tcW w:w="1463" w:type="dxa"/>
          </w:tcPr>
          <w:p w14:paraId="6418A106">
            <w:pPr>
              <w:spacing w:line="360" w:lineRule="auto"/>
              <w:jc w:val="center"/>
              <w:rPr>
                <w:rFonts w:ascii="宋体" w:hAnsi="宋体" w:cs="宋体"/>
                <w:color w:val="auto"/>
                <w:kern w:val="0"/>
                <w:sz w:val="24"/>
                <w:highlight w:val="none"/>
              </w:rPr>
            </w:pPr>
          </w:p>
        </w:tc>
      </w:tr>
      <w:tr w14:paraId="5E055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746C21D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701" w:type="dxa"/>
          </w:tcPr>
          <w:p w14:paraId="0D122528">
            <w:pPr>
              <w:spacing w:line="360" w:lineRule="auto"/>
              <w:jc w:val="center"/>
              <w:rPr>
                <w:rFonts w:ascii="宋体" w:hAnsi="宋体" w:cs="宋体"/>
                <w:color w:val="auto"/>
                <w:kern w:val="0"/>
                <w:sz w:val="24"/>
                <w:highlight w:val="none"/>
              </w:rPr>
            </w:pPr>
          </w:p>
        </w:tc>
        <w:tc>
          <w:tcPr>
            <w:tcW w:w="1843" w:type="dxa"/>
          </w:tcPr>
          <w:p w14:paraId="2E24F0FE">
            <w:pPr>
              <w:spacing w:line="360" w:lineRule="auto"/>
              <w:jc w:val="center"/>
              <w:rPr>
                <w:rFonts w:ascii="宋体" w:hAnsi="宋体" w:cs="宋体"/>
                <w:color w:val="auto"/>
                <w:kern w:val="0"/>
                <w:sz w:val="24"/>
                <w:highlight w:val="none"/>
              </w:rPr>
            </w:pPr>
          </w:p>
        </w:tc>
        <w:tc>
          <w:tcPr>
            <w:tcW w:w="1984" w:type="dxa"/>
          </w:tcPr>
          <w:p w14:paraId="7FA77AE4">
            <w:pPr>
              <w:spacing w:line="360" w:lineRule="auto"/>
              <w:jc w:val="center"/>
              <w:rPr>
                <w:rFonts w:ascii="宋体" w:hAnsi="宋体" w:cs="宋体"/>
                <w:color w:val="auto"/>
                <w:kern w:val="0"/>
                <w:sz w:val="24"/>
                <w:highlight w:val="none"/>
              </w:rPr>
            </w:pPr>
          </w:p>
        </w:tc>
        <w:tc>
          <w:tcPr>
            <w:tcW w:w="2126" w:type="dxa"/>
          </w:tcPr>
          <w:p w14:paraId="6FEA612C">
            <w:pPr>
              <w:spacing w:line="360" w:lineRule="auto"/>
              <w:jc w:val="center"/>
              <w:rPr>
                <w:rFonts w:ascii="宋体" w:hAnsi="宋体" w:cs="宋体"/>
                <w:color w:val="auto"/>
                <w:kern w:val="0"/>
                <w:sz w:val="24"/>
                <w:highlight w:val="none"/>
              </w:rPr>
            </w:pPr>
          </w:p>
        </w:tc>
        <w:tc>
          <w:tcPr>
            <w:tcW w:w="1463" w:type="dxa"/>
          </w:tcPr>
          <w:p w14:paraId="22B8CCA9">
            <w:pPr>
              <w:spacing w:line="360" w:lineRule="auto"/>
              <w:jc w:val="center"/>
              <w:rPr>
                <w:rFonts w:ascii="宋体" w:hAnsi="宋体" w:cs="宋体"/>
                <w:color w:val="auto"/>
                <w:kern w:val="0"/>
                <w:sz w:val="24"/>
                <w:highlight w:val="none"/>
              </w:rPr>
            </w:pPr>
          </w:p>
        </w:tc>
      </w:tr>
      <w:tr w14:paraId="433AD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55892B3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701" w:type="dxa"/>
          </w:tcPr>
          <w:p w14:paraId="0F0FC083">
            <w:pPr>
              <w:spacing w:line="360" w:lineRule="auto"/>
              <w:jc w:val="center"/>
              <w:rPr>
                <w:rFonts w:ascii="宋体" w:hAnsi="宋体" w:cs="宋体"/>
                <w:color w:val="auto"/>
                <w:kern w:val="0"/>
                <w:sz w:val="24"/>
                <w:highlight w:val="none"/>
              </w:rPr>
            </w:pPr>
          </w:p>
        </w:tc>
        <w:tc>
          <w:tcPr>
            <w:tcW w:w="1843" w:type="dxa"/>
          </w:tcPr>
          <w:p w14:paraId="5E7A7A78">
            <w:pPr>
              <w:spacing w:line="360" w:lineRule="auto"/>
              <w:jc w:val="center"/>
              <w:rPr>
                <w:rFonts w:ascii="宋体" w:hAnsi="宋体" w:cs="宋体"/>
                <w:color w:val="auto"/>
                <w:kern w:val="0"/>
                <w:sz w:val="24"/>
                <w:highlight w:val="none"/>
              </w:rPr>
            </w:pPr>
          </w:p>
        </w:tc>
        <w:tc>
          <w:tcPr>
            <w:tcW w:w="1984" w:type="dxa"/>
          </w:tcPr>
          <w:p w14:paraId="727E8764">
            <w:pPr>
              <w:spacing w:line="360" w:lineRule="auto"/>
              <w:jc w:val="center"/>
              <w:rPr>
                <w:rFonts w:ascii="宋体" w:hAnsi="宋体" w:cs="宋体"/>
                <w:color w:val="auto"/>
                <w:kern w:val="0"/>
                <w:sz w:val="24"/>
                <w:highlight w:val="none"/>
              </w:rPr>
            </w:pPr>
          </w:p>
        </w:tc>
        <w:tc>
          <w:tcPr>
            <w:tcW w:w="2126" w:type="dxa"/>
          </w:tcPr>
          <w:p w14:paraId="27D05834">
            <w:pPr>
              <w:spacing w:line="360" w:lineRule="auto"/>
              <w:jc w:val="center"/>
              <w:rPr>
                <w:rFonts w:ascii="宋体" w:hAnsi="宋体" w:cs="宋体"/>
                <w:color w:val="auto"/>
                <w:kern w:val="0"/>
                <w:sz w:val="24"/>
                <w:highlight w:val="none"/>
              </w:rPr>
            </w:pPr>
          </w:p>
        </w:tc>
        <w:tc>
          <w:tcPr>
            <w:tcW w:w="1463" w:type="dxa"/>
          </w:tcPr>
          <w:p w14:paraId="7F376C60">
            <w:pPr>
              <w:spacing w:line="360" w:lineRule="auto"/>
              <w:jc w:val="center"/>
              <w:rPr>
                <w:rFonts w:ascii="宋体" w:hAnsi="宋体" w:cs="宋体"/>
                <w:color w:val="auto"/>
                <w:kern w:val="0"/>
                <w:sz w:val="24"/>
                <w:highlight w:val="none"/>
              </w:rPr>
            </w:pPr>
          </w:p>
        </w:tc>
      </w:tr>
      <w:tr w14:paraId="75146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0BA9111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701" w:type="dxa"/>
          </w:tcPr>
          <w:p w14:paraId="36FA8129">
            <w:pPr>
              <w:spacing w:line="360" w:lineRule="auto"/>
              <w:jc w:val="center"/>
              <w:rPr>
                <w:rFonts w:ascii="宋体" w:hAnsi="宋体" w:cs="宋体"/>
                <w:color w:val="auto"/>
                <w:kern w:val="0"/>
                <w:sz w:val="24"/>
                <w:highlight w:val="none"/>
              </w:rPr>
            </w:pPr>
          </w:p>
        </w:tc>
        <w:tc>
          <w:tcPr>
            <w:tcW w:w="1843" w:type="dxa"/>
          </w:tcPr>
          <w:p w14:paraId="227507A2">
            <w:pPr>
              <w:spacing w:line="360" w:lineRule="auto"/>
              <w:jc w:val="center"/>
              <w:rPr>
                <w:rFonts w:ascii="宋体" w:hAnsi="宋体" w:cs="宋体"/>
                <w:color w:val="auto"/>
                <w:kern w:val="0"/>
                <w:sz w:val="24"/>
                <w:highlight w:val="none"/>
              </w:rPr>
            </w:pPr>
          </w:p>
        </w:tc>
        <w:tc>
          <w:tcPr>
            <w:tcW w:w="1984" w:type="dxa"/>
          </w:tcPr>
          <w:p w14:paraId="5AD57D3C">
            <w:pPr>
              <w:spacing w:line="360" w:lineRule="auto"/>
              <w:jc w:val="center"/>
              <w:rPr>
                <w:rFonts w:ascii="宋体" w:hAnsi="宋体" w:cs="宋体"/>
                <w:color w:val="auto"/>
                <w:kern w:val="0"/>
                <w:sz w:val="24"/>
                <w:highlight w:val="none"/>
              </w:rPr>
            </w:pPr>
          </w:p>
        </w:tc>
        <w:tc>
          <w:tcPr>
            <w:tcW w:w="2126" w:type="dxa"/>
          </w:tcPr>
          <w:p w14:paraId="4D0C6905">
            <w:pPr>
              <w:spacing w:line="360" w:lineRule="auto"/>
              <w:jc w:val="center"/>
              <w:rPr>
                <w:rFonts w:ascii="宋体" w:hAnsi="宋体" w:cs="宋体"/>
                <w:color w:val="auto"/>
                <w:kern w:val="0"/>
                <w:sz w:val="24"/>
                <w:highlight w:val="none"/>
              </w:rPr>
            </w:pPr>
          </w:p>
        </w:tc>
        <w:tc>
          <w:tcPr>
            <w:tcW w:w="1463" w:type="dxa"/>
          </w:tcPr>
          <w:p w14:paraId="2D9A5D47">
            <w:pPr>
              <w:spacing w:line="360" w:lineRule="auto"/>
              <w:jc w:val="center"/>
              <w:rPr>
                <w:rFonts w:ascii="宋体" w:hAnsi="宋体" w:cs="宋体"/>
                <w:color w:val="auto"/>
                <w:kern w:val="0"/>
                <w:sz w:val="24"/>
                <w:highlight w:val="none"/>
              </w:rPr>
            </w:pPr>
          </w:p>
        </w:tc>
      </w:tr>
      <w:tr w14:paraId="21AF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1C23859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701" w:type="dxa"/>
          </w:tcPr>
          <w:p w14:paraId="11F24672">
            <w:pPr>
              <w:spacing w:line="360" w:lineRule="auto"/>
              <w:jc w:val="center"/>
              <w:rPr>
                <w:rFonts w:ascii="宋体" w:hAnsi="宋体" w:cs="宋体"/>
                <w:color w:val="auto"/>
                <w:kern w:val="0"/>
                <w:sz w:val="24"/>
                <w:highlight w:val="none"/>
              </w:rPr>
            </w:pPr>
          </w:p>
        </w:tc>
        <w:tc>
          <w:tcPr>
            <w:tcW w:w="1843" w:type="dxa"/>
          </w:tcPr>
          <w:p w14:paraId="280106AA">
            <w:pPr>
              <w:spacing w:line="360" w:lineRule="auto"/>
              <w:jc w:val="center"/>
              <w:rPr>
                <w:rFonts w:ascii="宋体" w:hAnsi="宋体" w:cs="宋体"/>
                <w:color w:val="auto"/>
                <w:kern w:val="0"/>
                <w:sz w:val="24"/>
                <w:highlight w:val="none"/>
              </w:rPr>
            </w:pPr>
          </w:p>
        </w:tc>
        <w:tc>
          <w:tcPr>
            <w:tcW w:w="1984" w:type="dxa"/>
          </w:tcPr>
          <w:p w14:paraId="48870EAB">
            <w:pPr>
              <w:spacing w:line="360" w:lineRule="auto"/>
              <w:jc w:val="center"/>
              <w:rPr>
                <w:rFonts w:ascii="宋体" w:hAnsi="宋体" w:cs="宋体"/>
                <w:color w:val="auto"/>
                <w:kern w:val="0"/>
                <w:sz w:val="24"/>
                <w:highlight w:val="none"/>
              </w:rPr>
            </w:pPr>
          </w:p>
        </w:tc>
        <w:tc>
          <w:tcPr>
            <w:tcW w:w="2126" w:type="dxa"/>
          </w:tcPr>
          <w:p w14:paraId="179106E9">
            <w:pPr>
              <w:spacing w:line="360" w:lineRule="auto"/>
              <w:jc w:val="center"/>
              <w:rPr>
                <w:rFonts w:ascii="宋体" w:hAnsi="宋体" w:cs="宋体"/>
                <w:color w:val="auto"/>
                <w:kern w:val="0"/>
                <w:sz w:val="24"/>
                <w:highlight w:val="none"/>
              </w:rPr>
            </w:pPr>
          </w:p>
        </w:tc>
        <w:tc>
          <w:tcPr>
            <w:tcW w:w="1463" w:type="dxa"/>
          </w:tcPr>
          <w:p w14:paraId="0C6A455A">
            <w:pPr>
              <w:spacing w:line="360" w:lineRule="auto"/>
              <w:jc w:val="center"/>
              <w:rPr>
                <w:rFonts w:ascii="宋体" w:hAnsi="宋体" w:cs="宋体"/>
                <w:color w:val="auto"/>
                <w:kern w:val="0"/>
                <w:sz w:val="24"/>
                <w:highlight w:val="none"/>
              </w:rPr>
            </w:pPr>
          </w:p>
        </w:tc>
      </w:tr>
      <w:tr w14:paraId="4B5B1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5CB6435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701" w:type="dxa"/>
          </w:tcPr>
          <w:p w14:paraId="17FB4FCF">
            <w:pPr>
              <w:spacing w:line="360" w:lineRule="auto"/>
              <w:jc w:val="center"/>
              <w:rPr>
                <w:rFonts w:ascii="宋体" w:hAnsi="宋体" w:cs="宋体"/>
                <w:color w:val="auto"/>
                <w:kern w:val="0"/>
                <w:sz w:val="24"/>
                <w:highlight w:val="none"/>
              </w:rPr>
            </w:pPr>
          </w:p>
        </w:tc>
        <w:tc>
          <w:tcPr>
            <w:tcW w:w="1843" w:type="dxa"/>
          </w:tcPr>
          <w:p w14:paraId="4376A227">
            <w:pPr>
              <w:spacing w:line="360" w:lineRule="auto"/>
              <w:jc w:val="center"/>
              <w:rPr>
                <w:rFonts w:ascii="宋体" w:hAnsi="宋体" w:cs="宋体"/>
                <w:color w:val="auto"/>
                <w:kern w:val="0"/>
                <w:sz w:val="24"/>
                <w:highlight w:val="none"/>
              </w:rPr>
            </w:pPr>
          </w:p>
        </w:tc>
        <w:tc>
          <w:tcPr>
            <w:tcW w:w="1984" w:type="dxa"/>
          </w:tcPr>
          <w:p w14:paraId="0AF0C1C4">
            <w:pPr>
              <w:spacing w:line="360" w:lineRule="auto"/>
              <w:jc w:val="center"/>
              <w:rPr>
                <w:rFonts w:ascii="宋体" w:hAnsi="宋体" w:cs="宋体"/>
                <w:color w:val="auto"/>
                <w:kern w:val="0"/>
                <w:sz w:val="24"/>
                <w:highlight w:val="none"/>
              </w:rPr>
            </w:pPr>
          </w:p>
        </w:tc>
        <w:tc>
          <w:tcPr>
            <w:tcW w:w="2126" w:type="dxa"/>
          </w:tcPr>
          <w:p w14:paraId="606E882F">
            <w:pPr>
              <w:spacing w:line="360" w:lineRule="auto"/>
              <w:jc w:val="center"/>
              <w:rPr>
                <w:rFonts w:ascii="宋体" w:hAnsi="宋体" w:cs="宋体"/>
                <w:color w:val="auto"/>
                <w:kern w:val="0"/>
                <w:sz w:val="24"/>
                <w:highlight w:val="none"/>
              </w:rPr>
            </w:pPr>
          </w:p>
        </w:tc>
        <w:tc>
          <w:tcPr>
            <w:tcW w:w="1463" w:type="dxa"/>
          </w:tcPr>
          <w:p w14:paraId="63F63478">
            <w:pPr>
              <w:spacing w:line="360" w:lineRule="auto"/>
              <w:jc w:val="center"/>
              <w:rPr>
                <w:rFonts w:ascii="宋体" w:hAnsi="宋体" w:cs="宋体"/>
                <w:color w:val="auto"/>
                <w:kern w:val="0"/>
                <w:sz w:val="24"/>
                <w:highlight w:val="none"/>
              </w:rPr>
            </w:pPr>
          </w:p>
        </w:tc>
      </w:tr>
    </w:tbl>
    <w:p w14:paraId="7A490696">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备注：应如实填报信用评价等级使用情况。</w:t>
      </w:r>
    </w:p>
    <w:p w14:paraId="577C5854">
      <w:pPr>
        <w:spacing w:line="360" w:lineRule="auto"/>
        <w:jc w:val="left"/>
        <w:rPr>
          <w:rFonts w:ascii="宋体" w:hAnsi="宋体" w:cs="宋体"/>
          <w:color w:val="auto"/>
          <w:kern w:val="0"/>
          <w:sz w:val="28"/>
          <w:szCs w:val="28"/>
          <w:highlight w:val="none"/>
        </w:rPr>
      </w:pPr>
    </w:p>
    <w:p w14:paraId="54AB6A5E">
      <w:pPr>
        <w:jc w:val="left"/>
        <w:rPr>
          <w:rFonts w:ascii="宋体" w:hAnsi="宋体" w:cs="宋体"/>
          <w:color w:val="auto"/>
          <w:kern w:val="0"/>
          <w:sz w:val="28"/>
          <w:szCs w:val="28"/>
          <w:highlight w:val="none"/>
        </w:rPr>
      </w:pPr>
    </w:p>
    <w:p w14:paraId="735A5AEA">
      <w:pPr>
        <w:pStyle w:val="59"/>
        <w:jc w:val="center"/>
        <w:rPr>
          <w:rFonts w:ascii="宋体" w:hAnsi="宋体" w:cs="宋体"/>
          <w:color w:val="auto"/>
          <w:sz w:val="28"/>
          <w:szCs w:val="28"/>
          <w:highlight w:val="none"/>
        </w:rPr>
      </w:pPr>
    </w:p>
    <w:p w14:paraId="2B73923F">
      <w:pPr>
        <w:pStyle w:val="59"/>
        <w:jc w:val="center"/>
        <w:rPr>
          <w:rFonts w:ascii="宋体" w:hAnsi="宋体" w:cs="宋体"/>
          <w:color w:val="auto"/>
          <w:sz w:val="28"/>
          <w:szCs w:val="28"/>
          <w:highlight w:val="none"/>
        </w:rPr>
      </w:pPr>
    </w:p>
    <w:p w14:paraId="1B0C8C39">
      <w:pPr>
        <w:pStyle w:val="59"/>
        <w:jc w:val="center"/>
        <w:rPr>
          <w:rFonts w:ascii="宋体" w:hAnsi="宋体" w:cs="宋体"/>
          <w:color w:val="auto"/>
          <w:sz w:val="28"/>
          <w:szCs w:val="28"/>
          <w:highlight w:val="none"/>
        </w:rPr>
        <w:sectPr>
          <w:headerReference r:id="rId22" w:type="default"/>
          <w:footerReference r:id="rId23" w:type="default"/>
          <w:pgSz w:w="11906" w:h="16838"/>
          <w:pgMar w:top="1134" w:right="1134" w:bottom="1134" w:left="1134" w:header="851" w:footer="992" w:gutter="0"/>
          <w:cols w:space="720" w:num="1"/>
          <w:docGrid w:type="lines" w:linePitch="312" w:charSpace="0"/>
        </w:sectPr>
      </w:pPr>
    </w:p>
    <w:p w14:paraId="11EBBB8D">
      <w:pPr>
        <w:spacing w:line="360" w:lineRule="auto"/>
        <w:jc w:val="center"/>
        <w:rPr>
          <w:rFonts w:ascii="宋体" w:hAnsi="宋体"/>
          <w:b/>
          <w:color w:val="auto"/>
          <w:sz w:val="32"/>
          <w:szCs w:val="32"/>
          <w:highlight w:val="none"/>
          <w:u w:val="single"/>
        </w:rPr>
      </w:pPr>
    </w:p>
    <w:p w14:paraId="41710BC1">
      <w:pPr>
        <w:spacing w:line="600" w:lineRule="auto"/>
        <w:jc w:val="center"/>
        <w:rPr>
          <w:rFonts w:hint="eastAsia" w:ascii="宋体" w:hAnsi="宋体" w:eastAsia="宋体" w:cs="宋体"/>
          <w:b/>
          <w:color w:val="auto"/>
          <w:sz w:val="40"/>
          <w:szCs w:val="40"/>
          <w:highlight w:val="none"/>
          <w:u w:val="none"/>
          <w:lang w:val="en-US" w:eastAsia="zh-CN"/>
        </w:rPr>
      </w:pPr>
      <w:r>
        <w:rPr>
          <w:rFonts w:hint="eastAsia" w:ascii="宋体" w:hAnsi="宋体" w:cs="宋体"/>
          <w:b/>
          <w:color w:val="auto"/>
          <w:sz w:val="40"/>
          <w:szCs w:val="40"/>
          <w:highlight w:val="none"/>
          <w:u w:val="none"/>
          <w:lang w:val="en-US" w:eastAsia="zh-CN"/>
        </w:rPr>
        <w:t>广东省</w:t>
      </w:r>
    </w:p>
    <w:p w14:paraId="2ED65C56">
      <w:pPr>
        <w:spacing w:line="6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（项目名称）</w:t>
      </w:r>
      <w:r>
        <w:rPr>
          <w:rFonts w:hint="eastAsia" w:ascii="宋体" w:hAnsi="宋体" w:cs="宋体"/>
          <w:b/>
          <w:color w:val="auto"/>
          <w:sz w:val="32"/>
          <w:szCs w:val="32"/>
          <w:highlight w:val="none"/>
          <w:u w:val="single"/>
          <w:lang w:val="en-US" w:eastAsia="zh-CN"/>
        </w:rPr>
        <w:t xml:space="preserve">   </w:t>
      </w:r>
      <w:r>
        <w:rPr>
          <w:rFonts w:hint="eastAsia" w:ascii="宋体" w:hAnsi="宋体" w:cs="宋体"/>
          <w:b/>
          <w:color w:val="auto"/>
          <w:sz w:val="32"/>
          <w:szCs w:val="32"/>
          <w:highlight w:val="none"/>
        </w:rPr>
        <w:t>招标</w:t>
      </w:r>
    </w:p>
    <w:p w14:paraId="63B9B7D6">
      <w:pPr>
        <w:spacing w:line="360" w:lineRule="auto"/>
        <w:ind w:firstLine="420" w:firstLineChars="200"/>
        <w:rPr>
          <w:rFonts w:ascii="宋体" w:hAnsi="宋体" w:cs="宋体"/>
          <w:color w:val="auto"/>
          <w:szCs w:val="21"/>
          <w:highlight w:val="none"/>
        </w:rPr>
      </w:pPr>
    </w:p>
    <w:p w14:paraId="04C2C3B8">
      <w:pPr>
        <w:spacing w:line="360" w:lineRule="auto"/>
        <w:ind w:firstLine="420" w:firstLineChars="200"/>
        <w:rPr>
          <w:rFonts w:ascii="宋体" w:hAnsi="宋体" w:cs="宋体"/>
          <w:color w:val="auto"/>
          <w:szCs w:val="21"/>
          <w:highlight w:val="none"/>
        </w:rPr>
      </w:pPr>
    </w:p>
    <w:p w14:paraId="64773F97">
      <w:pPr>
        <w:spacing w:line="360" w:lineRule="auto"/>
        <w:jc w:val="center"/>
        <w:rPr>
          <w:rFonts w:ascii="宋体" w:hAnsi="宋体" w:cs="宋体"/>
          <w:b/>
          <w:color w:val="auto"/>
          <w:sz w:val="52"/>
          <w:szCs w:val="52"/>
          <w:highlight w:val="none"/>
        </w:rPr>
      </w:pPr>
    </w:p>
    <w:p w14:paraId="54F69360">
      <w:pPr>
        <w:spacing w:line="360" w:lineRule="auto"/>
        <w:jc w:val="center"/>
        <w:rPr>
          <w:rFonts w:ascii="宋体" w:hAnsi="宋体" w:cs="宋体"/>
          <w:b/>
          <w:color w:val="auto"/>
          <w:sz w:val="52"/>
          <w:szCs w:val="52"/>
          <w:highlight w:val="none"/>
        </w:rPr>
      </w:pPr>
    </w:p>
    <w:p w14:paraId="182A96BC">
      <w:pPr>
        <w:jc w:val="center"/>
        <w:rPr>
          <w:rFonts w:ascii="宋体" w:hAnsi="宋体" w:cs="宋体"/>
          <w:color w:val="auto"/>
          <w:sz w:val="52"/>
          <w:szCs w:val="52"/>
          <w:highlight w:val="none"/>
        </w:rPr>
      </w:pPr>
      <w:r>
        <w:rPr>
          <w:rFonts w:hint="eastAsia" w:ascii="宋体" w:hAnsi="宋体" w:cs="宋体"/>
          <w:color w:val="auto"/>
          <w:sz w:val="52"/>
          <w:szCs w:val="52"/>
          <w:highlight w:val="none"/>
        </w:rPr>
        <w:t>投 标 文 件</w:t>
      </w:r>
    </w:p>
    <w:p w14:paraId="414DAF3F">
      <w:pPr>
        <w:jc w:val="center"/>
        <w:rPr>
          <w:rFonts w:ascii="宋体" w:hAnsi="宋体" w:cs="宋体"/>
          <w:color w:val="auto"/>
          <w:sz w:val="32"/>
          <w:szCs w:val="32"/>
          <w:highlight w:val="none"/>
        </w:rPr>
      </w:pPr>
      <w:r>
        <w:rPr>
          <w:rFonts w:hint="eastAsia" w:ascii="宋体" w:hAnsi="宋体" w:cs="宋体"/>
          <w:color w:val="auto"/>
          <w:sz w:val="32"/>
          <w:szCs w:val="32"/>
          <w:highlight w:val="none"/>
        </w:rPr>
        <w:t>（第二个信封：报价文件）</w:t>
      </w:r>
    </w:p>
    <w:p w14:paraId="099F0748">
      <w:pPr>
        <w:jc w:val="center"/>
        <w:rPr>
          <w:rFonts w:ascii="宋体" w:hAnsi="宋体" w:cs="宋体"/>
          <w:color w:val="auto"/>
          <w:sz w:val="44"/>
          <w:szCs w:val="44"/>
          <w:highlight w:val="none"/>
        </w:rPr>
      </w:pPr>
    </w:p>
    <w:p w14:paraId="1727B78D">
      <w:pPr>
        <w:spacing w:line="360" w:lineRule="auto"/>
        <w:rPr>
          <w:rFonts w:ascii="宋体" w:hAnsi="宋体" w:cs="宋体"/>
          <w:b/>
          <w:color w:val="auto"/>
          <w:sz w:val="32"/>
          <w:szCs w:val="32"/>
          <w:highlight w:val="none"/>
        </w:rPr>
      </w:pPr>
    </w:p>
    <w:p w14:paraId="67D747FA">
      <w:pPr>
        <w:spacing w:line="360" w:lineRule="auto"/>
        <w:rPr>
          <w:rFonts w:ascii="宋体" w:hAnsi="宋体" w:cs="宋体"/>
          <w:b/>
          <w:color w:val="auto"/>
          <w:sz w:val="32"/>
          <w:szCs w:val="32"/>
          <w:highlight w:val="none"/>
        </w:rPr>
      </w:pPr>
    </w:p>
    <w:p w14:paraId="2D970435">
      <w:pPr>
        <w:spacing w:line="360" w:lineRule="auto"/>
        <w:rPr>
          <w:rFonts w:ascii="宋体" w:hAnsi="宋体" w:cs="宋体"/>
          <w:b/>
          <w:color w:val="auto"/>
          <w:sz w:val="32"/>
          <w:szCs w:val="32"/>
          <w:highlight w:val="none"/>
        </w:rPr>
      </w:pPr>
    </w:p>
    <w:p w14:paraId="0F8BB572">
      <w:pPr>
        <w:spacing w:line="360" w:lineRule="auto"/>
        <w:rPr>
          <w:rFonts w:ascii="宋体" w:hAnsi="宋体" w:cs="宋体"/>
          <w:b/>
          <w:color w:val="auto"/>
          <w:sz w:val="32"/>
          <w:szCs w:val="32"/>
          <w:highlight w:val="none"/>
        </w:rPr>
      </w:pPr>
    </w:p>
    <w:p w14:paraId="3D5662BE">
      <w:pPr>
        <w:spacing w:line="360" w:lineRule="auto"/>
        <w:rPr>
          <w:rFonts w:ascii="宋体" w:hAnsi="宋体" w:cs="宋体"/>
          <w:b/>
          <w:color w:val="auto"/>
          <w:sz w:val="32"/>
          <w:szCs w:val="32"/>
          <w:highlight w:val="none"/>
        </w:rPr>
      </w:pPr>
    </w:p>
    <w:p w14:paraId="00BC6FE0">
      <w:pPr>
        <w:spacing w:line="360" w:lineRule="auto"/>
        <w:rPr>
          <w:rFonts w:ascii="宋体" w:hAnsi="宋体" w:cs="宋体"/>
          <w:b/>
          <w:color w:val="auto"/>
          <w:sz w:val="32"/>
          <w:szCs w:val="32"/>
          <w:highlight w:val="none"/>
        </w:rPr>
      </w:pPr>
    </w:p>
    <w:p w14:paraId="061E75ED">
      <w:pPr>
        <w:spacing w:line="360" w:lineRule="auto"/>
        <w:ind w:firstLine="2249" w:firstLineChars="700"/>
        <w:rPr>
          <w:rFonts w:ascii="宋体" w:hAnsi="宋体" w:cs="宋体"/>
          <w:b/>
          <w:color w:val="auto"/>
          <w:sz w:val="32"/>
          <w:szCs w:val="32"/>
          <w:highlight w:val="none"/>
        </w:rPr>
      </w:pPr>
      <w:r>
        <w:rPr>
          <w:rFonts w:hint="eastAsia" w:ascii="宋体" w:hAnsi="宋体" w:cs="宋体"/>
          <w:b/>
          <w:color w:val="auto"/>
          <w:sz w:val="32"/>
          <w:szCs w:val="32"/>
          <w:highlight w:val="none"/>
        </w:rPr>
        <w:t>投标人：</w:t>
      </w:r>
      <w:r>
        <w:rPr>
          <w:rFonts w:hint="eastAsia" w:ascii="宋体" w:hAnsi="宋体" w:cs="宋体"/>
          <w:b/>
          <w:color w:val="auto"/>
          <w:sz w:val="32"/>
          <w:szCs w:val="32"/>
          <w:highlight w:val="none"/>
          <w:u w:val="single"/>
          <w:lang w:val="en-US" w:eastAsia="zh-CN"/>
        </w:rPr>
        <w:t xml:space="preserve">              </w:t>
      </w:r>
      <w:r>
        <w:rPr>
          <w:rFonts w:hint="eastAsia" w:ascii="宋体" w:hAnsi="宋体" w:cs="宋体"/>
          <w:b/>
          <w:color w:val="auto"/>
          <w:sz w:val="32"/>
          <w:szCs w:val="32"/>
          <w:highlight w:val="none"/>
        </w:rPr>
        <w:t>（盖单位章）</w:t>
      </w:r>
    </w:p>
    <w:p w14:paraId="4C1A3278">
      <w:pPr>
        <w:spacing w:line="360" w:lineRule="auto"/>
        <w:ind w:firstLine="3534" w:firstLineChars="1100"/>
        <w:rPr>
          <w:rFonts w:ascii="宋体" w:hAnsi="宋体"/>
          <w:b/>
          <w:color w:val="auto"/>
          <w:sz w:val="32"/>
          <w:szCs w:val="32"/>
          <w:highlight w:val="none"/>
        </w:rPr>
      </w:pP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日</w:t>
      </w:r>
    </w:p>
    <w:p w14:paraId="7AF5ECC9">
      <w:pPr>
        <w:rPr>
          <w:rFonts w:ascii="宋体" w:hAnsi="宋体"/>
          <w:color w:val="auto"/>
          <w:sz w:val="24"/>
          <w:highlight w:val="none"/>
        </w:rPr>
      </w:pPr>
    </w:p>
    <w:p w14:paraId="46111242">
      <w:pPr>
        <w:jc w:val="center"/>
        <w:rPr>
          <w:rFonts w:ascii="宋体" w:hAnsi="宋体"/>
          <w:b/>
          <w:color w:val="auto"/>
          <w:sz w:val="44"/>
          <w:szCs w:val="44"/>
          <w:highlight w:val="none"/>
        </w:rPr>
      </w:pPr>
    </w:p>
    <w:p w14:paraId="2C541EDA">
      <w:pPr>
        <w:jc w:val="center"/>
        <w:rPr>
          <w:rFonts w:ascii="宋体" w:hAnsi="宋体"/>
          <w:b/>
          <w:color w:val="auto"/>
          <w:sz w:val="44"/>
          <w:szCs w:val="44"/>
          <w:highlight w:val="none"/>
        </w:rPr>
      </w:pPr>
    </w:p>
    <w:p w14:paraId="4565A4F3">
      <w:pPr>
        <w:jc w:val="center"/>
        <w:rPr>
          <w:rFonts w:ascii="宋体" w:hAnsi="宋体"/>
          <w:b/>
          <w:color w:val="auto"/>
          <w:sz w:val="44"/>
          <w:szCs w:val="44"/>
          <w:highlight w:val="none"/>
        </w:rPr>
      </w:pPr>
    </w:p>
    <w:p w14:paraId="03E61B43">
      <w:pPr>
        <w:pStyle w:val="52"/>
        <w:rPr>
          <w:rFonts w:ascii="宋体" w:hAnsi="宋体"/>
          <w:b/>
          <w:color w:val="auto"/>
          <w:sz w:val="44"/>
          <w:szCs w:val="44"/>
          <w:highlight w:val="none"/>
        </w:rPr>
      </w:pPr>
    </w:p>
    <w:p w14:paraId="31D7B896">
      <w:pPr>
        <w:jc w:val="center"/>
        <w:rPr>
          <w:rFonts w:ascii="宋体" w:hAnsi="宋体"/>
          <w:b/>
          <w:color w:val="auto"/>
          <w:sz w:val="36"/>
          <w:szCs w:val="36"/>
          <w:highlight w:val="none"/>
        </w:rPr>
      </w:pPr>
      <w:r>
        <w:rPr>
          <w:rFonts w:hint="eastAsia" w:ascii="宋体" w:hAnsi="宋体"/>
          <w:b/>
          <w:color w:val="auto"/>
          <w:sz w:val="36"/>
          <w:szCs w:val="36"/>
          <w:highlight w:val="none"/>
        </w:rPr>
        <w:t>目</w:t>
      </w:r>
      <w:r>
        <w:rPr>
          <w:rFonts w:hint="eastAsia" w:ascii="宋体" w:hAnsi="宋体"/>
          <w:b/>
          <w:color w:val="auto"/>
          <w:sz w:val="36"/>
          <w:szCs w:val="36"/>
          <w:highlight w:val="none"/>
        </w:rPr>
        <w:tab/>
      </w:r>
      <w:r>
        <w:rPr>
          <w:rFonts w:hint="eastAsia" w:ascii="宋体" w:hAnsi="宋体"/>
          <w:b/>
          <w:color w:val="auto"/>
          <w:sz w:val="36"/>
          <w:szCs w:val="36"/>
          <w:highlight w:val="none"/>
        </w:rPr>
        <w:t xml:space="preserve">   录</w:t>
      </w:r>
    </w:p>
    <w:p w14:paraId="256DF4D9">
      <w:pPr>
        <w:pStyle w:val="52"/>
        <w:rPr>
          <w:rFonts w:ascii="宋体" w:hAnsi="宋体"/>
          <w:b/>
          <w:color w:val="auto"/>
          <w:sz w:val="36"/>
          <w:szCs w:val="36"/>
          <w:highlight w:val="none"/>
        </w:rPr>
      </w:pPr>
    </w:p>
    <w:p w14:paraId="32A0EAE9">
      <w:pPr>
        <w:jc w:val="both"/>
        <w:rPr>
          <w:rFonts w:ascii="宋体" w:hAnsi="宋体"/>
          <w:b/>
          <w:bCs/>
          <w:color w:val="auto"/>
          <w:sz w:val="28"/>
          <w:szCs w:val="28"/>
          <w:highlight w:val="none"/>
        </w:rPr>
      </w:pPr>
      <w:r>
        <w:rPr>
          <w:b/>
          <w:bCs/>
          <w:color w:val="auto"/>
          <w:sz w:val="28"/>
          <w:szCs w:val="28"/>
          <w:highlight w:val="none"/>
        </w:rPr>
        <w:t>第二个信封</w:t>
      </w:r>
      <w:r>
        <w:rPr>
          <w:rFonts w:hint="eastAsia"/>
          <w:b/>
          <w:bCs/>
          <w:color w:val="auto"/>
          <w:sz w:val="28"/>
          <w:szCs w:val="28"/>
          <w:highlight w:val="none"/>
        </w:rPr>
        <w:t>（</w:t>
      </w:r>
      <w:r>
        <w:rPr>
          <w:b/>
          <w:bCs/>
          <w:color w:val="auto"/>
          <w:sz w:val="28"/>
          <w:szCs w:val="28"/>
          <w:highlight w:val="none"/>
        </w:rPr>
        <w:t>报价文件</w:t>
      </w:r>
      <w:r>
        <w:rPr>
          <w:rFonts w:hint="eastAsia"/>
          <w:b/>
          <w:bCs/>
          <w:color w:val="auto"/>
          <w:sz w:val="28"/>
          <w:szCs w:val="28"/>
          <w:highlight w:val="none"/>
        </w:rPr>
        <w:t>）</w:t>
      </w:r>
    </w:p>
    <w:p w14:paraId="162084C3">
      <w:pPr>
        <w:spacing w:line="360" w:lineRule="auto"/>
        <w:rPr>
          <w:rFonts w:hint="eastAsia" w:ascii="宋体" w:hAnsi="宋体"/>
          <w:color w:val="auto"/>
          <w:sz w:val="24"/>
          <w:highlight w:val="none"/>
        </w:rPr>
      </w:pPr>
    </w:p>
    <w:p w14:paraId="68D0A9FB">
      <w:pPr>
        <w:spacing w:line="360" w:lineRule="auto"/>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w:t>
      </w:r>
    </w:p>
    <w:p w14:paraId="00C0B862">
      <w:pPr>
        <w:spacing w:line="360" w:lineRule="auto"/>
        <w:rPr>
          <w:rFonts w:ascii="宋体" w:hAnsi="宋体"/>
          <w:color w:val="auto"/>
          <w:szCs w:val="21"/>
          <w:highlight w:val="none"/>
        </w:rPr>
      </w:pPr>
      <w:r>
        <w:rPr>
          <w:rFonts w:ascii="宋体" w:hAnsi="宋体"/>
          <w:color w:val="auto"/>
          <w:sz w:val="24"/>
          <w:highlight w:val="none"/>
        </w:rPr>
        <w:t>二、</w:t>
      </w:r>
      <w:r>
        <w:rPr>
          <w:rFonts w:hint="eastAsia" w:ascii="宋体" w:hAnsi="宋体"/>
          <w:color w:val="auto"/>
          <w:sz w:val="24"/>
          <w:highlight w:val="none"/>
        </w:rPr>
        <w:t>已标价工程量清单</w:t>
      </w:r>
    </w:p>
    <w:p w14:paraId="6065E4DF">
      <w:pPr>
        <w:rPr>
          <w:rFonts w:ascii="宋体" w:hAnsi="宋体"/>
          <w:color w:val="auto"/>
          <w:sz w:val="24"/>
          <w:highlight w:val="none"/>
        </w:rPr>
      </w:pPr>
    </w:p>
    <w:p w14:paraId="27DFBB44">
      <w:pPr>
        <w:rPr>
          <w:rFonts w:ascii="宋体" w:hAnsi="宋体"/>
          <w:color w:val="auto"/>
          <w:sz w:val="24"/>
          <w:highlight w:val="none"/>
        </w:rPr>
      </w:pPr>
    </w:p>
    <w:p w14:paraId="646BF6D0">
      <w:pPr>
        <w:jc w:val="center"/>
        <w:rPr>
          <w:rFonts w:ascii="宋体" w:hAnsi="宋体"/>
          <w:color w:val="auto"/>
          <w:sz w:val="24"/>
          <w:highlight w:val="none"/>
        </w:rPr>
      </w:pPr>
      <w:r>
        <w:rPr>
          <w:rFonts w:ascii="宋体" w:hAnsi="宋体"/>
          <w:color w:val="auto"/>
          <w:sz w:val="24"/>
          <w:highlight w:val="none"/>
        </w:rPr>
        <w:br w:type="page"/>
      </w:r>
      <w:bookmarkStart w:id="1751" w:name="_Toc275856199"/>
    </w:p>
    <w:p w14:paraId="05C60CF1">
      <w:pPr>
        <w:jc w:val="center"/>
        <w:rPr>
          <w:rFonts w:ascii="宋体" w:hAnsi="宋体"/>
          <w:b/>
          <w:color w:val="auto"/>
          <w:sz w:val="32"/>
          <w:szCs w:val="32"/>
          <w:highlight w:val="none"/>
        </w:rPr>
      </w:pPr>
      <w:r>
        <w:rPr>
          <w:rFonts w:hint="eastAsia" w:ascii="宋体" w:hAnsi="宋体"/>
          <w:b/>
          <w:color w:val="auto"/>
          <w:sz w:val="32"/>
          <w:szCs w:val="32"/>
          <w:highlight w:val="none"/>
        </w:rPr>
        <w:t>一、投标函</w:t>
      </w:r>
      <w:bookmarkEnd w:id="1751"/>
    </w:p>
    <w:p w14:paraId="302756DF">
      <w:pPr>
        <w:jc w:val="center"/>
        <w:rPr>
          <w:rFonts w:ascii="宋体" w:hAnsi="宋体"/>
          <w:b/>
          <w:color w:val="auto"/>
          <w:sz w:val="28"/>
          <w:szCs w:val="28"/>
          <w:highlight w:val="none"/>
        </w:rPr>
      </w:pPr>
      <w:r>
        <w:rPr>
          <w:rFonts w:hint="eastAsia" w:ascii="宋体" w:hAnsi="宋体"/>
          <w:b/>
          <w:color w:val="auto"/>
          <w:sz w:val="28"/>
          <w:szCs w:val="28"/>
          <w:highlight w:val="none"/>
        </w:rPr>
        <w:t>（一）投 标 函</w:t>
      </w:r>
    </w:p>
    <w:p w14:paraId="55F35E19">
      <w:pPr>
        <w:spacing w:line="360" w:lineRule="exact"/>
        <w:rPr>
          <w:rFonts w:ascii="宋体" w:hAnsi="宋体"/>
          <w:color w:val="auto"/>
          <w:sz w:val="24"/>
          <w:highlight w:val="none"/>
        </w:rPr>
      </w:pPr>
    </w:p>
    <w:p w14:paraId="6B86C68E">
      <w:pPr>
        <w:spacing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（招标人名称）：</w:t>
      </w:r>
    </w:p>
    <w:p w14:paraId="123387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1.我方已仔细研究</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招标文件的全部内容（含</w:t>
      </w:r>
      <w:r>
        <w:rPr>
          <w:rFonts w:hint="eastAsia" w:ascii="宋体" w:hAnsi="宋体" w:cs="宋体"/>
          <w:color w:val="auto"/>
          <w:sz w:val="24"/>
          <w:highlight w:val="none"/>
          <w:lang w:val="en-US" w:eastAsia="zh-CN"/>
        </w:rPr>
        <w:t>补遗书或答疑书等</w:t>
      </w:r>
      <w:r>
        <w:rPr>
          <w:rFonts w:hint="eastAsia" w:ascii="宋体" w:hAnsi="宋体" w:cs="宋体"/>
          <w:color w:val="auto"/>
          <w:sz w:val="24"/>
          <w:highlight w:val="none"/>
        </w:rPr>
        <w:t>），在考察工程现场后，愿意以人民币</w:t>
      </w:r>
      <w:r>
        <w:rPr>
          <w:rFonts w:hint="eastAsia" w:ascii="宋体" w:hAnsi="宋体" w:cs="宋体"/>
          <w:color w:val="auto"/>
          <w:sz w:val="24"/>
          <w:highlight w:val="none"/>
          <w:u w:val="single"/>
        </w:rPr>
        <w:t>（大写）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Arial"/>
          <w:color w:val="auto"/>
          <w:sz w:val="24"/>
          <w:highlight w:val="none"/>
          <w:u w:val="single"/>
        </w:rPr>
        <w:t>¥</w:t>
      </w:r>
      <w:r>
        <w:rPr>
          <w:rFonts w:hint="eastAsia" w:ascii="宋体" w:hAnsi="宋体" w:cs="Arial"/>
          <w:color w:val="auto"/>
          <w:sz w:val="24"/>
          <w:highlight w:val="none"/>
          <w:u w:val="single"/>
          <w:lang w:val="en-US" w:eastAsia="zh-CN"/>
        </w:rPr>
        <w:t xml:space="preserve">    </w:t>
      </w:r>
      <w:r>
        <w:rPr>
          <w:rFonts w:hint="eastAsia" w:ascii="宋体" w:hAnsi="宋体" w:cs="宋体"/>
          <w:color w:val="auto"/>
          <w:sz w:val="24"/>
          <w:highlight w:val="none"/>
          <w:u w:val="single"/>
        </w:rPr>
        <w:t>元）</w:t>
      </w:r>
      <w:r>
        <w:rPr>
          <w:rFonts w:hint="eastAsia" w:ascii="宋体" w:hAnsi="宋体" w:cs="宋体"/>
          <w:color w:val="auto"/>
          <w:sz w:val="24"/>
          <w:highlight w:val="none"/>
        </w:rPr>
        <w:t>的投标总报价（或根据招标文件规定修正核实后确定的另一金额，其中，增值税税率为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），按合同约定实施和完成承包工程，修补工程中的任何缺陷</w:t>
      </w:r>
      <w:r>
        <w:rPr>
          <w:rFonts w:hint="eastAsia" w:ascii="宋体" w:hAnsi="宋体" w:cs="宋体"/>
          <w:color w:val="auto"/>
          <w:sz w:val="24"/>
          <w:highlight w:val="none"/>
          <w:lang w:eastAsia="zh-CN"/>
        </w:rPr>
        <w:t>。</w:t>
      </w:r>
    </w:p>
    <w:p w14:paraId="212102BC">
      <w:pPr>
        <w:spacing w:line="360" w:lineRule="auto"/>
        <w:rPr>
          <w:rFonts w:ascii="宋体" w:hAnsi="宋体"/>
          <w:color w:val="auto"/>
          <w:sz w:val="24"/>
          <w:highlight w:val="none"/>
        </w:rPr>
      </w:pPr>
      <w:r>
        <w:rPr>
          <w:rFonts w:hint="eastAsia" w:ascii="宋体" w:hAnsi="宋体" w:cs="宋体"/>
          <w:color w:val="auto"/>
          <w:sz w:val="24"/>
          <w:highlight w:val="none"/>
        </w:rPr>
        <w:t xml:space="preserve">    2.在合同协议书正式签署生效之前，本投标函连同你方的中标通知书将构成我们双方之间共同遵守的文件，对双方具有约束力。</w:t>
      </w:r>
    </w:p>
    <w:p w14:paraId="10F6F11B">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（其他补充说明）</w:t>
      </w:r>
      <w:r>
        <w:rPr>
          <w:rFonts w:hint="eastAsia" w:ascii="宋体" w:hAnsi="宋体" w:cs="宋体"/>
          <w:color w:val="auto"/>
          <w:sz w:val="24"/>
          <w:highlight w:val="none"/>
        </w:rPr>
        <w:t>。</w:t>
      </w:r>
    </w:p>
    <w:p w14:paraId="0515A164">
      <w:pPr>
        <w:spacing w:line="360" w:lineRule="auto"/>
        <w:ind w:firstLine="420" w:firstLineChars="200"/>
        <w:rPr>
          <w:rFonts w:ascii="宋体" w:hAnsi="宋体"/>
          <w:color w:val="auto"/>
          <w:szCs w:val="21"/>
          <w:highlight w:val="none"/>
        </w:rPr>
      </w:pPr>
    </w:p>
    <w:p w14:paraId="712FC1DF">
      <w:pPr>
        <w:spacing w:line="360" w:lineRule="auto"/>
        <w:ind w:firstLine="420" w:firstLineChars="200"/>
        <w:rPr>
          <w:rFonts w:ascii="宋体" w:hAnsi="宋体"/>
          <w:color w:val="auto"/>
          <w:szCs w:val="21"/>
          <w:highlight w:val="none"/>
        </w:rPr>
      </w:pPr>
    </w:p>
    <w:p w14:paraId="776A4483">
      <w:pPr>
        <w:spacing w:line="360" w:lineRule="auto"/>
        <w:ind w:firstLine="420" w:firstLineChars="200"/>
        <w:rPr>
          <w:rFonts w:ascii="宋体" w:hAnsi="宋体"/>
          <w:color w:val="auto"/>
          <w:szCs w:val="21"/>
          <w:highlight w:val="none"/>
        </w:rPr>
      </w:pPr>
    </w:p>
    <w:p w14:paraId="44061E51">
      <w:pPr>
        <w:spacing w:line="360" w:lineRule="auto"/>
        <w:rPr>
          <w:rFonts w:ascii="宋体" w:hAnsi="宋体"/>
          <w:color w:val="auto"/>
          <w:szCs w:val="21"/>
          <w:highlight w:val="none"/>
        </w:rPr>
      </w:pPr>
    </w:p>
    <w:p w14:paraId="0112EE11">
      <w:pPr>
        <w:tabs>
          <w:tab w:val="left" w:pos="2977"/>
          <w:tab w:val="left" w:pos="3261"/>
        </w:tabs>
        <w:spacing w:line="360" w:lineRule="auto"/>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49FC8415">
      <w:pPr>
        <w:spacing w:line="360" w:lineRule="auto"/>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6B9E8E61">
      <w:pPr>
        <w:spacing w:line="360" w:lineRule="auto"/>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5AD34E07">
      <w:pPr>
        <w:spacing w:line="360" w:lineRule="auto"/>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网址：</w:t>
      </w:r>
      <w:r>
        <w:rPr>
          <w:rFonts w:hint="eastAsia" w:ascii="宋体" w:hAnsi="宋体" w:cs="宋体"/>
          <w:color w:val="auto"/>
          <w:sz w:val="24"/>
          <w:highlight w:val="none"/>
          <w:u w:val="single"/>
        </w:rPr>
        <w:t xml:space="preserve">                                      </w:t>
      </w:r>
    </w:p>
    <w:p w14:paraId="2AC3452E">
      <w:pPr>
        <w:spacing w:line="360" w:lineRule="auto"/>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p w14:paraId="3CDA941E">
      <w:pPr>
        <w:spacing w:line="360" w:lineRule="auto"/>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p w14:paraId="42E15A61">
      <w:pPr>
        <w:spacing w:line="360" w:lineRule="auto"/>
        <w:ind w:firstLine="3578" w:firstLineChars="1491"/>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233106F">
      <w:pPr>
        <w:spacing w:line="360" w:lineRule="auto"/>
        <w:ind w:firstLine="3578" w:firstLineChars="1491"/>
        <w:rPr>
          <w:rFonts w:hint="eastAsia" w:ascii="宋体" w:hAnsi="宋体" w:cs="宋体"/>
          <w:color w:val="auto"/>
          <w:sz w:val="24"/>
          <w:highlight w:val="none"/>
        </w:rPr>
      </w:pPr>
    </w:p>
    <w:p w14:paraId="322B7E9A">
      <w:pPr>
        <w:spacing w:line="360" w:lineRule="auto"/>
        <w:ind w:firstLine="3578" w:firstLineChars="1491"/>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5FF7437">
      <w:pPr>
        <w:spacing w:line="360" w:lineRule="auto"/>
        <w:rPr>
          <w:rFonts w:ascii="宋体" w:hAnsi="宋体"/>
          <w:color w:val="auto"/>
          <w:szCs w:val="21"/>
          <w:highlight w:val="none"/>
        </w:rPr>
      </w:pPr>
    </w:p>
    <w:p w14:paraId="6E717BA8">
      <w:pPr>
        <w:jc w:val="center"/>
        <w:rPr>
          <w:rFonts w:ascii="宋体" w:hAnsi="宋体"/>
          <w:b/>
          <w:color w:val="auto"/>
          <w:sz w:val="28"/>
          <w:szCs w:val="28"/>
          <w:highlight w:val="none"/>
        </w:rPr>
      </w:pPr>
      <w:r>
        <w:rPr>
          <w:rFonts w:hint="eastAsia" w:ascii="宋体" w:hAnsi="宋体"/>
          <w:color w:val="auto"/>
          <w:szCs w:val="21"/>
          <w:highlight w:val="none"/>
        </w:rPr>
        <w:br w:type="page"/>
      </w:r>
      <w:bookmarkStart w:id="1752" w:name="_Toc275856200"/>
      <w:r>
        <w:rPr>
          <w:rFonts w:hint="eastAsia" w:ascii="宋体" w:hAnsi="宋体"/>
          <w:b/>
          <w:color w:val="auto"/>
          <w:sz w:val="28"/>
          <w:szCs w:val="28"/>
          <w:highlight w:val="none"/>
        </w:rPr>
        <w:t>二</w:t>
      </w:r>
      <w:r>
        <w:rPr>
          <w:rFonts w:ascii="宋体" w:hAnsi="宋体"/>
          <w:b/>
          <w:color w:val="auto"/>
          <w:sz w:val="28"/>
          <w:szCs w:val="28"/>
          <w:highlight w:val="none"/>
        </w:rPr>
        <w:t>、已标价工程量清单</w:t>
      </w:r>
      <w:bookmarkEnd w:id="1752"/>
    </w:p>
    <w:p w14:paraId="5BA7427A">
      <w:pPr>
        <w:spacing w:line="360" w:lineRule="auto"/>
        <w:rPr>
          <w:rFonts w:ascii="宋体" w:hAnsi="宋体" w:cs="宋体"/>
          <w:color w:val="auto"/>
          <w:sz w:val="24"/>
          <w:highlight w:val="none"/>
        </w:rPr>
      </w:pPr>
      <w:bookmarkStart w:id="1753" w:name="_Toc275856201"/>
    </w:p>
    <w:bookmarkEnd w:id="1753"/>
    <w:p w14:paraId="410761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工程量清单说明</w:t>
      </w:r>
    </w:p>
    <w:p w14:paraId="034AA6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2B5AE6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1.2本工程量清单应与招标文件中的投标人须知、通用合同条款、专用合同条款、工程量清单计量规则、技术规范及图纸等一起阅读和理解。</w:t>
      </w:r>
    </w:p>
    <w:p w14:paraId="7D2CD9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14:paraId="481F70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1.4</w:t>
      </w:r>
      <w:r>
        <w:rPr>
          <w:rFonts w:ascii="宋体" w:hAnsi="宋体"/>
          <w:color w:val="auto"/>
          <w:sz w:val="24"/>
          <w:highlight w:val="none"/>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14:paraId="5D45E2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对作业和材料的一般说明或规定，未重复写入工程量清单内，在给工程量清单各子目标价前，应参阅第七章“技术规范”的有关内容。</w:t>
      </w:r>
    </w:p>
    <w:p w14:paraId="5F2238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1.6</w:t>
      </w:r>
      <w:r>
        <w:rPr>
          <w:rFonts w:ascii="宋体" w:hAnsi="宋体"/>
          <w:color w:val="auto"/>
          <w:sz w:val="24"/>
          <w:highlight w:val="none"/>
        </w:rPr>
        <w:t>工程量清单中所列工程量的变动，丝毫不会降低或影响合同条款的效力，也不免除承包人按规定的标准进行施工和修复缺陷的责任。</w:t>
      </w:r>
    </w:p>
    <w:p w14:paraId="79A5E5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图纸中所列的工程数量表及数量汇总表仅是提供资料，不是工程量清单的外延。当图纸与工程量清单所列数量不一致时，以工程量清单所列数量作为报价的依据。</w:t>
      </w:r>
    </w:p>
    <w:p w14:paraId="26FAE2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 xml:space="preserve"> 投标报价说明</w:t>
      </w:r>
    </w:p>
    <w:p w14:paraId="683FD5F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2.1</w:t>
      </w:r>
      <w:r>
        <w:rPr>
          <w:rFonts w:ascii="宋体" w:hAnsi="宋体"/>
          <w:color w:val="auto"/>
          <w:sz w:val="24"/>
          <w:highlight w:val="none"/>
        </w:rPr>
        <w:t>工程量清单中的每一子目须填入单价或价格，且只允许有一个报价。</w:t>
      </w:r>
    </w:p>
    <w:p w14:paraId="0D4686A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2.2</w:t>
      </w:r>
      <w:r>
        <w:rPr>
          <w:rFonts w:ascii="宋体" w:hAnsi="宋体"/>
          <w:color w:val="auto"/>
          <w:sz w:val="24"/>
          <w:highlight w:val="none"/>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14:paraId="49C9F35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2.3</w:t>
      </w:r>
      <w:r>
        <w:rPr>
          <w:rFonts w:ascii="宋体" w:hAnsi="宋体"/>
          <w:color w:val="auto"/>
          <w:sz w:val="24"/>
          <w:highlight w:val="none"/>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4ECE150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2.4</w:t>
      </w:r>
      <w:r>
        <w:rPr>
          <w:rFonts w:ascii="宋体" w:hAnsi="宋体"/>
          <w:color w:val="auto"/>
          <w:sz w:val="24"/>
          <w:highlight w:val="none"/>
        </w:rPr>
        <w:t>符合合同条款规定的全部费用应认为已被计入有标价的工程量清单所列各子目之中，未列子目不予计量的工作，其费用应视为已分摊在本合同工程的有关子目的单价或总额价之中。</w:t>
      </w:r>
    </w:p>
    <w:p w14:paraId="7A82FD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2.5</w:t>
      </w:r>
      <w:r>
        <w:rPr>
          <w:rFonts w:ascii="宋体" w:hAnsi="宋体"/>
          <w:color w:val="auto"/>
          <w:sz w:val="24"/>
          <w:highlight w:val="none"/>
        </w:rPr>
        <w:t>承包人用于本合同工程的各类装备的提供、运输、维护、拆卸、拼装等支付的费用，已包括在工程量清单的单价与总额价之中。</w:t>
      </w:r>
    </w:p>
    <w:p w14:paraId="5F99375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2.6</w:t>
      </w:r>
      <w:r>
        <w:rPr>
          <w:rFonts w:ascii="宋体" w:hAnsi="宋体"/>
          <w:color w:val="auto"/>
          <w:sz w:val="24"/>
          <w:highlight w:val="none"/>
        </w:rPr>
        <w:t>工程量清单中各项金额均以人民币(元)结算。</w:t>
      </w:r>
    </w:p>
    <w:p w14:paraId="29AA7D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2.7 暂列金额的数量及拟用子目的说明：</w:t>
      </w:r>
    </w:p>
    <w:p w14:paraId="3CD93C9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暂列金额按本合同工程量清单第200章至第900章合计价的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%（按清单预算）</w:t>
      </w:r>
    </w:p>
    <w:p w14:paraId="7A476C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计列并包含于投标总价，暂列金额应由监理人报发包人批准后指令全部或部分地使用，或者根本不予动用。符合下列条件的可在暂列金额中计量支付：</w:t>
      </w:r>
    </w:p>
    <w:p w14:paraId="674B08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 未包括在合同和图纸中，在施工过程中可能会发生且未包含在承包人风险范 围之内的一些杂项费用，包括由发包人临时指定承包人进行施工的合同外小工程或劳务 支出等；在施工过程中新增的未包含在承包人风险范围内的零星工程；在施工过程中按 照监理人和发包人指令为加快进度、提高质量所增加的措施费用，经发包人同意可以在 暂定金额中计量；</w:t>
      </w:r>
    </w:p>
    <w:p w14:paraId="7E61F4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 如发包人或监理人提出对承包人工程质量质疑而附加进行的各种检验 (如桩 基础静载、梁板荷载、结构物破坏性试验、大应变和桩基础取芯检验等) ，如检测结果 符合要求，检测费用由发包人承担，费用从本项中进行计量支付；如检测结果不符合要 求，相应费用由承包人自行承担，不能在暂定金额中计量和支付；</w:t>
      </w:r>
    </w:p>
    <w:p w14:paraId="5B64C8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 零星补充地质勘探；</w:t>
      </w:r>
    </w:p>
    <w:p w14:paraId="5BBD37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  按合同条款规定，经审批确定由发包人承担费用的变更工程所发生的费用以 及发包人认为需要或适合在此项费用开支的其他费用。</w:t>
      </w:r>
    </w:p>
    <w:p w14:paraId="179664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2.8 专项暂定金额的计量：按发包人给定的金额计列，由发包人根据工程实际批准 使用。</w:t>
      </w:r>
    </w:p>
    <w:p w14:paraId="447945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 计日工说明</w:t>
      </w:r>
    </w:p>
    <w:p w14:paraId="2C00A4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ascii="宋体" w:hAnsi="宋体"/>
          <w:color w:val="auto"/>
          <w:sz w:val="24"/>
          <w:highlight w:val="none"/>
        </w:rPr>
        <w:t>本款不适用。</w:t>
      </w:r>
    </w:p>
    <w:p w14:paraId="131DB8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 xml:space="preserve"> 其他说明</w:t>
      </w:r>
    </w:p>
    <w:p w14:paraId="556D9C74">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ascii="宋体" w:hAnsi="宋体"/>
          <w:color w:val="auto"/>
          <w:spacing w:val="-5"/>
          <w:sz w:val="24"/>
          <w:highlight w:val="none"/>
        </w:rPr>
      </w:pPr>
      <w:r>
        <w:rPr>
          <w:rFonts w:hint="eastAsia" w:ascii="宋体" w:hAnsi="宋体"/>
          <w:color w:val="auto"/>
          <w:spacing w:val="-5"/>
          <w:sz w:val="24"/>
          <w:highlight w:val="none"/>
        </w:rPr>
        <w:t>工程量清单中各个细目的报价与计量支付原则，详见招标文件第七章技术规范的工程量清单计量与支付规则。</w:t>
      </w:r>
    </w:p>
    <w:p w14:paraId="416E81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s="宋体"/>
          <w:color w:val="auto"/>
          <w:sz w:val="24"/>
          <w:highlight w:val="none"/>
        </w:rPr>
        <w:t>5.</w:t>
      </w:r>
      <w:r>
        <w:rPr>
          <w:rFonts w:ascii="宋体" w:hAnsi="宋体"/>
          <w:color w:val="auto"/>
          <w:sz w:val="24"/>
          <w:highlight w:val="none"/>
        </w:rPr>
        <w:t xml:space="preserve"> 工程量清单</w:t>
      </w:r>
    </w:p>
    <w:p w14:paraId="757853B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5.1</w:t>
      </w:r>
      <w:r>
        <w:rPr>
          <w:rFonts w:ascii="宋体" w:hAnsi="宋体"/>
          <w:color w:val="auto"/>
          <w:sz w:val="24"/>
          <w:highlight w:val="none"/>
        </w:rPr>
        <w:t>工程量清单表</w:t>
      </w:r>
    </w:p>
    <w:p w14:paraId="47DFBC47">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ascii="宋体" w:hAnsi="宋体"/>
          <w:color w:val="auto"/>
          <w:spacing w:val="-5"/>
          <w:sz w:val="24"/>
          <w:highlight w:val="none"/>
        </w:rPr>
      </w:pPr>
      <w:r>
        <w:rPr>
          <w:rFonts w:hint="eastAsia" w:ascii="宋体" w:hAnsi="宋体"/>
          <w:color w:val="auto"/>
          <w:spacing w:val="-5"/>
          <w:sz w:val="24"/>
          <w:highlight w:val="none"/>
        </w:rPr>
        <w:t>工程量清单具体应执行《广东省公路工程造价标准化管理指南》（粤交基〔2022〕483 号）及现行的《广东省执行交通运输部&lt;公路工程标准施工招标文件范本&gt;的补充规定》、《广东省公路工程施工招标清单预算管理规程》。如以上文件有修订，本范本则依照最新修订版本执行。</w:t>
      </w:r>
    </w:p>
    <w:p w14:paraId="708A368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pacing w:val="-5"/>
          <w:sz w:val="24"/>
          <w:highlight w:val="none"/>
        </w:rPr>
      </w:pPr>
    </w:p>
    <w:p w14:paraId="75A699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备注：</w:t>
      </w:r>
      <w:r>
        <w:rPr>
          <w:rFonts w:hint="eastAsia" w:ascii="宋体" w:hAnsi="宋体" w:cs="宋体"/>
          <w:color w:val="auto"/>
          <w:sz w:val="24"/>
          <w:highlight w:val="none"/>
        </w:rPr>
        <w:t>投标人应按照第五章“工程量清单”的要求逐项填报工程量清单。工程量清单不需要附项目清单、分项清单及单价分析表，但投标人中标后，发包人可要求中标人提交项目清单、分项清单及单价分析表，中标人不得拒绝。</w:t>
      </w:r>
    </w:p>
    <w:p w14:paraId="2680382E">
      <w:pPr>
        <w:pStyle w:val="54"/>
        <w:rPr>
          <w:rFonts w:ascii="宋体" w:hAnsi="宋体" w:cs="宋体"/>
          <w:color w:val="auto"/>
          <w:sz w:val="24"/>
          <w:highlight w:val="none"/>
        </w:rPr>
      </w:pPr>
    </w:p>
    <w:p w14:paraId="71582F35">
      <w:pPr>
        <w:pStyle w:val="54"/>
        <w:rPr>
          <w:rFonts w:ascii="宋体" w:hAnsi="宋体" w:cs="宋体"/>
          <w:color w:val="auto"/>
          <w:sz w:val="24"/>
          <w:highlight w:val="none"/>
        </w:rPr>
      </w:pPr>
    </w:p>
    <w:sectPr>
      <w:footerReference r:id="rId25" w:type="first"/>
      <w:footerReference r:id="rId24" w:type="default"/>
      <w:footnotePr>
        <w:numFmt w:val="decimalEnclosedCircleChinese"/>
      </w:footnotePr>
      <w:pgSz w:w="11906" w:h="16838"/>
      <w:pgMar w:top="1038" w:right="924" w:bottom="936" w:left="1418" w:header="624" w:footer="5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C59BA">
    <w:pPr>
      <w:pStyle w:val="2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6074734D">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zHgNQAAAADAQAADwAAAAAAAAABACAAAAAi&#10;AAAAZHJzL2Rvd25yZXYueG1sUEsBAhQAFAAAAAgAh07iQJWJnovVAQAAowMAAA4AAAAAAAAAAQAg&#10;AAAAIwEAAGRycy9lMm9Eb2MueG1sUEsFBgAAAAAGAAYAWQEAAGoFAAAAAA==&#10;">
              <v:fill on="f" focussize="0,0"/>
              <v:stroke on="f" weight="1.25pt"/>
              <v:imagedata o:title=""/>
              <o:lock v:ext="edit" aspectratio="f"/>
              <v:textbox inset="0mm,0mm,0mm,0mm" style="mso-fit-shape-to-text:t;">
                <w:txbxContent>
                  <w:p w14:paraId="6074734D">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0FA20">
    <w:pPr>
      <w:pStyle w:val="26"/>
      <w:jc w:val="cente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4EB651">
                          <w:pPr>
                            <w:pStyle w:val="26"/>
                          </w:pPr>
                          <w:r>
                            <w:fldChar w:fldCharType="begin"/>
                          </w:r>
                          <w:r>
                            <w:instrText xml:space="preserve"> PAGE  \* MERGEFORMAT </w:instrText>
                          </w:r>
                          <w:r>
                            <w:fldChar w:fldCharType="separate"/>
                          </w:r>
                          <w:r>
                            <w:t>238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0lFs0BAACp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kSRWGHrxy4/vl5+/L7++sapK&#10;Ag0ea6q791QZx7dupLVZ4kjBxHvsgklfYsQoT1jnq7wwRibTpXW1XpeUkpRbHMIvHq77gPEdOMOS&#10;0fBA75dlFacPGKfSpSR1s+5OaZ3fUNu/AoQ5RSAvwXw7MZkmTlYc9+NMb+/aM7EbaBEabmnvOdPv&#10;LelM08bFCIuxX4yjD+rQ56VK3dG/OUYaKU+aOkywxDA59IKZ67xtaUUe+7nq4Q/b/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0lFs0BAACpAwAADgAAAAAAAAABACAAAAAeAQAAZHJzL2Uy&#10;b0RvYy54bWxQSwUGAAAAAAYABgBZAQAAXQUAAAAA&#10;">
              <v:fill on="f" focussize="0,0"/>
              <v:stroke on="f"/>
              <v:imagedata o:title=""/>
              <o:lock v:ext="edit" aspectratio="f"/>
              <v:textbox inset="0mm,0mm,0mm,0mm" style="mso-fit-shape-to-text:t;">
                <w:txbxContent>
                  <w:p w14:paraId="784EB651">
                    <w:pPr>
                      <w:pStyle w:val="26"/>
                    </w:pPr>
                    <w:r>
                      <w:fldChar w:fldCharType="begin"/>
                    </w:r>
                    <w:r>
                      <w:instrText xml:space="preserve"> PAGE  \* MERGEFORMAT </w:instrText>
                    </w:r>
                    <w:r>
                      <w:fldChar w:fldCharType="separate"/>
                    </w:r>
                    <w:r>
                      <w:t>238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2596515</wp:posOffset>
              </wp:positionH>
              <wp:positionV relativeFrom="paragraph">
                <wp:posOffset>1826510825</wp:posOffset>
              </wp:positionV>
              <wp:extent cx="1181100" cy="12954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181100" cy="129540"/>
                      </a:xfrm>
                      <a:prstGeom prst="rect">
                        <a:avLst/>
                      </a:prstGeom>
                      <a:noFill/>
                      <a:ln w="15875">
                        <a:noFill/>
                      </a:ln>
                      <a:effectLst/>
                    </wps:spPr>
                    <wps:txbx>
                      <w:txbxContent>
                        <w:p w14:paraId="00E2103D">
                          <w:pPr>
                            <w:snapToGrid w:val="0"/>
                            <w:rPr>
                              <w:sz w:val="18"/>
                              <w:szCs w:val="18"/>
                            </w:rPr>
                          </w:pPr>
                        </w:p>
                      </w:txbxContent>
                    </wps:txbx>
                    <wps:bodyPr wrap="square" lIns="0" tIns="0" rIns="0" bIns="0"/>
                  </wps:wsp>
                </a:graphicData>
              </a:graphic>
            </wp:anchor>
          </w:drawing>
        </mc:Choice>
        <mc:Fallback>
          <w:pict>
            <v:shape id="文本框 5" o:spid="_x0000_s1026" o:spt="202" type="#_x0000_t202" style="position:absolute;left:0pt;margin-left:204.45pt;margin-top:143819.75pt;height:10.2pt;width:93pt;mso-position-horizontal-relative:margin;z-index:251660288;mso-width-relative:page;mso-height-relative:page;" filled="f" stroked="f" coordsize="21600,21600" o:gfxdata="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OVXk3gAAABEBAAAPAAAAAAAAAAEAIAAAACIA&#10;AABkcnMvZG93bnJldi54bWxQSwECFAAUAAAACACHTuJA8R3gnsoBAACMAwAADgAAAAAAAAABACAA&#10;AAAtAQAAZHJzL2Uyb0RvYy54bWxQSwUGAAAAAAYABgBZAQAAaQUAAAAA&#10;">
              <v:fill on="f" focussize="0,0"/>
              <v:stroke on="f" weight="1.25pt"/>
              <v:imagedata o:title=""/>
              <o:lock v:ext="edit" aspectratio="f"/>
              <v:textbox inset="0mm,0mm,0mm,0mm">
                <w:txbxContent>
                  <w:p w14:paraId="00E2103D">
                    <w:pPr>
                      <w:snapToGrid w:val="0"/>
                      <w:rPr>
                        <w:sz w:val="18"/>
                        <w:szCs w:val="18"/>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83331">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h6IMx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YeiDMQIAAGQEAAAOAAAAAAAAAAEAIAAAAB8BAABkcnMvZTJvRG9jLnhtbFBLBQYA&#10;AAAABgAGAFkBAADCBQAAAAA=&#10;">
              <v:fill on="f" focussize="0,0"/>
              <v:stroke on="f" weight="0.5pt"/>
              <v:imagedata o:title=""/>
              <o:lock v:ext="edit" aspectratio="f"/>
              <v:textbox inset="0mm,0mm,0mm,0mm" style="mso-fit-shape-to-text:t;">
                <w:txbxContent>
                  <w:p w14:paraId="2AF83331">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14:paraId="334D7AAB">
                          <w:pPr>
                            <w:pStyle w:val="26"/>
                          </w:pP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y1KYZ0gEAAK8DAAAOAAAAAAAAAAEAIAAAAB4BAABk&#10;cnMvZTJvRG9jLnhtbFBLBQYAAAAABgAGAFkBAABiBQAAAAA=&#10;">
              <v:fill on="f" focussize="0,0"/>
              <v:stroke on="f" joinstyle="miter"/>
              <v:imagedata o:title=""/>
              <o:lock v:ext="edit" aspectratio="f"/>
              <v:textbox inset="0mm,0mm,0mm,0mm" style="mso-fit-shape-to-text:t;">
                <w:txbxContent>
                  <w:p w14:paraId="334D7AAB">
                    <w:pPr>
                      <w:pStyle w:val="26"/>
                    </w:pPr>
                  </w:p>
                </w:txbxContent>
              </v:textbox>
            </v:shape>
          </w:pict>
        </mc:Fallback>
      </mc:AlternateContent>
    </w:r>
  </w:p>
  <w:p w14:paraId="43967403">
    <w:pPr>
      <w:pStyle w:val="2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446A">
    <w:pPr>
      <w:pStyle w:val="26"/>
      <w:ind w:firstLine="4590" w:firstLineChars="2550"/>
      <w:rPr>
        <w:color w:val="FFFFFF"/>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14:paraId="3F54A036">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错误！未指定书签。</w:t>
                          </w:r>
                          <w:r>
                            <w:rPr>
                              <w:rFonts w:hint="eastAsia"/>
                              <w:sz w:val="18"/>
                            </w:rPr>
                            <w:fldChar w:fldCharType="end"/>
                          </w:r>
                          <w:r>
                            <w:rPr>
                              <w:rFonts w:hint="eastAsia"/>
                              <w:sz w:val="18"/>
                            </w:rPr>
                            <w:t>页</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xDqovaAQAAugMAAA4AAAAAAAAAAQAg&#10;AAAAHgEAAGRycy9lMm9Eb2MueG1sUEsFBgAAAAAGAAYAWQEAAGoFAAAAAA==&#10;">
              <v:fill on="f" focussize="0,0"/>
              <v:stroke on="f" joinstyle="miter"/>
              <v:imagedata o:title=""/>
              <o:lock v:ext="edit" aspectratio="f"/>
              <v:textbox inset="0mm,0mm,0mm,0mm" style="mso-fit-shape-to-text:t;">
                <w:txbxContent>
                  <w:p w14:paraId="3F54A036">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错误！未指定书签。</w:t>
                    </w:r>
                    <w:r>
                      <w:rPr>
                        <w:rFonts w:hint="eastAsia"/>
                        <w:sz w:val="18"/>
                      </w:rPr>
                      <w:fldChar w:fldCharType="end"/>
                    </w:r>
                    <w:r>
                      <w:rPr>
                        <w:rFonts w:hint="eastAsia"/>
                        <w:sz w:val="18"/>
                      </w:rPr>
                      <w:t>页</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4197">
    <w:pPr>
      <w:pStyle w:val="2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14:paraId="12C6DF38">
                          <w:pPr>
                            <w:pStyle w:val="26"/>
                          </w:pPr>
                          <w:r>
                            <w:fldChar w:fldCharType="begin"/>
                          </w:r>
                          <w:r>
                            <w:instrText xml:space="preserve"> PAGE  \* MERGEFORMAT </w:instrText>
                          </w:r>
                          <w:r>
                            <w:fldChar w:fldCharType="separate"/>
                          </w:r>
                          <w:r>
                            <w:t>243</w:t>
                          </w:r>
                          <w:r>
                            <w:fldChar w:fldCharType="end"/>
                          </w:r>
                        </w:p>
                      </w:txbxContent>
                    </wps:txbx>
                    <wps:bodyPr rot="0"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H9aTf7lAQAA&#10;yQMAAA4AAAAAAAAAAQAgAAAAIgEAAGRycy9lMm9Eb2MueG1sUEsFBgAAAAAGAAYAWQEAAHkFAAAA&#10;AA==&#10;">
              <v:fill on="f" focussize="0,0"/>
              <v:stroke on="f" weight="1pt"/>
              <v:imagedata o:title=""/>
              <o:lock v:ext="edit" aspectratio="f"/>
              <v:textbox inset="0mm,0mm,0mm,0mm" style="mso-fit-shape-to-text:t;">
                <w:txbxContent>
                  <w:p w14:paraId="12C6DF38">
                    <w:pPr>
                      <w:pStyle w:val="26"/>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DEAE8">
    <w:pPr>
      <w:pStyle w:val="2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14:paraId="59A0B3FB">
                          <w:pPr>
                            <w:pStyle w:val="26"/>
                          </w:pPr>
                          <w:r>
                            <w:fldChar w:fldCharType="begin"/>
                          </w:r>
                          <w:r>
                            <w:instrText xml:space="preserve"> PAGE  \* MERGEFORMAT </w:instrText>
                          </w:r>
                          <w:r>
                            <w:fldChar w:fldCharType="separate"/>
                          </w:r>
                          <w:r>
                            <w:t>251</w:t>
                          </w:r>
                          <w:r>
                            <w:fldChar w:fldCharType="end"/>
                          </w:r>
                        </w:p>
                      </w:txbxContent>
                    </wps:txbx>
                    <wps:bodyPr rot="0" vert="horz" wrap="none" lIns="0" tIns="0" rIns="0" bIns="0" anchor="t" anchorCtr="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In3a/TAAAABQEA&#10;AA8AAAAAAAAAAQAgAAAAIgAAAGRycy9kb3ducmV2LnhtbFBLAQIUABQAAAAIAIdO4kDFMQhK5gEA&#10;AMkDAAAOAAAAAAAAAAEAIAAAACIBAABkcnMvZTJvRG9jLnhtbFBLBQYAAAAABgAGAFkBAAB6BQAA&#10;AAA=&#10;">
              <v:fill on="f" focussize="0,0"/>
              <v:stroke on="f" weight="1pt"/>
              <v:imagedata o:title=""/>
              <o:lock v:ext="edit" aspectratio="f"/>
              <v:textbox inset="0mm,0mm,0mm,0mm" style="mso-fit-shape-to-text:t;">
                <w:txbxContent>
                  <w:p w14:paraId="59A0B3FB">
                    <w:pPr>
                      <w:pStyle w:val="26"/>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E3DEA">
    <w:pPr>
      <w:pStyle w:val="26"/>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644B6">
    <w:pPr>
      <w:pStyle w:val="2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FAC05F">
                          <w:pPr>
                            <w:pStyle w:val="26"/>
                          </w:pPr>
                          <w:r>
                            <w:fldChar w:fldCharType="begin"/>
                          </w:r>
                          <w:r>
                            <w:instrText xml:space="preserve"> PAGE  \* MERGEFORMAT </w:instrText>
                          </w:r>
                          <w:r>
                            <w:fldChar w:fldCharType="separate"/>
                          </w:r>
                          <w:r>
                            <w:t>251</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y7c0BAACp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JmhaEXv3z/dvnx6/LzK1u9&#10;TgL1Hiuqe/BUGYc7N1DxHEcKJt5DG0z6EiNGeZL3fJUXhshkurRerdclpSTlZofwi8frPmB8C86w&#10;ZNQ80PtlWcXpPcaxdC5J3ay7V1rnN9T2rwBhjhHISzDdTkzGiZMVh/0w0du75kzselqEmlvae870&#10;O0s6p52ZjTAb+9k4+qAOXV6q1B397THSSHnS1GGEJYbJoRfMXKdtSyvyp5+rHv+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t+y7c0BAACpAwAADgAAAAAAAAABACAAAAAeAQAAZHJzL2Uy&#10;b0RvYy54bWxQSwUGAAAAAAYABgBZAQAAXQUAAAAA&#10;">
              <v:fill on="f" focussize="0,0"/>
              <v:stroke on="f"/>
              <v:imagedata o:title=""/>
              <o:lock v:ext="edit" aspectratio="f"/>
              <v:textbox inset="0mm,0mm,0mm,0mm" style="mso-fit-shape-to-text:t;">
                <w:txbxContent>
                  <w:p w14:paraId="4EFAC05F">
                    <w:pPr>
                      <w:pStyle w:val="26"/>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60B53">
    <w:pPr>
      <w:pStyle w:val="26"/>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41AC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255</w:t>
                          </w:r>
                          <w:r>
                            <w:rPr>
                              <w:rFonts w:hint="eastAsia"/>
                              <w:sz w:val="18"/>
                            </w:rP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oNdLvOAQAAqQMAAA4AAAAAAAAAAQAgAAAAHgEAAGRycy9l&#10;Mm9Eb2MueG1sUEsFBgAAAAAGAAYAWQEAAF4FAAAAAA==&#10;">
              <v:fill on="f" focussize="0,0"/>
              <v:stroke on="f"/>
              <v:imagedata o:title=""/>
              <o:lock v:ext="edit" aspectratio="f"/>
              <v:textbox inset="0mm,0mm,0mm,0mm" style="mso-fit-shape-to-text:t;">
                <w:txbxContent>
                  <w:p w14:paraId="2641AC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255</w:t>
                    </w:r>
                    <w:r>
                      <w:rPr>
                        <w:rFonts w:hint="eastAsia"/>
                        <w:sz w:val="1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5B795">
    <w:pPr>
      <w:pStyle w:val="2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14:paraId="71FADD9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4384;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YmnLNYAAAAGAQAADwAAAAAAAAABACAA&#10;AAAiAAAAZHJzL2Rvd25yZXYueG1sUEsBAhQAFAAAAAgAh07iQGzW2prWAQAApQMAAA4AAAAAAAAA&#10;AQAgAAAAJQEAAGRycy9lMm9Eb2MueG1sUEsFBgAAAAAGAAYAWQEAAG0FAAAAAA==&#10;">
              <v:fill on="f" focussize="0,0"/>
              <v:stroke on="f" weight="1.25pt"/>
              <v:imagedata o:title=""/>
              <o:lock v:ext="edit" aspectratio="f"/>
              <v:textbox inset="0mm,0mm,0mm,0mm" style="mso-fit-shape-to-text:t;">
                <w:txbxContent>
                  <w:p w14:paraId="71FADD9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BE45">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5C4B2">
    <w:pPr>
      <w:pStyle w:val="2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55C4A229">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DxynQd1gEAAKMDAAAOAAAAAAAAAAEA&#10;IAAAACMBAABkcnMvZTJvRG9jLnhtbFBLBQYAAAAABgAGAFkBAABrBQAAAAA=&#10;">
              <v:fill on="f" focussize="0,0"/>
              <v:stroke on="f" weight="1.25pt"/>
              <v:imagedata o:title=""/>
              <o:lock v:ext="edit" aspectratio="f"/>
              <v:textbox inset="0mm,0mm,0mm,0mm" style="mso-fit-shape-to-text:t;">
                <w:txbxContent>
                  <w:p w14:paraId="55C4A229">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B7F8F">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C84E">
    <w:pPr>
      <w:pStyle w:val="26"/>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909F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Fikpc0BAACpAwAADgAAAAAAAAABACAAAAAeAQAAZHJzL2Uy&#10;b0RvYy54bWxQSwUGAAAAAAYABgBZAQAAXQUAAAAA&#10;">
              <v:fill on="f" focussize="0,0"/>
              <v:stroke on="f"/>
              <v:imagedata o:title=""/>
              <o:lock v:ext="edit" aspectratio="f"/>
              <v:textbox inset="0mm,0mm,0mm,0mm" style="mso-fit-shape-to-text:t;">
                <w:txbxContent>
                  <w:p w14:paraId="57909F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944F0">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9OOk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CZRoMb6OeIeLCJD+860CB7uPS4j77Z0Kv6CEYEf8p4u8oo2EB4fzaaz2RguDt9wAH72&#10;9Nw6H94Lo0g0curQvyQrO2596EKHkJhNm00tZeqh1KTJ6fXbq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39OOkzAgAAZQQAAA4AAAAAAAAAAQAgAAAAHwEAAGRycy9lMm9Eb2MueG1sUEsF&#10;BgAAAAAGAAYAWQEAAMQFAAAAAA==&#10;">
              <v:fill on="f" focussize="0,0"/>
              <v:stroke on="f" weight="0.5pt"/>
              <v:imagedata o:title=""/>
              <o:lock v:ext="edit" aspectratio="f"/>
              <v:textbox inset="0mm,0mm,0mm,0mm" style="mso-fit-shape-to-text:t;">
                <w:txbxContent>
                  <w:p w14:paraId="2AF944F0">
                    <w:pPr>
                      <w:snapToGrid w:val="0"/>
                      <w:rPr>
                        <w:sz w:val="18"/>
                      </w:rPr>
                    </w:pP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1E833431">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7052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u6tfj1gEAAKQDAAAOAAAAAAAAAAEA&#10;IAAAACMBAABkcnMvZTJvRG9jLnhtbFBLBQYAAAAABgAGAFkBAABrBQAAAAA=&#10;">
              <v:fill on="f" focussize="0,0"/>
              <v:stroke on="f" weight="1.25pt"/>
              <v:imagedata o:title=""/>
              <o:lock v:ext="edit" aspectratio="f"/>
              <v:textbox inset="0mm,0mm,0mm,0mm" style="mso-fit-shape-to-text:t;">
                <w:txbxContent>
                  <w:p w14:paraId="1E833431">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5641C">
    <w:pPr>
      <w:pStyle w:val="26"/>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CE361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9YsM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PIk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29YsMzAgAAZQQAAA4AAAAAAAAAAQAgAAAAHwEAAGRycy9lMm9Eb2MueG1sUEsF&#10;BgAAAAAGAAYAWQEAAMQFAAAAAA==&#10;">
              <v:fill on="f" focussize="0,0"/>
              <v:stroke on="f" weight="0.5pt"/>
              <v:imagedata o:title=""/>
              <o:lock v:ext="edit" aspectratio="f"/>
              <v:textbox inset="0mm,0mm,0mm,0mm" style="mso-fit-shape-to-text:t;">
                <w:txbxContent>
                  <w:p w14:paraId="56CE361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BC3D">
    <w:pPr>
      <w:pStyle w:val="26"/>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E7CA6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M84ts0BAACpAwAADgAAAAAAAAABACAAAAAeAQAAZHJzL2Uy&#10;b0RvYy54bWxQSwUGAAAAAAYABgBZAQAAXQUAAAAA&#10;">
              <v:fill on="f" focussize="0,0"/>
              <v:stroke on="f"/>
              <v:imagedata o:title=""/>
              <o:lock v:ext="edit" aspectratio="f"/>
              <v:textbox inset="0mm,0mm,0mm,0mm" style="mso-fit-shape-to-text:t;">
                <w:txbxContent>
                  <w:p w14:paraId="78E7CA6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15875">
                        <a:noFill/>
                      </a:ln>
                      <a:effectLst/>
                    </wps:spPr>
                    <wps:txbx>
                      <w:txbxContent>
                        <w:p w14:paraId="24FF0689">
                          <w:pPr>
                            <w:pStyle w:val="26"/>
                          </w:pPr>
                        </w:p>
                      </w:txbxContent>
                    </wps:txbx>
                    <wps:bodyPr wrap="square" lIns="0" tIns="0" rIns="0" bIns="0"/>
                  </wps:wsp>
                </a:graphicData>
              </a:graphic>
            </wp:anchor>
          </w:drawing>
        </mc:Choice>
        <mc:Fallback>
          <w:pict>
            <v:shape id="文本框 17" o:spid="_x0000_s1026" o:spt="202" type="#_x0000_t202" style="position:absolute;left:0pt;margin-top:-0.9pt;height:23.4pt;width:90pt;mso-position-horizontal:center;mso-position-horizontal-relative:margin;z-index:251665408;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wjZsbVAAAABgEAAA8AAAAAAAAAAQAgAAAAIgAAAGRycy9k&#10;b3ducmV2LnhtbFBLAQIUABQAAAAIAIdO4kDCfeo4zAEAAI0DAAAOAAAAAAAAAAEAIAAAACQBAABk&#10;cnMvZTJvRG9jLnhtbFBLBQYAAAAABgAGAFkBAABiBQAAAAA=&#10;">
              <v:fill on="f" focussize="0,0"/>
              <v:stroke on="f" weight="1.25pt"/>
              <v:imagedata o:title=""/>
              <o:lock v:ext="edit" aspectratio="f"/>
              <v:textbox inset="0mm,0mm,0mm,0mm">
                <w:txbxContent>
                  <w:p w14:paraId="24FF0689">
                    <w:pPr>
                      <w:pStyle w:val="26"/>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964F">
    <w:pPr>
      <w:pStyle w:val="26"/>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B3EE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94</w:t>
                          </w:r>
                          <w:r>
                            <w:rPr>
                              <w:rFonts w:hint="eastAsia"/>
                              <w:sz w:val="18"/>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Ve+HftgBAACyAwAADgAAAAAAAAABACAA&#10;AAAfAQAAZHJzL2Uyb0RvYy54bWxQSwUGAAAAAAYABgBZAQAAaQUAAAAA&#10;">
              <v:fill on="f" focussize="0,0"/>
              <v:stroke on="f" weight="0.5pt"/>
              <v:imagedata o:title=""/>
              <o:lock v:ext="edit" aspectratio="f"/>
              <v:textbox inset="0mm,0mm,0mm,0mm" style="mso-fit-shape-to-text:t;">
                <w:txbxContent>
                  <w:p w14:paraId="76B3EE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94</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03E57">
    <w:pPr>
      <w:pStyle w:val="26"/>
      <w:ind w:firstLine="4590" w:firstLineChars="2550"/>
      <w:rPr>
        <w:color w:val="FFFFFF"/>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987C5B9">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Uw0nRAQAApQMAAA4AAABkcnMvZTJvRG9jLnhtbK1TS27bMBDd&#10;F8gdCO5jKUa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XlNimcGBn358P/38&#10;ffr1jdwm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s1MNJ0QEAAKUDAAAOAAAAAAAAAAEAIAAAACIB&#10;AABkcnMvZTJvRG9jLnhtbFBLBQYAAAAABgAGAFkBAABlBQAAAAA=&#10;">
              <v:fill on="f" focussize="0,0"/>
              <v:stroke on="f" weight="1.25pt"/>
              <v:imagedata o:title=""/>
              <o:lock v:ext="edit" aspectratio="f"/>
              <v:textbox inset="0mm,0mm,0mm,0mm" style="mso-fit-shape-to-text:t;">
                <w:txbxContent>
                  <w:p w14:paraId="6987C5B9">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CE74E">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681A4">
    <w:pPr>
      <w:pStyle w:val="27"/>
      <w:pBdr>
        <w:bottom w:val="none" w:color="auto" w:sz="0" w:space="1"/>
      </w:pBdr>
      <w:tabs>
        <w:tab w:val="left" w:pos="2059"/>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24F4F">
    <w:pPr>
      <w:pStyle w:val="2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D040">
    <w:pPr>
      <w:pStyle w:val="27"/>
      <w:pBdr>
        <w:bottom w:val="none" w:color="auto" w:sz="0" w:space="1"/>
      </w:pBdr>
      <w:tabs>
        <w:tab w:val="left" w:pos="2059"/>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11C7">
    <w:pPr>
      <w:pStyle w:val="2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DC2B">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56F56"/>
    <w:multiLevelType w:val="singleLevel"/>
    <w:tmpl w:val="B4A56F56"/>
    <w:lvl w:ilvl="0" w:tentative="0">
      <w:start w:val="7"/>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position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isLgl/>
      <w:suff w:val="space"/>
      <w:lvlText w:val="%2.%3.%4.%5"/>
      <w:lvlJc w:val="left"/>
      <w:pPr>
        <w:ind w:left="284" w:hanging="284"/>
      </w:pPr>
      <w:rPr>
        <w:rFonts w:hint="eastAsia" w:ascii="宋体" w:hAnsi="Times New Roman" w:eastAsia="宋体"/>
        <w:b/>
        <w:i w:val="0"/>
        <w:strike w:val="0"/>
        <w:dstrike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0E"/>
    <w:multiLevelType w:val="singleLevel"/>
    <w:tmpl w:val="0000000E"/>
    <w:lvl w:ilvl="0" w:tentative="0">
      <w:start w:val="1"/>
      <w:numFmt w:val="chineseCounting"/>
      <w:pStyle w:val="11"/>
      <w:suff w:val="space"/>
      <w:lvlText w:val="第%1章"/>
      <w:lvlJc w:val="left"/>
    </w:lvl>
  </w:abstractNum>
  <w:abstractNum w:abstractNumId="4">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2">
    <w:nsid w:val="387F144D"/>
    <w:multiLevelType w:val="singleLevel"/>
    <w:tmpl w:val="387F144D"/>
    <w:lvl w:ilvl="0" w:tentative="0">
      <w:start w:val="1"/>
      <w:numFmt w:val="chineseCounting"/>
      <w:suff w:val="space"/>
      <w:lvlText w:val="第%1条"/>
      <w:lvlJc w:val="left"/>
      <w:rPr>
        <w:rFonts w:hint="eastAsia"/>
      </w:rPr>
    </w:lvl>
  </w:abstractNum>
  <w:abstractNum w:abstractNumId="13">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69"/>
      <w:suff w:val="space"/>
      <w:lvlText w:val="%2."/>
      <w:lvlJc w:val="left"/>
      <w:pPr>
        <w:tabs>
          <w:tab w:val="left" w:pos="0"/>
        </w:tabs>
        <w:ind w:left="284" w:firstLine="0"/>
      </w:pPr>
      <w:rPr>
        <w:rFonts w:hint="eastAsia" w:ascii="宋体" w:hAnsi="宋体" w:eastAsia="宋体" w:cs="宋体"/>
      </w:rPr>
    </w:lvl>
    <w:lvl w:ilvl="2" w:tentative="0">
      <w:start w:val="1"/>
      <w:numFmt w:val="decimal"/>
      <w:pStyle w:val="71"/>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4FA9575"/>
    <w:multiLevelType w:val="singleLevel"/>
    <w:tmpl w:val="64FA9575"/>
    <w:lvl w:ilvl="0" w:tentative="0">
      <w:start w:val="1"/>
      <w:numFmt w:val="decimal"/>
      <w:suff w:val="nothing"/>
      <w:lvlText w:val="%1."/>
      <w:lvlJc w:val="left"/>
    </w:lvl>
  </w:abstractNum>
  <w:abstractNum w:abstractNumId="15">
    <w:nsid w:val="64FA95BE"/>
    <w:multiLevelType w:val="singleLevel"/>
    <w:tmpl w:val="64FA95BE"/>
    <w:lvl w:ilvl="0" w:tentative="0">
      <w:start w:val="1"/>
      <w:numFmt w:val="decimal"/>
      <w:suff w:val="nothing"/>
      <w:lvlText w:val="（%1）"/>
      <w:lvlJc w:val="left"/>
    </w:lvl>
  </w:abstractNum>
  <w:abstractNum w:abstractNumId="16">
    <w:nsid w:val="64FA95FB"/>
    <w:multiLevelType w:val="singleLevel"/>
    <w:tmpl w:val="64FA95FB"/>
    <w:lvl w:ilvl="0" w:tentative="0">
      <w:start w:val="1"/>
      <w:numFmt w:val="decimal"/>
      <w:suff w:val="nothing"/>
      <w:lvlText w:val="（%1）"/>
      <w:lvlJc w:val="left"/>
    </w:lvl>
  </w:abstractNum>
  <w:abstractNum w:abstractNumId="17">
    <w:nsid w:val="64FA9644"/>
    <w:multiLevelType w:val="singleLevel"/>
    <w:tmpl w:val="64FA9644"/>
    <w:lvl w:ilvl="0" w:tentative="0">
      <w:start w:val="1"/>
      <w:numFmt w:val="decimal"/>
      <w:suff w:val="nothing"/>
      <w:lvlText w:val="（%1）"/>
      <w:lvlJc w:val="left"/>
    </w:lvl>
  </w:abstractNum>
  <w:abstractNum w:abstractNumId="18">
    <w:nsid w:val="64FA965D"/>
    <w:multiLevelType w:val="singleLevel"/>
    <w:tmpl w:val="64FA965D"/>
    <w:lvl w:ilvl="0" w:tentative="0">
      <w:start w:val="1"/>
      <w:numFmt w:val="decimal"/>
      <w:suff w:val="nothing"/>
      <w:lvlText w:val="（%1）"/>
      <w:lvlJc w:val="left"/>
    </w:lvl>
  </w:abstractNum>
  <w:abstractNum w:abstractNumId="19">
    <w:nsid w:val="66709935"/>
    <w:multiLevelType w:val="singleLevel"/>
    <w:tmpl w:val="66709935"/>
    <w:lvl w:ilvl="0" w:tentative="0">
      <w:start w:val="8"/>
      <w:numFmt w:val="decimal"/>
      <w:suff w:val="nothing"/>
      <w:lvlText w:val="%1．"/>
      <w:lvlJc w:val="left"/>
    </w:lvl>
  </w:abstractNum>
  <w:abstractNum w:abstractNumId="20">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13"/>
  </w:num>
  <w:num w:numId="4">
    <w:abstractNumId w:val="19"/>
  </w:num>
  <w:num w:numId="5">
    <w:abstractNumId w:val="14"/>
  </w:num>
  <w:num w:numId="6">
    <w:abstractNumId w:val="15"/>
  </w:num>
  <w:num w:numId="7">
    <w:abstractNumId w:val="16"/>
  </w:num>
  <w:num w:numId="8">
    <w:abstractNumId w:val="17"/>
  </w:num>
  <w:num w:numId="9">
    <w:abstractNumId w:val="18"/>
  </w:num>
  <w:num w:numId="10">
    <w:abstractNumId w:val="20"/>
  </w:num>
  <w:num w:numId="11">
    <w:abstractNumId w:val="1"/>
  </w:num>
  <w:num w:numId="12">
    <w:abstractNumId w:val="9"/>
  </w:num>
  <w:num w:numId="13">
    <w:abstractNumId w:val="5"/>
  </w:num>
  <w:num w:numId="14">
    <w:abstractNumId w:val="6"/>
  </w:num>
  <w:num w:numId="15">
    <w:abstractNumId w:val="7"/>
  </w:num>
  <w:num w:numId="16">
    <w:abstractNumId w:val="12"/>
  </w:num>
  <w:num w:numId="17">
    <w:abstractNumId w:val="10"/>
  </w:num>
  <w:num w:numId="18">
    <w:abstractNumId w:val="8"/>
  </w:num>
  <w:num w:numId="19">
    <w:abstractNumId w:val="11"/>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forms"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jA1YTRhNjMwNWFhOGViYzI0MDZhZGRmNTg0NTQ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1DF8"/>
    <w:rsid w:val="00302B90"/>
    <w:rsid w:val="003078D2"/>
    <w:rsid w:val="00310B31"/>
    <w:rsid w:val="0031351C"/>
    <w:rsid w:val="003217B4"/>
    <w:rsid w:val="00323ED7"/>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0558"/>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267C"/>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039C"/>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B4239"/>
    <w:rsid w:val="008B4A37"/>
    <w:rsid w:val="008B5983"/>
    <w:rsid w:val="008B5C0D"/>
    <w:rsid w:val="008B7636"/>
    <w:rsid w:val="008B7DD4"/>
    <w:rsid w:val="008C1A07"/>
    <w:rsid w:val="008C1D06"/>
    <w:rsid w:val="008C4005"/>
    <w:rsid w:val="008C49C5"/>
    <w:rsid w:val="008D0CDA"/>
    <w:rsid w:val="008D40E9"/>
    <w:rsid w:val="008D558B"/>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4BF"/>
    <w:rsid w:val="00AA2693"/>
    <w:rsid w:val="00AA3EAE"/>
    <w:rsid w:val="00AA4520"/>
    <w:rsid w:val="00AA4609"/>
    <w:rsid w:val="00AA74AB"/>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B09D5"/>
    <w:rsid w:val="00BB20AA"/>
    <w:rsid w:val="00BB2A7D"/>
    <w:rsid w:val="00BB4E73"/>
    <w:rsid w:val="00BB5073"/>
    <w:rsid w:val="00BB5DF0"/>
    <w:rsid w:val="00BB6265"/>
    <w:rsid w:val="00BB7770"/>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6D53"/>
    <w:rsid w:val="00F97099"/>
    <w:rsid w:val="00F975D3"/>
    <w:rsid w:val="00F978CD"/>
    <w:rsid w:val="00FA1242"/>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272A80"/>
    <w:rsid w:val="0138518F"/>
    <w:rsid w:val="01A6243B"/>
    <w:rsid w:val="01A975FA"/>
    <w:rsid w:val="01D319DD"/>
    <w:rsid w:val="01FF3414"/>
    <w:rsid w:val="02276623"/>
    <w:rsid w:val="02305C5A"/>
    <w:rsid w:val="023A275E"/>
    <w:rsid w:val="024834EF"/>
    <w:rsid w:val="024C396F"/>
    <w:rsid w:val="029F6060"/>
    <w:rsid w:val="02EC325F"/>
    <w:rsid w:val="02EE5F03"/>
    <w:rsid w:val="031F6D59"/>
    <w:rsid w:val="034512CF"/>
    <w:rsid w:val="0369718D"/>
    <w:rsid w:val="036D416B"/>
    <w:rsid w:val="036E7F6D"/>
    <w:rsid w:val="037B07B2"/>
    <w:rsid w:val="0385666E"/>
    <w:rsid w:val="039C6BC9"/>
    <w:rsid w:val="03A91F09"/>
    <w:rsid w:val="03C42215"/>
    <w:rsid w:val="03D06AB2"/>
    <w:rsid w:val="03E43EA8"/>
    <w:rsid w:val="03F238EF"/>
    <w:rsid w:val="03F24DC6"/>
    <w:rsid w:val="03F509F2"/>
    <w:rsid w:val="03FE70CA"/>
    <w:rsid w:val="04390B08"/>
    <w:rsid w:val="044D0E2E"/>
    <w:rsid w:val="04B564EB"/>
    <w:rsid w:val="05103C33"/>
    <w:rsid w:val="05120DCD"/>
    <w:rsid w:val="052727D2"/>
    <w:rsid w:val="0541626C"/>
    <w:rsid w:val="05512F6C"/>
    <w:rsid w:val="0566391E"/>
    <w:rsid w:val="056702C8"/>
    <w:rsid w:val="057D43FA"/>
    <w:rsid w:val="058D2943"/>
    <w:rsid w:val="059102CD"/>
    <w:rsid w:val="05C15431"/>
    <w:rsid w:val="06382080"/>
    <w:rsid w:val="06A21D17"/>
    <w:rsid w:val="06A719C5"/>
    <w:rsid w:val="06B32B01"/>
    <w:rsid w:val="06B73083"/>
    <w:rsid w:val="06BA469C"/>
    <w:rsid w:val="06C059F0"/>
    <w:rsid w:val="06D84272"/>
    <w:rsid w:val="06DA3CF9"/>
    <w:rsid w:val="06F53549"/>
    <w:rsid w:val="06FB1C97"/>
    <w:rsid w:val="071F2490"/>
    <w:rsid w:val="07907A6C"/>
    <w:rsid w:val="07923111"/>
    <w:rsid w:val="079408E9"/>
    <w:rsid w:val="07BD5C46"/>
    <w:rsid w:val="07CD3169"/>
    <w:rsid w:val="07D24151"/>
    <w:rsid w:val="07EB22D1"/>
    <w:rsid w:val="08003304"/>
    <w:rsid w:val="08067789"/>
    <w:rsid w:val="0825330C"/>
    <w:rsid w:val="084A1F11"/>
    <w:rsid w:val="084E4E5E"/>
    <w:rsid w:val="08500CCB"/>
    <w:rsid w:val="086B2D25"/>
    <w:rsid w:val="08C173D5"/>
    <w:rsid w:val="08FA2F86"/>
    <w:rsid w:val="08FC6C67"/>
    <w:rsid w:val="090175E7"/>
    <w:rsid w:val="09493552"/>
    <w:rsid w:val="094A5C8C"/>
    <w:rsid w:val="0965293E"/>
    <w:rsid w:val="097C1E98"/>
    <w:rsid w:val="099C72AE"/>
    <w:rsid w:val="09A86181"/>
    <w:rsid w:val="09B02E2E"/>
    <w:rsid w:val="09B763F1"/>
    <w:rsid w:val="09BF66C0"/>
    <w:rsid w:val="09DF5ED2"/>
    <w:rsid w:val="0A085E4A"/>
    <w:rsid w:val="0A111F7C"/>
    <w:rsid w:val="0A1C1A19"/>
    <w:rsid w:val="0A481C84"/>
    <w:rsid w:val="0A4843DF"/>
    <w:rsid w:val="0A6A1286"/>
    <w:rsid w:val="0A7361E8"/>
    <w:rsid w:val="0A7553ED"/>
    <w:rsid w:val="0A8A7BC6"/>
    <w:rsid w:val="0A917D7D"/>
    <w:rsid w:val="0A957D67"/>
    <w:rsid w:val="0AA35975"/>
    <w:rsid w:val="0AA96BA7"/>
    <w:rsid w:val="0AD52896"/>
    <w:rsid w:val="0ADC1380"/>
    <w:rsid w:val="0AE47E42"/>
    <w:rsid w:val="0B262E7E"/>
    <w:rsid w:val="0B321B7D"/>
    <w:rsid w:val="0B60746C"/>
    <w:rsid w:val="0BC31119"/>
    <w:rsid w:val="0BDB4C3A"/>
    <w:rsid w:val="0BE5635A"/>
    <w:rsid w:val="0C0C564E"/>
    <w:rsid w:val="0C3D753B"/>
    <w:rsid w:val="0C803008"/>
    <w:rsid w:val="0C8542F1"/>
    <w:rsid w:val="0C88211D"/>
    <w:rsid w:val="0CEB4D54"/>
    <w:rsid w:val="0D122AD3"/>
    <w:rsid w:val="0D47792E"/>
    <w:rsid w:val="0D97603C"/>
    <w:rsid w:val="0DBC0E93"/>
    <w:rsid w:val="0DC33667"/>
    <w:rsid w:val="0DED416A"/>
    <w:rsid w:val="0E030797"/>
    <w:rsid w:val="0E5911AE"/>
    <w:rsid w:val="0E763D1A"/>
    <w:rsid w:val="0E966D0C"/>
    <w:rsid w:val="0EC47E38"/>
    <w:rsid w:val="0EEC0897"/>
    <w:rsid w:val="0F0E792B"/>
    <w:rsid w:val="0F2B0C29"/>
    <w:rsid w:val="0F410C1B"/>
    <w:rsid w:val="0F652341"/>
    <w:rsid w:val="0F78713B"/>
    <w:rsid w:val="0F8926C1"/>
    <w:rsid w:val="0F9E75F8"/>
    <w:rsid w:val="0FD540C6"/>
    <w:rsid w:val="0FDC721A"/>
    <w:rsid w:val="0FFA025E"/>
    <w:rsid w:val="10061EB8"/>
    <w:rsid w:val="10256796"/>
    <w:rsid w:val="103C1EC8"/>
    <w:rsid w:val="107446C0"/>
    <w:rsid w:val="1086368C"/>
    <w:rsid w:val="108F405E"/>
    <w:rsid w:val="109D078F"/>
    <w:rsid w:val="10C82F4E"/>
    <w:rsid w:val="10D0776E"/>
    <w:rsid w:val="10EF56FD"/>
    <w:rsid w:val="10F74FC2"/>
    <w:rsid w:val="11146EB1"/>
    <w:rsid w:val="115B4E23"/>
    <w:rsid w:val="115B5A86"/>
    <w:rsid w:val="115D1DA6"/>
    <w:rsid w:val="117169C2"/>
    <w:rsid w:val="11757DC9"/>
    <w:rsid w:val="117711F5"/>
    <w:rsid w:val="11AB70D0"/>
    <w:rsid w:val="11D53C86"/>
    <w:rsid w:val="11EA1D1F"/>
    <w:rsid w:val="11ED7E0F"/>
    <w:rsid w:val="11FF497A"/>
    <w:rsid w:val="12106784"/>
    <w:rsid w:val="124342E7"/>
    <w:rsid w:val="12494D8E"/>
    <w:rsid w:val="126E56A8"/>
    <w:rsid w:val="127500BF"/>
    <w:rsid w:val="128B537C"/>
    <w:rsid w:val="12D12D85"/>
    <w:rsid w:val="12D24757"/>
    <w:rsid w:val="12D92CED"/>
    <w:rsid w:val="12E844A3"/>
    <w:rsid w:val="12FA3A33"/>
    <w:rsid w:val="13033AD5"/>
    <w:rsid w:val="131C75ED"/>
    <w:rsid w:val="133F3C27"/>
    <w:rsid w:val="134E4840"/>
    <w:rsid w:val="13587D14"/>
    <w:rsid w:val="13625F4D"/>
    <w:rsid w:val="136B6F2A"/>
    <w:rsid w:val="1378132E"/>
    <w:rsid w:val="13854A5E"/>
    <w:rsid w:val="13877AAA"/>
    <w:rsid w:val="13916E35"/>
    <w:rsid w:val="13B14921"/>
    <w:rsid w:val="13B919E1"/>
    <w:rsid w:val="13DD60F3"/>
    <w:rsid w:val="13F70688"/>
    <w:rsid w:val="13FF3637"/>
    <w:rsid w:val="1409109F"/>
    <w:rsid w:val="14191ADB"/>
    <w:rsid w:val="142B3F97"/>
    <w:rsid w:val="14564EA2"/>
    <w:rsid w:val="14616CA9"/>
    <w:rsid w:val="14754DDE"/>
    <w:rsid w:val="1476355A"/>
    <w:rsid w:val="14810258"/>
    <w:rsid w:val="14A821D5"/>
    <w:rsid w:val="14D37DF5"/>
    <w:rsid w:val="14E835ED"/>
    <w:rsid w:val="1506268B"/>
    <w:rsid w:val="15272F18"/>
    <w:rsid w:val="153D13FE"/>
    <w:rsid w:val="154776F1"/>
    <w:rsid w:val="15482C41"/>
    <w:rsid w:val="15974250"/>
    <w:rsid w:val="159E1662"/>
    <w:rsid w:val="15B42809"/>
    <w:rsid w:val="15D911DF"/>
    <w:rsid w:val="15DA4B83"/>
    <w:rsid w:val="15E216B5"/>
    <w:rsid w:val="15ED5A58"/>
    <w:rsid w:val="162C6CB2"/>
    <w:rsid w:val="163568A5"/>
    <w:rsid w:val="16604583"/>
    <w:rsid w:val="166E068F"/>
    <w:rsid w:val="16777ECD"/>
    <w:rsid w:val="16AF7627"/>
    <w:rsid w:val="16B30809"/>
    <w:rsid w:val="16C1304D"/>
    <w:rsid w:val="171040E0"/>
    <w:rsid w:val="17195B93"/>
    <w:rsid w:val="17212B98"/>
    <w:rsid w:val="172B2E75"/>
    <w:rsid w:val="176C5A76"/>
    <w:rsid w:val="179C4A76"/>
    <w:rsid w:val="17C646BB"/>
    <w:rsid w:val="17D22FC7"/>
    <w:rsid w:val="17EC44B9"/>
    <w:rsid w:val="17FC2CB3"/>
    <w:rsid w:val="180B47A6"/>
    <w:rsid w:val="18132377"/>
    <w:rsid w:val="181D1C4C"/>
    <w:rsid w:val="18416B0B"/>
    <w:rsid w:val="18420655"/>
    <w:rsid w:val="184F055A"/>
    <w:rsid w:val="18575D65"/>
    <w:rsid w:val="18694749"/>
    <w:rsid w:val="186F023A"/>
    <w:rsid w:val="18711A73"/>
    <w:rsid w:val="1884144D"/>
    <w:rsid w:val="188761F2"/>
    <w:rsid w:val="188931D2"/>
    <w:rsid w:val="188932F1"/>
    <w:rsid w:val="18AA4093"/>
    <w:rsid w:val="18C3639C"/>
    <w:rsid w:val="18D655F1"/>
    <w:rsid w:val="18DE7568"/>
    <w:rsid w:val="18E4469E"/>
    <w:rsid w:val="18E87F50"/>
    <w:rsid w:val="18ED6702"/>
    <w:rsid w:val="18FD4947"/>
    <w:rsid w:val="190C1BE7"/>
    <w:rsid w:val="193F5973"/>
    <w:rsid w:val="19442A4D"/>
    <w:rsid w:val="19492AEA"/>
    <w:rsid w:val="194D3AC9"/>
    <w:rsid w:val="19685F9C"/>
    <w:rsid w:val="19965BB4"/>
    <w:rsid w:val="199B7E1F"/>
    <w:rsid w:val="19D96C4F"/>
    <w:rsid w:val="19E75257"/>
    <w:rsid w:val="19E81A6C"/>
    <w:rsid w:val="19EF4EF7"/>
    <w:rsid w:val="19F12F16"/>
    <w:rsid w:val="19F418BE"/>
    <w:rsid w:val="1A1B30B1"/>
    <w:rsid w:val="1A223D60"/>
    <w:rsid w:val="1A2608AF"/>
    <w:rsid w:val="1A4C5819"/>
    <w:rsid w:val="1A807F7F"/>
    <w:rsid w:val="1A9224D0"/>
    <w:rsid w:val="1AC06D68"/>
    <w:rsid w:val="1B1153AE"/>
    <w:rsid w:val="1B2E7BE8"/>
    <w:rsid w:val="1B3404EA"/>
    <w:rsid w:val="1B431208"/>
    <w:rsid w:val="1B7178E4"/>
    <w:rsid w:val="1B8D5D0B"/>
    <w:rsid w:val="1B990926"/>
    <w:rsid w:val="1BD7136C"/>
    <w:rsid w:val="1BD8756A"/>
    <w:rsid w:val="1BE6757E"/>
    <w:rsid w:val="1BEF0C63"/>
    <w:rsid w:val="1C005643"/>
    <w:rsid w:val="1C270694"/>
    <w:rsid w:val="1C3103F6"/>
    <w:rsid w:val="1C4155A7"/>
    <w:rsid w:val="1C531F97"/>
    <w:rsid w:val="1C7550F6"/>
    <w:rsid w:val="1C8F3FEF"/>
    <w:rsid w:val="1C906479"/>
    <w:rsid w:val="1CBD29F9"/>
    <w:rsid w:val="1CF05B1D"/>
    <w:rsid w:val="1CFE4D5B"/>
    <w:rsid w:val="1D0820A6"/>
    <w:rsid w:val="1D136646"/>
    <w:rsid w:val="1D5D664C"/>
    <w:rsid w:val="1D5E2780"/>
    <w:rsid w:val="1D65543B"/>
    <w:rsid w:val="1D79243E"/>
    <w:rsid w:val="1DA577ED"/>
    <w:rsid w:val="1DBA69FC"/>
    <w:rsid w:val="1DD42A27"/>
    <w:rsid w:val="1DDA4A1C"/>
    <w:rsid w:val="1DF3112A"/>
    <w:rsid w:val="1DF747CB"/>
    <w:rsid w:val="1E0823F2"/>
    <w:rsid w:val="1E260E83"/>
    <w:rsid w:val="1E2701AC"/>
    <w:rsid w:val="1E276399"/>
    <w:rsid w:val="1E341356"/>
    <w:rsid w:val="1E3A3CAF"/>
    <w:rsid w:val="1E4720E7"/>
    <w:rsid w:val="1E4B0FF8"/>
    <w:rsid w:val="1E592A0F"/>
    <w:rsid w:val="1E5D4E56"/>
    <w:rsid w:val="1E7A374E"/>
    <w:rsid w:val="1E7C1C53"/>
    <w:rsid w:val="1E924AE7"/>
    <w:rsid w:val="1EAE6E23"/>
    <w:rsid w:val="1EDA3FAB"/>
    <w:rsid w:val="1EE477A0"/>
    <w:rsid w:val="1EF17ACF"/>
    <w:rsid w:val="1EF46FC2"/>
    <w:rsid w:val="1F1C16B0"/>
    <w:rsid w:val="1F3D59A5"/>
    <w:rsid w:val="1F4257E9"/>
    <w:rsid w:val="1F6850E2"/>
    <w:rsid w:val="1F6C3A98"/>
    <w:rsid w:val="1F6E0D89"/>
    <w:rsid w:val="1F7D25DA"/>
    <w:rsid w:val="1FA63BE5"/>
    <w:rsid w:val="1FB3239E"/>
    <w:rsid w:val="1FBB0D34"/>
    <w:rsid w:val="1FC624D8"/>
    <w:rsid w:val="1FCD0DC2"/>
    <w:rsid w:val="1FDC30F1"/>
    <w:rsid w:val="1FE00A4B"/>
    <w:rsid w:val="1FFE2851"/>
    <w:rsid w:val="20505BEE"/>
    <w:rsid w:val="205138AB"/>
    <w:rsid w:val="20683984"/>
    <w:rsid w:val="207F1198"/>
    <w:rsid w:val="2087794C"/>
    <w:rsid w:val="20CC0941"/>
    <w:rsid w:val="20D128F2"/>
    <w:rsid w:val="20E51308"/>
    <w:rsid w:val="21091931"/>
    <w:rsid w:val="213E2EA1"/>
    <w:rsid w:val="216F0F77"/>
    <w:rsid w:val="217336E6"/>
    <w:rsid w:val="2194799D"/>
    <w:rsid w:val="21B909B9"/>
    <w:rsid w:val="21BA2AC2"/>
    <w:rsid w:val="21E21C0E"/>
    <w:rsid w:val="21E53673"/>
    <w:rsid w:val="21FB74E7"/>
    <w:rsid w:val="22257567"/>
    <w:rsid w:val="223175B2"/>
    <w:rsid w:val="223A312F"/>
    <w:rsid w:val="224D7B7A"/>
    <w:rsid w:val="225059CB"/>
    <w:rsid w:val="226A3A35"/>
    <w:rsid w:val="229413BA"/>
    <w:rsid w:val="22A86252"/>
    <w:rsid w:val="22AA4925"/>
    <w:rsid w:val="22C0677F"/>
    <w:rsid w:val="22DE5F28"/>
    <w:rsid w:val="22E505A2"/>
    <w:rsid w:val="23032F66"/>
    <w:rsid w:val="23107AAF"/>
    <w:rsid w:val="231E149A"/>
    <w:rsid w:val="231F6668"/>
    <w:rsid w:val="23362282"/>
    <w:rsid w:val="233E248C"/>
    <w:rsid w:val="234D19E9"/>
    <w:rsid w:val="234F0B1A"/>
    <w:rsid w:val="2372597F"/>
    <w:rsid w:val="2374166C"/>
    <w:rsid w:val="238920BB"/>
    <w:rsid w:val="23BE276C"/>
    <w:rsid w:val="23D76713"/>
    <w:rsid w:val="23DD042B"/>
    <w:rsid w:val="24206146"/>
    <w:rsid w:val="24341609"/>
    <w:rsid w:val="243C316D"/>
    <w:rsid w:val="243E434B"/>
    <w:rsid w:val="24421B74"/>
    <w:rsid w:val="244301A5"/>
    <w:rsid w:val="24457B3A"/>
    <w:rsid w:val="24506626"/>
    <w:rsid w:val="2488231E"/>
    <w:rsid w:val="24905AE4"/>
    <w:rsid w:val="249E6E2F"/>
    <w:rsid w:val="24C46FB6"/>
    <w:rsid w:val="250332B8"/>
    <w:rsid w:val="25074187"/>
    <w:rsid w:val="252923AB"/>
    <w:rsid w:val="25373650"/>
    <w:rsid w:val="2558601D"/>
    <w:rsid w:val="25BE07F9"/>
    <w:rsid w:val="25BF40E0"/>
    <w:rsid w:val="25CB47A5"/>
    <w:rsid w:val="25E83EE0"/>
    <w:rsid w:val="26087016"/>
    <w:rsid w:val="26605B6C"/>
    <w:rsid w:val="26704790"/>
    <w:rsid w:val="267E01D2"/>
    <w:rsid w:val="268222D7"/>
    <w:rsid w:val="269D5F7D"/>
    <w:rsid w:val="26A128C9"/>
    <w:rsid w:val="26FB0253"/>
    <w:rsid w:val="27164841"/>
    <w:rsid w:val="273F4CB5"/>
    <w:rsid w:val="27410A63"/>
    <w:rsid w:val="27460068"/>
    <w:rsid w:val="2753161C"/>
    <w:rsid w:val="27590D31"/>
    <w:rsid w:val="277A60AB"/>
    <w:rsid w:val="27840065"/>
    <w:rsid w:val="27886D81"/>
    <w:rsid w:val="27C54369"/>
    <w:rsid w:val="2811449B"/>
    <w:rsid w:val="285511EC"/>
    <w:rsid w:val="28965D63"/>
    <w:rsid w:val="28B70B59"/>
    <w:rsid w:val="290477A4"/>
    <w:rsid w:val="29121862"/>
    <w:rsid w:val="29142C02"/>
    <w:rsid w:val="2918110F"/>
    <w:rsid w:val="293E274E"/>
    <w:rsid w:val="29594084"/>
    <w:rsid w:val="298D3BAC"/>
    <w:rsid w:val="298E3718"/>
    <w:rsid w:val="29986A8C"/>
    <w:rsid w:val="29ED1066"/>
    <w:rsid w:val="29F648C8"/>
    <w:rsid w:val="2A0D6D35"/>
    <w:rsid w:val="2A17737B"/>
    <w:rsid w:val="2A2008D8"/>
    <w:rsid w:val="2A430052"/>
    <w:rsid w:val="2A584D21"/>
    <w:rsid w:val="2A616F93"/>
    <w:rsid w:val="2A64367C"/>
    <w:rsid w:val="2A663F31"/>
    <w:rsid w:val="2A6910D3"/>
    <w:rsid w:val="2A6B0855"/>
    <w:rsid w:val="2A6B54EF"/>
    <w:rsid w:val="2A923A78"/>
    <w:rsid w:val="2A9807F2"/>
    <w:rsid w:val="2A9C4B34"/>
    <w:rsid w:val="2AA83702"/>
    <w:rsid w:val="2ABC3F27"/>
    <w:rsid w:val="2B134799"/>
    <w:rsid w:val="2B20653D"/>
    <w:rsid w:val="2B266F08"/>
    <w:rsid w:val="2B44352B"/>
    <w:rsid w:val="2B4E7CA8"/>
    <w:rsid w:val="2B511F02"/>
    <w:rsid w:val="2B587219"/>
    <w:rsid w:val="2B601926"/>
    <w:rsid w:val="2B6835F0"/>
    <w:rsid w:val="2B940739"/>
    <w:rsid w:val="2B954674"/>
    <w:rsid w:val="2BAB173B"/>
    <w:rsid w:val="2C090ED9"/>
    <w:rsid w:val="2C1D00E0"/>
    <w:rsid w:val="2C3F012B"/>
    <w:rsid w:val="2C5405D1"/>
    <w:rsid w:val="2C7E2E47"/>
    <w:rsid w:val="2C7F1DCF"/>
    <w:rsid w:val="2C9A590A"/>
    <w:rsid w:val="2CA759EA"/>
    <w:rsid w:val="2CB10CA8"/>
    <w:rsid w:val="2CDA515E"/>
    <w:rsid w:val="2CF149C6"/>
    <w:rsid w:val="2D5F5D06"/>
    <w:rsid w:val="2D6B4743"/>
    <w:rsid w:val="2D8044D3"/>
    <w:rsid w:val="2DA12813"/>
    <w:rsid w:val="2DE84A63"/>
    <w:rsid w:val="2DEB621C"/>
    <w:rsid w:val="2E1D2F05"/>
    <w:rsid w:val="2E231110"/>
    <w:rsid w:val="2E350E71"/>
    <w:rsid w:val="2E415370"/>
    <w:rsid w:val="2E68632E"/>
    <w:rsid w:val="2E7701B7"/>
    <w:rsid w:val="2E811F00"/>
    <w:rsid w:val="2E823EE8"/>
    <w:rsid w:val="2EB140C2"/>
    <w:rsid w:val="2EB57F44"/>
    <w:rsid w:val="2ED10DA9"/>
    <w:rsid w:val="2ED15B5F"/>
    <w:rsid w:val="2EE221E3"/>
    <w:rsid w:val="2F7305E4"/>
    <w:rsid w:val="2F803204"/>
    <w:rsid w:val="2F8F591B"/>
    <w:rsid w:val="2FB3060A"/>
    <w:rsid w:val="2FCE5B1E"/>
    <w:rsid w:val="2FDE7753"/>
    <w:rsid w:val="2FEF0361"/>
    <w:rsid w:val="2FF614EE"/>
    <w:rsid w:val="30436A9A"/>
    <w:rsid w:val="304C34A3"/>
    <w:rsid w:val="30611B3E"/>
    <w:rsid w:val="306959DD"/>
    <w:rsid w:val="307216B2"/>
    <w:rsid w:val="30A048EF"/>
    <w:rsid w:val="30A21987"/>
    <w:rsid w:val="30AD61C5"/>
    <w:rsid w:val="30CB4079"/>
    <w:rsid w:val="30DA2523"/>
    <w:rsid w:val="30E01C54"/>
    <w:rsid w:val="31140E1D"/>
    <w:rsid w:val="312C4A57"/>
    <w:rsid w:val="312E593C"/>
    <w:rsid w:val="316D52EA"/>
    <w:rsid w:val="31785216"/>
    <w:rsid w:val="31944A9C"/>
    <w:rsid w:val="320E5953"/>
    <w:rsid w:val="322E5409"/>
    <w:rsid w:val="323954D8"/>
    <w:rsid w:val="323B2882"/>
    <w:rsid w:val="3248318A"/>
    <w:rsid w:val="324B5172"/>
    <w:rsid w:val="325C38FB"/>
    <w:rsid w:val="326C7130"/>
    <w:rsid w:val="328161FB"/>
    <w:rsid w:val="32E63CEB"/>
    <w:rsid w:val="32F22ABF"/>
    <w:rsid w:val="332A6465"/>
    <w:rsid w:val="33314EDB"/>
    <w:rsid w:val="335675DB"/>
    <w:rsid w:val="33567C45"/>
    <w:rsid w:val="338036E9"/>
    <w:rsid w:val="339252DF"/>
    <w:rsid w:val="3393661B"/>
    <w:rsid w:val="33941379"/>
    <w:rsid w:val="33970F14"/>
    <w:rsid w:val="33AE1321"/>
    <w:rsid w:val="33CB3314"/>
    <w:rsid w:val="33D90146"/>
    <w:rsid w:val="33DA1999"/>
    <w:rsid w:val="33FA5C92"/>
    <w:rsid w:val="341C2288"/>
    <w:rsid w:val="341F37EA"/>
    <w:rsid w:val="34485A7E"/>
    <w:rsid w:val="34512F0D"/>
    <w:rsid w:val="345B1B40"/>
    <w:rsid w:val="346425D6"/>
    <w:rsid w:val="346F3383"/>
    <w:rsid w:val="348F7181"/>
    <w:rsid w:val="34CB0A62"/>
    <w:rsid w:val="34D42007"/>
    <w:rsid w:val="34E14FC2"/>
    <w:rsid w:val="34FC06A8"/>
    <w:rsid w:val="35006F50"/>
    <w:rsid w:val="35155F52"/>
    <w:rsid w:val="354155DB"/>
    <w:rsid w:val="356A456C"/>
    <w:rsid w:val="35765D46"/>
    <w:rsid w:val="359C1008"/>
    <w:rsid w:val="35A2045C"/>
    <w:rsid w:val="35B932C7"/>
    <w:rsid w:val="35D51966"/>
    <w:rsid w:val="35F4580E"/>
    <w:rsid w:val="361D6083"/>
    <w:rsid w:val="363160E8"/>
    <w:rsid w:val="36336B04"/>
    <w:rsid w:val="364A608C"/>
    <w:rsid w:val="364C21A1"/>
    <w:rsid w:val="36A25E81"/>
    <w:rsid w:val="36A7267E"/>
    <w:rsid w:val="36C02DE4"/>
    <w:rsid w:val="36C46063"/>
    <w:rsid w:val="36EF0964"/>
    <w:rsid w:val="36F964C5"/>
    <w:rsid w:val="36FA12C5"/>
    <w:rsid w:val="372E0D47"/>
    <w:rsid w:val="373C1E47"/>
    <w:rsid w:val="374F291D"/>
    <w:rsid w:val="376F784C"/>
    <w:rsid w:val="37753AFC"/>
    <w:rsid w:val="37816E64"/>
    <w:rsid w:val="379E4B3A"/>
    <w:rsid w:val="37AE31C5"/>
    <w:rsid w:val="37E53925"/>
    <w:rsid w:val="37E7226A"/>
    <w:rsid w:val="37FB44BE"/>
    <w:rsid w:val="37FE3B62"/>
    <w:rsid w:val="3807365F"/>
    <w:rsid w:val="38841206"/>
    <w:rsid w:val="38842B21"/>
    <w:rsid w:val="388A0F0C"/>
    <w:rsid w:val="38B22A36"/>
    <w:rsid w:val="38B842AB"/>
    <w:rsid w:val="38E21299"/>
    <w:rsid w:val="38E82A6A"/>
    <w:rsid w:val="38E91841"/>
    <w:rsid w:val="38ED5E93"/>
    <w:rsid w:val="39006B5D"/>
    <w:rsid w:val="390B4877"/>
    <w:rsid w:val="39745EB7"/>
    <w:rsid w:val="398E2379"/>
    <w:rsid w:val="39904FFE"/>
    <w:rsid w:val="39967A4F"/>
    <w:rsid w:val="39AA21F8"/>
    <w:rsid w:val="39B373A8"/>
    <w:rsid w:val="39D32535"/>
    <w:rsid w:val="39F66885"/>
    <w:rsid w:val="3A173289"/>
    <w:rsid w:val="3A2002B9"/>
    <w:rsid w:val="3A3404B8"/>
    <w:rsid w:val="3A5969D7"/>
    <w:rsid w:val="3A7D0EFD"/>
    <w:rsid w:val="3A98147F"/>
    <w:rsid w:val="3AA8258A"/>
    <w:rsid w:val="3AB00351"/>
    <w:rsid w:val="3B1E031B"/>
    <w:rsid w:val="3B285155"/>
    <w:rsid w:val="3B3A7D13"/>
    <w:rsid w:val="3B3C43AA"/>
    <w:rsid w:val="3B472B34"/>
    <w:rsid w:val="3B567FF1"/>
    <w:rsid w:val="3B7558E0"/>
    <w:rsid w:val="3BAF5DD3"/>
    <w:rsid w:val="3BCD723F"/>
    <w:rsid w:val="3C1A63FE"/>
    <w:rsid w:val="3C2A1B75"/>
    <w:rsid w:val="3C305AD9"/>
    <w:rsid w:val="3C455744"/>
    <w:rsid w:val="3C59458E"/>
    <w:rsid w:val="3C5B4AA8"/>
    <w:rsid w:val="3C6A70E9"/>
    <w:rsid w:val="3C87185B"/>
    <w:rsid w:val="3C945066"/>
    <w:rsid w:val="3CBD1D89"/>
    <w:rsid w:val="3CDD2030"/>
    <w:rsid w:val="3CE942B0"/>
    <w:rsid w:val="3CF47E52"/>
    <w:rsid w:val="3D001E69"/>
    <w:rsid w:val="3D040AF0"/>
    <w:rsid w:val="3D33262A"/>
    <w:rsid w:val="3D497C25"/>
    <w:rsid w:val="3D526936"/>
    <w:rsid w:val="3D5C0FE1"/>
    <w:rsid w:val="3DBE1EF0"/>
    <w:rsid w:val="3DFF7BB8"/>
    <w:rsid w:val="3E1D7988"/>
    <w:rsid w:val="3E2640C3"/>
    <w:rsid w:val="3E2829A7"/>
    <w:rsid w:val="3E3D28CD"/>
    <w:rsid w:val="3E490C82"/>
    <w:rsid w:val="3E5766DA"/>
    <w:rsid w:val="3E721AC1"/>
    <w:rsid w:val="3EAD5738"/>
    <w:rsid w:val="3EF42816"/>
    <w:rsid w:val="3EFB3AA1"/>
    <w:rsid w:val="3EFE3805"/>
    <w:rsid w:val="3EFE5D2B"/>
    <w:rsid w:val="3F054809"/>
    <w:rsid w:val="3F280936"/>
    <w:rsid w:val="3F394E34"/>
    <w:rsid w:val="3F5C0D92"/>
    <w:rsid w:val="3F892368"/>
    <w:rsid w:val="3F937B2C"/>
    <w:rsid w:val="3FA21419"/>
    <w:rsid w:val="3FCB1064"/>
    <w:rsid w:val="3FD37A21"/>
    <w:rsid w:val="3FD528D1"/>
    <w:rsid w:val="3FEF7A43"/>
    <w:rsid w:val="3FF72BDD"/>
    <w:rsid w:val="400C1023"/>
    <w:rsid w:val="40391D8F"/>
    <w:rsid w:val="40770E48"/>
    <w:rsid w:val="407B0539"/>
    <w:rsid w:val="407F2D00"/>
    <w:rsid w:val="409107DD"/>
    <w:rsid w:val="40D979B2"/>
    <w:rsid w:val="40DE01D9"/>
    <w:rsid w:val="40ED0A97"/>
    <w:rsid w:val="41021F4C"/>
    <w:rsid w:val="4113523C"/>
    <w:rsid w:val="411B73DB"/>
    <w:rsid w:val="4125450C"/>
    <w:rsid w:val="415D7063"/>
    <w:rsid w:val="41794ED2"/>
    <w:rsid w:val="418737DA"/>
    <w:rsid w:val="41973F00"/>
    <w:rsid w:val="41A536F9"/>
    <w:rsid w:val="41C41EBD"/>
    <w:rsid w:val="41D854BE"/>
    <w:rsid w:val="420328B9"/>
    <w:rsid w:val="42112457"/>
    <w:rsid w:val="42326364"/>
    <w:rsid w:val="42823509"/>
    <w:rsid w:val="4295155E"/>
    <w:rsid w:val="42AD5D08"/>
    <w:rsid w:val="42B51F06"/>
    <w:rsid w:val="42CA5FA0"/>
    <w:rsid w:val="43204077"/>
    <w:rsid w:val="43287DFF"/>
    <w:rsid w:val="432A2749"/>
    <w:rsid w:val="43382DA2"/>
    <w:rsid w:val="437004DF"/>
    <w:rsid w:val="43717A0B"/>
    <w:rsid w:val="43A67007"/>
    <w:rsid w:val="43B330A8"/>
    <w:rsid w:val="43E721D3"/>
    <w:rsid w:val="43F54197"/>
    <w:rsid w:val="444609F6"/>
    <w:rsid w:val="446A2412"/>
    <w:rsid w:val="446D2DC8"/>
    <w:rsid w:val="44725AF2"/>
    <w:rsid w:val="449A4B87"/>
    <w:rsid w:val="44BE5822"/>
    <w:rsid w:val="44D631F8"/>
    <w:rsid w:val="44E663D7"/>
    <w:rsid w:val="44FD4B3A"/>
    <w:rsid w:val="450E4321"/>
    <w:rsid w:val="452837C5"/>
    <w:rsid w:val="455D1FCD"/>
    <w:rsid w:val="455F6FCB"/>
    <w:rsid w:val="456F6ED9"/>
    <w:rsid w:val="45844238"/>
    <w:rsid w:val="458B4DE9"/>
    <w:rsid w:val="45916115"/>
    <w:rsid w:val="45A02A9B"/>
    <w:rsid w:val="45C71DDB"/>
    <w:rsid w:val="45D60EF0"/>
    <w:rsid w:val="45DA5C79"/>
    <w:rsid w:val="45F33346"/>
    <w:rsid w:val="45F8591F"/>
    <w:rsid w:val="46466103"/>
    <w:rsid w:val="464E28BD"/>
    <w:rsid w:val="465A0CE8"/>
    <w:rsid w:val="46636835"/>
    <w:rsid w:val="46733DB2"/>
    <w:rsid w:val="46773555"/>
    <w:rsid w:val="46A07194"/>
    <w:rsid w:val="46AE4DD2"/>
    <w:rsid w:val="46B95A90"/>
    <w:rsid w:val="46BA4959"/>
    <w:rsid w:val="46D15EB0"/>
    <w:rsid w:val="46D82400"/>
    <w:rsid w:val="46EF0EC3"/>
    <w:rsid w:val="474B45FC"/>
    <w:rsid w:val="4765490F"/>
    <w:rsid w:val="47705BB8"/>
    <w:rsid w:val="47E04A28"/>
    <w:rsid w:val="48162150"/>
    <w:rsid w:val="48167AE8"/>
    <w:rsid w:val="482A3CF7"/>
    <w:rsid w:val="48777F4D"/>
    <w:rsid w:val="488779FB"/>
    <w:rsid w:val="48A42FAD"/>
    <w:rsid w:val="48D32BDC"/>
    <w:rsid w:val="48FA6D19"/>
    <w:rsid w:val="490411AD"/>
    <w:rsid w:val="4914489A"/>
    <w:rsid w:val="49184DB0"/>
    <w:rsid w:val="493039E2"/>
    <w:rsid w:val="4947077A"/>
    <w:rsid w:val="494805CB"/>
    <w:rsid w:val="495938AA"/>
    <w:rsid w:val="495B08F6"/>
    <w:rsid w:val="49782884"/>
    <w:rsid w:val="498A016F"/>
    <w:rsid w:val="49A04CC0"/>
    <w:rsid w:val="49A061BE"/>
    <w:rsid w:val="49A27D5F"/>
    <w:rsid w:val="49A36CE7"/>
    <w:rsid w:val="49A4245E"/>
    <w:rsid w:val="49B1684A"/>
    <w:rsid w:val="49E5749A"/>
    <w:rsid w:val="49F37F0C"/>
    <w:rsid w:val="49FE6B2E"/>
    <w:rsid w:val="4A370F44"/>
    <w:rsid w:val="4A772AFC"/>
    <w:rsid w:val="4B04271D"/>
    <w:rsid w:val="4B2A05A0"/>
    <w:rsid w:val="4B3A23F9"/>
    <w:rsid w:val="4B44006C"/>
    <w:rsid w:val="4B4627DA"/>
    <w:rsid w:val="4B716E2D"/>
    <w:rsid w:val="4B863B11"/>
    <w:rsid w:val="4B94369C"/>
    <w:rsid w:val="4BAE5327"/>
    <w:rsid w:val="4BB67896"/>
    <w:rsid w:val="4BF86399"/>
    <w:rsid w:val="4BFB556E"/>
    <w:rsid w:val="4C1E3C30"/>
    <w:rsid w:val="4C271CF5"/>
    <w:rsid w:val="4CA35AB2"/>
    <w:rsid w:val="4CA5064C"/>
    <w:rsid w:val="4CCE2BC8"/>
    <w:rsid w:val="4CD15548"/>
    <w:rsid w:val="4CD35265"/>
    <w:rsid w:val="4CF15365"/>
    <w:rsid w:val="4D0C12F6"/>
    <w:rsid w:val="4D134C44"/>
    <w:rsid w:val="4D2A6BE7"/>
    <w:rsid w:val="4D4574CF"/>
    <w:rsid w:val="4D494DA1"/>
    <w:rsid w:val="4D4C7C7F"/>
    <w:rsid w:val="4D4D23A2"/>
    <w:rsid w:val="4D637E12"/>
    <w:rsid w:val="4DB50A61"/>
    <w:rsid w:val="4DB528BE"/>
    <w:rsid w:val="4DD57BC2"/>
    <w:rsid w:val="4DED2BA0"/>
    <w:rsid w:val="4E384E18"/>
    <w:rsid w:val="4E3C59C3"/>
    <w:rsid w:val="4E505B47"/>
    <w:rsid w:val="4E6A2BCE"/>
    <w:rsid w:val="4E7229C4"/>
    <w:rsid w:val="4E765BA1"/>
    <w:rsid w:val="4E9C79A7"/>
    <w:rsid w:val="4E9D7347"/>
    <w:rsid w:val="4EC418FE"/>
    <w:rsid w:val="4ED24B8F"/>
    <w:rsid w:val="4EF23C29"/>
    <w:rsid w:val="4EFE38D4"/>
    <w:rsid w:val="4EFE5390"/>
    <w:rsid w:val="4F177F55"/>
    <w:rsid w:val="4F351C75"/>
    <w:rsid w:val="4F3C40D8"/>
    <w:rsid w:val="4F64497A"/>
    <w:rsid w:val="4FBC4E36"/>
    <w:rsid w:val="4FD318AB"/>
    <w:rsid w:val="505D33F6"/>
    <w:rsid w:val="506373B6"/>
    <w:rsid w:val="50862061"/>
    <w:rsid w:val="508C2401"/>
    <w:rsid w:val="511E4826"/>
    <w:rsid w:val="512548F2"/>
    <w:rsid w:val="512879D2"/>
    <w:rsid w:val="512F31D9"/>
    <w:rsid w:val="513D0E6F"/>
    <w:rsid w:val="514C4457"/>
    <w:rsid w:val="517A6384"/>
    <w:rsid w:val="51AF03DA"/>
    <w:rsid w:val="51B05DB2"/>
    <w:rsid w:val="51C759C9"/>
    <w:rsid w:val="51EC703F"/>
    <w:rsid w:val="52082D3C"/>
    <w:rsid w:val="52222EB5"/>
    <w:rsid w:val="52321763"/>
    <w:rsid w:val="529B31C7"/>
    <w:rsid w:val="52A13B73"/>
    <w:rsid w:val="52A24537"/>
    <w:rsid w:val="52ED6FB1"/>
    <w:rsid w:val="52FB049E"/>
    <w:rsid w:val="52FC6541"/>
    <w:rsid w:val="53065675"/>
    <w:rsid w:val="533146A8"/>
    <w:rsid w:val="534F0BAB"/>
    <w:rsid w:val="53B06C4C"/>
    <w:rsid w:val="53F54A09"/>
    <w:rsid w:val="540627A3"/>
    <w:rsid w:val="54163097"/>
    <w:rsid w:val="544F7544"/>
    <w:rsid w:val="545D3F1C"/>
    <w:rsid w:val="546B4490"/>
    <w:rsid w:val="546C7AF6"/>
    <w:rsid w:val="547717FF"/>
    <w:rsid w:val="54830907"/>
    <w:rsid w:val="54EC025D"/>
    <w:rsid w:val="54F53A05"/>
    <w:rsid w:val="550A2531"/>
    <w:rsid w:val="550C72B7"/>
    <w:rsid w:val="55321795"/>
    <w:rsid w:val="554B168C"/>
    <w:rsid w:val="55553E18"/>
    <w:rsid w:val="55595E36"/>
    <w:rsid w:val="555F38B9"/>
    <w:rsid w:val="55633C1C"/>
    <w:rsid w:val="556825AC"/>
    <w:rsid w:val="5576055B"/>
    <w:rsid w:val="557E12E2"/>
    <w:rsid w:val="55A501C4"/>
    <w:rsid w:val="55D85898"/>
    <w:rsid w:val="55E87B1A"/>
    <w:rsid w:val="56010B19"/>
    <w:rsid w:val="564505A1"/>
    <w:rsid w:val="564A6B43"/>
    <w:rsid w:val="569B2050"/>
    <w:rsid w:val="56A83D23"/>
    <w:rsid w:val="56C21867"/>
    <w:rsid w:val="57084AE0"/>
    <w:rsid w:val="57164A47"/>
    <w:rsid w:val="571F452A"/>
    <w:rsid w:val="571F7891"/>
    <w:rsid w:val="572343A9"/>
    <w:rsid w:val="5756180B"/>
    <w:rsid w:val="5762159B"/>
    <w:rsid w:val="579509C7"/>
    <w:rsid w:val="579D553A"/>
    <w:rsid w:val="57A973C0"/>
    <w:rsid w:val="57AD7AE7"/>
    <w:rsid w:val="57B57363"/>
    <w:rsid w:val="57B62CE2"/>
    <w:rsid w:val="57B92419"/>
    <w:rsid w:val="57E2382A"/>
    <w:rsid w:val="57E43CE6"/>
    <w:rsid w:val="58067046"/>
    <w:rsid w:val="582346FA"/>
    <w:rsid w:val="58277A16"/>
    <w:rsid w:val="58310E71"/>
    <w:rsid w:val="58437985"/>
    <w:rsid w:val="58C06DD0"/>
    <w:rsid w:val="58D13E39"/>
    <w:rsid w:val="58E5035E"/>
    <w:rsid w:val="590734FB"/>
    <w:rsid w:val="591907F4"/>
    <w:rsid w:val="593836A9"/>
    <w:rsid w:val="594B0F85"/>
    <w:rsid w:val="59567793"/>
    <w:rsid w:val="595A43BE"/>
    <w:rsid w:val="59D61290"/>
    <w:rsid w:val="59DF6694"/>
    <w:rsid w:val="5A0E69B6"/>
    <w:rsid w:val="5A167109"/>
    <w:rsid w:val="5A960290"/>
    <w:rsid w:val="5ADC2449"/>
    <w:rsid w:val="5AFB40DB"/>
    <w:rsid w:val="5B0A456D"/>
    <w:rsid w:val="5B0A6270"/>
    <w:rsid w:val="5B4A4C11"/>
    <w:rsid w:val="5B881776"/>
    <w:rsid w:val="5B8A5692"/>
    <w:rsid w:val="5B8C30E2"/>
    <w:rsid w:val="5BAD71F7"/>
    <w:rsid w:val="5BB57706"/>
    <w:rsid w:val="5C2D0EE9"/>
    <w:rsid w:val="5C6A19F9"/>
    <w:rsid w:val="5C6B2683"/>
    <w:rsid w:val="5C7C6288"/>
    <w:rsid w:val="5CB151DB"/>
    <w:rsid w:val="5CD25402"/>
    <w:rsid w:val="5CE449B3"/>
    <w:rsid w:val="5D2C7548"/>
    <w:rsid w:val="5D4351CF"/>
    <w:rsid w:val="5DA830AD"/>
    <w:rsid w:val="5DE64A71"/>
    <w:rsid w:val="5DE64B7D"/>
    <w:rsid w:val="5E08142B"/>
    <w:rsid w:val="5E0A7679"/>
    <w:rsid w:val="5E253B1C"/>
    <w:rsid w:val="5E254310"/>
    <w:rsid w:val="5E34491B"/>
    <w:rsid w:val="5E52592E"/>
    <w:rsid w:val="5E5D7F21"/>
    <w:rsid w:val="5E9E02C7"/>
    <w:rsid w:val="5EA552F2"/>
    <w:rsid w:val="5EBC0561"/>
    <w:rsid w:val="5ED0552E"/>
    <w:rsid w:val="5EE43A05"/>
    <w:rsid w:val="5F311F0D"/>
    <w:rsid w:val="5F376D86"/>
    <w:rsid w:val="5F7E1A8C"/>
    <w:rsid w:val="5F8B5DFF"/>
    <w:rsid w:val="5FCA2AC0"/>
    <w:rsid w:val="5FCC305F"/>
    <w:rsid w:val="5FE0450C"/>
    <w:rsid w:val="60011A2A"/>
    <w:rsid w:val="60042075"/>
    <w:rsid w:val="602D3ADF"/>
    <w:rsid w:val="60423BBC"/>
    <w:rsid w:val="607D01A8"/>
    <w:rsid w:val="60814B98"/>
    <w:rsid w:val="608647FB"/>
    <w:rsid w:val="60B506D1"/>
    <w:rsid w:val="60BC5C6D"/>
    <w:rsid w:val="60D33784"/>
    <w:rsid w:val="60EC35BF"/>
    <w:rsid w:val="610120A5"/>
    <w:rsid w:val="61102184"/>
    <w:rsid w:val="61123C94"/>
    <w:rsid w:val="612B4734"/>
    <w:rsid w:val="61711018"/>
    <w:rsid w:val="617F2857"/>
    <w:rsid w:val="61843050"/>
    <w:rsid w:val="61864830"/>
    <w:rsid w:val="61AA41D8"/>
    <w:rsid w:val="61AB534D"/>
    <w:rsid w:val="61BB06B6"/>
    <w:rsid w:val="61C45773"/>
    <w:rsid w:val="623E3C23"/>
    <w:rsid w:val="624E31D0"/>
    <w:rsid w:val="627363E3"/>
    <w:rsid w:val="62754788"/>
    <w:rsid w:val="627703DF"/>
    <w:rsid w:val="62786AC1"/>
    <w:rsid w:val="62C14866"/>
    <w:rsid w:val="62D548D4"/>
    <w:rsid w:val="62E21FE6"/>
    <w:rsid w:val="632D66D7"/>
    <w:rsid w:val="634D2A92"/>
    <w:rsid w:val="635348C2"/>
    <w:rsid w:val="6359183A"/>
    <w:rsid w:val="637A5594"/>
    <w:rsid w:val="637F25EE"/>
    <w:rsid w:val="63C31359"/>
    <w:rsid w:val="63D211A0"/>
    <w:rsid w:val="63D31079"/>
    <w:rsid w:val="641205E0"/>
    <w:rsid w:val="641B2B1B"/>
    <w:rsid w:val="6432186F"/>
    <w:rsid w:val="64364712"/>
    <w:rsid w:val="644F5CEA"/>
    <w:rsid w:val="645171A5"/>
    <w:rsid w:val="646E4F44"/>
    <w:rsid w:val="64A26B90"/>
    <w:rsid w:val="64AB6568"/>
    <w:rsid w:val="64C30E6C"/>
    <w:rsid w:val="64DB1ED4"/>
    <w:rsid w:val="64E82BC8"/>
    <w:rsid w:val="6504035C"/>
    <w:rsid w:val="6520139B"/>
    <w:rsid w:val="652354C5"/>
    <w:rsid w:val="6524339F"/>
    <w:rsid w:val="65532DA0"/>
    <w:rsid w:val="656A6EA9"/>
    <w:rsid w:val="657E5DC6"/>
    <w:rsid w:val="65AD581B"/>
    <w:rsid w:val="662C6A34"/>
    <w:rsid w:val="664277CD"/>
    <w:rsid w:val="66632596"/>
    <w:rsid w:val="671543CB"/>
    <w:rsid w:val="671E7669"/>
    <w:rsid w:val="676E57FB"/>
    <w:rsid w:val="677C4AF0"/>
    <w:rsid w:val="677C5A1E"/>
    <w:rsid w:val="67A22C39"/>
    <w:rsid w:val="67A36CA4"/>
    <w:rsid w:val="67B32D00"/>
    <w:rsid w:val="67C432B5"/>
    <w:rsid w:val="67CA3576"/>
    <w:rsid w:val="68245CC5"/>
    <w:rsid w:val="68755B25"/>
    <w:rsid w:val="689768A9"/>
    <w:rsid w:val="690422F9"/>
    <w:rsid w:val="692B3EEB"/>
    <w:rsid w:val="69511659"/>
    <w:rsid w:val="695F01B3"/>
    <w:rsid w:val="69652819"/>
    <w:rsid w:val="69740E9C"/>
    <w:rsid w:val="698B3B86"/>
    <w:rsid w:val="699464E8"/>
    <w:rsid w:val="6998164F"/>
    <w:rsid w:val="69A14E6A"/>
    <w:rsid w:val="69C82FD4"/>
    <w:rsid w:val="69F76F06"/>
    <w:rsid w:val="69F95788"/>
    <w:rsid w:val="6A111A69"/>
    <w:rsid w:val="6A3912BA"/>
    <w:rsid w:val="6A3B3C33"/>
    <w:rsid w:val="6A3D46F4"/>
    <w:rsid w:val="6A476285"/>
    <w:rsid w:val="6A6A21F1"/>
    <w:rsid w:val="6ABF2745"/>
    <w:rsid w:val="6AC052DF"/>
    <w:rsid w:val="6AE44704"/>
    <w:rsid w:val="6AF16CA1"/>
    <w:rsid w:val="6B0A346D"/>
    <w:rsid w:val="6B1C2F58"/>
    <w:rsid w:val="6B2253AA"/>
    <w:rsid w:val="6B74167C"/>
    <w:rsid w:val="6B8D3D19"/>
    <w:rsid w:val="6B936732"/>
    <w:rsid w:val="6B936945"/>
    <w:rsid w:val="6B9F1C3E"/>
    <w:rsid w:val="6BC64C77"/>
    <w:rsid w:val="6BC66E8F"/>
    <w:rsid w:val="6C262F3F"/>
    <w:rsid w:val="6C73344A"/>
    <w:rsid w:val="6C7546AC"/>
    <w:rsid w:val="6C8031E6"/>
    <w:rsid w:val="6C8C60E1"/>
    <w:rsid w:val="6CFC50C6"/>
    <w:rsid w:val="6D1024A0"/>
    <w:rsid w:val="6D1A5002"/>
    <w:rsid w:val="6D435C50"/>
    <w:rsid w:val="6D4C602D"/>
    <w:rsid w:val="6D613BD6"/>
    <w:rsid w:val="6D8406BF"/>
    <w:rsid w:val="6D84290A"/>
    <w:rsid w:val="6D8A5D00"/>
    <w:rsid w:val="6D943BF5"/>
    <w:rsid w:val="6D9F66CF"/>
    <w:rsid w:val="6DA343EE"/>
    <w:rsid w:val="6DA4704F"/>
    <w:rsid w:val="6DA472EF"/>
    <w:rsid w:val="6DDF442E"/>
    <w:rsid w:val="6DFD138C"/>
    <w:rsid w:val="6E071901"/>
    <w:rsid w:val="6E0728D3"/>
    <w:rsid w:val="6E511782"/>
    <w:rsid w:val="6E8F004B"/>
    <w:rsid w:val="6EAC7DB2"/>
    <w:rsid w:val="6EBE1783"/>
    <w:rsid w:val="6EF92F92"/>
    <w:rsid w:val="6F2B2066"/>
    <w:rsid w:val="6F3632F9"/>
    <w:rsid w:val="6F497D22"/>
    <w:rsid w:val="6F585DD6"/>
    <w:rsid w:val="6F832748"/>
    <w:rsid w:val="6FC85E76"/>
    <w:rsid w:val="6FD664F7"/>
    <w:rsid w:val="6FD874F0"/>
    <w:rsid w:val="701200B7"/>
    <w:rsid w:val="70334479"/>
    <w:rsid w:val="706031F7"/>
    <w:rsid w:val="706A5BC3"/>
    <w:rsid w:val="707D6FDF"/>
    <w:rsid w:val="70824DD6"/>
    <w:rsid w:val="70931E99"/>
    <w:rsid w:val="70DA7C73"/>
    <w:rsid w:val="70DF571C"/>
    <w:rsid w:val="70FA17E5"/>
    <w:rsid w:val="7102107D"/>
    <w:rsid w:val="71466F47"/>
    <w:rsid w:val="71650526"/>
    <w:rsid w:val="71785BF6"/>
    <w:rsid w:val="71A63DB4"/>
    <w:rsid w:val="71B22C2F"/>
    <w:rsid w:val="71CE7119"/>
    <w:rsid w:val="71DA1B12"/>
    <w:rsid w:val="7212699F"/>
    <w:rsid w:val="724C0C12"/>
    <w:rsid w:val="72526028"/>
    <w:rsid w:val="72555A55"/>
    <w:rsid w:val="72586C7B"/>
    <w:rsid w:val="72797CB1"/>
    <w:rsid w:val="72982221"/>
    <w:rsid w:val="72AA4D7A"/>
    <w:rsid w:val="72BD03A7"/>
    <w:rsid w:val="72C14665"/>
    <w:rsid w:val="72D65B7D"/>
    <w:rsid w:val="72FD0F59"/>
    <w:rsid w:val="73086358"/>
    <w:rsid w:val="7330362D"/>
    <w:rsid w:val="733851B2"/>
    <w:rsid w:val="733B500C"/>
    <w:rsid w:val="73800B33"/>
    <w:rsid w:val="7381115D"/>
    <w:rsid w:val="738B680C"/>
    <w:rsid w:val="73A57998"/>
    <w:rsid w:val="74086509"/>
    <w:rsid w:val="74323B10"/>
    <w:rsid w:val="747E0B22"/>
    <w:rsid w:val="74891470"/>
    <w:rsid w:val="75196DE5"/>
    <w:rsid w:val="756264EB"/>
    <w:rsid w:val="75871421"/>
    <w:rsid w:val="758E41ED"/>
    <w:rsid w:val="75A35ED5"/>
    <w:rsid w:val="75A52DA7"/>
    <w:rsid w:val="75BB4E6B"/>
    <w:rsid w:val="75D14529"/>
    <w:rsid w:val="75D719B2"/>
    <w:rsid w:val="75DA62B7"/>
    <w:rsid w:val="75DD3147"/>
    <w:rsid w:val="75E36C9A"/>
    <w:rsid w:val="76161FE7"/>
    <w:rsid w:val="7616399E"/>
    <w:rsid w:val="76177D7F"/>
    <w:rsid w:val="76387CBA"/>
    <w:rsid w:val="765A4445"/>
    <w:rsid w:val="76665235"/>
    <w:rsid w:val="769F4581"/>
    <w:rsid w:val="76AB2C13"/>
    <w:rsid w:val="76B1227C"/>
    <w:rsid w:val="76BF2EA4"/>
    <w:rsid w:val="76CB62F1"/>
    <w:rsid w:val="76DA7E70"/>
    <w:rsid w:val="76FA4CC1"/>
    <w:rsid w:val="771A35DE"/>
    <w:rsid w:val="77414905"/>
    <w:rsid w:val="774310DC"/>
    <w:rsid w:val="776369E5"/>
    <w:rsid w:val="777165EE"/>
    <w:rsid w:val="77B5498B"/>
    <w:rsid w:val="77C3048F"/>
    <w:rsid w:val="77CE6299"/>
    <w:rsid w:val="781420EA"/>
    <w:rsid w:val="78225ACD"/>
    <w:rsid w:val="785E4EE7"/>
    <w:rsid w:val="786C3FC5"/>
    <w:rsid w:val="78B74E51"/>
    <w:rsid w:val="78DA57B9"/>
    <w:rsid w:val="7925066A"/>
    <w:rsid w:val="792C0369"/>
    <w:rsid w:val="79542A76"/>
    <w:rsid w:val="79842B92"/>
    <w:rsid w:val="79981665"/>
    <w:rsid w:val="79B02BFF"/>
    <w:rsid w:val="79B61120"/>
    <w:rsid w:val="79BB3FE5"/>
    <w:rsid w:val="7A0615F6"/>
    <w:rsid w:val="7A16135A"/>
    <w:rsid w:val="7A167146"/>
    <w:rsid w:val="7A1C2659"/>
    <w:rsid w:val="7A323B65"/>
    <w:rsid w:val="7A481DF0"/>
    <w:rsid w:val="7A6835EA"/>
    <w:rsid w:val="7A7728CB"/>
    <w:rsid w:val="7A953818"/>
    <w:rsid w:val="7A957BAA"/>
    <w:rsid w:val="7AA9197D"/>
    <w:rsid w:val="7AB14634"/>
    <w:rsid w:val="7ACF6AF1"/>
    <w:rsid w:val="7AE704B1"/>
    <w:rsid w:val="7AEB45F7"/>
    <w:rsid w:val="7B00756F"/>
    <w:rsid w:val="7B205CC3"/>
    <w:rsid w:val="7B4B600C"/>
    <w:rsid w:val="7B9A08EC"/>
    <w:rsid w:val="7BBA497F"/>
    <w:rsid w:val="7BBB063A"/>
    <w:rsid w:val="7BBD74D2"/>
    <w:rsid w:val="7BD967C8"/>
    <w:rsid w:val="7BED2FF3"/>
    <w:rsid w:val="7BEF49C3"/>
    <w:rsid w:val="7C1879B2"/>
    <w:rsid w:val="7C365845"/>
    <w:rsid w:val="7C60493E"/>
    <w:rsid w:val="7C7F7D49"/>
    <w:rsid w:val="7CAE09CB"/>
    <w:rsid w:val="7CB8291D"/>
    <w:rsid w:val="7CD03434"/>
    <w:rsid w:val="7CFD77F9"/>
    <w:rsid w:val="7D086B79"/>
    <w:rsid w:val="7D175464"/>
    <w:rsid w:val="7D300BC9"/>
    <w:rsid w:val="7D442964"/>
    <w:rsid w:val="7D4C2883"/>
    <w:rsid w:val="7D54159C"/>
    <w:rsid w:val="7D66553F"/>
    <w:rsid w:val="7D882FD3"/>
    <w:rsid w:val="7D8B7BCC"/>
    <w:rsid w:val="7DC012B6"/>
    <w:rsid w:val="7DC10E09"/>
    <w:rsid w:val="7DCB6E8A"/>
    <w:rsid w:val="7DE20FA2"/>
    <w:rsid w:val="7DFE03FA"/>
    <w:rsid w:val="7E624076"/>
    <w:rsid w:val="7E63122D"/>
    <w:rsid w:val="7E706E61"/>
    <w:rsid w:val="7E737A61"/>
    <w:rsid w:val="7E7D54BB"/>
    <w:rsid w:val="7E896F3F"/>
    <w:rsid w:val="7E8A476F"/>
    <w:rsid w:val="7EAC7030"/>
    <w:rsid w:val="7EBB42CC"/>
    <w:rsid w:val="7EC73A39"/>
    <w:rsid w:val="7EE766CA"/>
    <w:rsid w:val="7EFE4F4F"/>
    <w:rsid w:val="7F0C19DE"/>
    <w:rsid w:val="7F1447AA"/>
    <w:rsid w:val="7F343527"/>
    <w:rsid w:val="7F431B5D"/>
    <w:rsid w:val="7F7259E9"/>
    <w:rsid w:val="7FC306CA"/>
    <w:rsid w:val="7FD133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autoRedefine/>
    <w:qFormat/>
    <w:uiPriority w:val="0"/>
    <w:pPr>
      <w:keepNext/>
      <w:keepLines/>
      <w:spacing w:line="578" w:lineRule="auto"/>
      <w:outlineLvl w:val="0"/>
    </w:pPr>
    <w:rPr>
      <w:b/>
      <w:bCs/>
      <w:kern w:val="44"/>
      <w:sz w:val="44"/>
      <w:szCs w:val="44"/>
    </w:rPr>
  </w:style>
  <w:style w:type="paragraph" w:styleId="3">
    <w:name w:val="heading 2"/>
    <w:basedOn w:val="1"/>
    <w:next w:val="1"/>
    <w:link w:val="56"/>
    <w:autoRedefine/>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90"/>
    <w:autoRedefine/>
    <w:qFormat/>
    <w:uiPriority w:val="0"/>
    <w:pPr>
      <w:keepNext/>
      <w:keepLines/>
      <w:spacing w:line="416" w:lineRule="auto"/>
      <w:outlineLvl w:val="2"/>
    </w:pPr>
    <w:rPr>
      <w:b/>
      <w:bCs/>
      <w:sz w:val="32"/>
      <w:szCs w:val="32"/>
    </w:rPr>
  </w:style>
  <w:style w:type="paragraph" w:styleId="5">
    <w:name w:val="heading 4"/>
    <w:basedOn w:val="1"/>
    <w:next w:val="1"/>
    <w:link w:val="97"/>
    <w:autoRedefine/>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line="372" w:lineRule="auto"/>
      <w:outlineLvl w:val="4"/>
    </w:pPr>
    <w:rPr>
      <w:b/>
      <w:sz w:val="28"/>
    </w:rPr>
  </w:style>
  <w:style w:type="paragraph" w:styleId="7">
    <w:name w:val="heading 6"/>
    <w:basedOn w:val="1"/>
    <w:next w:val="1"/>
    <w:autoRedefine/>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8">
    <w:name w:val="heading 8"/>
    <w:basedOn w:val="1"/>
    <w:next w:val="1"/>
    <w:autoRedefine/>
    <w:qFormat/>
    <w:uiPriority w:val="0"/>
    <w:pPr>
      <w:keepNext/>
      <w:keepLines/>
      <w:numPr>
        <w:ilvl w:val="7"/>
        <w:numId w:val="1"/>
      </w:numPr>
      <w:spacing w:line="312" w:lineRule="auto"/>
      <w:outlineLvl w:val="7"/>
    </w:pPr>
    <w:rPr>
      <w:rFonts w:ascii="Arial" w:hAnsi="Arial" w:eastAsia="黑体"/>
      <w:kern w:val="0"/>
      <w:sz w:val="24"/>
      <w:szCs w:val="20"/>
    </w:rPr>
  </w:style>
  <w:style w:type="paragraph" w:styleId="9">
    <w:name w:val="heading 9"/>
    <w:basedOn w:val="1"/>
    <w:next w:val="1"/>
    <w:autoRedefine/>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4">
    <w:name w:val="Default Paragraph Font"/>
    <w:autoRedefine/>
    <w:unhideWhenUsed/>
    <w:qFormat/>
    <w:uiPriority w:val="1"/>
  </w:style>
  <w:style w:type="table" w:default="1" w:styleId="42">
    <w:name w:val="Normal Table"/>
    <w:autoRedefine/>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39"/>
    <w:pPr>
      <w:ind w:left="2520" w:leftChars="1200"/>
    </w:pPr>
    <w:rPr>
      <w:rFonts w:ascii="Calibri" w:hAnsi="Calibri"/>
      <w:szCs w:val="22"/>
    </w:rPr>
  </w:style>
  <w:style w:type="paragraph" w:styleId="11">
    <w:name w:val="List Bullet"/>
    <w:basedOn w:val="1"/>
    <w:autoRedefine/>
    <w:qFormat/>
    <w:uiPriority w:val="0"/>
    <w:pPr>
      <w:numPr>
        <w:ilvl w:val="0"/>
        <w:numId w:val="2"/>
      </w:numPr>
      <w:tabs>
        <w:tab w:val="left" w:pos="360"/>
      </w:tabs>
    </w:pPr>
  </w:style>
  <w:style w:type="paragraph" w:styleId="12">
    <w:name w:val="Document Map"/>
    <w:basedOn w:val="1"/>
    <w:autoRedefine/>
    <w:qFormat/>
    <w:uiPriority w:val="0"/>
    <w:pPr>
      <w:shd w:val="clear" w:color="auto" w:fill="000080"/>
    </w:pPr>
  </w:style>
  <w:style w:type="paragraph" w:styleId="13">
    <w:name w:val="annotation text"/>
    <w:basedOn w:val="1"/>
    <w:link w:val="91"/>
    <w:autoRedefine/>
    <w:qFormat/>
    <w:uiPriority w:val="0"/>
    <w:pPr>
      <w:jc w:val="left"/>
    </w:pPr>
  </w:style>
  <w:style w:type="paragraph" w:styleId="14">
    <w:name w:val="Body Text 3"/>
    <w:basedOn w:val="1"/>
    <w:link w:val="92"/>
    <w:autoRedefine/>
    <w:qFormat/>
    <w:uiPriority w:val="0"/>
    <w:rPr>
      <w:rFonts w:ascii="宋体"/>
      <w:sz w:val="24"/>
    </w:rPr>
  </w:style>
  <w:style w:type="paragraph" w:styleId="15">
    <w:name w:val="Body Text"/>
    <w:basedOn w:val="1"/>
    <w:link w:val="94"/>
    <w:autoRedefine/>
    <w:qFormat/>
    <w:uiPriority w:val="0"/>
  </w:style>
  <w:style w:type="paragraph" w:styleId="16">
    <w:name w:val="Body Text Indent"/>
    <w:basedOn w:val="1"/>
    <w:autoRedefine/>
    <w:qFormat/>
    <w:uiPriority w:val="0"/>
    <w:pPr>
      <w:adjustRightInd w:val="0"/>
      <w:spacing w:after="120" w:line="420" w:lineRule="atLeast"/>
      <w:ind w:left="420" w:firstLine="454"/>
      <w:textAlignment w:val="baseline"/>
    </w:pPr>
    <w:rPr>
      <w:kern w:val="0"/>
      <w:szCs w:val="20"/>
    </w:rPr>
  </w:style>
  <w:style w:type="paragraph" w:styleId="17">
    <w:name w:val="index 4"/>
    <w:basedOn w:val="1"/>
    <w:next w:val="1"/>
    <w:autoRedefine/>
    <w:qFormat/>
    <w:uiPriority w:val="0"/>
    <w:pPr>
      <w:ind w:left="600" w:leftChars="600"/>
    </w:pPr>
  </w:style>
  <w:style w:type="paragraph" w:styleId="18">
    <w:name w:val="toc 5"/>
    <w:basedOn w:val="1"/>
    <w:next w:val="1"/>
    <w:link w:val="87"/>
    <w:autoRedefine/>
    <w:qFormat/>
    <w:uiPriority w:val="39"/>
    <w:pPr>
      <w:ind w:left="1680" w:leftChars="800"/>
    </w:pPr>
    <w:rPr>
      <w:kern w:val="0"/>
      <w:sz w:val="20"/>
      <w:szCs w:val="22"/>
    </w:rPr>
  </w:style>
  <w:style w:type="paragraph" w:styleId="19">
    <w:name w:val="toc 3"/>
    <w:basedOn w:val="1"/>
    <w:next w:val="1"/>
    <w:autoRedefine/>
    <w:qFormat/>
    <w:uiPriority w:val="39"/>
    <w:pPr>
      <w:ind w:left="840" w:leftChars="400"/>
    </w:pPr>
  </w:style>
  <w:style w:type="paragraph" w:styleId="20">
    <w:name w:val="Plain Text"/>
    <w:basedOn w:val="1"/>
    <w:next w:val="1"/>
    <w:autoRedefine/>
    <w:qFormat/>
    <w:uiPriority w:val="0"/>
    <w:rPr>
      <w:rFonts w:ascii="宋体" w:hAnsi="Courier New"/>
      <w:szCs w:val="20"/>
    </w:rPr>
  </w:style>
  <w:style w:type="paragraph" w:styleId="21">
    <w:name w:val="toc 8"/>
    <w:basedOn w:val="1"/>
    <w:next w:val="1"/>
    <w:autoRedefine/>
    <w:qFormat/>
    <w:uiPriority w:val="39"/>
    <w:pPr>
      <w:ind w:left="2940" w:leftChars="1400"/>
    </w:pPr>
    <w:rPr>
      <w:rFonts w:ascii="Calibri" w:hAnsi="Calibri"/>
      <w:szCs w:val="22"/>
    </w:rPr>
  </w:style>
  <w:style w:type="paragraph" w:styleId="22">
    <w:name w:val="index 3"/>
    <w:basedOn w:val="1"/>
    <w:next w:val="1"/>
    <w:autoRedefine/>
    <w:qFormat/>
    <w:uiPriority w:val="0"/>
    <w:pPr>
      <w:ind w:left="400" w:leftChars="400"/>
    </w:pPr>
  </w:style>
  <w:style w:type="paragraph" w:styleId="23">
    <w:name w:val="Date"/>
    <w:basedOn w:val="1"/>
    <w:next w:val="1"/>
    <w:autoRedefine/>
    <w:qFormat/>
    <w:uiPriority w:val="0"/>
    <w:pPr>
      <w:ind w:left="100" w:leftChars="2500"/>
    </w:pPr>
  </w:style>
  <w:style w:type="paragraph" w:styleId="24">
    <w:name w:val="endnote text"/>
    <w:basedOn w:val="1"/>
    <w:autoRedefine/>
    <w:qFormat/>
    <w:uiPriority w:val="0"/>
    <w:pPr>
      <w:snapToGrid w:val="0"/>
      <w:jc w:val="left"/>
    </w:pPr>
  </w:style>
  <w:style w:type="paragraph" w:styleId="25">
    <w:name w:val="Balloon Text"/>
    <w:basedOn w:val="1"/>
    <w:autoRedefine/>
    <w:qFormat/>
    <w:uiPriority w:val="0"/>
    <w:rPr>
      <w:sz w:val="18"/>
      <w:szCs w:val="18"/>
    </w:rPr>
  </w:style>
  <w:style w:type="paragraph" w:styleId="26">
    <w:name w:val="footer"/>
    <w:basedOn w:val="1"/>
    <w:link w:val="99"/>
    <w:autoRedefine/>
    <w:qFormat/>
    <w:uiPriority w:val="0"/>
    <w:pPr>
      <w:tabs>
        <w:tab w:val="center" w:pos="4153"/>
        <w:tab w:val="right" w:pos="8306"/>
      </w:tabs>
      <w:snapToGrid w:val="0"/>
      <w:jc w:val="left"/>
    </w:pPr>
    <w:rPr>
      <w:sz w:val="18"/>
      <w:szCs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style>
  <w:style w:type="paragraph" w:styleId="29">
    <w:name w:val="toc 4"/>
    <w:basedOn w:val="1"/>
    <w:next w:val="1"/>
    <w:autoRedefine/>
    <w:qFormat/>
    <w:uiPriority w:val="39"/>
    <w:pPr>
      <w:ind w:left="1260" w:leftChars="600"/>
    </w:pPr>
    <w:rPr>
      <w:rFonts w:ascii="Calibri" w:hAnsi="Calibri"/>
      <w:szCs w:val="22"/>
    </w:rPr>
  </w:style>
  <w:style w:type="paragraph" w:styleId="30">
    <w:name w:val="Subtitle"/>
    <w:basedOn w:val="1"/>
    <w:next w:val="1"/>
    <w:link w:val="88"/>
    <w:autoRedefine/>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link w:val="98"/>
    <w:autoRedefine/>
    <w:qFormat/>
    <w:uiPriority w:val="0"/>
    <w:pPr>
      <w:snapToGrid w:val="0"/>
      <w:jc w:val="left"/>
    </w:pPr>
    <w:rPr>
      <w:sz w:val="18"/>
      <w:szCs w:val="18"/>
    </w:rPr>
  </w:style>
  <w:style w:type="paragraph" w:styleId="32">
    <w:name w:val="toc 6"/>
    <w:basedOn w:val="1"/>
    <w:next w:val="1"/>
    <w:autoRedefine/>
    <w:qFormat/>
    <w:uiPriority w:val="39"/>
    <w:pPr>
      <w:ind w:left="2100" w:leftChars="1000"/>
    </w:pPr>
    <w:rPr>
      <w:rFonts w:ascii="Calibri" w:hAnsi="Calibri"/>
      <w:szCs w:val="22"/>
    </w:rPr>
  </w:style>
  <w:style w:type="paragraph" w:styleId="33">
    <w:name w:val="toc 2"/>
    <w:basedOn w:val="1"/>
    <w:next w:val="1"/>
    <w:autoRedefine/>
    <w:qFormat/>
    <w:uiPriority w:val="39"/>
    <w:pPr>
      <w:ind w:left="420" w:leftChars="200"/>
    </w:pPr>
  </w:style>
  <w:style w:type="paragraph" w:styleId="34">
    <w:name w:val="toc 9"/>
    <w:basedOn w:val="1"/>
    <w:next w:val="1"/>
    <w:autoRedefine/>
    <w:qFormat/>
    <w:uiPriority w:val="39"/>
    <w:pPr>
      <w:ind w:left="3360" w:leftChars="1600"/>
    </w:pPr>
    <w:rPr>
      <w:rFonts w:ascii="Calibri" w:hAnsi="Calibri"/>
      <w:szCs w:val="22"/>
    </w:rPr>
  </w:style>
  <w:style w:type="paragraph" w:styleId="35">
    <w:name w:val="Body Text 2"/>
    <w:basedOn w:val="1"/>
    <w:next w:val="15"/>
    <w:autoRedefine/>
    <w:qFormat/>
    <w:uiPriority w:val="0"/>
    <w:pPr>
      <w:spacing w:line="500" w:lineRule="exact"/>
    </w:pPr>
  </w:style>
  <w:style w:type="paragraph" w:styleId="36">
    <w:name w:val="Normal (Web)"/>
    <w:basedOn w:val="1"/>
    <w:autoRedefine/>
    <w:qFormat/>
    <w:uiPriority w:val="0"/>
    <w:rPr>
      <w:sz w:val="24"/>
    </w:rPr>
  </w:style>
  <w:style w:type="paragraph" w:styleId="37">
    <w:name w:val="index 1"/>
    <w:basedOn w:val="1"/>
    <w:next w:val="1"/>
    <w:autoRedefine/>
    <w:qFormat/>
    <w:uiPriority w:val="0"/>
  </w:style>
  <w:style w:type="paragraph" w:styleId="38">
    <w:name w:val="index 2"/>
    <w:basedOn w:val="1"/>
    <w:next w:val="1"/>
    <w:autoRedefine/>
    <w:qFormat/>
    <w:uiPriority w:val="0"/>
    <w:pPr>
      <w:ind w:left="200" w:leftChars="200"/>
    </w:pPr>
  </w:style>
  <w:style w:type="paragraph" w:styleId="39">
    <w:name w:val="Title"/>
    <w:basedOn w:val="1"/>
    <w:autoRedefine/>
    <w:qFormat/>
    <w:uiPriority w:val="0"/>
    <w:pPr>
      <w:adjustRightInd w:val="0"/>
      <w:spacing w:line="420" w:lineRule="atLeast"/>
      <w:jc w:val="center"/>
      <w:textAlignment w:val="baseline"/>
      <w:outlineLvl w:val="0"/>
    </w:pPr>
    <w:rPr>
      <w:rFonts w:ascii="Arial" w:hAnsi="Arial"/>
      <w:b/>
      <w:kern w:val="0"/>
      <w:sz w:val="32"/>
      <w:szCs w:val="20"/>
    </w:rPr>
  </w:style>
  <w:style w:type="paragraph" w:styleId="40">
    <w:name w:val="annotation subject"/>
    <w:basedOn w:val="13"/>
    <w:next w:val="13"/>
    <w:link w:val="96"/>
    <w:qFormat/>
    <w:uiPriority w:val="0"/>
    <w:rPr>
      <w:b/>
      <w:bCs/>
    </w:rPr>
  </w:style>
  <w:style w:type="paragraph" w:styleId="41">
    <w:name w:val="Body Text First Indent 2"/>
    <w:basedOn w:val="16"/>
    <w:autoRedefine/>
    <w:qFormat/>
    <w:uiPriority w:val="0"/>
    <w:pPr>
      <w:ind w:left="0" w:firstLine="960" w:firstLineChars="200"/>
    </w:pPr>
    <w:rPr>
      <w:sz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autoRedefine/>
    <w:qFormat/>
    <w:uiPriority w:val="22"/>
    <w:rPr>
      <w:b/>
    </w:rPr>
  </w:style>
  <w:style w:type="character" w:styleId="46">
    <w:name w:val="endnote reference"/>
    <w:basedOn w:val="44"/>
    <w:autoRedefine/>
    <w:qFormat/>
    <w:uiPriority w:val="0"/>
    <w:rPr>
      <w:vertAlign w:val="superscript"/>
    </w:rPr>
  </w:style>
  <w:style w:type="character" w:styleId="47">
    <w:name w:val="page number"/>
    <w:basedOn w:val="44"/>
    <w:autoRedefine/>
    <w:qFormat/>
    <w:uiPriority w:val="0"/>
  </w:style>
  <w:style w:type="character" w:styleId="48">
    <w:name w:val="FollowedHyperlink"/>
    <w:basedOn w:val="44"/>
    <w:autoRedefine/>
    <w:qFormat/>
    <w:uiPriority w:val="0"/>
    <w:rPr>
      <w:color w:val="333333"/>
      <w:sz w:val="18"/>
      <w:szCs w:val="18"/>
      <w:u w:val="single"/>
    </w:rPr>
  </w:style>
  <w:style w:type="character" w:styleId="49">
    <w:name w:val="Hyperlink"/>
    <w:basedOn w:val="44"/>
    <w:autoRedefine/>
    <w:qFormat/>
    <w:uiPriority w:val="99"/>
    <w:rPr>
      <w:color w:val="333333"/>
      <w:sz w:val="18"/>
      <w:szCs w:val="18"/>
      <w:u w:val="single"/>
    </w:rPr>
  </w:style>
  <w:style w:type="character" w:styleId="50">
    <w:name w:val="annotation reference"/>
    <w:basedOn w:val="44"/>
    <w:autoRedefine/>
    <w:qFormat/>
    <w:uiPriority w:val="0"/>
    <w:rPr>
      <w:sz w:val="21"/>
      <w:szCs w:val="21"/>
    </w:rPr>
  </w:style>
  <w:style w:type="character" w:styleId="51">
    <w:name w:val="footnote reference"/>
    <w:basedOn w:val="44"/>
    <w:autoRedefine/>
    <w:qFormat/>
    <w:uiPriority w:val="0"/>
    <w:rPr>
      <w:vertAlign w:val="superscript"/>
    </w:rPr>
  </w:style>
  <w:style w:type="paragraph" w:customStyle="1" w:styleId="52">
    <w:name w:val="正文正"/>
    <w:basedOn w:val="1"/>
    <w:autoRedefine/>
    <w:qFormat/>
    <w:uiPriority w:val="99"/>
    <w:pPr>
      <w:spacing w:line="560" w:lineRule="exact"/>
      <w:ind w:firstLine="561"/>
    </w:pPr>
    <w:rPr>
      <w:rFonts w:ascii="Calibri" w:hAnsi="Calibri" w:cs="Calibri"/>
      <w:sz w:val="28"/>
      <w:szCs w:val="28"/>
    </w:rPr>
  </w:style>
  <w:style w:type="paragraph" w:customStyle="1" w:styleId="53">
    <w:name w:val="Normal Indent1"/>
    <w:basedOn w:val="1"/>
    <w:autoRedefine/>
    <w:qFormat/>
    <w:uiPriority w:val="0"/>
    <w:pPr>
      <w:widowControl/>
      <w:spacing w:line="360" w:lineRule="auto"/>
      <w:ind w:firstLine="420"/>
      <w:jc w:val="left"/>
    </w:pPr>
    <w:rPr>
      <w:rFonts w:ascii="宋体" w:hAnsi="Times New Roman" w:cs="Times New Roman"/>
      <w:kern w:val="0"/>
      <w:sz w:val="20"/>
      <w:szCs w:val="20"/>
    </w:rPr>
  </w:style>
  <w:style w:type="paragraph" w:customStyle="1" w:styleId="54">
    <w:name w:val="样式 宋体 行距: 1.5 倍行距"/>
    <w:basedOn w:val="55"/>
    <w:next w:val="1"/>
    <w:autoRedefine/>
    <w:qFormat/>
    <w:uiPriority w:val="0"/>
    <w:pPr>
      <w:jc w:val="center"/>
    </w:pPr>
    <w:rPr>
      <w:b/>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4"/>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56">
    <w:name w:val="标题 2 Char"/>
    <w:basedOn w:val="44"/>
    <w:link w:val="3"/>
    <w:autoRedefine/>
    <w:qFormat/>
    <w:uiPriority w:val="0"/>
    <w:rPr>
      <w:rFonts w:ascii="Arial" w:hAnsi="Arial" w:eastAsia="黑体"/>
      <w:b/>
      <w:bCs/>
      <w:kern w:val="2"/>
      <w:sz w:val="32"/>
      <w:szCs w:val="32"/>
      <w:lang w:val="en-US" w:eastAsia="zh-CN" w:bidi="ar-SA"/>
    </w:rPr>
  </w:style>
  <w:style w:type="paragraph" w:customStyle="1" w:styleId="57">
    <w:name w:val="表格内容"/>
    <w:basedOn w:val="58"/>
    <w:autoRedefine/>
    <w:qFormat/>
    <w:uiPriority w:val="0"/>
    <w:pPr>
      <w:ind w:firstLine="0" w:firstLineChars="0"/>
      <w:jc w:val="center"/>
    </w:pPr>
  </w:style>
  <w:style w:type="paragraph" w:customStyle="1" w:styleId="58">
    <w:name w:val="招标正文"/>
    <w:basedOn w:val="1"/>
    <w:autoRedefine/>
    <w:qFormat/>
    <w:uiPriority w:val="0"/>
    <w:pPr>
      <w:autoSpaceDE w:val="0"/>
      <w:autoSpaceDN w:val="0"/>
      <w:adjustRightInd w:val="0"/>
      <w:ind w:firstLine="480" w:firstLineChars="200"/>
    </w:pPr>
    <w:rPr>
      <w:rFonts w:cs="微软雅黑"/>
      <w:kern w:val="0"/>
      <w:sz w:val="24"/>
    </w:rPr>
  </w:style>
  <w:style w:type="paragraph" w:customStyle="1" w:styleId="59">
    <w:name w:val="条款正文"/>
    <w:basedOn w:val="58"/>
    <w:autoRedefine/>
    <w:qFormat/>
    <w:uiPriority w:val="0"/>
    <w:pPr>
      <w:ind w:firstLine="0" w:firstLineChars="0"/>
    </w:pPr>
  </w:style>
  <w:style w:type="paragraph" w:customStyle="1" w:styleId="60">
    <w:name w:val="_Style 52"/>
    <w:basedOn w:val="1"/>
    <w:next w:val="1"/>
    <w:autoRedefine/>
    <w:qFormat/>
    <w:uiPriority w:val="0"/>
    <w:pPr>
      <w:pBdr>
        <w:bottom w:val="single" w:color="auto" w:sz="6" w:space="1"/>
      </w:pBdr>
      <w:jc w:val="center"/>
    </w:pPr>
    <w:rPr>
      <w:rFonts w:ascii="Arial"/>
      <w:vanish/>
      <w:sz w:val="16"/>
    </w:rPr>
  </w:style>
  <w:style w:type="paragraph" w:customStyle="1" w:styleId="61">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文本_0"/>
    <w:basedOn w:val="63"/>
    <w:autoRedefine/>
    <w:qFormat/>
    <w:uiPriority w:val="0"/>
    <w:pPr>
      <w:spacing w:after="120"/>
    </w:pPr>
  </w:style>
  <w:style w:type="paragraph" w:customStyle="1" w:styleId="63">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op_mapdots_left"/>
    <w:basedOn w:val="1"/>
    <w:autoRedefine/>
    <w:qFormat/>
    <w:uiPriority w:val="0"/>
    <w:pPr>
      <w:jc w:val="left"/>
    </w:pPr>
    <w:rPr>
      <w:kern w:val="0"/>
    </w:rPr>
  </w:style>
  <w:style w:type="paragraph" w:customStyle="1" w:styleId="6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6">
    <w:name w:val="正文 New New New New"/>
    <w:autoRedefine/>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7">
    <w:name w:val="样式 标题 3 + (中文) 黑体 小四 非加粗 段前: 7.8 磅 段后: 0 磅 行距: 固定值 20 磅"/>
    <w:basedOn w:val="4"/>
    <w:autoRedefine/>
    <w:qFormat/>
    <w:uiPriority w:val="0"/>
    <w:pPr>
      <w:spacing w:line="400" w:lineRule="exact"/>
    </w:pPr>
    <w:rPr>
      <w:rFonts w:eastAsia="黑体" w:cs="宋体"/>
      <w:b w:val="0"/>
      <w:bCs w:val="0"/>
      <w:sz w:val="24"/>
      <w:szCs w:val="20"/>
    </w:rPr>
  </w:style>
  <w:style w:type="paragraph" w:customStyle="1" w:styleId="68">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1、"/>
    <w:basedOn w:val="3"/>
    <w:autoRedefine/>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0">
    <w:name w:val="_Style 63"/>
    <w:basedOn w:val="1"/>
    <w:next w:val="1"/>
    <w:autoRedefine/>
    <w:qFormat/>
    <w:uiPriority w:val="0"/>
    <w:pPr>
      <w:pBdr>
        <w:top w:val="single" w:color="auto" w:sz="6" w:space="1"/>
      </w:pBdr>
      <w:jc w:val="center"/>
    </w:pPr>
    <w:rPr>
      <w:rFonts w:ascii="Arial"/>
      <w:vanish/>
      <w:sz w:val="16"/>
    </w:rPr>
  </w:style>
  <w:style w:type="paragraph" w:customStyle="1" w:styleId="71">
    <w:name w:val="标题1.1"/>
    <w:basedOn w:val="58"/>
    <w:next w:val="1"/>
    <w:autoRedefine/>
    <w:qFormat/>
    <w:uiPriority w:val="0"/>
    <w:pPr>
      <w:numPr>
        <w:ilvl w:val="2"/>
        <w:numId w:val="3"/>
      </w:numPr>
      <w:ind w:firstLine="0" w:firstLineChars="0"/>
      <w:outlineLvl w:val="2"/>
    </w:pPr>
    <w:rPr>
      <w:b/>
    </w:rPr>
  </w:style>
  <w:style w:type="paragraph" w:customStyle="1" w:styleId="72">
    <w:name w:val="TOC 标题1"/>
    <w:basedOn w:val="2"/>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73">
    <w:name w:val="正文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4">
    <w:name w:val="p17"/>
    <w:autoRedefine/>
    <w:qFormat/>
    <w:uiPriority w:val="0"/>
    <w:pPr>
      <w:spacing w:before="100" w:beforeAutospacing="1" w:after="100" w:afterAutospacing="1"/>
    </w:pPr>
    <w:rPr>
      <w:rFonts w:ascii="宋体" w:hAnsi="宋体" w:eastAsia="宋体" w:cs="宋体"/>
      <w:sz w:val="24"/>
      <w:lang w:val="en-US" w:eastAsia="zh-CN" w:bidi="ar-SA"/>
    </w:rPr>
  </w:style>
  <w:style w:type="paragraph" w:customStyle="1" w:styleId="75">
    <w:name w:val="小标题"/>
    <w:basedOn w:val="1"/>
    <w:autoRedefine/>
    <w:qFormat/>
    <w:uiPriority w:val="0"/>
    <w:pPr>
      <w:autoSpaceDE w:val="0"/>
      <w:autoSpaceDN w:val="0"/>
      <w:adjustRightInd w:val="0"/>
      <w:jc w:val="center"/>
    </w:pPr>
    <w:rPr>
      <w:rFonts w:ascii="宋体" w:hAnsi="宋体" w:cs="Microsoft JhengHei"/>
      <w:b/>
      <w:kern w:val="0"/>
      <w:sz w:val="28"/>
      <w:szCs w:val="32"/>
    </w:rPr>
  </w:style>
  <w:style w:type="paragraph" w:customStyle="1" w:styleId="76">
    <w:name w:val="Char"/>
    <w:basedOn w:val="12"/>
    <w:autoRedefine/>
    <w:qFormat/>
    <w:uiPriority w:val="0"/>
    <w:rPr>
      <w:rFonts w:ascii="Tahoma" w:hAnsi="Tahoma"/>
      <w:sz w:val="24"/>
    </w:rPr>
  </w:style>
  <w:style w:type="paragraph" w:customStyle="1" w:styleId="77">
    <w:name w:val="列出段落1"/>
    <w:basedOn w:val="1"/>
    <w:autoRedefine/>
    <w:qFormat/>
    <w:uiPriority w:val="1"/>
    <w:pPr>
      <w:ind w:left="424" w:firstLine="480"/>
    </w:pPr>
    <w:rPr>
      <w:rFonts w:ascii="宋体" w:hAnsi="宋体" w:cs="宋体"/>
      <w:lang w:val="zh-CN" w:bidi="zh-CN"/>
    </w:rPr>
  </w:style>
  <w:style w:type="paragraph" w:customStyle="1" w:styleId="78">
    <w:name w:val="样式 标题 2 + Times New Roman 四号 非加粗 段前: 5 磅 段后: 0 磅 行距: 固定值 20..."/>
    <w:basedOn w:val="3"/>
    <w:next w:val="1"/>
    <w:link w:val="85"/>
    <w:autoRedefine/>
    <w:qFormat/>
    <w:uiPriority w:val="0"/>
    <w:pPr>
      <w:spacing w:line="400" w:lineRule="exact"/>
    </w:pPr>
    <w:rPr>
      <w:rFonts w:ascii="Times New Roman" w:hAnsi="Times New Roman" w:eastAsia="宋体"/>
      <w:kern w:val="0"/>
      <w:sz w:val="28"/>
      <w:szCs w:val="20"/>
    </w:rPr>
  </w:style>
  <w:style w:type="paragraph" w:customStyle="1" w:styleId="79">
    <w:name w:val="正文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Table Paragraph"/>
    <w:basedOn w:val="1"/>
    <w:autoRedefine/>
    <w:qFormat/>
    <w:uiPriority w:val="1"/>
  </w:style>
  <w:style w:type="paragraph" w:customStyle="1" w:styleId="81">
    <w:name w:val="p0"/>
    <w:basedOn w:val="1"/>
    <w:autoRedefine/>
    <w:qFormat/>
    <w:uiPriority w:val="0"/>
    <w:pPr>
      <w:widowControl/>
    </w:pPr>
    <w:rPr>
      <w:rFonts w:ascii="Calibri" w:hAnsi="Calibri" w:cs="宋体"/>
      <w:kern w:val="0"/>
      <w:szCs w:val="21"/>
    </w:rPr>
  </w:style>
  <w:style w:type="paragraph" w:customStyle="1" w:styleId="8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p16"/>
    <w:basedOn w:val="1"/>
    <w:autoRedefine/>
    <w:qFormat/>
    <w:uiPriority w:val="0"/>
    <w:pPr>
      <w:widowControl/>
    </w:pPr>
    <w:rPr>
      <w:kern w:val="0"/>
      <w:szCs w:val="21"/>
    </w:rPr>
  </w:style>
  <w:style w:type="paragraph" w:customStyle="1" w:styleId="84">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样式 标题 2 + Times New Roman 四号 非加粗 段前: 5 磅 段后: 0 磅 行距: 固定值 20... Char"/>
    <w:link w:val="78"/>
    <w:autoRedefine/>
    <w:qFormat/>
    <w:uiPriority w:val="0"/>
    <w:rPr>
      <w:rFonts w:ascii="Times New Roman" w:hAnsi="Times New Roman" w:cs="宋体"/>
      <w:b/>
      <w:bCs/>
      <w:sz w:val="28"/>
      <w:szCs w:val="20"/>
    </w:rPr>
  </w:style>
  <w:style w:type="character" w:customStyle="1" w:styleId="86">
    <w:name w:val="标题 1 Char"/>
    <w:link w:val="2"/>
    <w:autoRedefine/>
    <w:qFormat/>
    <w:uiPriority w:val="0"/>
    <w:rPr>
      <w:b/>
      <w:bCs/>
      <w:kern w:val="44"/>
      <w:sz w:val="44"/>
      <w:szCs w:val="44"/>
    </w:rPr>
  </w:style>
  <w:style w:type="character" w:customStyle="1" w:styleId="87">
    <w:name w:val="目录 5 Char"/>
    <w:link w:val="18"/>
    <w:autoRedefine/>
    <w:qFormat/>
    <w:uiPriority w:val="39"/>
    <w:rPr>
      <w:rFonts w:ascii="Calibri" w:hAnsi="Calibri" w:eastAsia="宋体" w:cs="Times New Roman"/>
      <w:szCs w:val="22"/>
    </w:rPr>
  </w:style>
  <w:style w:type="character" w:customStyle="1" w:styleId="88">
    <w:name w:val="副标题 Char"/>
    <w:basedOn w:val="44"/>
    <w:link w:val="30"/>
    <w:autoRedefine/>
    <w:qFormat/>
    <w:uiPriority w:val="0"/>
    <w:rPr>
      <w:rFonts w:ascii="Cambria" w:hAnsi="Cambria" w:cs="Times New Roman"/>
      <w:b/>
      <w:bCs/>
      <w:kern w:val="28"/>
      <w:sz w:val="32"/>
      <w:szCs w:val="32"/>
    </w:rPr>
  </w:style>
  <w:style w:type="character" w:customStyle="1" w:styleId="89">
    <w:name w:val="hover37"/>
    <w:basedOn w:val="44"/>
    <w:autoRedefine/>
    <w:qFormat/>
    <w:uiPriority w:val="0"/>
  </w:style>
  <w:style w:type="character" w:customStyle="1" w:styleId="90">
    <w:name w:val="标题 3 Char"/>
    <w:basedOn w:val="44"/>
    <w:link w:val="4"/>
    <w:autoRedefine/>
    <w:qFormat/>
    <w:uiPriority w:val="0"/>
    <w:rPr>
      <w:rFonts w:eastAsia="宋体"/>
      <w:b/>
      <w:bCs/>
      <w:kern w:val="2"/>
      <w:sz w:val="32"/>
      <w:szCs w:val="32"/>
      <w:lang w:val="en-US" w:eastAsia="zh-CN" w:bidi="ar-SA"/>
    </w:rPr>
  </w:style>
  <w:style w:type="character" w:customStyle="1" w:styleId="91">
    <w:name w:val="批注文字 Char"/>
    <w:basedOn w:val="44"/>
    <w:link w:val="13"/>
    <w:autoRedefine/>
    <w:qFormat/>
    <w:uiPriority w:val="0"/>
    <w:rPr>
      <w:kern w:val="2"/>
      <w:sz w:val="21"/>
      <w:szCs w:val="24"/>
    </w:rPr>
  </w:style>
  <w:style w:type="character" w:customStyle="1" w:styleId="92">
    <w:name w:val="正文文本 3 Char"/>
    <w:basedOn w:val="44"/>
    <w:link w:val="14"/>
    <w:autoRedefine/>
    <w:qFormat/>
    <w:uiPriority w:val="0"/>
    <w:rPr>
      <w:rFonts w:ascii="宋体" w:eastAsia="宋体"/>
      <w:kern w:val="2"/>
      <w:sz w:val="24"/>
      <w:lang w:val="en-US" w:eastAsia="zh-CN" w:bidi="ar-SA"/>
    </w:rPr>
  </w:style>
  <w:style w:type="character" w:customStyle="1" w:styleId="93">
    <w:name w:val="style2"/>
    <w:basedOn w:val="44"/>
    <w:autoRedefine/>
    <w:qFormat/>
    <w:uiPriority w:val="0"/>
  </w:style>
  <w:style w:type="character" w:customStyle="1" w:styleId="94">
    <w:name w:val="正文文本 Char"/>
    <w:basedOn w:val="44"/>
    <w:link w:val="15"/>
    <w:autoRedefine/>
    <w:qFormat/>
    <w:uiPriority w:val="0"/>
    <w:rPr>
      <w:rFonts w:eastAsia="宋体"/>
      <w:kern w:val="2"/>
      <w:sz w:val="21"/>
      <w:szCs w:val="24"/>
      <w:lang w:val="en-US" w:eastAsia="zh-CN" w:bidi="ar-SA"/>
    </w:rPr>
  </w:style>
  <w:style w:type="character" w:customStyle="1" w:styleId="95">
    <w:name w:val="Char Char17"/>
    <w:basedOn w:val="44"/>
    <w:autoRedefine/>
    <w:qFormat/>
    <w:uiPriority w:val="0"/>
    <w:rPr>
      <w:rFonts w:ascii="Times New Roman" w:hAnsi="Times New Roman" w:eastAsia="宋体" w:cs="Times New Roman"/>
      <w:b/>
      <w:bCs/>
      <w:kern w:val="44"/>
      <w:sz w:val="44"/>
      <w:szCs w:val="44"/>
    </w:rPr>
  </w:style>
  <w:style w:type="character" w:customStyle="1" w:styleId="96">
    <w:name w:val="批注主题 Char"/>
    <w:basedOn w:val="91"/>
    <w:link w:val="40"/>
    <w:autoRedefine/>
    <w:qFormat/>
    <w:uiPriority w:val="0"/>
    <w:rPr>
      <w:kern w:val="2"/>
      <w:sz w:val="21"/>
      <w:szCs w:val="24"/>
    </w:rPr>
  </w:style>
  <w:style w:type="character" w:customStyle="1" w:styleId="97">
    <w:name w:val="标题 4 Char"/>
    <w:basedOn w:val="44"/>
    <w:link w:val="5"/>
    <w:autoRedefine/>
    <w:qFormat/>
    <w:uiPriority w:val="0"/>
    <w:rPr>
      <w:rFonts w:ascii="Arial" w:hAnsi="Arial" w:eastAsia="黑体"/>
      <w:b/>
      <w:bCs/>
      <w:kern w:val="2"/>
      <w:sz w:val="28"/>
      <w:szCs w:val="28"/>
      <w:lang w:val="en-US" w:eastAsia="zh-CN" w:bidi="ar-SA"/>
    </w:rPr>
  </w:style>
  <w:style w:type="character" w:customStyle="1" w:styleId="98">
    <w:name w:val="脚注文本 Char"/>
    <w:basedOn w:val="44"/>
    <w:link w:val="31"/>
    <w:autoRedefine/>
    <w:qFormat/>
    <w:uiPriority w:val="0"/>
    <w:rPr>
      <w:kern w:val="2"/>
      <w:sz w:val="18"/>
      <w:szCs w:val="18"/>
    </w:rPr>
  </w:style>
  <w:style w:type="character" w:customStyle="1" w:styleId="99">
    <w:name w:val="页脚 Char"/>
    <w:basedOn w:val="44"/>
    <w:link w:val="26"/>
    <w:autoRedefine/>
    <w:qFormat/>
    <w:uiPriority w:val="0"/>
    <w:rPr>
      <w:kern w:val="2"/>
      <w:sz w:val="18"/>
      <w:szCs w:val="18"/>
    </w:rPr>
  </w:style>
  <w:style w:type="character" w:customStyle="1" w:styleId="100">
    <w:name w:val="页码1"/>
    <w:basedOn w:val="44"/>
    <w:autoRedefine/>
    <w:qFormat/>
    <w:uiPriority w:val="0"/>
  </w:style>
  <w:style w:type="character" w:customStyle="1" w:styleId="101">
    <w:name w:val="hover"/>
    <w:basedOn w:val="44"/>
    <w:autoRedefine/>
    <w:qFormat/>
    <w:uiPriority w:val="0"/>
  </w:style>
  <w:style w:type="paragraph" w:customStyle="1" w:styleId="102">
    <w:name w:val="标题 1 New"/>
    <w:basedOn w:val="68"/>
    <w:next w:val="68"/>
    <w:link w:val="103"/>
    <w:autoRedefine/>
    <w:qFormat/>
    <w:uiPriority w:val="0"/>
    <w:pPr>
      <w:keepNext/>
      <w:keepLines/>
      <w:spacing w:line="578" w:lineRule="auto"/>
      <w:outlineLvl w:val="0"/>
    </w:pPr>
    <w:rPr>
      <w:b/>
      <w:bCs/>
      <w:kern w:val="44"/>
      <w:sz w:val="44"/>
      <w:szCs w:val="44"/>
    </w:rPr>
  </w:style>
  <w:style w:type="character" w:customStyle="1" w:styleId="103">
    <w:name w:val="标题 1 Char Char New"/>
    <w:link w:val="102"/>
    <w:autoRedefine/>
    <w:qFormat/>
    <w:uiPriority w:val="0"/>
    <w:rPr>
      <w:rFonts w:ascii="Times New Roman" w:hAnsi="Times New Roman"/>
      <w:b/>
      <w:bCs/>
      <w:kern w:val="44"/>
      <w:sz w:val="44"/>
      <w:szCs w:val="44"/>
    </w:rPr>
  </w:style>
  <w:style w:type="paragraph" w:customStyle="1" w:styleId="104">
    <w:name w:val="正文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正文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8">
    <w:name w:val="hover38"/>
    <w:basedOn w:val="44"/>
    <w:autoRedefine/>
    <w:qFormat/>
    <w:uiPriority w:val="0"/>
  </w:style>
  <w:style w:type="paragraph" w:customStyle="1" w:styleId="10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0">
    <w:name w:val="样式4"/>
    <w:basedOn w:val="1"/>
    <w:autoRedefine/>
    <w:qFormat/>
    <w:uiPriority w:val="0"/>
    <w:pPr>
      <w:spacing w:line="360" w:lineRule="auto"/>
      <w:jc w:val="center"/>
    </w:pPr>
    <w:rPr>
      <w:rFonts w:ascii="宋体" w:hAnsi="宋体"/>
      <w:sz w:val="24"/>
    </w:rPr>
  </w:style>
  <w:style w:type="paragraph" w:customStyle="1" w:styleId="111">
    <w:name w:val="正文文本 New"/>
    <w:basedOn w:val="84"/>
    <w:autoRedefine/>
    <w:qFormat/>
    <w:uiPriority w:val="0"/>
    <w:pPr>
      <w:spacing w:after="120"/>
    </w:pPr>
  </w:style>
  <w:style w:type="paragraph" w:customStyle="1" w:styleId="112">
    <w:name w:val="列出段落2"/>
    <w:basedOn w:val="1"/>
    <w:autoRedefine/>
    <w:unhideWhenUsed/>
    <w:qFormat/>
    <w:uiPriority w:val="99"/>
    <w:pPr>
      <w:ind w:firstLine="420" w:firstLineChars="200"/>
    </w:pPr>
  </w:style>
  <w:style w:type="character" w:customStyle="1" w:styleId="113">
    <w:name w:val="NormalCharacter"/>
    <w:autoRedefine/>
    <w:semiHidden/>
    <w:qFormat/>
    <w:uiPriority w:val="0"/>
  </w:style>
  <w:style w:type="paragraph" w:customStyle="1" w:styleId="114">
    <w:name w:val="列出段落3"/>
    <w:basedOn w:val="1"/>
    <w:autoRedefine/>
    <w:qFormat/>
    <w:uiPriority w:val="1"/>
    <w:pPr>
      <w:ind w:left="424" w:firstLine="480"/>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wmf"/><Relationship Id="rId27" Type="http://schemas.openxmlformats.org/officeDocument/2006/relationships/oleObject" Target="embeddings/oleObject1.bin"/><Relationship Id="rId26" Type="http://schemas.openxmlformats.org/officeDocument/2006/relationships/theme" Target="theme/theme1.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270</Pages>
  <Words>180133</Words>
  <Characters>191355</Characters>
  <Lines>1507</Lines>
  <Paragraphs>424</Paragraphs>
  <TotalTime>64</TotalTime>
  <ScaleCrop>false</ScaleCrop>
  <LinksUpToDate>false</LinksUpToDate>
  <CharactersWithSpaces>198224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微软用户</dc:creator>
  <cp:lastModifiedBy>zsj</cp:lastModifiedBy>
  <cp:lastPrinted>2024-09-26T03:17:00Z</cp:lastPrinted>
  <dcterms:modified xsi:type="dcterms:W3CDTF">2024-09-26T08:22:35Z</dcterms:modified>
  <dc:title>G323线麦屋至乳源县城段路面大修工程施工招标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B0933B9D35C548B7966011B81FE98561_13</vt:lpwstr>
  </property>
</Properties>
</file>