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873B4">
      <w:pPr>
        <w:autoSpaceDE w:val="0"/>
        <w:autoSpaceDN w:val="0"/>
        <w:adjustRightInd w:val="0"/>
        <w:spacing w:line="700" w:lineRule="exact"/>
        <w:ind w:firstLine="0" w:firstLineChars="0"/>
        <w:jc w:val="center"/>
        <w:rPr>
          <w:rFonts w:ascii="宋体" w:hAnsi="宋体" w:cs="宋体"/>
          <w:b/>
          <w:bCs/>
          <w:sz w:val="44"/>
          <w:szCs w:val="44"/>
        </w:rPr>
      </w:pPr>
      <w:r>
        <w:rPr>
          <w:rFonts w:hint="eastAsia" w:ascii="宋体" w:hAnsi="宋体" w:cs="宋体"/>
          <w:b/>
          <w:bCs/>
          <w:sz w:val="44"/>
          <w:szCs w:val="44"/>
        </w:rPr>
        <w:t>编制说明</w:t>
      </w:r>
    </w:p>
    <w:p w14:paraId="18AC3AFA">
      <w:pPr>
        <w:autoSpaceDE w:val="0"/>
        <w:autoSpaceDN w:val="0"/>
        <w:adjustRightInd w:val="0"/>
        <w:spacing w:line="700" w:lineRule="exact"/>
        <w:ind w:firstLine="0" w:firstLineChars="0"/>
        <w:jc w:val="center"/>
        <w:rPr>
          <w:rFonts w:ascii="宋体" w:hAnsi="宋体" w:cs="宋体"/>
          <w:b/>
          <w:bCs/>
          <w:sz w:val="44"/>
          <w:szCs w:val="44"/>
        </w:rPr>
      </w:pPr>
    </w:p>
    <w:p w14:paraId="3B64DA35">
      <w:pPr>
        <w:tabs>
          <w:tab w:val="left" w:pos="900"/>
          <w:tab w:val="left" w:pos="1080"/>
        </w:tabs>
        <w:spacing w:line="500" w:lineRule="exact"/>
        <w:ind w:firstLine="213" w:firstLineChars="71"/>
        <w:rPr>
          <w:rFonts w:ascii="黑体" w:hAnsi="黑体" w:eastAsia="黑体"/>
          <w:bCs/>
          <w:sz w:val="30"/>
          <w:szCs w:val="30"/>
        </w:rPr>
      </w:pPr>
      <w:r>
        <w:rPr>
          <w:rFonts w:hint="eastAsia" w:ascii="黑体" w:hAnsi="黑体" w:eastAsia="黑体"/>
          <w:sz w:val="30"/>
          <w:szCs w:val="30"/>
        </w:rPr>
        <w:t>一、项目概况</w:t>
      </w:r>
    </w:p>
    <w:p w14:paraId="597BAE68">
      <w:pPr>
        <w:keepNext w:val="0"/>
        <w:keepLines w:val="0"/>
        <w:widowControl/>
        <w:suppressLineNumbers w:val="0"/>
        <w:jc w:val="left"/>
        <w:rPr>
          <w:rFonts w:hint="eastAsia" w:ascii="仿宋_GB2312" w:hAnsi="宋体" w:eastAsia="仿宋_GB2312"/>
          <w:snapToGrid w:val="0"/>
          <w:kern w:val="0"/>
          <w:sz w:val="30"/>
          <w:szCs w:val="30"/>
        </w:rPr>
      </w:pPr>
      <w:r>
        <w:rPr>
          <w:rFonts w:hint="eastAsia" w:ascii="仿宋_GB2312" w:hAnsi="宋体" w:eastAsia="仿宋_GB2312"/>
          <w:snapToGrid w:val="0"/>
          <w:kern w:val="0"/>
          <w:sz w:val="30"/>
          <w:szCs w:val="30"/>
        </w:rPr>
        <w:t>1.工程名称:</w:t>
      </w:r>
      <w:r>
        <w:rPr>
          <w:rFonts w:hint="eastAsia" w:ascii="仿宋" w:hAnsi="仿宋" w:eastAsia="仿宋" w:cs="仿宋"/>
          <w:color w:val="000000"/>
          <w:kern w:val="0"/>
          <w:sz w:val="30"/>
          <w:szCs w:val="30"/>
          <w:lang w:val="en-US" w:eastAsia="zh-CN" w:bidi="ar"/>
        </w:rPr>
        <w:t>浈江区2024-2025年城镇老旧小区改造配套基础设施建设项目（一期）</w:t>
      </w:r>
    </w:p>
    <w:p w14:paraId="4B1E8E5A">
      <w:pPr>
        <w:tabs>
          <w:tab w:val="left" w:pos="900"/>
          <w:tab w:val="left" w:pos="1080"/>
        </w:tabs>
        <w:ind w:firstLine="600"/>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rPr>
        <w:t>2.建设单位:</w:t>
      </w:r>
      <w:r>
        <w:rPr>
          <w:rFonts w:hint="eastAsia" w:ascii="仿宋_GB2312" w:hAnsi="宋体" w:eastAsia="仿宋_GB2312"/>
          <w:snapToGrid w:val="0"/>
          <w:kern w:val="0"/>
          <w:sz w:val="30"/>
          <w:szCs w:val="30"/>
          <w:lang w:val="en-US" w:eastAsia="zh-CN"/>
        </w:rPr>
        <w:t>韶关市浈江区城市建设事务中心</w:t>
      </w:r>
    </w:p>
    <w:p w14:paraId="361656D0">
      <w:pPr>
        <w:tabs>
          <w:tab w:val="left" w:pos="900"/>
          <w:tab w:val="left" w:pos="1080"/>
        </w:tabs>
        <w:ind w:firstLine="600"/>
        <w:rPr>
          <w:rFonts w:hint="eastAsia" w:ascii="仿宋_GB2312" w:hAnsi="宋体" w:eastAsia="仿宋_GB2312" w:cs="Times New Roman"/>
          <w:snapToGrid w:val="0"/>
          <w:kern w:val="0"/>
          <w:sz w:val="30"/>
          <w:szCs w:val="30"/>
        </w:rPr>
      </w:pPr>
      <w:r>
        <w:rPr>
          <w:rFonts w:hint="eastAsia" w:ascii="仿宋_GB2312" w:hAnsi="宋体" w:eastAsia="仿宋_GB2312" w:cs="Times New Roman"/>
          <w:snapToGrid w:val="0"/>
          <w:kern w:val="0"/>
          <w:sz w:val="30"/>
          <w:szCs w:val="30"/>
        </w:rPr>
        <w:t>3.建设地址:</w:t>
      </w:r>
      <w:r>
        <w:rPr>
          <w:rFonts w:hint="eastAsia" w:ascii="仿宋" w:hAnsi="仿宋" w:eastAsia="仿宋" w:cs="仿宋"/>
          <w:snapToGrid w:val="0"/>
          <w:kern w:val="0"/>
          <w:sz w:val="32"/>
          <w:szCs w:val="24"/>
        </w:rPr>
        <w:t>韶关市浈江区</w:t>
      </w:r>
      <w:r>
        <w:rPr>
          <w:rFonts w:hint="eastAsia" w:ascii="仿宋_GB2312" w:hAnsi="宋体" w:eastAsia="仿宋_GB2312" w:cs="Times New Roman"/>
          <w:snapToGrid w:val="0"/>
          <w:kern w:val="0"/>
          <w:sz w:val="30"/>
          <w:szCs w:val="30"/>
        </w:rPr>
        <w:t xml:space="preserve">   </w:t>
      </w:r>
    </w:p>
    <w:p w14:paraId="32796F68">
      <w:pPr>
        <w:tabs>
          <w:tab w:val="left" w:pos="900"/>
          <w:tab w:val="left" w:pos="1080"/>
        </w:tabs>
        <w:ind w:firstLine="600"/>
        <w:rPr>
          <w:rFonts w:hint="eastAsia" w:ascii="仿宋_GB2312" w:hAnsi="宋体" w:eastAsia="仿宋_GB2312" w:cs="Times New Roman"/>
          <w:snapToGrid w:val="0"/>
          <w:kern w:val="0"/>
          <w:sz w:val="30"/>
          <w:szCs w:val="30"/>
          <w:lang w:eastAsia="zh-CN"/>
        </w:rPr>
      </w:pPr>
      <w:r>
        <w:rPr>
          <w:rFonts w:hint="eastAsia" w:ascii="仿宋_GB2312" w:hAnsi="宋体" w:eastAsia="仿宋_GB2312" w:cs="Times New Roman"/>
          <w:snapToGrid w:val="0"/>
          <w:kern w:val="0"/>
          <w:sz w:val="30"/>
          <w:szCs w:val="30"/>
        </w:rPr>
        <w:t>4.工程内容：</w:t>
      </w:r>
      <w:r>
        <w:rPr>
          <w:rFonts w:hint="eastAsia" w:ascii="仿宋_GB2312" w:hAnsi="宋体" w:eastAsia="仿宋_GB2312"/>
          <w:sz w:val="30"/>
          <w:szCs w:val="30"/>
        </w:rPr>
        <w:t>施工图设计及图纸、清单范围内的工程施工</w:t>
      </w:r>
      <w:r>
        <w:rPr>
          <w:rFonts w:hint="eastAsia" w:ascii="仿宋_GB2312" w:hAnsi="宋体" w:eastAsia="仿宋_GB2312" w:cs="Times New Roman"/>
          <w:snapToGrid w:val="0"/>
          <w:kern w:val="0"/>
          <w:sz w:val="30"/>
          <w:szCs w:val="30"/>
          <w:lang w:eastAsia="zh-CN"/>
        </w:rPr>
        <w:t>。</w:t>
      </w:r>
    </w:p>
    <w:p w14:paraId="322B3C37">
      <w:pPr>
        <w:tabs>
          <w:tab w:val="left" w:pos="900"/>
          <w:tab w:val="left" w:pos="1080"/>
        </w:tabs>
        <w:ind w:firstLine="213" w:firstLineChars="71"/>
        <w:rPr>
          <w:rFonts w:ascii="黑体" w:hAnsi="黑体" w:eastAsia="黑体"/>
          <w:sz w:val="30"/>
          <w:szCs w:val="30"/>
        </w:rPr>
      </w:pPr>
      <w:r>
        <w:rPr>
          <w:rFonts w:hint="eastAsia" w:ascii="黑体" w:hAnsi="黑体" w:eastAsia="黑体"/>
          <w:sz w:val="30"/>
          <w:szCs w:val="30"/>
        </w:rPr>
        <w:t>二、编制依据</w:t>
      </w:r>
    </w:p>
    <w:p w14:paraId="56C055BE">
      <w:pPr>
        <w:keepNext w:val="0"/>
        <w:keepLines w:val="0"/>
        <w:pageBreakBefore w:val="0"/>
        <w:widowControl/>
        <w:numPr>
          <w:ilvl w:val="0"/>
          <w:numId w:val="1"/>
        </w:numPr>
        <w:suppressLineNumbers w:val="0"/>
        <w:kinsoku/>
        <w:wordWrap/>
        <w:overflowPunct/>
        <w:topLinePunct w:val="0"/>
        <w:autoSpaceDE/>
        <w:autoSpaceDN/>
        <w:bidi w:val="0"/>
        <w:adjustRightInd/>
        <w:snapToGrid/>
        <w:ind w:left="0" w:leftChars="0" w:firstLine="600" w:firstLineChars="200"/>
        <w:jc w:val="left"/>
        <w:textAlignment w:val="auto"/>
        <w:rPr>
          <w:rFonts w:ascii="仿宋_GB2312" w:hAnsi="宋体" w:eastAsia="仿宋_GB2312"/>
          <w:snapToGrid w:val="0"/>
          <w:sz w:val="30"/>
          <w:szCs w:val="30"/>
        </w:rPr>
      </w:pPr>
      <w:r>
        <w:rPr>
          <w:rFonts w:hint="eastAsia" w:ascii="仿宋_GB2312" w:hAnsi="宋体" w:eastAsia="仿宋_GB2312" w:cs="Times New Roman"/>
          <w:snapToGrid w:val="0"/>
          <w:kern w:val="0"/>
          <w:sz w:val="30"/>
          <w:szCs w:val="30"/>
        </w:rPr>
        <w:t>根据</w:t>
      </w:r>
      <w:r>
        <w:rPr>
          <w:rFonts w:hint="eastAsia" w:ascii="仿宋" w:hAnsi="仿宋" w:eastAsia="仿宋" w:cs="仿宋"/>
          <w:sz w:val="32"/>
          <w:szCs w:val="32"/>
          <w:lang w:val="en-US" w:eastAsia="zh-CN"/>
        </w:rPr>
        <w:t>中誉恒信工程咨询有限公司</w:t>
      </w:r>
      <w:r>
        <w:rPr>
          <w:rFonts w:hint="eastAsia" w:ascii="仿宋_GB2312" w:hAnsi="宋体" w:eastAsia="仿宋_GB2312" w:cs="Times New Roman"/>
          <w:snapToGrid w:val="0"/>
          <w:kern w:val="0"/>
          <w:sz w:val="30"/>
          <w:szCs w:val="30"/>
        </w:rPr>
        <w:t>提供的《</w:t>
      </w:r>
      <w:r>
        <w:rPr>
          <w:rFonts w:hint="eastAsia" w:ascii="仿宋" w:hAnsi="仿宋" w:eastAsia="仿宋" w:cs="仿宋"/>
          <w:color w:val="000000"/>
          <w:kern w:val="0"/>
          <w:sz w:val="30"/>
          <w:szCs w:val="30"/>
          <w:lang w:val="en-US" w:eastAsia="zh-CN" w:bidi="ar"/>
        </w:rPr>
        <w:t>浈江区2024-2025年城镇老旧小区改造配套基础设施建设项目（一期）设计图纸</w:t>
      </w:r>
      <w:r>
        <w:rPr>
          <w:rFonts w:hint="eastAsia" w:ascii="仿宋_GB2312" w:hAnsi="宋体" w:eastAsia="仿宋_GB2312"/>
          <w:snapToGrid w:val="0"/>
          <w:kern w:val="0"/>
          <w:sz w:val="30"/>
          <w:szCs w:val="30"/>
          <w:lang w:val="en-US" w:eastAsia="zh-CN"/>
        </w:rPr>
        <w:t>》</w:t>
      </w:r>
      <w:r>
        <w:rPr>
          <w:rFonts w:hint="eastAsia" w:ascii="仿宋_GB2312" w:hAnsi="宋体" w:eastAsia="仿宋_GB2312"/>
          <w:snapToGrid w:val="0"/>
          <w:kern w:val="0"/>
          <w:sz w:val="30"/>
          <w:szCs w:val="30"/>
        </w:rPr>
        <w:t>及相关图纸答</w:t>
      </w:r>
      <w:r>
        <w:rPr>
          <w:rFonts w:hint="eastAsia" w:ascii="仿宋_GB2312" w:hAnsi="宋体" w:eastAsia="仿宋_GB2312"/>
          <w:snapToGrid w:val="0"/>
          <w:sz w:val="30"/>
          <w:szCs w:val="30"/>
        </w:rPr>
        <w:t>疑 。</w:t>
      </w:r>
    </w:p>
    <w:p w14:paraId="162C1167">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ascii="仿宋_GB2312" w:hAnsi="宋体" w:eastAsia="仿宋_GB2312"/>
          <w:snapToGrid w:val="0"/>
          <w:kern w:val="0"/>
          <w:sz w:val="30"/>
          <w:szCs w:val="30"/>
        </w:rPr>
      </w:pPr>
      <w:r>
        <w:rPr>
          <w:rFonts w:hint="eastAsia" w:ascii="仿宋_GB2312" w:hAnsi="宋体" w:eastAsia="仿宋_GB2312"/>
          <w:snapToGrid w:val="0"/>
          <w:kern w:val="0"/>
          <w:sz w:val="30"/>
          <w:szCs w:val="30"/>
        </w:rPr>
        <w:t>《房屋建筑与装饰工程工程量计算规范》GB50854-2013。</w:t>
      </w:r>
    </w:p>
    <w:p w14:paraId="68A2F81C">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rPr>
      </w:pPr>
      <w:r>
        <w:rPr>
          <w:rFonts w:hint="eastAsia" w:ascii="仿宋_GB2312" w:hAnsi="宋体" w:eastAsia="仿宋_GB2312" w:cs="Times New Roman"/>
          <w:snapToGrid w:val="0"/>
          <w:kern w:val="0"/>
          <w:sz w:val="30"/>
          <w:szCs w:val="30"/>
        </w:rPr>
        <w:t>《广东省市政工程综合定额(2018)》及解释和勘误。</w:t>
      </w:r>
    </w:p>
    <w:p w14:paraId="1BFD9ABE">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rPr>
      </w:pPr>
      <w:r>
        <w:rPr>
          <w:rFonts w:hint="eastAsia" w:ascii="仿宋_GB2312" w:hAnsi="宋体" w:eastAsia="仿宋_GB2312" w:cs="Times New Roman"/>
          <w:snapToGrid w:val="0"/>
          <w:kern w:val="0"/>
          <w:sz w:val="30"/>
          <w:szCs w:val="30"/>
        </w:rPr>
        <w:t>《广东省房屋建筑与装饰工程综合定额（2018）》及解释和勘误。</w:t>
      </w:r>
    </w:p>
    <w:p w14:paraId="3E7C5AC4">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rPr>
      </w:pPr>
      <w:r>
        <w:rPr>
          <w:rFonts w:hint="eastAsia" w:ascii="仿宋_GB2312" w:hAnsi="宋体" w:eastAsia="仿宋_GB2312"/>
          <w:snapToGrid w:val="0"/>
          <w:kern w:val="0"/>
          <w:sz w:val="30"/>
          <w:szCs w:val="30"/>
        </w:rPr>
        <w:t>《广东省通用安装工程综合定额（2018）》及解释和勘误。</w:t>
      </w:r>
    </w:p>
    <w:p w14:paraId="21B5FD10">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rPr>
      </w:pPr>
      <w:r>
        <w:rPr>
          <w:rFonts w:hint="eastAsia" w:ascii="仿宋_GB2312" w:hAnsi="宋体" w:eastAsia="仿宋_GB2312"/>
          <w:snapToGrid w:val="0"/>
          <w:kern w:val="0"/>
          <w:sz w:val="30"/>
          <w:szCs w:val="30"/>
        </w:rPr>
        <w:t>《广东省房屋建筑和市政修缮工程综合定额(2012)》</w:t>
      </w:r>
    </w:p>
    <w:p w14:paraId="59D764BE">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rPr>
      </w:pPr>
      <w:r>
        <w:rPr>
          <w:rFonts w:hint="eastAsia" w:ascii="仿宋_GB2312" w:hAnsi="宋体" w:eastAsia="仿宋_GB2312" w:cs="Times New Roman"/>
          <w:snapToGrid w:val="0"/>
          <w:kern w:val="0"/>
          <w:sz w:val="30"/>
          <w:szCs w:val="30"/>
        </w:rPr>
        <w:t>《广东省建设工程施工机具台班费用编制规则（2018）》。</w:t>
      </w:r>
    </w:p>
    <w:p w14:paraId="2BBEF8A0">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ascii="仿宋_GB2312" w:hAnsi="宋体" w:eastAsia="仿宋_GB2312"/>
          <w:snapToGrid w:val="0"/>
          <w:kern w:val="0"/>
          <w:sz w:val="30"/>
          <w:szCs w:val="30"/>
        </w:rPr>
      </w:pPr>
      <w:r>
        <w:rPr>
          <w:rFonts w:hint="eastAsia" w:ascii="仿宋_GB2312" w:hAnsi="宋体" w:eastAsia="仿宋_GB2312"/>
          <w:snapToGrid w:val="0"/>
          <w:kern w:val="0"/>
          <w:sz w:val="30"/>
          <w:szCs w:val="30"/>
        </w:rPr>
        <w:t>《关于全面推开营业税改征增值税试点的通知》（财税[2016]36号）。</w:t>
      </w:r>
    </w:p>
    <w:p w14:paraId="65353156">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ascii="仿宋_GB2312" w:hAnsi="宋体" w:eastAsia="仿宋_GB2312"/>
          <w:snapToGrid w:val="0"/>
          <w:kern w:val="0"/>
          <w:sz w:val="30"/>
          <w:szCs w:val="30"/>
        </w:rPr>
      </w:pPr>
      <w:r>
        <w:rPr>
          <w:rFonts w:hint="eastAsia" w:ascii="仿宋_GB2312" w:hAnsi="宋体" w:eastAsia="仿宋_GB2312"/>
          <w:snapToGrid w:val="0"/>
          <w:kern w:val="0"/>
          <w:sz w:val="30"/>
          <w:szCs w:val="30"/>
        </w:rPr>
        <w:t>《广东省住房和城乡建设厅关于调整广东省建设工程计价依据增值税税率的通知》（粤建标函〔2019〕819号）。</w:t>
      </w:r>
    </w:p>
    <w:p w14:paraId="081FD71C">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ascii="仿宋_GB2312" w:hAnsi="宋体" w:eastAsia="仿宋_GB2312"/>
          <w:snapToGrid w:val="0"/>
          <w:kern w:val="0"/>
          <w:sz w:val="30"/>
          <w:szCs w:val="30"/>
        </w:rPr>
      </w:pPr>
      <w:r>
        <w:rPr>
          <w:rFonts w:hint="eastAsia" w:ascii="仿宋_GB2312" w:hAnsi="宋体" w:eastAsia="仿宋_GB2312"/>
          <w:snapToGrid w:val="0"/>
          <w:kern w:val="0"/>
          <w:sz w:val="30"/>
          <w:szCs w:val="30"/>
        </w:rPr>
        <w:t>《广东省住房和城乡建设厅关于印发《广东省建设工程计价依据（2018）》的通知》（粤建市[2019]6号）。</w:t>
      </w:r>
    </w:p>
    <w:p w14:paraId="71C4AC2B">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snapToGrid w:val="0"/>
          <w:kern w:val="0"/>
          <w:sz w:val="30"/>
          <w:szCs w:val="30"/>
        </w:rPr>
      </w:pPr>
      <w:r>
        <w:rPr>
          <w:rFonts w:hint="eastAsia" w:ascii="仿宋_GB2312" w:hAnsi="宋体" w:eastAsia="仿宋_GB2312"/>
          <w:snapToGrid w:val="0"/>
          <w:kern w:val="0"/>
          <w:sz w:val="30"/>
          <w:szCs w:val="30"/>
        </w:rPr>
        <w:t>绿色施工安全防护措施费按各专业相关费率计取。</w:t>
      </w:r>
    </w:p>
    <w:p w14:paraId="150430CB">
      <w:pPr>
        <w:keepNext w:val="0"/>
        <w:keepLines w:val="0"/>
        <w:pageBreakBefore w:val="0"/>
        <w:numPr>
          <w:ilvl w:val="0"/>
          <w:numId w:val="1"/>
        </w:numPr>
        <w:tabs>
          <w:tab w:val="left" w:pos="900"/>
          <w:tab w:val="left" w:pos="1080"/>
        </w:tabs>
        <w:kinsoku/>
        <w:wordWrap/>
        <w:overflowPunct/>
        <w:topLinePunct w:val="0"/>
        <w:autoSpaceDE/>
        <w:autoSpaceDN/>
        <w:bidi w:val="0"/>
        <w:adjustRightInd/>
        <w:snapToGrid/>
        <w:ind w:left="0" w:leftChars="0" w:firstLine="640" w:firstLineChars="200"/>
        <w:textAlignment w:val="auto"/>
        <w:rPr>
          <w:rFonts w:hint="eastAsia" w:ascii="仿宋_GB2312" w:hAnsi="宋体" w:eastAsia="仿宋_GB2312"/>
          <w:snapToGrid w:val="0"/>
          <w:kern w:val="0"/>
          <w:sz w:val="30"/>
          <w:szCs w:val="30"/>
        </w:rPr>
      </w:pPr>
      <w:r>
        <w:rPr>
          <w:rFonts w:hint="eastAsia" w:ascii="仿宋" w:hAnsi="仿宋" w:eastAsia="仿宋" w:cs="仿宋"/>
          <w:sz w:val="32"/>
          <w:szCs w:val="32"/>
          <w:lang w:val="en-US" w:eastAsia="zh-CN"/>
        </w:rPr>
        <w:t>预算包干费：</w:t>
      </w:r>
      <w:r>
        <w:rPr>
          <w:rFonts w:hint="eastAsia" w:ascii="仿宋" w:hAnsi="仿宋" w:eastAsia="仿宋" w:cs="仿宋"/>
          <w:sz w:val="32"/>
          <w:szCs w:val="32"/>
        </w:rPr>
        <w:t>房屋建筑与装饰工程按分部分项的人工费与施工机具费之和的7%计取；市政工程按分部分项的人工费与施工机具费之和的6%计取</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安装工程</w:t>
      </w:r>
      <w:r>
        <w:rPr>
          <w:rFonts w:hint="eastAsia" w:ascii="仿宋" w:hAnsi="仿宋" w:eastAsia="仿宋" w:cs="仿宋"/>
          <w:sz w:val="32"/>
          <w:szCs w:val="32"/>
        </w:rPr>
        <w:t>按分部分项的人工费与施工机具费之和的</w:t>
      </w:r>
      <w:r>
        <w:rPr>
          <w:rFonts w:hint="eastAsia" w:ascii="仿宋" w:hAnsi="仿宋" w:eastAsia="仿宋" w:cs="仿宋"/>
          <w:sz w:val="32"/>
          <w:szCs w:val="32"/>
          <w:lang w:val="en-US" w:eastAsia="zh-CN"/>
        </w:rPr>
        <w:t>10</w:t>
      </w:r>
      <w:r>
        <w:rPr>
          <w:rFonts w:hint="eastAsia" w:ascii="仿宋" w:hAnsi="仿宋" w:eastAsia="仿宋" w:cs="仿宋"/>
          <w:sz w:val="32"/>
          <w:szCs w:val="32"/>
        </w:rPr>
        <w:t>%计取。</w:t>
      </w:r>
    </w:p>
    <w:p w14:paraId="37790061">
      <w:pPr>
        <w:tabs>
          <w:tab w:val="left" w:pos="900"/>
          <w:tab w:val="left" w:pos="1080"/>
        </w:tabs>
        <w:ind w:firstLine="213" w:firstLineChars="71"/>
        <w:rPr>
          <w:rFonts w:hint="eastAsia" w:ascii="黑体" w:hAnsi="黑体" w:eastAsia="黑体"/>
          <w:sz w:val="30"/>
          <w:szCs w:val="30"/>
        </w:rPr>
      </w:pPr>
      <w:bookmarkStart w:id="0" w:name="_GoBack"/>
      <w:bookmarkEnd w:id="0"/>
      <w:r>
        <w:rPr>
          <w:rFonts w:hint="eastAsia" w:ascii="黑体" w:hAnsi="黑体" w:eastAsia="黑体"/>
          <w:sz w:val="30"/>
          <w:szCs w:val="30"/>
        </w:rPr>
        <w:t>三、编制相关说明</w:t>
      </w:r>
    </w:p>
    <w:p w14:paraId="4C40F728">
      <w:pPr>
        <w:tabs>
          <w:tab w:val="left" w:pos="900"/>
          <w:tab w:val="left" w:pos="1080"/>
        </w:tabs>
        <w:ind w:firstLine="600"/>
        <w:rPr>
          <w:rFonts w:hint="eastAsia" w:ascii="仿宋_GB2312" w:hAnsi="宋体" w:eastAsia="仿宋_GB2312"/>
          <w:snapToGrid w:val="0"/>
          <w:kern w:val="0"/>
          <w:sz w:val="30"/>
          <w:szCs w:val="30"/>
        </w:rPr>
      </w:pPr>
      <w:r>
        <w:rPr>
          <w:rFonts w:hint="eastAsia" w:ascii="仿宋_GB2312" w:hAnsi="宋体" w:eastAsia="仿宋_GB2312"/>
          <w:snapToGrid w:val="0"/>
          <w:kern w:val="0"/>
          <w:sz w:val="30"/>
          <w:szCs w:val="30"/>
        </w:rPr>
        <w:t>（一）土建部分：</w:t>
      </w:r>
    </w:p>
    <w:p w14:paraId="3A3DCCE4">
      <w:pPr>
        <w:keepNext w:val="0"/>
        <w:keepLines w:val="0"/>
        <w:pageBreakBefore w:val="0"/>
        <w:numPr>
          <w:ilvl w:val="0"/>
          <w:numId w:val="2"/>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根据设计回复，机务新村、其他零星工程室内翻新楼层数按6层以内考虑。</w:t>
      </w:r>
    </w:p>
    <w:p w14:paraId="742A53CB">
      <w:pPr>
        <w:keepNext w:val="0"/>
        <w:keepLines w:val="0"/>
        <w:pageBreakBefore w:val="0"/>
        <w:numPr>
          <w:ilvl w:val="0"/>
          <w:numId w:val="2"/>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根据设计回复，其他零星修补项目土建部分按图号为JS-37工程量汇总表计算。</w:t>
      </w:r>
    </w:p>
    <w:p w14:paraId="4FC0B79E">
      <w:pPr>
        <w:keepNext w:val="0"/>
        <w:keepLines w:val="0"/>
        <w:pageBreakBefore w:val="0"/>
        <w:numPr>
          <w:ilvl w:val="0"/>
          <w:numId w:val="2"/>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图纸未明确之处，详见“</w:t>
      </w:r>
      <w:r>
        <w:rPr>
          <w:rFonts w:hint="eastAsia" w:ascii="仿宋" w:hAnsi="仿宋" w:eastAsia="仿宋" w:cs="仿宋"/>
          <w:color w:val="000000"/>
          <w:kern w:val="0"/>
          <w:sz w:val="30"/>
          <w:szCs w:val="30"/>
          <w:lang w:val="en-US" w:eastAsia="zh-CN" w:bidi="ar"/>
        </w:rPr>
        <w:t>浈江区2024-2025年城镇老旧小区改造配套基础设施建设项目（一期）图纸答疑”；如仍存在图纸为明确之处，详见</w:t>
      </w:r>
      <w:r>
        <w:rPr>
          <w:rFonts w:hint="eastAsia" w:ascii="仿宋" w:hAnsi="仿宋" w:eastAsia="仿宋" w:cs="仿宋"/>
          <w:sz w:val="32"/>
          <w:szCs w:val="32"/>
        </w:rPr>
        <w:t>成泸工程咨询有限公司</w:t>
      </w:r>
      <w:r>
        <w:rPr>
          <w:rFonts w:hint="eastAsia" w:ascii="仿宋" w:hAnsi="仿宋" w:eastAsia="仿宋" w:cs="仿宋"/>
          <w:sz w:val="32"/>
          <w:szCs w:val="32"/>
          <w:lang w:val="en-US" w:eastAsia="zh-CN"/>
        </w:rPr>
        <w:t>编制的“</w:t>
      </w:r>
      <w:r>
        <w:rPr>
          <w:rFonts w:hint="eastAsia" w:ascii="仿宋" w:hAnsi="仿宋" w:eastAsia="仿宋" w:cs="仿宋"/>
          <w:color w:val="000000"/>
          <w:kern w:val="0"/>
          <w:sz w:val="30"/>
          <w:szCs w:val="30"/>
          <w:lang w:val="en-US" w:eastAsia="zh-CN" w:bidi="ar"/>
        </w:rPr>
        <w:t>浈江区2024-2025年城镇老旧小区改造配套基础设施建设项目（一期）图纸答疑</w:t>
      </w:r>
      <w:r>
        <w:rPr>
          <w:rFonts w:hint="eastAsia" w:ascii="仿宋" w:hAnsi="仿宋" w:eastAsia="仿宋" w:cs="仿宋"/>
          <w:sz w:val="32"/>
          <w:szCs w:val="32"/>
          <w:lang w:val="en-US" w:eastAsia="zh-CN"/>
        </w:rPr>
        <w:t>”。</w:t>
      </w:r>
    </w:p>
    <w:p w14:paraId="1FC29F6F">
      <w:pPr>
        <w:keepNext w:val="0"/>
        <w:keepLines w:val="0"/>
        <w:pageBreakBefore w:val="0"/>
        <w:numPr>
          <w:ilvl w:val="0"/>
          <w:numId w:val="0"/>
        </w:numPr>
        <w:tabs>
          <w:tab w:val="left" w:pos="900"/>
          <w:tab w:val="left" w:pos="1080"/>
        </w:tabs>
        <w:kinsoku/>
        <w:wordWrap/>
        <w:overflowPunct/>
        <w:topLinePunct w:val="0"/>
        <w:autoSpaceDE/>
        <w:autoSpaceDN/>
        <w:bidi w:val="0"/>
        <w:adjustRightInd/>
        <w:snapToGrid/>
        <w:ind w:leftChars="200"/>
        <w:textAlignment w:val="auto"/>
        <w:rPr>
          <w:rFonts w:hint="eastAsia" w:ascii="仿宋_GB2312" w:hAnsi="宋体" w:eastAsia="仿宋_GB2312"/>
          <w:snapToGrid w:val="0"/>
          <w:kern w:val="0"/>
          <w:sz w:val="30"/>
          <w:szCs w:val="30"/>
        </w:rPr>
      </w:pPr>
      <w:r>
        <w:rPr>
          <w:rFonts w:hint="eastAsia" w:ascii="仿宋_GB2312" w:hAnsi="宋体" w:eastAsia="仿宋_GB2312"/>
          <w:snapToGrid w:val="0"/>
          <w:kern w:val="0"/>
          <w:sz w:val="30"/>
          <w:szCs w:val="30"/>
        </w:rPr>
        <w:t>（</w:t>
      </w:r>
      <w:r>
        <w:rPr>
          <w:rFonts w:hint="eastAsia" w:ascii="仿宋_GB2312" w:hAnsi="宋体" w:eastAsia="仿宋_GB2312"/>
          <w:snapToGrid w:val="0"/>
          <w:kern w:val="0"/>
          <w:sz w:val="30"/>
          <w:szCs w:val="30"/>
          <w:lang w:val="en-US" w:eastAsia="zh-CN"/>
        </w:rPr>
        <w:t>二</w:t>
      </w:r>
      <w:r>
        <w:rPr>
          <w:rFonts w:hint="eastAsia" w:ascii="仿宋_GB2312" w:hAnsi="宋体" w:eastAsia="仿宋_GB2312"/>
          <w:snapToGrid w:val="0"/>
          <w:kern w:val="0"/>
          <w:sz w:val="30"/>
          <w:szCs w:val="30"/>
        </w:rPr>
        <w:t>）</w:t>
      </w:r>
      <w:r>
        <w:rPr>
          <w:rFonts w:hint="eastAsia" w:ascii="仿宋_GB2312" w:hAnsi="宋体" w:eastAsia="仿宋_GB2312"/>
          <w:snapToGrid w:val="0"/>
          <w:kern w:val="0"/>
          <w:sz w:val="30"/>
          <w:szCs w:val="30"/>
          <w:lang w:val="en-US" w:eastAsia="zh-CN"/>
        </w:rPr>
        <w:t>市政</w:t>
      </w:r>
      <w:r>
        <w:rPr>
          <w:rFonts w:hint="eastAsia" w:ascii="仿宋_GB2312" w:hAnsi="宋体" w:eastAsia="仿宋_GB2312"/>
          <w:snapToGrid w:val="0"/>
          <w:kern w:val="0"/>
          <w:sz w:val="30"/>
          <w:szCs w:val="30"/>
        </w:rPr>
        <w:t>部分：</w:t>
      </w:r>
    </w:p>
    <w:p w14:paraId="7EFCDE56">
      <w:pPr>
        <w:keepNext w:val="0"/>
        <w:keepLines w:val="0"/>
        <w:pageBreakBefore w:val="0"/>
        <w:numPr>
          <w:ilvl w:val="0"/>
          <w:numId w:val="3"/>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根据设计回复，图号为JS-38其他零星工程大样中拆除混凝土路面 、拆除沥青路面厚度及基层按新建层厚度及材质计算。</w:t>
      </w:r>
    </w:p>
    <w:p w14:paraId="52BAE354">
      <w:pPr>
        <w:keepNext w:val="0"/>
        <w:keepLines w:val="0"/>
        <w:pageBreakBefore w:val="0"/>
        <w:numPr>
          <w:ilvl w:val="0"/>
          <w:numId w:val="3"/>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根据设计回复，其他零星修补项目市政部分按图号为JS-37工程量汇总表计算。</w:t>
      </w:r>
    </w:p>
    <w:p w14:paraId="7FE3699C">
      <w:pPr>
        <w:keepNext w:val="0"/>
        <w:keepLines w:val="0"/>
        <w:pageBreakBefore w:val="0"/>
        <w:numPr>
          <w:ilvl w:val="0"/>
          <w:numId w:val="3"/>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图纸未明确之处，详见“</w:t>
      </w:r>
      <w:r>
        <w:rPr>
          <w:rFonts w:hint="eastAsia" w:ascii="仿宋" w:hAnsi="仿宋" w:eastAsia="仿宋" w:cs="仿宋"/>
          <w:color w:val="000000"/>
          <w:kern w:val="0"/>
          <w:sz w:val="30"/>
          <w:szCs w:val="30"/>
          <w:lang w:val="en-US" w:eastAsia="zh-CN" w:bidi="ar"/>
        </w:rPr>
        <w:t>浈江区2024-2025年城镇老旧小区改造配套基础设施建设项目（一期）图纸答疑”；如仍存在图纸为明确之处，详见</w:t>
      </w:r>
      <w:r>
        <w:rPr>
          <w:rFonts w:hint="eastAsia" w:ascii="仿宋" w:hAnsi="仿宋" w:eastAsia="仿宋" w:cs="仿宋"/>
          <w:sz w:val="32"/>
          <w:szCs w:val="32"/>
        </w:rPr>
        <w:t>成泸工程咨询有限公司</w:t>
      </w:r>
      <w:r>
        <w:rPr>
          <w:rFonts w:hint="eastAsia" w:ascii="仿宋" w:hAnsi="仿宋" w:eastAsia="仿宋" w:cs="仿宋"/>
          <w:sz w:val="32"/>
          <w:szCs w:val="32"/>
          <w:lang w:val="en-US" w:eastAsia="zh-CN"/>
        </w:rPr>
        <w:t>编制的“</w:t>
      </w:r>
      <w:r>
        <w:rPr>
          <w:rFonts w:hint="eastAsia" w:ascii="仿宋" w:hAnsi="仿宋" w:eastAsia="仿宋" w:cs="仿宋"/>
          <w:color w:val="000000"/>
          <w:kern w:val="0"/>
          <w:sz w:val="30"/>
          <w:szCs w:val="30"/>
          <w:lang w:val="en-US" w:eastAsia="zh-CN" w:bidi="ar"/>
        </w:rPr>
        <w:t>浈江区2024-2025年城镇老旧小区改造配套基础设施建设项目（一期）图纸答疑</w:t>
      </w:r>
      <w:r>
        <w:rPr>
          <w:rFonts w:hint="eastAsia" w:ascii="仿宋" w:hAnsi="仿宋" w:eastAsia="仿宋" w:cs="仿宋"/>
          <w:sz w:val="32"/>
          <w:szCs w:val="32"/>
          <w:lang w:val="en-US" w:eastAsia="zh-CN"/>
        </w:rPr>
        <w:t>”。</w:t>
      </w:r>
    </w:p>
    <w:p w14:paraId="69A0300D">
      <w:pPr>
        <w:keepNext w:val="0"/>
        <w:keepLines w:val="0"/>
        <w:pageBreakBefore w:val="0"/>
        <w:widowControl w:val="0"/>
        <w:numPr>
          <w:ilvl w:val="0"/>
          <w:numId w:val="0"/>
        </w:numPr>
        <w:tabs>
          <w:tab w:val="left" w:pos="900"/>
          <w:tab w:val="left" w:pos="1080"/>
        </w:tabs>
        <w:kinsoku/>
        <w:wordWrap/>
        <w:overflowPunct/>
        <w:topLinePunct w:val="0"/>
        <w:autoSpaceDE/>
        <w:autoSpaceDN/>
        <w:bidi w:val="0"/>
        <w:adjustRightInd/>
        <w:snapToGrid/>
        <w:ind w:leftChars="0" w:firstLine="600" w:firstLineChars="200"/>
        <w:textAlignment w:val="auto"/>
        <w:rPr>
          <w:rFonts w:hint="eastAsia" w:ascii="仿宋_GB2312" w:hAnsi="宋体" w:eastAsia="仿宋_GB2312"/>
          <w:snapToGrid w:val="0"/>
          <w:kern w:val="0"/>
          <w:sz w:val="30"/>
          <w:szCs w:val="30"/>
        </w:rPr>
      </w:pPr>
      <w:r>
        <w:rPr>
          <w:rFonts w:hint="eastAsia" w:ascii="仿宋_GB2312" w:hAnsi="宋体" w:eastAsia="仿宋_GB2312"/>
          <w:snapToGrid w:val="0"/>
          <w:kern w:val="0"/>
          <w:sz w:val="30"/>
          <w:szCs w:val="30"/>
          <w:lang w:eastAsia="zh-CN"/>
        </w:rPr>
        <w:t>（</w:t>
      </w:r>
      <w:r>
        <w:rPr>
          <w:rFonts w:hint="eastAsia" w:ascii="仿宋_GB2312" w:hAnsi="宋体" w:eastAsia="仿宋_GB2312"/>
          <w:snapToGrid w:val="0"/>
          <w:kern w:val="0"/>
          <w:sz w:val="30"/>
          <w:szCs w:val="30"/>
          <w:lang w:val="en-US" w:eastAsia="zh-CN"/>
        </w:rPr>
        <w:t>三</w:t>
      </w:r>
      <w:r>
        <w:rPr>
          <w:rFonts w:hint="eastAsia" w:ascii="仿宋_GB2312" w:hAnsi="宋体" w:eastAsia="仿宋_GB2312"/>
          <w:snapToGrid w:val="0"/>
          <w:kern w:val="0"/>
          <w:sz w:val="30"/>
          <w:szCs w:val="30"/>
          <w:lang w:eastAsia="zh-CN"/>
        </w:rPr>
        <w:t>）</w:t>
      </w:r>
      <w:r>
        <w:rPr>
          <w:rFonts w:hint="eastAsia" w:ascii="仿宋_GB2312" w:hAnsi="宋体" w:eastAsia="仿宋_GB2312"/>
          <w:snapToGrid w:val="0"/>
          <w:kern w:val="0"/>
          <w:sz w:val="30"/>
          <w:szCs w:val="30"/>
          <w:lang w:val="en-US" w:eastAsia="zh-CN"/>
        </w:rPr>
        <w:t>专业暂估价工程共计437000元（不含税），具体明细如下：</w:t>
      </w:r>
    </w:p>
    <w:p w14:paraId="2605DA16">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snapToGrid w:val="0"/>
          <w:kern w:val="0"/>
          <w:sz w:val="30"/>
          <w:szCs w:val="30"/>
          <w:lang w:val="en-US" w:eastAsia="zh-CN"/>
        </w:rPr>
      </w:pPr>
      <w:r>
        <w:rPr>
          <w:rFonts w:hint="eastAsia" w:ascii="仿宋_GB2312" w:hAnsi="宋体" w:eastAsia="仿宋_GB2312" w:cs="Times New Roman"/>
          <w:snapToGrid w:val="0"/>
          <w:kern w:val="0"/>
          <w:sz w:val="30"/>
          <w:szCs w:val="30"/>
          <w:lang w:val="en-US" w:eastAsia="zh-CN" w:bidi="ar-SA"/>
        </w:rPr>
        <w:t>三</w:t>
      </w:r>
      <w:r>
        <w:rPr>
          <w:rFonts w:hint="eastAsia" w:ascii="仿宋_GB2312" w:hAnsi="宋体" w:eastAsia="仿宋_GB2312"/>
          <w:snapToGrid w:val="0"/>
          <w:kern w:val="0"/>
          <w:sz w:val="30"/>
          <w:szCs w:val="30"/>
          <w:lang w:val="en-US" w:eastAsia="zh-CN"/>
        </w:rPr>
        <w:t>线整改工程，暂定1万元/处，共2处，包含所需的一切材料以及工作内容，该项不含税金额为20000元；</w:t>
      </w:r>
    </w:p>
    <w:p w14:paraId="17400F62">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道闸，暂定3600元/套，共1</w:t>
      </w:r>
      <w:r>
        <w:rPr>
          <w:rFonts w:hint="eastAsia" w:ascii="仿宋_GB2312" w:hAnsi="宋体" w:eastAsia="仿宋_GB2312"/>
          <w:snapToGrid w:val="0"/>
          <w:kern w:val="0"/>
          <w:sz w:val="30"/>
          <w:szCs w:val="30"/>
          <w:lang w:val="en-US" w:eastAsia="zh-CN"/>
        </w:rPr>
        <w:t>2</w:t>
      </w:r>
      <w:r>
        <w:rPr>
          <w:rFonts w:hint="default" w:ascii="仿宋_GB2312" w:hAnsi="宋体" w:eastAsia="仿宋_GB2312"/>
          <w:snapToGrid w:val="0"/>
          <w:kern w:val="0"/>
          <w:sz w:val="30"/>
          <w:szCs w:val="30"/>
          <w:lang w:val="en-US" w:eastAsia="zh-CN"/>
        </w:rPr>
        <w:t>套</w:t>
      </w:r>
      <w:r>
        <w:rPr>
          <w:rFonts w:hint="eastAsia" w:ascii="仿宋_GB2312" w:hAnsi="宋体" w:eastAsia="仿宋_GB2312"/>
          <w:snapToGrid w:val="0"/>
          <w:kern w:val="0"/>
          <w:sz w:val="30"/>
          <w:szCs w:val="30"/>
          <w:lang w:val="en-US" w:eastAsia="zh-CN"/>
        </w:rPr>
        <w:t>，包含所需的一切材料以及工作内容，该项不含税金额为43200元；</w:t>
      </w:r>
    </w:p>
    <w:p w14:paraId="59424101">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成品垃圾分类亭，暂定5000/套，共4套</w:t>
      </w:r>
      <w:r>
        <w:rPr>
          <w:rFonts w:hint="eastAsia" w:ascii="仿宋_GB2312" w:hAnsi="宋体" w:eastAsia="仿宋_GB2312"/>
          <w:snapToGrid w:val="0"/>
          <w:kern w:val="0"/>
          <w:sz w:val="30"/>
          <w:szCs w:val="30"/>
          <w:lang w:val="en-US" w:eastAsia="zh-CN"/>
        </w:rPr>
        <w:t>，包含所需的一切材料以及工作内容，该项不含税金额为20000元；</w:t>
      </w:r>
    </w:p>
    <w:p w14:paraId="33CA3D1E">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保安亭</w:t>
      </w:r>
      <w:r>
        <w:rPr>
          <w:rFonts w:hint="eastAsia" w:ascii="仿宋_GB2312" w:hAnsi="宋体" w:eastAsia="仿宋_GB2312"/>
          <w:snapToGrid w:val="0"/>
          <w:kern w:val="0"/>
          <w:sz w:val="30"/>
          <w:szCs w:val="30"/>
          <w:lang w:val="en-US" w:eastAsia="zh-CN"/>
        </w:rPr>
        <w:t>（</w:t>
      </w:r>
      <w:r>
        <w:rPr>
          <w:rFonts w:hint="default" w:ascii="仿宋_GB2312" w:hAnsi="宋体" w:eastAsia="仿宋_GB2312"/>
          <w:snapToGrid w:val="0"/>
          <w:kern w:val="0"/>
          <w:sz w:val="30"/>
          <w:szCs w:val="30"/>
          <w:lang w:val="en-US" w:eastAsia="zh-CN"/>
        </w:rPr>
        <w:t>规格1.5M*1.5M*2M</w:t>
      </w:r>
      <w:r>
        <w:rPr>
          <w:rFonts w:hint="eastAsia" w:ascii="仿宋_GB2312" w:hAnsi="宋体" w:eastAsia="仿宋_GB2312"/>
          <w:snapToGrid w:val="0"/>
          <w:kern w:val="0"/>
          <w:sz w:val="30"/>
          <w:szCs w:val="30"/>
          <w:lang w:val="en-US" w:eastAsia="zh-CN"/>
        </w:rPr>
        <w:t>）</w:t>
      </w:r>
      <w:r>
        <w:rPr>
          <w:rFonts w:hint="default" w:ascii="仿宋_GB2312" w:hAnsi="宋体" w:eastAsia="仿宋_GB2312"/>
          <w:snapToGrid w:val="0"/>
          <w:kern w:val="0"/>
          <w:sz w:val="30"/>
          <w:szCs w:val="30"/>
          <w:lang w:val="en-US" w:eastAsia="zh-CN"/>
        </w:rPr>
        <w:t>，暂定7500/套</w:t>
      </w:r>
      <w:r>
        <w:rPr>
          <w:rFonts w:hint="eastAsia" w:ascii="仿宋_GB2312" w:hAnsi="宋体" w:eastAsia="仿宋_GB2312"/>
          <w:snapToGrid w:val="0"/>
          <w:kern w:val="0"/>
          <w:sz w:val="30"/>
          <w:szCs w:val="30"/>
          <w:lang w:val="en-US" w:eastAsia="zh-CN"/>
        </w:rPr>
        <w:t>，包含所需的一切材料以及工作内容，该项不含税金额为7500元；</w:t>
      </w:r>
    </w:p>
    <w:p w14:paraId="451B2D96">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辅材</w:t>
      </w:r>
      <w:r>
        <w:rPr>
          <w:rFonts w:hint="eastAsia" w:ascii="仿宋_GB2312" w:hAnsi="宋体" w:eastAsia="仿宋_GB2312"/>
          <w:snapToGrid w:val="0"/>
          <w:kern w:val="0"/>
          <w:sz w:val="30"/>
          <w:szCs w:val="30"/>
          <w:lang w:val="en-US" w:eastAsia="zh-CN"/>
        </w:rPr>
        <w:t>（</w:t>
      </w:r>
      <w:r>
        <w:rPr>
          <w:rFonts w:hint="default" w:ascii="仿宋_GB2312" w:hAnsi="宋体" w:eastAsia="仿宋_GB2312"/>
          <w:snapToGrid w:val="0"/>
          <w:kern w:val="0"/>
          <w:sz w:val="30"/>
          <w:szCs w:val="30"/>
          <w:lang w:val="en-US" w:eastAsia="zh-CN"/>
        </w:rPr>
        <w:t>联塑线管，固定管钩，水晶头</w:t>
      </w:r>
      <w:r>
        <w:rPr>
          <w:rFonts w:hint="eastAsia" w:ascii="仿宋_GB2312" w:hAnsi="宋体" w:eastAsia="仿宋_GB2312"/>
          <w:snapToGrid w:val="0"/>
          <w:kern w:val="0"/>
          <w:sz w:val="30"/>
          <w:szCs w:val="30"/>
          <w:lang w:val="en-US" w:eastAsia="zh-CN"/>
        </w:rPr>
        <w:t>），</w:t>
      </w:r>
      <w:r>
        <w:rPr>
          <w:rFonts w:hint="default" w:ascii="仿宋_GB2312" w:hAnsi="宋体" w:eastAsia="仿宋_GB2312"/>
          <w:snapToGrid w:val="0"/>
          <w:kern w:val="0"/>
          <w:sz w:val="30"/>
          <w:szCs w:val="30"/>
          <w:lang w:val="en-US" w:eastAsia="zh-CN"/>
        </w:rPr>
        <w:t>暂定800/项</w:t>
      </w:r>
      <w:r>
        <w:rPr>
          <w:rFonts w:hint="eastAsia" w:ascii="仿宋_GB2312" w:hAnsi="宋体" w:eastAsia="仿宋_GB2312"/>
          <w:snapToGrid w:val="0"/>
          <w:kern w:val="0"/>
          <w:sz w:val="30"/>
          <w:szCs w:val="30"/>
          <w:lang w:val="en-US" w:eastAsia="zh-CN"/>
        </w:rPr>
        <w:t>，包含所需的一切材料以及工作内容，该项不含税金额为800元；</w:t>
      </w:r>
    </w:p>
    <w:p w14:paraId="78AFABA2">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安装调试费，暂定1500/项</w:t>
      </w:r>
      <w:r>
        <w:rPr>
          <w:rFonts w:hint="eastAsia" w:ascii="仿宋_GB2312" w:hAnsi="宋体" w:eastAsia="仿宋_GB2312"/>
          <w:snapToGrid w:val="0"/>
          <w:kern w:val="0"/>
          <w:sz w:val="30"/>
          <w:szCs w:val="30"/>
          <w:lang w:val="en-US" w:eastAsia="zh-CN"/>
        </w:rPr>
        <w:t>，包含所需的一切材料以及工作内容，该项不含税金额为1500元；</w:t>
      </w:r>
    </w:p>
    <w:p w14:paraId="606E2AF9">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墙面防渗漏，暂定10000/项</w:t>
      </w:r>
      <w:r>
        <w:rPr>
          <w:rFonts w:hint="eastAsia" w:ascii="仿宋_GB2312" w:hAnsi="宋体" w:eastAsia="仿宋_GB2312"/>
          <w:snapToGrid w:val="0"/>
          <w:kern w:val="0"/>
          <w:sz w:val="30"/>
          <w:szCs w:val="30"/>
          <w:lang w:val="en-US" w:eastAsia="zh-CN"/>
        </w:rPr>
        <w:t>，包含所需的一切材料以及工作内容，该项不含税金额为10000元；</w:t>
      </w:r>
    </w:p>
    <w:p w14:paraId="1D4DC18E">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室外健身器材，暂定1500/套，共6套</w:t>
      </w:r>
      <w:r>
        <w:rPr>
          <w:rFonts w:hint="eastAsia" w:ascii="仿宋_GB2312" w:hAnsi="宋体" w:eastAsia="仿宋_GB2312"/>
          <w:snapToGrid w:val="0"/>
          <w:kern w:val="0"/>
          <w:sz w:val="30"/>
          <w:szCs w:val="30"/>
          <w:lang w:val="en-US" w:eastAsia="zh-CN"/>
        </w:rPr>
        <w:t>，包含所需的一切材料以及工作内容，该项不含税金额为9000元；</w:t>
      </w:r>
    </w:p>
    <w:p w14:paraId="4B33E8B4">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花岗岩挡车柱，暂定500/套，共10套</w:t>
      </w:r>
      <w:r>
        <w:rPr>
          <w:rFonts w:hint="eastAsia" w:ascii="仿宋_GB2312" w:hAnsi="宋体" w:eastAsia="仿宋_GB2312"/>
          <w:snapToGrid w:val="0"/>
          <w:kern w:val="0"/>
          <w:sz w:val="30"/>
          <w:szCs w:val="30"/>
          <w:lang w:val="en-US" w:eastAsia="zh-CN"/>
        </w:rPr>
        <w:t>，包含所需的一切材料以及工作内容，该项不含税金额为5000元；</w:t>
      </w:r>
    </w:p>
    <w:p w14:paraId="169487F0">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电力安装，暂定120000/项</w:t>
      </w:r>
      <w:r>
        <w:rPr>
          <w:rFonts w:hint="eastAsia" w:ascii="仿宋_GB2312" w:hAnsi="宋体" w:eastAsia="仿宋_GB2312"/>
          <w:snapToGrid w:val="0"/>
          <w:kern w:val="0"/>
          <w:sz w:val="30"/>
          <w:szCs w:val="30"/>
          <w:lang w:val="en-US" w:eastAsia="zh-CN"/>
        </w:rPr>
        <w:t>，包含所需的一切材料以及工作内容，该项不含税金额为120000元；</w:t>
      </w:r>
    </w:p>
    <w:p w14:paraId="4474B474">
      <w:pPr>
        <w:keepNext w:val="0"/>
        <w:keepLines w:val="0"/>
        <w:pageBreakBefore w:val="0"/>
        <w:numPr>
          <w:ilvl w:val="0"/>
          <w:numId w:val="4"/>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snapToGrid w:val="0"/>
          <w:kern w:val="0"/>
          <w:sz w:val="30"/>
          <w:szCs w:val="30"/>
          <w:lang w:val="en-US" w:eastAsia="zh-CN"/>
        </w:rPr>
      </w:pPr>
      <w:r>
        <w:rPr>
          <w:rFonts w:hint="default" w:ascii="仿宋_GB2312" w:hAnsi="宋体" w:eastAsia="仿宋_GB2312"/>
          <w:snapToGrid w:val="0"/>
          <w:kern w:val="0"/>
          <w:sz w:val="30"/>
          <w:szCs w:val="30"/>
          <w:lang w:val="en-US" w:eastAsia="zh-CN"/>
        </w:rPr>
        <w:t>钢结构单车棚，暂定100000/项，共2项</w:t>
      </w:r>
      <w:r>
        <w:rPr>
          <w:rFonts w:hint="eastAsia" w:ascii="仿宋_GB2312" w:hAnsi="宋体" w:eastAsia="仿宋_GB2312"/>
          <w:snapToGrid w:val="0"/>
          <w:kern w:val="0"/>
          <w:sz w:val="30"/>
          <w:szCs w:val="30"/>
          <w:lang w:val="en-US" w:eastAsia="zh-CN"/>
        </w:rPr>
        <w:t>，包含所需的一切材料以及工作内容，该项不含税金额为200000元。</w:t>
      </w:r>
    </w:p>
    <w:p w14:paraId="2DEFF326">
      <w:pPr>
        <w:keepNext w:val="0"/>
        <w:keepLines w:val="0"/>
        <w:pageBreakBefore w:val="0"/>
        <w:numPr>
          <w:ilvl w:val="0"/>
          <w:numId w:val="0"/>
        </w:numPr>
        <w:tabs>
          <w:tab w:val="left" w:pos="900"/>
          <w:tab w:val="left" w:pos="1080"/>
        </w:tabs>
        <w:kinsoku/>
        <w:wordWrap/>
        <w:overflowPunct/>
        <w:topLinePunct w:val="0"/>
        <w:autoSpaceDE/>
        <w:autoSpaceDN/>
        <w:bidi w:val="0"/>
        <w:adjustRightInd/>
        <w:snapToGrid/>
        <w:ind w:leftChars="200"/>
        <w:textAlignment w:val="auto"/>
        <w:rPr>
          <w:rFonts w:hint="eastAsia"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（四）其他部分：</w:t>
      </w:r>
    </w:p>
    <w:p w14:paraId="45048128">
      <w:pPr>
        <w:keepNext w:val="0"/>
        <w:keepLines w:val="0"/>
        <w:pageBreakBefore w:val="0"/>
        <w:numPr>
          <w:ilvl w:val="0"/>
          <w:numId w:val="5"/>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拆除废料、土石方外运暂定3km，结算时按实际调整。</w:t>
      </w:r>
    </w:p>
    <w:p w14:paraId="00B97EEB">
      <w:pPr>
        <w:keepNext w:val="0"/>
        <w:keepLines w:val="0"/>
        <w:pageBreakBefore w:val="0"/>
        <w:numPr>
          <w:ilvl w:val="0"/>
          <w:numId w:val="5"/>
        </w:numPr>
        <w:tabs>
          <w:tab w:val="left" w:pos="900"/>
          <w:tab w:val="left" w:pos="1080"/>
        </w:tabs>
        <w:kinsoku/>
        <w:wordWrap/>
        <w:overflowPunct/>
        <w:topLinePunct w:val="0"/>
        <w:autoSpaceDE/>
        <w:autoSpaceDN/>
        <w:bidi w:val="0"/>
        <w:adjustRightInd/>
        <w:snapToGrid/>
        <w:ind w:left="0" w:leftChars="0" w:firstLine="600" w:firstLineChars="200"/>
        <w:textAlignment w:val="auto"/>
        <w:rPr>
          <w:rFonts w:hint="default" w:ascii="仿宋_GB2312" w:hAnsi="宋体" w:eastAsia="仿宋_GB2312"/>
          <w:snapToGrid w:val="0"/>
          <w:kern w:val="0"/>
          <w:sz w:val="30"/>
          <w:szCs w:val="30"/>
          <w:lang w:val="en-US" w:eastAsia="zh-CN"/>
        </w:rPr>
      </w:pPr>
      <w:r>
        <w:rPr>
          <w:rFonts w:hint="eastAsia" w:ascii="仿宋_GB2312" w:hAnsi="宋体" w:eastAsia="仿宋_GB2312"/>
          <w:snapToGrid w:val="0"/>
          <w:kern w:val="0"/>
          <w:sz w:val="30"/>
          <w:szCs w:val="30"/>
          <w:lang w:val="en-US" w:eastAsia="zh-CN"/>
        </w:rPr>
        <w:t>暂列金额：用于施工合同签订时尚未确定或者不可预见的所需材料、设备、服务的采购，施工中可能发生的工程变更、合同约定调整因素出现时的工程价款调整以及发生的索赔、现场签证确认等的费用，金额按分部分项工程费的3%计取，结算按实际发生数额计算。</w:t>
      </w:r>
    </w:p>
    <w:p w14:paraId="69CAF83C">
      <w:pPr>
        <w:keepNext w:val="0"/>
        <w:keepLines w:val="0"/>
        <w:pageBreakBefore w:val="0"/>
        <w:widowControl w:val="0"/>
        <w:tabs>
          <w:tab w:val="left" w:pos="900"/>
          <w:tab w:val="left" w:pos="1080"/>
        </w:tabs>
        <w:kinsoku/>
        <w:wordWrap/>
        <w:overflowPunct/>
        <w:topLinePunct w:val="0"/>
        <w:autoSpaceDE/>
        <w:autoSpaceDN/>
        <w:bidi w:val="0"/>
        <w:adjustRightInd/>
        <w:snapToGrid/>
        <w:ind w:left="0" w:leftChars="0" w:firstLine="600" w:firstLineChars="200"/>
        <w:textAlignment w:val="auto"/>
        <w:rPr>
          <w:rFonts w:hint="eastAsia" w:ascii="仿宋_GB2312" w:hAnsi="宋体" w:eastAsia="仿宋_GB2312" w:cs="Times New Roman"/>
          <w:snapToGrid w:val="0"/>
          <w:kern w:val="0"/>
          <w:sz w:val="30"/>
          <w:szCs w:val="3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964" w:footer="992" w:gutter="0"/>
      <w:pgNumType w:start="1"/>
      <w:cols w:space="425" w:num="1"/>
      <w:titlePg/>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369A2">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919238">
                          <w:pPr>
                            <w:pStyle w:val="5"/>
                            <w:ind w:firstLine="360"/>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73919238">
                    <w:pPr>
                      <w:pStyle w:val="5"/>
                      <w:ind w:firstLine="360"/>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D6189">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7EF96">
    <w:pPr>
      <w:pStyle w:val="5"/>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A5B2DC">
                          <w:pPr>
                            <w:pStyle w:val="5"/>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50A5B2DC">
                    <w:pPr>
                      <w:pStyle w:val="5"/>
                      <w:ind w:firstLine="36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570ADB">
                          <w:pPr>
                            <w:pStyle w:val="5"/>
                            <w:ind w:firstLine="360"/>
                          </w:pPr>
                          <w:r>
                            <w:t xml:space="preserve">第 </w:t>
                          </w:r>
                          <w:r>
                            <w:rPr>
                              <w:rFonts w:hint="eastAsia"/>
                            </w:rPr>
                            <w:t>1</w:t>
                          </w:r>
                          <w:r>
                            <w:t xml:space="preserve"> 页 共 </w:t>
                          </w:r>
                          <w:r>
                            <w:fldChar w:fldCharType="begin"/>
                          </w:r>
                          <w:r>
                            <w:instrText xml:space="preserve"> NUMPAGES  \* MERGEFORMAT </w:instrText>
                          </w:r>
                          <w:r>
                            <w:fldChar w:fldCharType="separate"/>
                          </w:r>
                          <w:r>
                            <w:t>7</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3570ADB">
                    <w:pPr>
                      <w:pStyle w:val="5"/>
                      <w:ind w:firstLine="360"/>
                    </w:pPr>
                    <w:r>
                      <w:t xml:space="preserve">第 </w:t>
                    </w:r>
                    <w:r>
                      <w:rPr>
                        <w:rFonts w:hint="eastAsia"/>
                      </w:rPr>
                      <w:t>1</w:t>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1849F">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042D">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E742">
    <w:pPr>
      <w:ind w:left="480" w:firstLine="0" w:firstLineChars="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FE53A"/>
    <w:multiLevelType w:val="singleLevel"/>
    <w:tmpl w:val="D6BFE53A"/>
    <w:lvl w:ilvl="0" w:tentative="0">
      <w:start w:val="1"/>
      <w:numFmt w:val="decimal"/>
      <w:suff w:val="nothing"/>
      <w:lvlText w:val="%1."/>
      <w:lvlJc w:val="left"/>
      <w:pPr>
        <w:ind w:left="425" w:hanging="425"/>
      </w:pPr>
      <w:rPr>
        <w:rFonts w:hint="default"/>
      </w:rPr>
    </w:lvl>
  </w:abstractNum>
  <w:abstractNum w:abstractNumId="1">
    <w:nsid w:val="E78C59B5"/>
    <w:multiLevelType w:val="singleLevel"/>
    <w:tmpl w:val="E78C59B5"/>
    <w:lvl w:ilvl="0" w:tentative="0">
      <w:start w:val="1"/>
      <w:numFmt w:val="decimal"/>
      <w:suff w:val="nothing"/>
      <w:lvlText w:val="%1."/>
      <w:lvlJc w:val="left"/>
      <w:pPr>
        <w:ind w:left="425" w:hanging="425"/>
      </w:pPr>
      <w:rPr>
        <w:rFonts w:hint="default"/>
      </w:rPr>
    </w:lvl>
  </w:abstractNum>
  <w:abstractNum w:abstractNumId="2">
    <w:nsid w:val="1DACBAE5"/>
    <w:multiLevelType w:val="singleLevel"/>
    <w:tmpl w:val="1DACBAE5"/>
    <w:lvl w:ilvl="0" w:tentative="0">
      <w:start w:val="1"/>
      <w:numFmt w:val="decimal"/>
      <w:suff w:val="nothing"/>
      <w:lvlText w:val="%1."/>
      <w:lvlJc w:val="left"/>
      <w:pPr>
        <w:ind w:left="425" w:hanging="425"/>
      </w:pPr>
      <w:rPr>
        <w:rFonts w:hint="default"/>
      </w:rPr>
    </w:lvl>
  </w:abstractNum>
  <w:abstractNum w:abstractNumId="3">
    <w:nsid w:val="3E97848A"/>
    <w:multiLevelType w:val="singleLevel"/>
    <w:tmpl w:val="3E97848A"/>
    <w:lvl w:ilvl="0" w:tentative="0">
      <w:start w:val="1"/>
      <w:numFmt w:val="decimal"/>
      <w:suff w:val="nothing"/>
      <w:lvlText w:val="%1."/>
      <w:lvlJc w:val="left"/>
      <w:pPr>
        <w:ind w:left="425" w:hanging="425"/>
      </w:pPr>
      <w:rPr>
        <w:rFonts w:hint="default"/>
      </w:rPr>
    </w:lvl>
  </w:abstractNum>
  <w:abstractNum w:abstractNumId="4">
    <w:nsid w:val="734833E7"/>
    <w:multiLevelType w:val="singleLevel"/>
    <w:tmpl w:val="734833E7"/>
    <w:lvl w:ilvl="0" w:tentative="0">
      <w:start w:val="1"/>
      <w:numFmt w:val="decimal"/>
      <w:suff w:val="nothing"/>
      <w:lvlText w:val="%1."/>
      <w:lvlJc w:val="left"/>
      <w:pPr>
        <w:ind w:left="425" w:hanging="425"/>
      </w:pPr>
      <w:rPr>
        <w:rFont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hMjBhYzhlNWI2NjQzNjBlMGQzNjg5ZWY3NDJmZWUifQ=="/>
  </w:docVars>
  <w:rsids>
    <w:rsidRoot w:val="000374C4"/>
    <w:rsid w:val="00000180"/>
    <w:rsid w:val="00021929"/>
    <w:rsid w:val="00032672"/>
    <w:rsid w:val="000374C4"/>
    <w:rsid w:val="00041338"/>
    <w:rsid w:val="00042F63"/>
    <w:rsid w:val="0004792F"/>
    <w:rsid w:val="00067975"/>
    <w:rsid w:val="0008372A"/>
    <w:rsid w:val="00091F58"/>
    <w:rsid w:val="000926ED"/>
    <w:rsid w:val="00093F8E"/>
    <w:rsid w:val="000B224D"/>
    <w:rsid w:val="000C6307"/>
    <w:rsid w:val="000E74FC"/>
    <w:rsid w:val="000F226D"/>
    <w:rsid w:val="000F27A0"/>
    <w:rsid w:val="000F6D1D"/>
    <w:rsid w:val="0012624C"/>
    <w:rsid w:val="0013076F"/>
    <w:rsid w:val="00131E78"/>
    <w:rsid w:val="001363EC"/>
    <w:rsid w:val="00136B8E"/>
    <w:rsid w:val="001510BC"/>
    <w:rsid w:val="00153C99"/>
    <w:rsid w:val="00155FEA"/>
    <w:rsid w:val="0017136D"/>
    <w:rsid w:val="001A0FF6"/>
    <w:rsid w:val="001A631F"/>
    <w:rsid w:val="001A7FB8"/>
    <w:rsid w:val="001C1CAC"/>
    <w:rsid w:val="001D320B"/>
    <w:rsid w:val="001E0063"/>
    <w:rsid w:val="001E1E71"/>
    <w:rsid w:val="001F648E"/>
    <w:rsid w:val="00234A31"/>
    <w:rsid w:val="00235A4C"/>
    <w:rsid w:val="002362CC"/>
    <w:rsid w:val="00250617"/>
    <w:rsid w:val="00256C76"/>
    <w:rsid w:val="00276BAD"/>
    <w:rsid w:val="002B1201"/>
    <w:rsid w:val="002C063C"/>
    <w:rsid w:val="002C20C2"/>
    <w:rsid w:val="002E3C77"/>
    <w:rsid w:val="0030684F"/>
    <w:rsid w:val="00311B3F"/>
    <w:rsid w:val="00363686"/>
    <w:rsid w:val="00365A7D"/>
    <w:rsid w:val="00371BCB"/>
    <w:rsid w:val="00381F4E"/>
    <w:rsid w:val="003B10A5"/>
    <w:rsid w:val="003E10B1"/>
    <w:rsid w:val="003E5D65"/>
    <w:rsid w:val="0041373E"/>
    <w:rsid w:val="004168ED"/>
    <w:rsid w:val="0044435E"/>
    <w:rsid w:val="004516A0"/>
    <w:rsid w:val="0045276B"/>
    <w:rsid w:val="00473B40"/>
    <w:rsid w:val="004B58C1"/>
    <w:rsid w:val="004C0369"/>
    <w:rsid w:val="0050140E"/>
    <w:rsid w:val="00507B12"/>
    <w:rsid w:val="00521BF3"/>
    <w:rsid w:val="00591EDE"/>
    <w:rsid w:val="005928DA"/>
    <w:rsid w:val="0059625D"/>
    <w:rsid w:val="00597B4A"/>
    <w:rsid w:val="005B56A7"/>
    <w:rsid w:val="005C679F"/>
    <w:rsid w:val="005D53B5"/>
    <w:rsid w:val="005E0A73"/>
    <w:rsid w:val="005F4EB3"/>
    <w:rsid w:val="005F76DC"/>
    <w:rsid w:val="00607C82"/>
    <w:rsid w:val="00614C2E"/>
    <w:rsid w:val="00626566"/>
    <w:rsid w:val="006424DF"/>
    <w:rsid w:val="006453EB"/>
    <w:rsid w:val="00646AD8"/>
    <w:rsid w:val="0065596C"/>
    <w:rsid w:val="0065627C"/>
    <w:rsid w:val="00664E7D"/>
    <w:rsid w:val="00674BF9"/>
    <w:rsid w:val="00675B2A"/>
    <w:rsid w:val="00676318"/>
    <w:rsid w:val="006B4FB7"/>
    <w:rsid w:val="006C22B8"/>
    <w:rsid w:val="006C58ED"/>
    <w:rsid w:val="006D1B33"/>
    <w:rsid w:val="00710A78"/>
    <w:rsid w:val="00715721"/>
    <w:rsid w:val="00720F7A"/>
    <w:rsid w:val="00743E37"/>
    <w:rsid w:val="00746CAE"/>
    <w:rsid w:val="007517AD"/>
    <w:rsid w:val="00756F6F"/>
    <w:rsid w:val="00766248"/>
    <w:rsid w:val="00782E36"/>
    <w:rsid w:val="00795C85"/>
    <w:rsid w:val="007976D9"/>
    <w:rsid w:val="007B4292"/>
    <w:rsid w:val="007C50A0"/>
    <w:rsid w:val="007D1F41"/>
    <w:rsid w:val="007E1914"/>
    <w:rsid w:val="007E7ABD"/>
    <w:rsid w:val="007F53C1"/>
    <w:rsid w:val="00806AE7"/>
    <w:rsid w:val="00806D27"/>
    <w:rsid w:val="008240AF"/>
    <w:rsid w:val="008575CD"/>
    <w:rsid w:val="008577F8"/>
    <w:rsid w:val="00880D30"/>
    <w:rsid w:val="00890E0A"/>
    <w:rsid w:val="008951D0"/>
    <w:rsid w:val="008A15A3"/>
    <w:rsid w:val="008B2E3D"/>
    <w:rsid w:val="008B35B4"/>
    <w:rsid w:val="008D1C4C"/>
    <w:rsid w:val="008E009B"/>
    <w:rsid w:val="008E23CE"/>
    <w:rsid w:val="008E34CB"/>
    <w:rsid w:val="008E6AF4"/>
    <w:rsid w:val="008F614D"/>
    <w:rsid w:val="00903F77"/>
    <w:rsid w:val="00920ACF"/>
    <w:rsid w:val="00922A97"/>
    <w:rsid w:val="00923317"/>
    <w:rsid w:val="00927B83"/>
    <w:rsid w:val="00932B9A"/>
    <w:rsid w:val="00936041"/>
    <w:rsid w:val="00957B0B"/>
    <w:rsid w:val="00977825"/>
    <w:rsid w:val="009872A1"/>
    <w:rsid w:val="00990854"/>
    <w:rsid w:val="0099393B"/>
    <w:rsid w:val="009A1E6A"/>
    <w:rsid w:val="009A2652"/>
    <w:rsid w:val="009A5E4C"/>
    <w:rsid w:val="009B79C1"/>
    <w:rsid w:val="009D719B"/>
    <w:rsid w:val="009E595A"/>
    <w:rsid w:val="009F4FC2"/>
    <w:rsid w:val="00A10BB8"/>
    <w:rsid w:val="00A23A53"/>
    <w:rsid w:val="00A35063"/>
    <w:rsid w:val="00A42FD5"/>
    <w:rsid w:val="00A43D00"/>
    <w:rsid w:val="00A46823"/>
    <w:rsid w:val="00A5403B"/>
    <w:rsid w:val="00A67071"/>
    <w:rsid w:val="00A7281C"/>
    <w:rsid w:val="00A77F78"/>
    <w:rsid w:val="00A822B2"/>
    <w:rsid w:val="00A90B56"/>
    <w:rsid w:val="00AA1376"/>
    <w:rsid w:val="00AA3F2B"/>
    <w:rsid w:val="00AA5AE9"/>
    <w:rsid w:val="00AB183B"/>
    <w:rsid w:val="00AB4D70"/>
    <w:rsid w:val="00AC17EA"/>
    <w:rsid w:val="00AC5C90"/>
    <w:rsid w:val="00AE5BB2"/>
    <w:rsid w:val="00AF72ED"/>
    <w:rsid w:val="00B14C9C"/>
    <w:rsid w:val="00B16E17"/>
    <w:rsid w:val="00B32136"/>
    <w:rsid w:val="00B40538"/>
    <w:rsid w:val="00B467AD"/>
    <w:rsid w:val="00B55977"/>
    <w:rsid w:val="00B57FB3"/>
    <w:rsid w:val="00B629E4"/>
    <w:rsid w:val="00B62AA0"/>
    <w:rsid w:val="00B70C32"/>
    <w:rsid w:val="00B729A0"/>
    <w:rsid w:val="00B7593F"/>
    <w:rsid w:val="00B771E5"/>
    <w:rsid w:val="00B977FC"/>
    <w:rsid w:val="00BA1721"/>
    <w:rsid w:val="00BA200F"/>
    <w:rsid w:val="00BF25DE"/>
    <w:rsid w:val="00BF6C16"/>
    <w:rsid w:val="00C07F1F"/>
    <w:rsid w:val="00C15482"/>
    <w:rsid w:val="00C41883"/>
    <w:rsid w:val="00C46A3D"/>
    <w:rsid w:val="00C638B7"/>
    <w:rsid w:val="00C7225F"/>
    <w:rsid w:val="00CA6A33"/>
    <w:rsid w:val="00CD75B7"/>
    <w:rsid w:val="00CE0A8D"/>
    <w:rsid w:val="00CF1567"/>
    <w:rsid w:val="00D01B0A"/>
    <w:rsid w:val="00D10B73"/>
    <w:rsid w:val="00D15A16"/>
    <w:rsid w:val="00D40F9D"/>
    <w:rsid w:val="00D462C7"/>
    <w:rsid w:val="00D64285"/>
    <w:rsid w:val="00D80550"/>
    <w:rsid w:val="00D80981"/>
    <w:rsid w:val="00D847D0"/>
    <w:rsid w:val="00D8702A"/>
    <w:rsid w:val="00DA4A56"/>
    <w:rsid w:val="00DA6514"/>
    <w:rsid w:val="00DC60C3"/>
    <w:rsid w:val="00DC7DC9"/>
    <w:rsid w:val="00DE04A4"/>
    <w:rsid w:val="00DE2934"/>
    <w:rsid w:val="00E05A28"/>
    <w:rsid w:val="00E23184"/>
    <w:rsid w:val="00E6503D"/>
    <w:rsid w:val="00E72E63"/>
    <w:rsid w:val="00E920E1"/>
    <w:rsid w:val="00E92BB3"/>
    <w:rsid w:val="00EA33CA"/>
    <w:rsid w:val="00EA59BB"/>
    <w:rsid w:val="00EB0FB1"/>
    <w:rsid w:val="00EB135F"/>
    <w:rsid w:val="00EB45B1"/>
    <w:rsid w:val="00EC163B"/>
    <w:rsid w:val="00EC51BF"/>
    <w:rsid w:val="00EC63FB"/>
    <w:rsid w:val="00ED4C5E"/>
    <w:rsid w:val="00EE7148"/>
    <w:rsid w:val="00EF3476"/>
    <w:rsid w:val="00EF57F2"/>
    <w:rsid w:val="00F01846"/>
    <w:rsid w:val="00F04491"/>
    <w:rsid w:val="00F12A5E"/>
    <w:rsid w:val="00F25121"/>
    <w:rsid w:val="00F33AD0"/>
    <w:rsid w:val="00F3571E"/>
    <w:rsid w:val="00F46B5C"/>
    <w:rsid w:val="00F57E69"/>
    <w:rsid w:val="00F7482E"/>
    <w:rsid w:val="00F75D33"/>
    <w:rsid w:val="00F7639B"/>
    <w:rsid w:val="00F8536F"/>
    <w:rsid w:val="00FF3799"/>
    <w:rsid w:val="00FF4390"/>
    <w:rsid w:val="029961E6"/>
    <w:rsid w:val="02FE097A"/>
    <w:rsid w:val="042D4B17"/>
    <w:rsid w:val="091F736E"/>
    <w:rsid w:val="0A07239C"/>
    <w:rsid w:val="0D674569"/>
    <w:rsid w:val="14515606"/>
    <w:rsid w:val="15714C1E"/>
    <w:rsid w:val="159468C1"/>
    <w:rsid w:val="1656136E"/>
    <w:rsid w:val="192F3152"/>
    <w:rsid w:val="1A765B0F"/>
    <w:rsid w:val="1AF84777"/>
    <w:rsid w:val="1D5C0240"/>
    <w:rsid w:val="1DDC4B38"/>
    <w:rsid w:val="20D32BE6"/>
    <w:rsid w:val="20F378C4"/>
    <w:rsid w:val="233416C9"/>
    <w:rsid w:val="235D02F2"/>
    <w:rsid w:val="258D3890"/>
    <w:rsid w:val="26C67265"/>
    <w:rsid w:val="28456135"/>
    <w:rsid w:val="290C119E"/>
    <w:rsid w:val="2A841354"/>
    <w:rsid w:val="2F702E16"/>
    <w:rsid w:val="31F76D5D"/>
    <w:rsid w:val="34884C6B"/>
    <w:rsid w:val="36A03226"/>
    <w:rsid w:val="37B603B7"/>
    <w:rsid w:val="37BD5F3B"/>
    <w:rsid w:val="3853453C"/>
    <w:rsid w:val="3AF13A92"/>
    <w:rsid w:val="3BD41E05"/>
    <w:rsid w:val="3C9D23D9"/>
    <w:rsid w:val="42856917"/>
    <w:rsid w:val="459B011B"/>
    <w:rsid w:val="48B467E3"/>
    <w:rsid w:val="50BC51A5"/>
    <w:rsid w:val="53AC2016"/>
    <w:rsid w:val="54871EAB"/>
    <w:rsid w:val="548F40F3"/>
    <w:rsid w:val="54B25464"/>
    <w:rsid w:val="592A1DA8"/>
    <w:rsid w:val="5A8A5675"/>
    <w:rsid w:val="5BB805E4"/>
    <w:rsid w:val="5EF04C42"/>
    <w:rsid w:val="63C75724"/>
    <w:rsid w:val="66D57975"/>
    <w:rsid w:val="6772499D"/>
    <w:rsid w:val="67BD3DED"/>
    <w:rsid w:val="6BA529DF"/>
    <w:rsid w:val="6EB011EB"/>
    <w:rsid w:val="76E81A4E"/>
    <w:rsid w:val="78086C03"/>
    <w:rsid w:val="78F63F8A"/>
    <w:rsid w:val="7A39387E"/>
    <w:rsid w:val="7C3E1270"/>
    <w:rsid w:val="7D3367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styleId="2">
    <w:name w:val="heading 2"/>
    <w:basedOn w:val="1"/>
    <w:next w:val="1"/>
    <w:qFormat/>
    <w:locked/>
    <w:uiPriority w:val="0"/>
    <w:pPr>
      <w:keepNext/>
      <w:keepLines/>
      <w:spacing w:before="260" w:line="413" w:lineRule="auto"/>
      <w:ind w:firstLine="0" w:firstLineChars="0"/>
      <w:outlineLvl w:val="1"/>
    </w:pPr>
    <w:rPr>
      <w:rFonts w:ascii="Arial" w:hAnsi="Arial" w:eastAsia="黑体"/>
      <w:b/>
      <w:sz w:val="32"/>
    </w:rPr>
  </w:style>
  <w:style w:type="character" w:default="1" w:styleId="13">
    <w:name w:val="Default Paragraph Font"/>
    <w:autoRedefine/>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3"/>
    <w:semiHidden/>
    <w:qFormat/>
    <w:uiPriority w:val="99"/>
    <w:pPr>
      <w:jc w:val="left"/>
    </w:pPr>
  </w:style>
  <w:style w:type="paragraph" w:styleId="4">
    <w:name w:val="Balloon Text"/>
    <w:basedOn w:val="1"/>
    <w:link w:val="20"/>
    <w:autoRedefine/>
    <w:semiHidden/>
    <w:qFormat/>
    <w:uiPriority w:val="99"/>
    <w:pPr>
      <w:spacing w:line="240" w:lineRule="auto"/>
    </w:pPr>
    <w:rPr>
      <w:kern w:val="0"/>
      <w:sz w:val="18"/>
      <w:szCs w:val="18"/>
    </w:rPr>
  </w:style>
  <w:style w:type="paragraph" w:styleId="5">
    <w:name w:val="footer"/>
    <w:basedOn w:val="1"/>
    <w:link w:val="17"/>
    <w:autoRedefine/>
    <w:qFormat/>
    <w:uiPriority w:val="99"/>
    <w:pPr>
      <w:tabs>
        <w:tab w:val="center" w:pos="4153"/>
        <w:tab w:val="right" w:pos="8306"/>
      </w:tabs>
      <w:snapToGrid w:val="0"/>
      <w:jc w:val="left"/>
    </w:pPr>
    <w:rPr>
      <w:kern w:val="0"/>
      <w:sz w:val="18"/>
      <w:szCs w:val="18"/>
    </w:rPr>
  </w:style>
  <w:style w:type="paragraph" w:styleId="6">
    <w:name w:val="header"/>
    <w:basedOn w:val="1"/>
    <w:link w:val="16"/>
    <w:qFormat/>
    <w:uiPriority w:val="99"/>
    <w:pPr>
      <w:pBdr>
        <w:bottom w:val="single" w:color="auto" w:sz="6" w:space="1"/>
      </w:pBdr>
      <w:tabs>
        <w:tab w:val="center" w:pos="4153"/>
        <w:tab w:val="right" w:pos="8306"/>
      </w:tabs>
      <w:snapToGrid w:val="0"/>
      <w:jc w:val="center"/>
    </w:pPr>
    <w:rPr>
      <w:kern w:val="0"/>
      <w:sz w:val="18"/>
      <w:szCs w:val="18"/>
    </w:rPr>
  </w:style>
  <w:style w:type="paragraph" w:styleId="7">
    <w:name w:val="Subtitle"/>
    <w:basedOn w:val="1"/>
    <w:next w:val="1"/>
    <w:link w:val="19"/>
    <w:qFormat/>
    <w:uiPriority w:val="99"/>
    <w:pPr>
      <w:ind w:firstLine="0" w:firstLineChars="0"/>
      <w:jc w:val="left"/>
    </w:pPr>
    <w:rPr>
      <w:rFonts w:ascii="仿宋_GB2312" w:hAnsi="宋体" w:eastAsia="仿宋_GB2312"/>
      <w:b/>
      <w:bCs/>
      <w:kern w:val="28"/>
      <w:sz w:val="30"/>
      <w:szCs w:val="30"/>
    </w:rPr>
  </w:style>
  <w:style w:type="paragraph" w:styleId="8">
    <w:name w:val="Normal (Web)"/>
    <w:basedOn w:val="1"/>
    <w:semiHidden/>
    <w:unhideWhenUsed/>
    <w:qFormat/>
    <w:uiPriority w:val="99"/>
    <w:pPr>
      <w:spacing w:beforeAutospacing="1" w:afterAutospacing="1"/>
      <w:jc w:val="left"/>
    </w:pPr>
    <w:rPr>
      <w:kern w:val="0"/>
    </w:rPr>
  </w:style>
  <w:style w:type="paragraph" w:styleId="9">
    <w:name w:val="Title"/>
    <w:basedOn w:val="1"/>
    <w:next w:val="1"/>
    <w:link w:val="18"/>
    <w:qFormat/>
    <w:uiPriority w:val="99"/>
    <w:pPr>
      <w:spacing w:before="200"/>
      <w:ind w:firstLine="0" w:firstLineChars="0"/>
      <w:jc w:val="center"/>
    </w:pPr>
    <w:rPr>
      <w:rFonts w:ascii="黑体" w:hAnsi="黑体" w:eastAsia="黑体"/>
      <w:b/>
      <w:bCs/>
      <w:sz w:val="36"/>
      <w:szCs w:val="36"/>
    </w:rPr>
  </w:style>
  <w:style w:type="paragraph" w:styleId="10">
    <w:name w:val="annotation subject"/>
    <w:basedOn w:val="3"/>
    <w:next w:val="3"/>
    <w:link w:val="24"/>
    <w:semiHidden/>
    <w:qFormat/>
    <w:uiPriority w:val="99"/>
    <w:rPr>
      <w:b/>
      <w:bCs/>
    </w:rPr>
  </w:style>
  <w:style w:type="table" w:styleId="12">
    <w:name w:val="Table Grid"/>
    <w:basedOn w:val="1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annotation reference"/>
    <w:autoRedefine/>
    <w:semiHidden/>
    <w:qFormat/>
    <w:uiPriority w:val="99"/>
    <w:rPr>
      <w:rFonts w:cs="Times New Roman"/>
      <w:sz w:val="21"/>
      <w:szCs w:val="21"/>
    </w:rPr>
  </w:style>
  <w:style w:type="character" w:customStyle="1" w:styleId="16">
    <w:name w:val="页眉 字符"/>
    <w:link w:val="6"/>
    <w:qFormat/>
    <w:locked/>
    <w:uiPriority w:val="99"/>
    <w:rPr>
      <w:sz w:val="18"/>
    </w:rPr>
  </w:style>
  <w:style w:type="character" w:customStyle="1" w:styleId="17">
    <w:name w:val="页脚 字符"/>
    <w:link w:val="5"/>
    <w:qFormat/>
    <w:locked/>
    <w:uiPriority w:val="99"/>
    <w:rPr>
      <w:sz w:val="18"/>
    </w:rPr>
  </w:style>
  <w:style w:type="character" w:customStyle="1" w:styleId="18">
    <w:name w:val="标题 字符"/>
    <w:link w:val="9"/>
    <w:qFormat/>
    <w:locked/>
    <w:uiPriority w:val="99"/>
    <w:rPr>
      <w:rFonts w:ascii="黑体" w:hAnsi="黑体" w:eastAsia="黑体"/>
      <w:b/>
      <w:kern w:val="2"/>
      <w:sz w:val="36"/>
      <w:lang w:val="en-US" w:eastAsia="zh-CN"/>
    </w:rPr>
  </w:style>
  <w:style w:type="character" w:customStyle="1" w:styleId="19">
    <w:name w:val="副标题 字符"/>
    <w:link w:val="7"/>
    <w:qFormat/>
    <w:locked/>
    <w:uiPriority w:val="99"/>
    <w:rPr>
      <w:rFonts w:ascii="仿宋_GB2312" w:hAnsi="宋体" w:eastAsia="仿宋_GB2312"/>
      <w:b/>
      <w:kern w:val="28"/>
      <w:sz w:val="30"/>
      <w:lang w:val="en-US" w:eastAsia="zh-CN"/>
    </w:rPr>
  </w:style>
  <w:style w:type="character" w:customStyle="1" w:styleId="20">
    <w:name w:val="批注框文本 字符"/>
    <w:link w:val="4"/>
    <w:semiHidden/>
    <w:qFormat/>
    <w:locked/>
    <w:uiPriority w:val="99"/>
    <w:rPr>
      <w:sz w:val="18"/>
    </w:rPr>
  </w:style>
  <w:style w:type="character" w:customStyle="1" w:styleId="21">
    <w:name w:val="Char Char"/>
    <w:autoRedefine/>
    <w:qFormat/>
    <w:locked/>
    <w:uiPriority w:val="99"/>
    <w:rPr>
      <w:sz w:val="18"/>
    </w:rPr>
  </w:style>
  <w:style w:type="paragraph" w:customStyle="1" w:styleId="22">
    <w:name w:val="Char Char Char Char Char Char1 Char"/>
    <w:basedOn w:val="1"/>
    <w:autoRedefine/>
    <w:qFormat/>
    <w:uiPriority w:val="99"/>
    <w:pPr>
      <w:widowControl/>
      <w:spacing w:after="160" w:line="240" w:lineRule="exact"/>
      <w:ind w:firstLine="0" w:firstLineChars="0"/>
      <w:jc w:val="left"/>
    </w:pPr>
    <w:rPr>
      <w:rFonts w:ascii="Times New Roman" w:hAnsi="Times New Roman"/>
      <w:sz w:val="21"/>
      <w:szCs w:val="24"/>
    </w:rPr>
  </w:style>
  <w:style w:type="character" w:customStyle="1" w:styleId="23">
    <w:name w:val="批注文字 字符"/>
    <w:link w:val="3"/>
    <w:autoRedefine/>
    <w:semiHidden/>
    <w:qFormat/>
    <w:uiPriority w:val="99"/>
    <w:rPr>
      <w:sz w:val="24"/>
    </w:rPr>
  </w:style>
  <w:style w:type="character" w:customStyle="1" w:styleId="24">
    <w:name w:val="批注主题 字符"/>
    <w:link w:val="10"/>
    <w:semiHidden/>
    <w:qFormat/>
    <w:uiPriority w:val="99"/>
    <w:rPr>
      <w:b/>
      <w:bCs/>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1623</Words>
  <Characters>1848</Characters>
  <Lines>15</Lines>
  <Paragraphs>4</Paragraphs>
  <TotalTime>0</TotalTime>
  <ScaleCrop>false</ScaleCrop>
  <LinksUpToDate>false</LinksUpToDate>
  <CharactersWithSpaces>1853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2017-09-10T11:46:00Z</dcterms:created>
  <dc:creator>admin</dc:creator>
  <cp:lastModifiedBy>林森财</cp:lastModifiedBy>
  <cp:lastPrinted>2021-05-18T15:09:00Z</cp:lastPrinted>
  <dcterms:modified xsi:type="dcterms:W3CDTF">2024-10-30T10:25:54Z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7E1BF71F38C84B3795F5654D1E9C4834_13</vt:lpwstr>
  </property>
</Properties>
</file>