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881C7">
      <w:pPr>
        <w:spacing w:line="800" w:lineRule="exact"/>
        <w:jc w:val="center"/>
        <w:rPr>
          <w:rFonts w:hint="eastAsia" w:asciiTheme="minorEastAsia" w:hAnsiTheme="minorEastAsia" w:eastAsiaTheme="minorEastAsia" w:cstheme="minorEastAsia"/>
          <w:b/>
          <w:color w:val="auto"/>
          <w:sz w:val="32"/>
          <w:szCs w:val="32"/>
          <w:highlight w:val="none"/>
        </w:rPr>
      </w:pPr>
    </w:p>
    <w:p w14:paraId="52E646BC">
      <w:pPr>
        <w:spacing w:line="800" w:lineRule="exact"/>
        <w:jc w:val="center"/>
        <w:rPr>
          <w:rFonts w:hint="eastAsia" w:asciiTheme="minorEastAsia" w:hAnsiTheme="minorEastAsia" w:eastAsiaTheme="minorEastAsia" w:cstheme="minorEastAsia"/>
          <w:b/>
          <w:color w:val="auto"/>
          <w:sz w:val="40"/>
          <w:szCs w:val="40"/>
          <w:highlight w:val="none"/>
          <w:lang w:eastAsia="zh-CN"/>
        </w:rPr>
      </w:pPr>
      <w:r>
        <w:rPr>
          <w:rFonts w:hint="eastAsia" w:asciiTheme="minorEastAsia" w:hAnsiTheme="minorEastAsia" w:eastAsiaTheme="minorEastAsia" w:cstheme="minorEastAsia"/>
          <w:b/>
          <w:color w:val="auto"/>
          <w:sz w:val="48"/>
          <w:szCs w:val="48"/>
          <w:highlight w:val="none"/>
          <w:lang w:eastAsia="zh-CN"/>
        </w:rPr>
        <w:t>商贸乌迳城乡融合发展建设项目（二期）设计施工总承包</w:t>
      </w:r>
    </w:p>
    <w:p w14:paraId="372BE266">
      <w:pPr>
        <w:spacing w:line="360" w:lineRule="auto"/>
        <w:rPr>
          <w:rFonts w:hint="eastAsia" w:asciiTheme="minorEastAsia" w:hAnsiTheme="minorEastAsia" w:eastAsiaTheme="minorEastAsia" w:cstheme="minorEastAsia"/>
          <w:b/>
          <w:color w:val="auto"/>
          <w:highlight w:val="none"/>
        </w:rPr>
      </w:pPr>
    </w:p>
    <w:p w14:paraId="491B7975">
      <w:pPr>
        <w:spacing w:line="360" w:lineRule="auto"/>
        <w:rPr>
          <w:rFonts w:hint="eastAsia" w:asciiTheme="minorEastAsia" w:hAnsiTheme="minorEastAsia" w:eastAsiaTheme="minorEastAsia" w:cstheme="minorEastAsia"/>
          <w:b/>
          <w:color w:val="auto"/>
          <w:highlight w:val="none"/>
        </w:rPr>
      </w:pPr>
    </w:p>
    <w:p w14:paraId="1E8011C0">
      <w:pPr>
        <w:spacing w:line="360" w:lineRule="auto"/>
        <w:rPr>
          <w:rFonts w:hint="eastAsia" w:asciiTheme="minorEastAsia" w:hAnsiTheme="minorEastAsia" w:eastAsiaTheme="minorEastAsia" w:cstheme="minorEastAsia"/>
          <w:b/>
          <w:color w:val="auto"/>
          <w:highlight w:val="none"/>
        </w:rPr>
      </w:pPr>
    </w:p>
    <w:p w14:paraId="7D582DFF">
      <w:pPr>
        <w:pStyle w:val="8"/>
        <w:rPr>
          <w:rFonts w:hint="eastAsia" w:asciiTheme="minorEastAsia" w:hAnsiTheme="minorEastAsia" w:eastAsiaTheme="minorEastAsia" w:cstheme="minorEastAsia"/>
          <w:color w:val="auto"/>
          <w:highlight w:val="none"/>
        </w:rPr>
      </w:pPr>
    </w:p>
    <w:p w14:paraId="16284F61">
      <w:pPr>
        <w:pStyle w:val="19"/>
        <w:rPr>
          <w:rFonts w:hint="eastAsia" w:asciiTheme="minorEastAsia" w:hAnsiTheme="minorEastAsia" w:eastAsiaTheme="minorEastAsia" w:cstheme="minorEastAsia"/>
          <w:color w:val="auto"/>
          <w:highlight w:val="none"/>
        </w:rPr>
      </w:pPr>
    </w:p>
    <w:p w14:paraId="4780B1F3">
      <w:pPr>
        <w:pStyle w:val="32"/>
        <w:spacing w:line="360" w:lineRule="auto"/>
        <w:jc w:val="center"/>
        <w:rPr>
          <w:rFonts w:hint="eastAsia" w:asciiTheme="minorEastAsia" w:hAnsiTheme="minorEastAsia" w:eastAsiaTheme="minorEastAsia" w:cstheme="minorEastAsia"/>
          <w:b/>
          <w:bCs/>
          <w:color w:val="auto"/>
          <w:spacing w:val="26"/>
          <w:sz w:val="84"/>
          <w:szCs w:val="84"/>
          <w:highlight w:val="none"/>
        </w:rPr>
      </w:pPr>
      <w:r>
        <w:rPr>
          <w:rFonts w:hint="eastAsia" w:asciiTheme="minorEastAsia" w:hAnsiTheme="minorEastAsia" w:eastAsiaTheme="minorEastAsia" w:cstheme="minorEastAsia"/>
          <w:b/>
          <w:bCs/>
          <w:color w:val="auto"/>
          <w:spacing w:val="26"/>
          <w:sz w:val="84"/>
          <w:szCs w:val="84"/>
          <w:highlight w:val="none"/>
        </w:rPr>
        <w:t>招标文件</w:t>
      </w:r>
    </w:p>
    <w:p w14:paraId="584A1C28">
      <w:pPr>
        <w:spacing w:line="360" w:lineRule="auto"/>
        <w:ind w:left="240" w:leftChars="100"/>
        <w:jc w:val="center"/>
        <w:rPr>
          <w:rFonts w:hint="eastAsia" w:asciiTheme="minorEastAsia" w:hAnsiTheme="minorEastAsia" w:eastAsiaTheme="minorEastAsia" w:cstheme="minorEastAsia"/>
          <w:b/>
          <w:color w:val="auto"/>
          <w:sz w:val="32"/>
          <w:szCs w:val="32"/>
          <w:highlight w:val="none"/>
        </w:rPr>
      </w:pPr>
    </w:p>
    <w:tbl>
      <w:tblPr>
        <w:tblStyle w:val="21"/>
        <w:tblpPr w:leftFromText="180" w:rightFromText="180" w:vertAnchor="text" w:horzAnchor="page" w:tblpX="1372" w:tblpY="753"/>
        <w:tblW w:w="9799" w:type="dxa"/>
        <w:tblInd w:w="0" w:type="dxa"/>
        <w:tblLayout w:type="fixed"/>
        <w:tblCellMar>
          <w:top w:w="0" w:type="dxa"/>
          <w:left w:w="0" w:type="dxa"/>
          <w:bottom w:w="0" w:type="dxa"/>
          <w:right w:w="0" w:type="dxa"/>
        </w:tblCellMar>
      </w:tblPr>
      <w:tblGrid>
        <w:gridCol w:w="4671"/>
        <w:gridCol w:w="5128"/>
      </w:tblGrid>
      <w:tr w14:paraId="1528C84C">
        <w:tblPrEx>
          <w:tblCellMar>
            <w:top w:w="0" w:type="dxa"/>
            <w:left w:w="0" w:type="dxa"/>
            <w:bottom w:w="0" w:type="dxa"/>
            <w:right w:w="0" w:type="dxa"/>
          </w:tblCellMar>
        </w:tblPrEx>
        <w:trPr>
          <w:trHeight w:val="935" w:hRule="atLeast"/>
        </w:trPr>
        <w:tc>
          <w:tcPr>
            <w:tcW w:w="4671" w:type="dxa"/>
            <w:noWrap/>
            <w:vAlign w:val="center"/>
          </w:tcPr>
          <w:p w14:paraId="5A4A7A02">
            <w:pPr>
              <w:pStyle w:val="33"/>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   标   人（盖单位章）：</w:t>
            </w:r>
          </w:p>
        </w:tc>
        <w:tc>
          <w:tcPr>
            <w:tcW w:w="5128" w:type="dxa"/>
            <w:noWrap/>
            <w:vAlign w:val="center"/>
          </w:tcPr>
          <w:p w14:paraId="43941704">
            <w:pPr>
              <w:pStyle w:val="33"/>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南雄市乌迳镇人民政府</w:t>
            </w:r>
          </w:p>
        </w:tc>
      </w:tr>
      <w:tr w14:paraId="227807CE">
        <w:tblPrEx>
          <w:tblCellMar>
            <w:top w:w="0" w:type="dxa"/>
            <w:left w:w="0" w:type="dxa"/>
            <w:bottom w:w="0" w:type="dxa"/>
            <w:right w:w="0" w:type="dxa"/>
          </w:tblCellMar>
        </w:tblPrEx>
        <w:trPr>
          <w:trHeight w:val="1059" w:hRule="atLeast"/>
        </w:trPr>
        <w:tc>
          <w:tcPr>
            <w:tcW w:w="4671" w:type="dxa"/>
            <w:noWrap/>
            <w:vAlign w:val="center"/>
          </w:tcPr>
          <w:p w14:paraId="24C6A423">
            <w:pPr>
              <w:pStyle w:val="33"/>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招标人工作领导小组负责人（签字）：</w:t>
            </w:r>
          </w:p>
        </w:tc>
        <w:tc>
          <w:tcPr>
            <w:tcW w:w="5128" w:type="dxa"/>
            <w:noWrap/>
            <w:vAlign w:val="center"/>
          </w:tcPr>
          <w:p w14:paraId="321EF2C7">
            <w:pPr>
              <w:pStyle w:val="33"/>
              <w:rPr>
                <w:rFonts w:hint="eastAsia" w:asciiTheme="minorEastAsia" w:hAnsiTheme="minorEastAsia" w:eastAsiaTheme="minorEastAsia" w:cstheme="minorEastAsia"/>
                <w:color w:val="auto"/>
                <w:sz w:val="28"/>
                <w:szCs w:val="28"/>
                <w:highlight w:val="none"/>
              </w:rPr>
            </w:pPr>
          </w:p>
        </w:tc>
      </w:tr>
      <w:tr w14:paraId="554BBDBB">
        <w:tblPrEx>
          <w:tblCellMar>
            <w:top w:w="0" w:type="dxa"/>
            <w:left w:w="0" w:type="dxa"/>
            <w:bottom w:w="0" w:type="dxa"/>
            <w:right w:w="0" w:type="dxa"/>
          </w:tblCellMar>
        </w:tblPrEx>
        <w:trPr>
          <w:trHeight w:val="1031" w:hRule="atLeast"/>
        </w:trPr>
        <w:tc>
          <w:tcPr>
            <w:tcW w:w="4671" w:type="dxa"/>
            <w:noWrap/>
            <w:vAlign w:val="center"/>
          </w:tcPr>
          <w:p w14:paraId="1FB24DC0">
            <w:pPr>
              <w:pStyle w:val="33"/>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 标 代 理 机 构 （盖章）：</w:t>
            </w:r>
          </w:p>
        </w:tc>
        <w:tc>
          <w:tcPr>
            <w:tcW w:w="5128" w:type="dxa"/>
            <w:noWrap/>
            <w:vAlign w:val="center"/>
          </w:tcPr>
          <w:p w14:paraId="01B58229">
            <w:pPr>
              <w:pStyle w:val="33"/>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lang w:eastAsia="zh-CN"/>
              </w:rPr>
              <w:t>中创名建工程管理集团有限公司</w:t>
            </w:r>
          </w:p>
        </w:tc>
      </w:tr>
      <w:tr w14:paraId="2BFDF3E4">
        <w:tblPrEx>
          <w:tblCellMar>
            <w:top w:w="0" w:type="dxa"/>
            <w:left w:w="0" w:type="dxa"/>
            <w:bottom w:w="0" w:type="dxa"/>
            <w:right w:w="0" w:type="dxa"/>
          </w:tblCellMar>
        </w:tblPrEx>
        <w:trPr>
          <w:trHeight w:val="809" w:hRule="atLeast"/>
        </w:trPr>
        <w:tc>
          <w:tcPr>
            <w:tcW w:w="4671" w:type="dxa"/>
            <w:noWrap/>
            <w:vAlign w:val="center"/>
          </w:tcPr>
          <w:p w14:paraId="65101364">
            <w:pPr>
              <w:pStyle w:val="33"/>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招标文件编制人（签字）：</w:t>
            </w:r>
          </w:p>
        </w:tc>
        <w:tc>
          <w:tcPr>
            <w:tcW w:w="5128" w:type="dxa"/>
            <w:noWrap/>
            <w:vAlign w:val="center"/>
          </w:tcPr>
          <w:p w14:paraId="18AAEBD4">
            <w:pPr>
              <w:pStyle w:val="33"/>
              <w:rPr>
                <w:rFonts w:hint="eastAsia" w:asciiTheme="minorEastAsia" w:hAnsiTheme="minorEastAsia" w:eastAsiaTheme="minorEastAsia" w:cstheme="minorEastAsia"/>
                <w:color w:val="auto"/>
                <w:sz w:val="28"/>
                <w:szCs w:val="28"/>
                <w:highlight w:val="none"/>
              </w:rPr>
            </w:pPr>
          </w:p>
        </w:tc>
      </w:tr>
      <w:tr w14:paraId="2F0F3FF4">
        <w:tblPrEx>
          <w:tblCellMar>
            <w:top w:w="0" w:type="dxa"/>
            <w:left w:w="0" w:type="dxa"/>
            <w:bottom w:w="0" w:type="dxa"/>
            <w:right w:w="0" w:type="dxa"/>
          </w:tblCellMar>
        </w:tblPrEx>
        <w:trPr>
          <w:trHeight w:val="863" w:hRule="atLeast"/>
        </w:trPr>
        <w:tc>
          <w:tcPr>
            <w:tcW w:w="4671" w:type="dxa"/>
            <w:noWrap/>
            <w:vAlign w:val="center"/>
          </w:tcPr>
          <w:p w14:paraId="1B395422">
            <w:pPr>
              <w:pStyle w:val="33"/>
              <w:wordWrap w:val="0"/>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招标代理机构项目负责人（签字）：</w:t>
            </w:r>
          </w:p>
        </w:tc>
        <w:tc>
          <w:tcPr>
            <w:tcW w:w="5128" w:type="dxa"/>
            <w:noWrap/>
            <w:vAlign w:val="center"/>
          </w:tcPr>
          <w:p w14:paraId="5972A199">
            <w:pPr>
              <w:pStyle w:val="33"/>
              <w:rPr>
                <w:rFonts w:hint="eastAsia" w:asciiTheme="minorEastAsia" w:hAnsiTheme="minorEastAsia" w:eastAsiaTheme="minorEastAsia" w:cstheme="minorEastAsia"/>
                <w:color w:val="auto"/>
                <w:sz w:val="28"/>
                <w:szCs w:val="28"/>
                <w:highlight w:val="none"/>
              </w:rPr>
            </w:pPr>
          </w:p>
        </w:tc>
      </w:tr>
      <w:tr w14:paraId="3220C8AE">
        <w:tblPrEx>
          <w:tblCellMar>
            <w:top w:w="0" w:type="dxa"/>
            <w:left w:w="0" w:type="dxa"/>
            <w:bottom w:w="0" w:type="dxa"/>
            <w:right w:w="0" w:type="dxa"/>
          </w:tblCellMar>
        </w:tblPrEx>
        <w:trPr>
          <w:trHeight w:val="1047" w:hRule="atLeast"/>
        </w:trPr>
        <w:tc>
          <w:tcPr>
            <w:tcW w:w="4671" w:type="dxa"/>
            <w:noWrap/>
            <w:vAlign w:val="center"/>
          </w:tcPr>
          <w:p w14:paraId="363AD005">
            <w:pPr>
              <w:pStyle w:val="33"/>
              <w:wordWrap w:val="0"/>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招标文件编制日期：</w:t>
            </w:r>
          </w:p>
        </w:tc>
        <w:tc>
          <w:tcPr>
            <w:tcW w:w="5128" w:type="dxa"/>
            <w:noWrap/>
            <w:vAlign w:val="center"/>
          </w:tcPr>
          <w:p w14:paraId="71D0DC53">
            <w:pPr>
              <w:pStyle w:val="33"/>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202</w:t>
            </w:r>
            <w:r>
              <w:rPr>
                <w:rFonts w:hint="eastAsia" w:asciiTheme="minorEastAsia" w:hAnsiTheme="minorEastAsia" w:eastAsiaTheme="minorEastAsia" w:cstheme="minorEastAsia"/>
                <w:color w:val="auto"/>
                <w:sz w:val="28"/>
                <w:highlight w:val="none"/>
                <w:lang w:val="en-US" w:eastAsia="zh-CN"/>
              </w:rPr>
              <w:t>4</w:t>
            </w:r>
            <w:r>
              <w:rPr>
                <w:rFonts w:hint="eastAsia" w:asciiTheme="minorEastAsia" w:hAnsiTheme="minorEastAsia" w:eastAsiaTheme="minorEastAsia" w:cstheme="minorEastAsia"/>
                <w:color w:val="auto"/>
                <w:sz w:val="28"/>
                <w:highlight w:val="none"/>
              </w:rPr>
              <w:t>年</w:t>
            </w:r>
            <w:r>
              <w:rPr>
                <w:rFonts w:hint="eastAsia" w:asciiTheme="minorEastAsia" w:hAnsiTheme="minorEastAsia" w:eastAsiaTheme="minorEastAsia" w:cstheme="minorEastAsia"/>
                <w:color w:val="auto"/>
                <w:sz w:val="28"/>
                <w:highlight w:val="none"/>
                <w:lang w:val="en-US" w:eastAsia="zh-CN"/>
              </w:rPr>
              <w:t>10</w:t>
            </w:r>
            <w:r>
              <w:rPr>
                <w:rFonts w:hint="eastAsia" w:asciiTheme="minorEastAsia" w:hAnsiTheme="minorEastAsia" w:eastAsiaTheme="minorEastAsia" w:cstheme="minorEastAsia"/>
                <w:color w:val="auto"/>
                <w:sz w:val="28"/>
                <w:highlight w:val="none"/>
              </w:rPr>
              <w:t>月</w:t>
            </w:r>
          </w:p>
        </w:tc>
      </w:tr>
    </w:tbl>
    <w:p w14:paraId="2A129E55">
      <w:pPr>
        <w:outlineLvl w:val="9"/>
        <w:rPr>
          <w:rFonts w:hint="eastAsia" w:asciiTheme="minorEastAsia" w:hAnsiTheme="minorEastAsia" w:eastAsiaTheme="minorEastAsia" w:cstheme="minorEastAsia"/>
          <w:color w:val="auto"/>
          <w:highlight w:val="none"/>
        </w:rPr>
      </w:pPr>
    </w:p>
    <w:p w14:paraId="1ABA971C">
      <w:pPr>
        <w:rPr>
          <w:rFonts w:hint="eastAsia" w:asciiTheme="minorEastAsia" w:hAnsiTheme="minorEastAsia" w:eastAsiaTheme="minorEastAsia" w:cstheme="minorEastAsia"/>
          <w:color w:val="auto"/>
          <w:highlight w:val="none"/>
        </w:rPr>
      </w:pPr>
    </w:p>
    <w:p w14:paraId="18CC84CD">
      <w:pPr>
        <w:pStyle w:val="8"/>
        <w:rPr>
          <w:rFonts w:hint="eastAsia" w:asciiTheme="minorEastAsia" w:hAnsiTheme="minorEastAsia" w:eastAsiaTheme="minorEastAsia" w:cstheme="minorEastAsia"/>
          <w:color w:val="auto"/>
          <w:highlight w:val="none"/>
        </w:rPr>
      </w:pPr>
    </w:p>
    <w:p w14:paraId="5AD634A8">
      <w:pPr>
        <w:pStyle w:val="34"/>
        <w:tabs>
          <w:tab w:val="left" w:pos="4935"/>
        </w:tabs>
        <w:jc w:val="center"/>
        <w:rPr>
          <w:rFonts w:hint="eastAsia" w:asciiTheme="minorEastAsia" w:hAnsiTheme="minorEastAsia" w:eastAsiaTheme="minorEastAsia" w:cstheme="minorEastAsia"/>
          <w:b/>
          <w:color w:val="auto"/>
          <w:sz w:val="28"/>
          <w:szCs w:val="28"/>
          <w:highlight w:val="none"/>
        </w:rPr>
        <w:sectPr>
          <w:footerReference r:id="rId3" w:type="default"/>
          <w:endnotePr>
            <w:numFmt w:val="decimal"/>
          </w:endnotePr>
          <w:pgSz w:w="11906" w:h="16838"/>
          <w:pgMar w:top="873" w:right="1066" w:bottom="873" w:left="1066" w:header="851" w:footer="992" w:gutter="0"/>
          <w:pgNumType w:start="1"/>
          <w:cols w:space="720" w:num="1"/>
          <w:docGrid w:type="lines" w:linePitch="312" w:charSpace="0"/>
        </w:sectPr>
      </w:pPr>
    </w:p>
    <w:p w14:paraId="6DF9B08C">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48D35D93">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0A1B9732">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3743739B">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5248EBD7">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0AD838A2">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714E94C4">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4F54B98A">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1B6F4462">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3C7C5C77">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48A58102">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44207426">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4328C888">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75A009B4">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261B7B28">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70B07DEC">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7478C51A">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7834CE7A">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3D619D7E">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20FFD412">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34C74AE0">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51B6D913">
      <w:pPr>
        <w:pStyle w:val="34"/>
        <w:tabs>
          <w:tab w:val="left" w:pos="4935"/>
        </w:tabs>
        <w:jc w:val="center"/>
        <w:rPr>
          <w:rFonts w:hint="eastAsia" w:asciiTheme="minorEastAsia" w:hAnsiTheme="minorEastAsia" w:eastAsiaTheme="minorEastAsia" w:cstheme="minorEastAsia"/>
          <w:b/>
          <w:color w:val="auto"/>
          <w:sz w:val="28"/>
          <w:szCs w:val="28"/>
          <w:highlight w:val="none"/>
        </w:rPr>
      </w:pPr>
    </w:p>
    <w:p w14:paraId="2F914B0F">
      <w:pPr>
        <w:pStyle w:val="34"/>
        <w:tabs>
          <w:tab w:val="left" w:pos="4935"/>
        </w:tabs>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目    录</w:t>
      </w:r>
    </w:p>
    <w:p w14:paraId="225908EA">
      <w:pPr>
        <w:pStyle w:val="15"/>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TOC \o "1-4" \h \z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_Toc19314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第一章投标须知</w:t>
      </w:r>
      <w:r>
        <w:rPr>
          <w:color w:val="auto"/>
        </w:rPr>
        <w:tab/>
      </w:r>
      <w:r>
        <w:rPr>
          <w:color w:val="auto"/>
        </w:rPr>
        <w:fldChar w:fldCharType="begin"/>
      </w:r>
      <w:r>
        <w:rPr>
          <w:color w:val="auto"/>
        </w:rPr>
        <w:instrText xml:space="preserve"> PAGEREF _Toc19314 \h </w:instrText>
      </w:r>
      <w:r>
        <w:rPr>
          <w:color w:val="auto"/>
        </w:rPr>
        <w:fldChar w:fldCharType="separate"/>
      </w:r>
      <w:r>
        <w:rPr>
          <w:color w:val="auto"/>
        </w:rPr>
        <w:t>1</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4F3EBE2E">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_Toc27721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第一节.投标须知前附表</w:t>
      </w:r>
      <w:r>
        <w:rPr>
          <w:color w:val="auto"/>
        </w:rPr>
        <w:tab/>
      </w:r>
      <w:r>
        <w:rPr>
          <w:color w:val="auto"/>
        </w:rPr>
        <w:fldChar w:fldCharType="begin"/>
      </w:r>
      <w:r>
        <w:rPr>
          <w:color w:val="auto"/>
        </w:rPr>
        <w:instrText xml:space="preserve"> PAGEREF _Toc27721 \h </w:instrText>
      </w:r>
      <w:r>
        <w:rPr>
          <w:color w:val="auto"/>
        </w:rPr>
        <w:fldChar w:fldCharType="separate"/>
      </w:r>
      <w:r>
        <w:rPr>
          <w:color w:val="auto"/>
        </w:rPr>
        <w:t>1</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631F6001">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_Toc13395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szCs w:val="24"/>
          <w:highlight w:val="none"/>
        </w:rPr>
        <w:t>第二节.重要事项时间地点一览表.</w:t>
      </w:r>
      <w:r>
        <w:rPr>
          <w:color w:val="auto"/>
        </w:rPr>
        <w:tab/>
      </w:r>
      <w:r>
        <w:rPr>
          <w:color w:val="auto"/>
        </w:rPr>
        <w:fldChar w:fldCharType="begin"/>
      </w:r>
      <w:r>
        <w:rPr>
          <w:color w:val="auto"/>
        </w:rPr>
        <w:instrText xml:space="preserve"> PAGEREF _Toc13395 \h </w:instrText>
      </w:r>
      <w:r>
        <w:rPr>
          <w:color w:val="auto"/>
        </w:rPr>
        <w:fldChar w:fldCharType="separate"/>
      </w:r>
      <w:r>
        <w:rPr>
          <w:color w:val="auto"/>
        </w:rPr>
        <w:t>11</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3302AFB4">
      <w:pPr>
        <w:pStyle w:val="15"/>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_Toc11960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6"/>
          <w:highlight w:val="none"/>
        </w:rPr>
        <w:t>第</w:t>
      </w:r>
      <w:r>
        <w:rPr>
          <w:rFonts w:hint="eastAsia" w:asciiTheme="minorEastAsia" w:hAnsiTheme="minorEastAsia" w:eastAsiaTheme="minorEastAsia" w:cstheme="minorEastAsia"/>
          <w:color w:val="auto"/>
          <w:kern w:val="44"/>
          <w:szCs w:val="36"/>
          <w:highlight w:val="none"/>
        </w:rPr>
        <w:t>三节 投标须知正文</w:t>
      </w:r>
      <w:r>
        <w:rPr>
          <w:color w:val="auto"/>
        </w:rPr>
        <w:tab/>
      </w:r>
      <w:r>
        <w:rPr>
          <w:color w:val="auto"/>
        </w:rPr>
        <w:fldChar w:fldCharType="begin"/>
      </w:r>
      <w:r>
        <w:rPr>
          <w:color w:val="auto"/>
        </w:rPr>
        <w:instrText xml:space="preserve"> PAGEREF _Toc11960 \h </w:instrText>
      </w:r>
      <w:r>
        <w:rPr>
          <w:color w:val="auto"/>
        </w:rPr>
        <w:fldChar w:fldCharType="separate"/>
      </w:r>
      <w:r>
        <w:rPr>
          <w:color w:val="auto"/>
        </w:rPr>
        <w:t>12</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7AC3B73B">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_Toc4462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1、 工程概况综合说明</w:t>
      </w:r>
      <w:r>
        <w:rPr>
          <w:color w:val="auto"/>
        </w:rPr>
        <w:tab/>
      </w:r>
      <w:r>
        <w:rPr>
          <w:color w:val="auto"/>
        </w:rPr>
        <w:fldChar w:fldCharType="begin"/>
      </w:r>
      <w:r>
        <w:rPr>
          <w:color w:val="auto"/>
        </w:rPr>
        <w:instrText xml:space="preserve"> PAGEREF _Toc4462 \h </w:instrText>
      </w:r>
      <w:r>
        <w:rPr>
          <w:color w:val="auto"/>
        </w:rPr>
        <w:fldChar w:fldCharType="separate"/>
      </w:r>
      <w:r>
        <w:rPr>
          <w:color w:val="auto"/>
        </w:rPr>
        <w:t>12</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646DD303">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_Toc22348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2 、招标范围</w:t>
      </w:r>
      <w:r>
        <w:rPr>
          <w:color w:val="auto"/>
        </w:rPr>
        <w:tab/>
      </w:r>
      <w:r>
        <w:rPr>
          <w:color w:val="auto"/>
        </w:rPr>
        <w:fldChar w:fldCharType="begin"/>
      </w:r>
      <w:r>
        <w:rPr>
          <w:color w:val="auto"/>
        </w:rPr>
        <w:instrText xml:space="preserve"> PAGEREF _Toc22348 \h </w:instrText>
      </w:r>
      <w:r>
        <w:rPr>
          <w:color w:val="auto"/>
        </w:rPr>
        <w:fldChar w:fldCharType="separate"/>
      </w:r>
      <w:r>
        <w:rPr>
          <w:color w:val="auto"/>
        </w:rPr>
        <w:t>13</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05C089EE">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_Toc20641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3、工期</w:t>
      </w:r>
      <w:r>
        <w:rPr>
          <w:color w:val="auto"/>
        </w:rPr>
        <w:tab/>
      </w:r>
      <w:r>
        <w:rPr>
          <w:color w:val="auto"/>
        </w:rPr>
        <w:fldChar w:fldCharType="begin"/>
      </w:r>
      <w:r>
        <w:rPr>
          <w:color w:val="auto"/>
        </w:rPr>
        <w:instrText xml:space="preserve"> PAGEREF _Toc20641 \h </w:instrText>
      </w:r>
      <w:r>
        <w:rPr>
          <w:color w:val="auto"/>
        </w:rPr>
        <w:fldChar w:fldCharType="separate"/>
      </w:r>
      <w:r>
        <w:rPr>
          <w:color w:val="auto"/>
        </w:rPr>
        <w:t>13</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489084E8">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_Toc1287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4 、投标人资质及条件要求</w:t>
      </w:r>
      <w:r>
        <w:rPr>
          <w:color w:val="auto"/>
        </w:rPr>
        <w:tab/>
      </w:r>
      <w:r>
        <w:rPr>
          <w:color w:val="auto"/>
        </w:rPr>
        <w:fldChar w:fldCharType="begin"/>
      </w:r>
      <w:r>
        <w:rPr>
          <w:color w:val="auto"/>
        </w:rPr>
        <w:instrText xml:space="preserve"> PAGEREF _Toc1287 \h </w:instrText>
      </w:r>
      <w:r>
        <w:rPr>
          <w:color w:val="auto"/>
        </w:rPr>
        <w:fldChar w:fldCharType="separate"/>
      </w:r>
      <w:r>
        <w:rPr>
          <w:color w:val="auto"/>
        </w:rPr>
        <w:t>14</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7571CA4E">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_Toc17175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5 、工程招标内容及要求</w:t>
      </w:r>
      <w:r>
        <w:rPr>
          <w:color w:val="auto"/>
        </w:rPr>
        <w:tab/>
      </w:r>
      <w:r>
        <w:rPr>
          <w:color w:val="auto"/>
        </w:rPr>
        <w:fldChar w:fldCharType="begin"/>
      </w:r>
      <w:r>
        <w:rPr>
          <w:color w:val="auto"/>
        </w:rPr>
        <w:instrText xml:space="preserve"> PAGEREF _Toc17175 \h </w:instrText>
      </w:r>
      <w:r>
        <w:rPr>
          <w:color w:val="auto"/>
        </w:rPr>
        <w:fldChar w:fldCharType="separate"/>
      </w:r>
      <w:r>
        <w:rPr>
          <w:color w:val="auto"/>
        </w:rPr>
        <w:t>17</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75B66868">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6 、招标工程施工条件及现场踏勘</w:t>
      </w:r>
      <w:r>
        <w:rPr>
          <w:color w:val="auto"/>
        </w:rPr>
        <w:tab/>
      </w:r>
      <w:r>
        <w:rPr>
          <w:color w:val="auto"/>
        </w:rPr>
        <w:fldChar w:fldCharType="begin"/>
      </w:r>
      <w:r>
        <w:rPr>
          <w:color w:val="auto"/>
        </w:rPr>
        <w:instrText xml:space="preserve"> PAGEREF _Toc462 \h </w:instrText>
      </w:r>
      <w:r>
        <w:rPr>
          <w:color w:val="auto"/>
        </w:rPr>
        <w:fldChar w:fldCharType="separate"/>
      </w:r>
      <w:r>
        <w:rPr>
          <w:color w:val="auto"/>
        </w:rPr>
        <w:t>20</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1BAEFE05">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_Toc31460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7 、其他招标说明</w:t>
      </w:r>
      <w:r>
        <w:rPr>
          <w:color w:val="auto"/>
        </w:rPr>
        <w:tab/>
      </w:r>
      <w:r>
        <w:rPr>
          <w:color w:val="auto"/>
        </w:rPr>
        <w:fldChar w:fldCharType="begin"/>
      </w:r>
      <w:r>
        <w:rPr>
          <w:color w:val="auto"/>
        </w:rPr>
        <w:instrText xml:space="preserve"> PAGEREF _Toc31460 \h </w:instrText>
      </w:r>
      <w:r>
        <w:rPr>
          <w:color w:val="auto"/>
        </w:rPr>
        <w:fldChar w:fldCharType="separate"/>
      </w:r>
      <w:r>
        <w:rPr>
          <w:color w:val="auto"/>
        </w:rPr>
        <w:t>21</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50053C95">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_Toc20514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8 、招标答疑</w:t>
      </w:r>
      <w:r>
        <w:rPr>
          <w:color w:val="auto"/>
        </w:rPr>
        <w:tab/>
      </w:r>
      <w:r>
        <w:rPr>
          <w:color w:val="auto"/>
        </w:rPr>
        <w:fldChar w:fldCharType="begin"/>
      </w:r>
      <w:r>
        <w:rPr>
          <w:color w:val="auto"/>
        </w:rPr>
        <w:instrText xml:space="preserve"> PAGEREF _Toc20514 \h </w:instrText>
      </w:r>
      <w:r>
        <w:rPr>
          <w:color w:val="auto"/>
        </w:rPr>
        <w:fldChar w:fldCharType="separate"/>
      </w:r>
      <w:r>
        <w:rPr>
          <w:color w:val="auto"/>
        </w:rPr>
        <w:t>23</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7653E5D1">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_Toc11862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9 、投标报价的编制</w:t>
      </w:r>
      <w:r>
        <w:rPr>
          <w:color w:val="auto"/>
        </w:rPr>
        <w:tab/>
      </w:r>
      <w:r>
        <w:rPr>
          <w:color w:val="auto"/>
        </w:rPr>
        <w:fldChar w:fldCharType="begin"/>
      </w:r>
      <w:r>
        <w:rPr>
          <w:color w:val="auto"/>
        </w:rPr>
        <w:instrText xml:space="preserve"> PAGEREF _Toc11862 \h </w:instrText>
      </w:r>
      <w:r>
        <w:rPr>
          <w:color w:val="auto"/>
        </w:rPr>
        <w:fldChar w:fldCharType="separate"/>
      </w:r>
      <w:r>
        <w:rPr>
          <w:color w:val="auto"/>
        </w:rPr>
        <w:t>23</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23431368">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_Toc23458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10、 最高</w:t>
      </w:r>
      <w:r>
        <w:rPr>
          <w:rFonts w:hint="eastAsia" w:asciiTheme="minorEastAsia" w:hAnsiTheme="minorEastAsia" w:eastAsiaTheme="minorEastAsia" w:cstheme="minorEastAsia"/>
          <w:color w:val="auto"/>
          <w:kern w:val="2"/>
          <w:highlight w:val="none"/>
        </w:rPr>
        <w:t>投标</w:t>
      </w:r>
      <w:r>
        <w:rPr>
          <w:rFonts w:hint="eastAsia" w:asciiTheme="minorEastAsia" w:hAnsiTheme="minorEastAsia" w:eastAsiaTheme="minorEastAsia" w:cstheme="minorEastAsia"/>
          <w:color w:val="auto"/>
          <w:szCs w:val="24"/>
          <w:highlight w:val="none"/>
        </w:rPr>
        <w:t>限价的确定</w:t>
      </w:r>
      <w:r>
        <w:rPr>
          <w:color w:val="auto"/>
        </w:rPr>
        <w:tab/>
      </w:r>
      <w:r>
        <w:rPr>
          <w:color w:val="auto"/>
        </w:rPr>
        <w:fldChar w:fldCharType="begin"/>
      </w:r>
      <w:r>
        <w:rPr>
          <w:color w:val="auto"/>
        </w:rPr>
        <w:instrText xml:space="preserve"> PAGEREF _Toc23458 \h </w:instrText>
      </w:r>
      <w:r>
        <w:rPr>
          <w:color w:val="auto"/>
        </w:rPr>
        <w:fldChar w:fldCharType="separate"/>
      </w:r>
      <w:r>
        <w:rPr>
          <w:color w:val="auto"/>
        </w:rPr>
        <w:t>26</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764AD5A6">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_Toc12592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2"/>
          <w:highlight w:val="none"/>
        </w:rPr>
        <w:t>11</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kern w:val="2"/>
          <w:highlight w:val="none"/>
        </w:rPr>
        <w:t>投标</w:t>
      </w:r>
      <w:r>
        <w:rPr>
          <w:rFonts w:hint="eastAsia" w:asciiTheme="minorEastAsia" w:hAnsiTheme="minorEastAsia" w:eastAsiaTheme="minorEastAsia" w:cstheme="minorEastAsia"/>
          <w:color w:val="auto"/>
          <w:szCs w:val="22"/>
          <w:highlight w:val="none"/>
        </w:rPr>
        <w:t>文件的编制要求</w:t>
      </w:r>
      <w:r>
        <w:rPr>
          <w:color w:val="auto"/>
        </w:rPr>
        <w:tab/>
      </w:r>
      <w:r>
        <w:rPr>
          <w:color w:val="auto"/>
        </w:rPr>
        <w:fldChar w:fldCharType="begin"/>
      </w:r>
      <w:r>
        <w:rPr>
          <w:color w:val="auto"/>
        </w:rPr>
        <w:instrText xml:space="preserve"> PAGEREF _Toc12592 \h </w:instrText>
      </w:r>
      <w:r>
        <w:rPr>
          <w:color w:val="auto"/>
        </w:rPr>
        <w:fldChar w:fldCharType="separate"/>
      </w:r>
      <w:r>
        <w:rPr>
          <w:color w:val="auto"/>
        </w:rPr>
        <w:t>26</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414C339C">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_Toc1650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12、 投标有效期及对投标人的其他要求</w:t>
      </w:r>
      <w:r>
        <w:rPr>
          <w:color w:val="auto"/>
        </w:rPr>
        <w:tab/>
      </w:r>
      <w:r>
        <w:rPr>
          <w:color w:val="auto"/>
        </w:rPr>
        <w:fldChar w:fldCharType="begin"/>
      </w:r>
      <w:r>
        <w:rPr>
          <w:color w:val="auto"/>
        </w:rPr>
        <w:instrText xml:space="preserve"> PAGEREF _Toc1650 \h </w:instrText>
      </w:r>
      <w:r>
        <w:rPr>
          <w:color w:val="auto"/>
        </w:rPr>
        <w:fldChar w:fldCharType="separate"/>
      </w:r>
      <w:r>
        <w:rPr>
          <w:color w:val="auto"/>
        </w:rPr>
        <w:t>30</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0442FE3A">
      <w:pPr>
        <w:pStyle w:val="15"/>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_Toc24433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第二章 拟签订合同的主要条款</w:t>
      </w:r>
      <w:r>
        <w:rPr>
          <w:color w:val="auto"/>
        </w:rPr>
        <w:tab/>
      </w:r>
      <w:r>
        <w:rPr>
          <w:color w:val="auto"/>
        </w:rPr>
        <w:fldChar w:fldCharType="begin"/>
      </w:r>
      <w:r>
        <w:rPr>
          <w:color w:val="auto"/>
        </w:rPr>
        <w:instrText xml:space="preserve"> PAGEREF _Toc24433 \h </w:instrText>
      </w:r>
      <w:r>
        <w:rPr>
          <w:color w:val="auto"/>
        </w:rPr>
        <w:fldChar w:fldCharType="separate"/>
      </w:r>
      <w:r>
        <w:rPr>
          <w:color w:val="auto"/>
        </w:rPr>
        <w:t>43</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70389264">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_Toc16661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1 工程承包方式</w:t>
      </w:r>
      <w:r>
        <w:rPr>
          <w:color w:val="auto"/>
        </w:rPr>
        <w:tab/>
      </w:r>
      <w:r>
        <w:rPr>
          <w:color w:val="auto"/>
        </w:rPr>
        <w:fldChar w:fldCharType="begin"/>
      </w:r>
      <w:r>
        <w:rPr>
          <w:color w:val="auto"/>
        </w:rPr>
        <w:instrText xml:space="preserve"> PAGEREF _Toc16661 \h </w:instrText>
      </w:r>
      <w:r>
        <w:rPr>
          <w:color w:val="auto"/>
        </w:rPr>
        <w:fldChar w:fldCharType="separate"/>
      </w:r>
      <w:r>
        <w:rPr>
          <w:color w:val="auto"/>
        </w:rPr>
        <w:t>43</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68802198">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_Toc12467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2 施工图工程量清单预算的编制原则</w:t>
      </w:r>
      <w:r>
        <w:rPr>
          <w:color w:val="auto"/>
        </w:rPr>
        <w:tab/>
      </w:r>
      <w:r>
        <w:rPr>
          <w:color w:val="auto"/>
        </w:rPr>
        <w:fldChar w:fldCharType="begin"/>
      </w:r>
      <w:r>
        <w:rPr>
          <w:color w:val="auto"/>
        </w:rPr>
        <w:instrText xml:space="preserve"> PAGEREF _Toc12467 \h </w:instrText>
      </w:r>
      <w:r>
        <w:rPr>
          <w:color w:val="auto"/>
        </w:rPr>
        <w:fldChar w:fldCharType="separate"/>
      </w:r>
      <w:r>
        <w:rPr>
          <w:color w:val="auto"/>
        </w:rPr>
        <w:t>43</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6F545F62">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_Toc16870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szCs w:val="24"/>
          <w:highlight w:val="none"/>
        </w:rPr>
        <w:t>3 工程结算原则</w:t>
      </w:r>
      <w:r>
        <w:rPr>
          <w:color w:val="auto"/>
        </w:rPr>
        <w:tab/>
      </w:r>
      <w:r>
        <w:rPr>
          <w:color w:val="auto"/>
        </w:rPr>
        <w:fldChar w:fldCharType="begin"/>
      </w:r>
      <w:r>
        <w:rPr>
          <w:color w:val="auto"/>
        </w:rPr>
        <w:instrText xml:space="preserve"> PAGEREF _Toc16870 \h </w:instrText>
      </w:r>
      <w:r>
        <w:rPr>
          <w:color w:val="auto"/>
        </w:rPr>
        <w:fldChar w:fldCharType="separate"/>
      </w:r>
      <w:r>
        <w:rPr>
          <w:color w:val="auto"/>
        </w:rPr>
        <w:t>44</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23672921">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_Toc21784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szCs w:val="24"/>
          <w:highlight w:val="none"/>
        </w:rPr>
        <w:t>4 工程付款办法</w:t>
      </w:r>
      <w:r>
        <w:rPr>
          <w:color w:val="auto"/>
        </w:rPr>
        <w:tab/>
      </w:r>
      <w:r>
        <w:rPr>
          <w:color w:val="auto"/>
        </w:rPr>
        <w:fldChar w:fldCharType="begin"/>
      </w:r>
      <w:r>
        <w:rPr>
          <w:color w:val="auto"/>
        </w:rPr>
        <w:instrText xml:space="preserve"> PAGEREF _Toc21784 \h </w:instrText>
      </w:r>
      <w:r>
        <w:rPr>
          <w:color w:val="auto"/>
        </w:rPr>
        <w:fldChar w:fldCharType="separate"/>
      </w:r>
      <w:r>
        <w:rPr>
          <w:color w:val="auto"/>
        </w:rPr>
        <w:t>48</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0FD97410">
      <w:pPr>
        <w:pStyle w:val="15"/>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_Toc21077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第三章 中标人须知</w:t>
      </w:r>
      <w:r>
        <w:rPr>
          <w:color w:val="auto"/>
        </w:rPr>
        <w:tab/>
      </w:r>
      <w:r>
        <w:rPr>
          <w:color w:val="auto"/>
        </w:rPr>
        <w:fldChar w:fldCharType="begin"/>
      </w:r>
      <w:r>
        <w:rPr>
          <w:color w:val="auto"/>
        </w:rPr>
        <w:instrText xml:space="preserve"> PAGEREF _Toc21077 \h </w:instrText>
      </w:r>
      <w:r>
        <w:rPr>
          <w:color w:val="auto"/>
        </w:rPr>
        <w:fldChar w:fldCharType="separate"/>
      </w:r>
      <w:r>
        <w:rPr>
          <w:color w:val="auto"/>
        </w:rPr>
        <w:t>73</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423C8DD2">
      <w:pPr>
        <w:pStyle w:val="15"/>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_Toc21647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第四章 投标人提交的其他材料</w:t>
      </w:r>
      <w:r>
        <w:rPr>
          <w:color w:val="auto"/>
        </w:rPr>
        <w:tab/>
      </w:r>
      <w:r>
        <w:rPr>
          <w:color w:val="auto"/>
        </w:rPr>
        <w:fldChar w:fldCharType="begin"/>
      </w:r>
      <w:r>
        <w:rPr>
          <w:color w:val="auto"/>
        </w:rPr>
        <w:instrText xml:space="preserve"> PAGEREF _Toc21647 \h </w:instrText>
      </w:r>
      <w:r>
        <w:rPr>
          <w:color w:val="auto"/>
        </w:rPr>
        <w:fldChar w:fldCharType="separate"/>
      </w:r>
      <w:r>
        <w:rPr>
          <w:color w:val="auto"/>
        </w:rPr>
        <w:t>80</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4E8EDEEB">
      <w:pPr>
        <w:pStyle w:val="15"/>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_Toc3372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第五章 招标工程的技术要求和前期文件</w:t>
      </w:r>
      <w:r>
        <w:rPr>
          <w:color w:val="auto"/>
        </w:rPr>
        <w:tab/>
      </w:r>
      <w:r>
        <w:rPr>
          <w:color w:val="auto"/>
        </w:rPr>
        <w:fldChar w:fldCharType="begin"/>
      </w:r>
      <w:r>
        <w:rPr>
          <w:color w:val="auto"/>
        </w:rPr>
        <w:instrText xml:space="preserve"> PAGEREF _Toc3372 \h </w:instrText>
      </w:r>
      <w:r>
        <w:rPr>
          <w:color w:val="auto"/>
        </w:rPr>
        <w:fldChar w:fldCharType="separate"/>
      </w:r>
      <w:r>
        <w:rPr>
          <w:color w:val="auto"/>
        </w:rPr>
        <w:t>82</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28EC9117">
      <w:pPr>
        <w:pStyle w:val="15"/>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_Toc28939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lang w:val="en-US" w:eastAsia="zh-CN"/>
        </w:rPr>
        <w:t>第六章</w:t>
      </w:r>
      <w:r>
        <w:rPr>
          <w:rFonts w:hint="eastAsia" w:asciiTheme="minorEastAsia" w:hAnsiTheme="minorEastAsia" w:eastAsiaTheme="minorEastAsia" w:cstheme="minorEastAsia"/>
          <w:color w:val="auto"/>
          <w:kern w:val="44"/>
          <w:szCs w:val="36"/>
          <w:highlight w:val="none"/>
        </w:rPr>
        <w:t>招标文件的附件</w:t>
      </w:r>
      <w:r>
        <w:rPr>
          <w:color w:val="auto"/>
        </w:rPr>
        <w:tab/>
      </w:r>
      <w:r>
        <w:rPr>
          <w:color w:val="auto"/>
        </w:rPr>
        <w:fldChar w:fldCharType="begin"/>
      </w:r>
      <w:r>
        <w:rPr>
          <w:color w:val="auto"/>
        </w:rPr>
        <w:instrText xml:space="preserve"> PAGEREF _Toc28939 \h </w:instrText>
      </w:r>
      <w:r>
        <w:rPr>
          <w:color w:val="auto"/>
        </w:rPr>
        <w:fldChar w:fldCharType="separate"/>
      </w:r>
      <w:r>
        <w:rPr>
          <w:color w:val="auto"/>
        </w:rPr>
        <w:t>85</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1543725C">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_Toc24864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snapToGrid w:val="0"/>
          <w:color w:val="auto"/>
          <w:szCs w:val="24"/>
          <w:highlight w:val="none"/>
        </w:rPr>
        <w:t>格式一 封面</w:t>
      </w:r>
      <w:r>
        <w:rPr>
          <w:color w:val="auto"/>
        </w:rPr>
        <w:tab/>
      </w:r>
      <w:r>
        <w:rPr>
          <w:color w:val="auto"/>
        </w:rPr>
        <w:fldChar w:fldCharType="begin"/>
      </w:r>
      <w:r>
        <w:rPr>
          <w:color w:val="auto"/>
        </w:rPr>
        <w:instrText xml:space="preserve"> PAGEREF _Toc24864 \h </w:instrText>
      </w:r>
      <w:r>
        <w:rPr>
          <w:color w:val="auto"/>
        </w:rPr>
        <w:fldChar w:fldCharType="separate"/>
      </w:r>
      <w:r>
        <w:rPr>
          <w:color w:val="auto"/>
        </w:rPr>
        <w:t>85</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03E7AE5F">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_Toc30915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格式二 《投标函》及《工程项目总价表》</w:t>
      </w:r>
      <w:r>
        <w:rPr>
          <w:color w:val="auto"/>
        </w:rPr>
        <w:tab/>
      </w:r>
      <w:r>
        <w:rPr>
          <w:color w:val="auto"/>
        </w:rPr>
        <w:fldChar w:fldCharType="begin"/>
      </w:r>
      <w:r>
        <w:rPr>
          <w:color w:val="auto"/>
        </w:rPr>
        <w:instrText xml:space="preserve"> PAGEREF _Toc30915 \h </w:instrText>
      </w:r>
      <w:r>
        <w:rPr>
          <w:color w:val="auto"/>
        </w:rPr>
        <w:fldChar w:fldCharType="separate"/>
      </w:r>
      <w:r>
        <w:rPr>
          <w:color w:val="auto"/>
        </w:rPr>
        <w:t>86</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130FA056">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_Toc6537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格式三 各项</w:t>
      </w:r>
      <w:r>
        <w:rPr>
          <w:rFonts w:hint="eastAsia" w:asciiTheme="minorEastAsia" w:hAnsiTheme="minorEastAsia" w:eastAsiaTheme="minorEastAsia" w:cstheme="minorEastAsia"/>
          <w:bCs/>
          <w:color w:val="auto"/>
          <w:szCs w:val="24"/>
          <w:highlight w:val="none"/>
        </w:rPr>
        <w:t>承诺</w:t>
      </w:r>
      <w:r>
        <w:rPr>
          <w:rFonts w:hint="eastAsia" w:asciiTheme="minorEastAsia" w:hAnsiTheme="minorEastAsia" w:eastAsiaTheme="minorEastAsia" w:cstheme="minorEastAsia"/>
          <w:color w:val="auto"/>
          <w:szCs w:val="24"/>
          <w:highlight w:val="none"/>
        </w:rPr>
        <w:t>一览表</w:t>
      </w:r>
      <w:r>
        <w:rPr>
          <w:color w:val="auto"/>
        </w:rPr>
        <w:tab/>
      </w:r>
      <w:r>
        <w:rPr>
          <w:color w:val="auto"/>
        </w:rPr>
        <w:fldChar w:fldCharType="begin"/>
      </w:r>
      <w:r>
        <w:rPr>
          <w:color w:val="auto"/>
        </w:rPr>
        <w:instrText xml:space="preserve"> PAGEREF _Toc6537 \h </w:instrText>
      </w:r>
      <w:r>
        <w:rPr>
          <w:color w:val="auto"/>
        </w:rPr>
        <w:fldChar w:fldCharType="separate"/>
      </w:r>
      <w:r>
        <w:rPr>
          <w:color w:val="auto"/>
        </w:rPr>
        <w:t>88</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4CD3B320">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_Toc26384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格式四 授权委托书</w:t>
      </w:r>
      <w:r>
        <w:rPr>
          <w:color w:val="auto"/>
        </w:rPr>
        <w:tab/>
      </w:r>
      <w:r>
        <w:rPr>
          <w:color w:val="auto"/>
        </w:rPr>
        <w:fldChar w:fldCharType="begin"/>
      </w:r>
      <w:r>
        <w:rPr>
          <w:color w:val="auto"/>
        </w:rPr>
        <w:instrText xml:space="preserve"> PAGEREF _Toc26384 \h </w:instrText>
      </w:r>
      <w:r>
        <w:rPr>
          <w:color w:val="auto"/>
        </w:rPr>
        <w:fldChar w:fldCharType="separate"/>
      </w:r>
      <w:r>
        <w:rPr>
          <w:color w:val="auto"/>
        </w:rPr>
        <w:t>92</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281B3AD5">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_Toc16283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格式五 法定代表人身份证明</w:t>
      </w:r>
      <w:r>
        <w:rPr>
          <w:color w:val="auto"/>
        </w:rPr>
        <w:tab/>
      </w:r>
      <w:r>
        <w:rPr>
          <w:color w:val="auto"/>
        </w:rPr>
        <w:fldChar w:fldCharType="begin"/>
      </w:r>
      <w:r>
        <w:rPr>
          <w:color w:val="auto"/>
        </w:rPr>
        <w:instrText xml:space="preserve"> PAGEREF _Toc16283 \h </w:instrText>
      </w:r>
      <w:r>
        <w:rPr>
          <w:color w:val="auto"/>
        </w:rPr>
        <w:fldChar w:fldCharType="separate"/>
      </w:r>
      <w:r>
        <w:rPr>
          <w:color w:val="auto"/>
        </w:rPr>
        <w:t>93</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451A959C">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_Toc6600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格式六 联合体协议书</w:t>
      </w:r>
      <w:r>
        <w:rPr>
          <w:color w:val="auto"/>
        </w:rPr>
        <w:tab/>
      </w:r>
      <w:r>
        <w:rPr>
          <w:color w:val="auto"/>
        </w:rPr>
        <w:fldChar w:fldCharType="begin"/>
      </w:r>
      <w:r>
        <w:rPr>
          <w:color w:val="auto"/>
        </w:rPr>
        <w:instrText xml:space="preserve"> PAGEREF _Toc6600 \h </w:instrText>
      </w:r>
      <w:r>
        <w:rPr>
          <w:color w:val="auto"/>
        </w:rPr>
        <w:fldChar w:fldCharType="separate"/>
      </w:r>
      <w:r>
        <w:rPr>
          <w:color w:val="auto"/>
        </w:rPr>
        <w:t>94</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175E6050">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_Toc10817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格式七 投标人基本情况表</w:t>
      </w:r>
      <w:r>
        <w:rPr>
          <w:color w:val="auto"/>
        </w:rPr>
        <w:tab/>
      </w:r>
      <w:r>
        <w:rPr>
          <w:color w:val="auto"/>
        </w:rPr>
        <w:fldChar w:fldCharType="begin"/>
      </w:r>
      <w:r>
        <w:rPr>
          <w:color w:val="auto"/>
        </w:rPr>
        <w:instrText xml:space="preserve"> PAGEREF _Toc10817 \h </w:instrText>
      </w:r>
      <w:r>
        <w:rPr>
          <w:color w:val="auto"/>
        </w:rPr>
        <w:fldChar w:fldCharType="separate"/>
      </w:r>
      <w:r>
        <w:rPr>
          <w:color w:val="auto"/>
        </w:rPr>
        <w:t>96</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5B54D829">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_Toc31876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格式八 项目经理简历表</w:t>
      </w:r>
      <w:r>
        <w:rPr>
          <w:color w:val="auto"/>
        </w:rPr>
        <w:tab/>
      </w:r>
      <w:r>
        <w:rPr>
          <w:color w:val="auto"/>
        </w:rPr>
        <w:fldChar w:fldCharType="begin"/>
      </w:r>
      <w:r>
        <w:rPr>
          <w:color w:val="auto"/>
        </w:rPr>
        <w:instrText xml:space="preserve"> PAGEREF _Toc31876 \h </w:instrText>
      </w:r>
      <w:r>
        <w:rPr>
          <w:color w:val="auto"/>
        </w:rPr>
        <w:fldChar w:fldCharType="separate"/>
      </w:r>
      <w:r>
        <w:rPr>
          <w:color w:val="auto"/>
        </w:rPr>
        <w:t>97</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1E30AAA9">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_Toc6303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格式九 项目经理任职声明</w:t>
      </w:r>
      <w:r>
        <w:rPr>
          <w:color w:val="auto"/>
        </w:rPr>
        <w:tab/>
      </w:r>
      <w:r>
        <w:rPr>
          <w:color w:val="auto"/>
        </w:rPr>
        <w:fldChar w:fldCharType="begin"/>
      </w:r>
      <w:r>
        <w:rPr>
          <w:color w:val="auto"/>
        </w:rPr>
        <w:instrText xml:space="preserve"> PAGEREF _Toc6303 \h </w:instrText>
      </w:r>
      <w:r>
        <w:rPr>
          <w:color w:val="auto"/>
        </w:rPr>
        <w:fldChar w:fldCharType="separate"/>
      </w:r>
      <w:r>
        <w:rPr>
          <w:color w:val="auto"/>
        </w:rPr>
        <w:t>98</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1588A950">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_Toc29139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格式十 项目技术负责人简历表</w:t>
      </w:r>
      <w:r>
        <w:rPr>
          <w:color w:val="auto"/>
        </w:rPr>
        <w:tab/>
      </w:r>
      <w:r>
        <w:rPr>
          <w:color w:val="auto"/>
        </w:rPr>
        <w:fldChar w:fldCharType="begin"/>
      </w:r>
      <w:r>
        <w:rPr>
          <w:color w:val="auto"/>
        </w:rPr>
        <w:instrText xml:space="preserve"> PAGEREF _Toc29139 \h </w:instrText>
      </w:r>
      <w:r>
        <w:rPr>
          <w:color w:val="auto"/>
        </w:rPr>
        <w:fldChar w:fldCharType="separate"/>
      </w:r>
      <w:r>
        <w:rPr>
          <w:color w:val="auto"/>
        </w:rPr>
        <w:t>99</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5E8022BB">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_Toc27418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格式十一 项目设计负责人简历表</w:t>
      </w:r>
      <w:r>
        <w:rPr>
          <w:color w:val="auto"/>
        </w:rPr>
        <w:tab/>
      </w:r>
      <w:r>
        <w:rPr>
          <w:color w:val="auto"/>
        </w:rPr>
        <w:fldChar w:fldCharType="begin"/>
      </w:r>
      <w:r>
        <w:rPr>
          <w:color w:val="auto"/>
        </w:rPr>
        <w:instrText xml:space="preserve"> PAGEREF _Toc27418 \h </w:instrText>
      </w:r>
      <w:r>
        <w:rPr>
          <w:color w:val="auto"/>
        </w:rPr>
        <w:fldChar w:fldCharType="separate"/>
      </w:r>
      <w:r>
        <w:rPr>
          <w:color w:val="auto"/>
        </w:rPr>
        <w:t>100</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39789579">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_Toc2126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snapToGrid w:val="0"/>
          <w:color w:val="auto"/>
          <w:szCs w:val="24"/>
          <w:highlight w:val="none"/>
        </w:rPr>
        <w:t>格式十二 项目管理机构组成表</w:t>
      </w:r>
      <w:r>
        <w:rPr>
          <w:color w:val="auto"/>
        </w:rPr>
        <w:tab/>
      </w:r>
      <w:r>
        <w:rPr>
          <w:color w:val="auto"/>
        </w:rPr>
        <w:fldChar w:fldCharType="begin"/>
      </w:r>
      <w:r>
        <w:rPr>
          <w:color w:val="auto"/>
        </w:rPr>
        <w:instrText xml:space="preserve"> PAGEREF _Toc2126 \h </w:instrText>
      </w:r>
      <w:r>
        <w:rPr>
          <w:color w:val="auto"/>
        </w:rPr>
        <w:fldChar w:fldCharType="separate"/>
      </w:r>
      <w:r>
        <w:rPr>
          <w:color w:val="auto"/>
        </w:rPr>
        <w:t>101</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0969DB73">
      <w:pPr>
        <w:pStyle w:val="18"/>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_Toc3719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格式十三 原件一览表</w:t>
      </w:r>
      <w:r>
        <w:rPr>
          <w:color w:val="auto"/>
        </w:rPr>
        <w:tab/>
      </w:r>
      <w:r>
        <w:rPr>
          <w:color w:val="auto"/>
        </w:rPr>
        <w:fldChar w:fldCharType="begin"/>
      </w:r>
      <w:r>
        <w:rPr>
          <w:color w:val="auto"/>
        </w:rPr>
        <w:instrText xml:space="preserve"> PAGEREF _Toc3719 \h </w:instrText>
      </w:r>
      <w:r>
        <w:rPr>
          <w:color w:val="auto"/>
        </w:rPr>
        <w:fldChar w:fldCharType="separate"/>
      </w:r>
      <w:r>
        <w:rPr>
          <w:color w:val="auto"/>
        </w:rPr>
        <w:t>102</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1DC96980">
      <w:pPr>
        <w:pStyle w:val="15"/>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_Toc14224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0"/>
          <w:highlight w:val="none"/>
        </w:rPr>
        <w:t>第</w:t>
      </w:r>
      <w:r>
        <w:rPr>
          <w:rFonts w:hint="eastAsia" w:asciiTheme="minorEastAsia" w:hAnsiTheme="minorEastAsia" w:eastAsiaTheme="minorEastAsia" w:cstheme="minorEastAsia"/>
          <w:color w:val="auto"/>
          <w:kern w:val="44"/>
          <w:szCs w:val="30"/>
          <w:highlight w:val="none"/>
          <w:lang w:val="en-US" w:eastAsia="zh-CN"/>
        </w:rPr>
        <w:t>七</w:t>
      </w:r>
      <w:r>
        <w:rPr>
          <w:rFonts w:hint="eastAsia" w:asciiTheme="minorEastAsia" w:hAnsiTheme="minorEastAsia" w:eastAsiaTheme="minorEastAsia" w:cstheme="minorEastAsia"/>
          <w:color w:val="auto"/>
          <w:kern w:val="44"/>
          <w:szCs w:val="30"/>
          <w:highlight w:val="none"/>
        </w:rPr>
        <w:t>章  廉政合同、履约保函、预付款保函、支付保函</w:t>
      </w:r>
      <w:r>
        <w:rPr>
          <w:color w:val="auto"/>
        </w:rPr>
        <w:tab/>
      </w:r>
      <w:r>
        <w:rPr>
          <w:color w:val="auto"/>
        </w:rPr>
        <w:fldChar w:fldCharType="begin"/>
      </w:r>
      <w:r>
        <w:rPr>
          <w:color w:val="auto"/>
        </w:rPr>
        <w:instrText xml:space="preserve"> PAGEREF _Toc14224 \h </w:instrText>
      </w:r>
      <w:r>
        <w:rPr>
          <w:color w:val="auto"/>
        </w:rPr>
        <w:fldChar w:fldCharType="separate"/>
      </w:r>
      <w:r>
        <w:rPr>
          <w:color w:val="auto"/>
        </w:rPr>
        <w:t>103</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5E289949">
      <w:pPr>
        <w:pStyle w:val="15"/>
        <w:tabs>
          <w:tab w:val="right" w:leader="dot" w:pos="8306"/>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_Toc24183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w:t>
      </w:r>
      <w:r>
        <w:rPr>
          <w:rFonts w:hint="eastAsia" w:asciiTheme="minorEastAsia" w:hAnsiTheme="minorEastAsia" w:eastAsiaTheme="minorEastAsia" w:cstheme="minorEastAsia"/>
          <w:color w:val="auto"/>
          <w:kern w:val="44"/>
          <w:szCs w:val="36"/>
          <w:highlight w:val="none"/>
          <w:lang w:val="en-US" w:eastAsia="zh-CN"/>
        </w:rPr>
        <w:t>八</w:t>
      </w:r>
      <w:r>
        <w:rPr>
          <w:rFonts w:hint="eastAsia" w:asciiTheme="minorEastAsia" w:hAnsiTheme="minorEastAsia" w:eastAsiaTheme="minorEastAsia" w:cstheme="minorEastAsia"/>
          <w:color w:val="auto"/>
          <w:kern w:val="44"/>
          <w:szCs w:val="36"/>
          <w:highlight w:val="none"/>
        </w:rPr>
        <w:t>章  建设工程合同</w:t>
      </w:r>
      <w:r>
        <w:rPr>
          <w:color w:val="auto"/>
        </w:rPr>
        <w:tab/>
      </w:r>
      <w:r>
        <w:rPr>
          <w:color w:val="auto"/>
        </w:rPr>
        <w:fldChar w:fldCharType="begin"/>
      </w:r>
      <w:r>
        <w:rPr>
          <w:color w:val="auto"/>
        </w:rPr>
        <w:instrText xml:space="preserve"> PAGEREF _Toc24183 \h </w:instrText>
      </w:r>
      <w:r>
        <w:rPr>
          <w:color w:val="auto"/>
        </w:rPr>
        <w:fldChar w:fldCharType="separate"/>
      </w:r>
      <w:r>
        <w:rPr>
          <w:color w:val="auto"/>
        </w:rPr>
        <w:t>112</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2AD6EF43">
      <w:pPr>
        <w:pStyle w:val="34"/>
        <w:tabs>
          <w:tab w:val="left" w:pos="4935"/>
        </w:tabs>
        <w:jc w:val="center"/>
        <w:rPr>
          <w:rFonts w:hint="eastAsia" w:asciiTheme="minorEastAsia" w:hAnsiTheme="minorEastAsia" w:eastAsiaTheme="minorEastAsia" w:cstheme="minorEastAsia"/>
          <w:color w:val="auto"/>
          <w:szCs w:val="21"/>
          <w:highlight w:val="none"/>
        </w:rPr>
        <w:sectPr>
          <w:footerReference r:id="rId4" w:type="default"/>
          <w:endnotePr>
            <w:numFmt w:val="decimal"/>
          </w:endnotePr>
          <w:pgSz w:w="11906" w:h="16838"/>
          <w:pgMar w:top="1440" w:right="1800" w:bottom="1440" w:left="1800" w:header="851" w:footer="992" w:gutter="0"/>
          <w:pgNumType w:start="1"/>
          <w:cols w:space="720" w:num="1"/>
          <w:docGrid w:type="lines" w:linePitch="312" w:charSpace="0"/>
        </w:sectPr>
      </w:pPr>
      <w:r>
        <w:rPr>
          <w:rFonts w:hint="eastAsia" w:asciiTheme="minorEastAsia" w:hAnsiTheme="minorEastAsia" w:eastAsiaTheme="minorEastAsia" w:cstheme="minorEastAsia"/>
          <w:color w:val="auto"/>
          <w:szCs w:val="21"/>
          <w:highlight w:val="none"/>
        </w:rPr>
        <w:fldChar w:fldCharType="end"/>
      </w:r>
    </w:p>
    <w:p w14:paraId="0A0B2040">
      <w:pPr>
        <w:pStyle w:val="35"/>
        <w:keepNext/>
        <w:keepLines/>
        <w:jc w:val="center"/>
        <w:rPr>
          <w:rFonts w:hint="eastAsia" w:asciiTheme="minorEastAsia" w:hAnsiTheme="minorEastAsia" w:eastAsiaTheme="minorEastAsia" w:cstheme="minorEastAsia"/>
          <w:b/>
          <w:color w:val="auto"/>
          <w:kern w:val="44"/>
          <w:sz w:val="36"/>
          <w:szCs w:val="36"/>
          <w:highlight w:val="none"/>
        </w:rPr>
      </w:pPr>
      <w:bookmarkStart w:id="0" w:name="_Toc19314"/>
      <w:bookmarkStart w:id="1" w:name="_Hlt111690251"/>
      <w:r>
        <w:rPr>
          <w:rFonts w:hint="eastAsia" w:asciiTheme="minorEastAsia" w:hAnsiTheme="minorEastAsia" w:eastAsiaTheme="minorEastAsia" w:cstheme="minorEastAsia"/>
          <w:b/>
          <w:color w:val="auto"/>
          <w:kern w:val="44"/>
          <w:sz w:val="36"/>
          <w:szCs w:val="36"/>
          <w:highlight w:val="none"/>
        </w:rPr>
        <w:t>第一章投标须知</w:t>
      </w:r>
      <w:bookmarkEnd w:id="0"/>
    </w:p>
    <w:p w14:paraId="538A9106">
      <w:pPr>
        <w:pStyle w:val="36"/>
        <w:keepNext/>
        <w:keepLines/>
        <w:autoSpaceDE/>
        <w:autoSpaceDN/>
        <w:adjustRightInd/>
        <w:spacing w:before="260" w:after="260" w:line="360" w:lineRule="exact"/>
        <w:ind w:firstLine="482" w:firstLineChars="200"/>
        <w:jc w:val="both"/>
        <w:rPr>
          <w:rFonts w:hint="eastAsia" w:asciiTheme="minorEastAsia" w:hAnsiTheme="minorEastAsia" w:eastAsiaTheme="minorEastAsia" w:cstheme="minorEastAsia"/>
          <w:b/>
          <w:color w:val="auto"/>
          <w:kern w:val="2"/>
          <w:highlight w:val="none"/>
        </w:rPr>
      </w:pPr>
      <w:bookmarkStart w:id="2" w:name="_Hlt127175444"/>
      <w:bookmarkEnd w:id="2"/>
      <w:bookmarkStart w:id="3" w:name="_Toc27721"/>
      <w:bookmarkStart w:id="4" w:name="_Hlt120077520"/>
      <w:r>
        <w:rPr>
          <w:rFonts w:hint="eastAsia" w:asciiTheme="minorEastAsia" w:hAnsiTheme="minorEastAsia" w:eastAsiaTheme="minorEastAsia" w:cstheme="minorEastAsia"/>
          <w:b/>
          <w:color w:val="auto"/>
          <w:kern w:val="2"/>
          <w:highlight w:val="none"/>
        </w:rPr>
        <w:t>第一节.投标须知前附表</w:t>
      </w:r>
      <w:bookmarkEnd w:id="3"/>
    </w:p>
    <w:tbl>
      <w:tblPr>
        <w:tblStyle w:val="21"/>
        <w:tblW w:w="10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10"/>
        <w:gridCol w:w="2070"/>
        <w:gridCol w:w="7183"/>
      </w:tblGrid>
      <w:tr w14:paraId="3DBD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6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653E66C">
            <w:pPr>
              <w:pStyle w:val="34"/>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w:t>
            </w:r>
          </w:p>
          <w:p w14:paraId="6780CDE9">
            <w:pPr>
              <w:pStyle w:val="34"/>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号</w:t>
            </w:r>
          </w:p>
        </w:tc>
        <w:tc>
          <w:tcPr>
            <w:tcW w:w="2070" w:type="dxa"/>
            <w:tcBorders>
              <w:top w:val="single" w:color="auto" w:sz="4" w:space="0"/>
              <w:left w:val="single" w:color="auto" w:sz="4" w:space="0"/>
              <w:bottom w:val="single" w:color="auto" w:sz="4" w:space="0"/>
              <w:right w:val="single" w:color="auto" w:sz="4" w:space="0"/>
            </w:tcBorders>
            <w:noWrap/>
            <w:vAlign w:val="center"/>
          </w:tcPr>
          <w:p w14:paraId="49AE4A42">
            <w:pPr>
              <w:pStyle w:val="34"/>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内容</w:t>
            </w:r>
          </w:p>
        </w:tc>
        <w:tc>
          <w:tcPr>
            <w:tcW w:w="7183" w:type="dxa"/>
            <w:tcBorders>
              <w:top w:val="single" w:color="auto" w:sz="4" w:space="0"/>
              <w:left w:val="single" w:color="auto" w:sz="4" w:space="0"/>
              <w:bottom w:val="single" w:color="auto" w:sz="4" w:space="0"/>
              <w:right w:val="single" w:color="auto" w:sz="4" w:space="0"/>
            </w:tcBorders>
            <w:noWrap/>
            <w:vAlign w:val="center"/>
          </w:tcPr>
          <w:p w14:paraId="42F4043B">
            <w:pPr>
              <w:pStyle w:val="34"/>
              <w:tabs>
                <w:tab w:val="left" w:pos="1180"/>
              </w:tabs>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说明与要求</w:t>
            </w:r>
          </w:p>
        </w:tc>
      </w:tr>
      <w:tr w14:paraId="31F70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202EDA9">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070" w:type="dxa"/>
            <w:tcBorders>
              <w:top w:val="single" w:color="auto" w:sz="4" w:space="0"/>
              <w:left w:val="single" w:color="auto" w:sz="4" w:space="0"/>
              <w:bottom w:val="single" w:color="auto" w:sz="4" w:space="0"/>
              <w:right w:val="single" w:color="auto" w:sz="4" w:space="0"/>
            </w:tcBorders>
            <w:noWrap/>
            <w:vAlign w:val="center"/>
          </w:tcPr>
          <w:p w14:paraId="274784CB">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名称</w:t>
            </w:r>
          </w:p>
        </w:tc>
        <w:tc>
          <w:tcPr>
            <w:tcW w:w="7183" w:type="dxa"/>
            <w:tcBorders>
              <w:top w:val="single" w:color="auto" w:sz="4" w:space="0"/>
              <w:left w:val="single" w:color="auto" w:sz="4" w:space="0"/>
              <w:bottom w:val="single" w:color="auto" w:sz="4" w:space="0"/>
              <w:right w:val="single" w:color="auto" w:sz="4" w:space="0"/>
            </w:tcBorders>
            <w:noWrap/>
            <w:vAlign w:val="top"/>
          </w:tcPr>
          <w:p w14:paraId="555CDF75">
            <w:pPr>
              <w:pStyle w:val="37"/>
              <w:wordWrap w:val="0"/>
              <w:adjustRightInd w:val="0"/>
              <w:snapToGrid w:val="0"/>
              <w:spacing w:line="360" w:lineRule="auto"/>
              <w:ind w:firstLine="240" w:firstLineChars="1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商贸乌迳城乡融合发展建设项目（二期）设计施工总承包</w:t>
            </w:r>
          </w:p>
        </w:tc>
      </w:tr>
      <w:tr w14:paraId="667E2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212849E">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070" w:type="dxa"/>
            <w:tcBorders>
              <w:top w:val="single" w:color="auto" w:sz="4" w:space="0"/>
              <w:left w:val="single" w:color="auto" w:sz="4" w:space="0"/>
              <w:bottom w:val="single" w:color="auto" w:sz="4" w:space="0"/>
              <w:right w:val="single" w:color="auto" w:sz="4" w:space="0"/>
            </w:tcBorders>
            <w:noWrap/>
            <w:vAlign w:val="center"/>
          </w:tcPr>
          <w:p w14:paraId="2DC1AF30">
            <w:pPr>
              <w:pStyle w:val="34"/>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项目业主</w:t>
            </w:r>
          </w:p>
        </w:tc>
        <w:tc>
          <w:tcPr>
            <w:tcW w:w="7183" w:type="dxa"/>
            <w:tcBorders>
              <w:top w:val="single" w:color="auto" w:sz="4" w:space="0"/>
              <w:left w:val="single" w:color="auto" w:sz="4" w:space="0"/>
              <w:bottom w:val="single" w:color="auto" w:sz="4" w:space="0"/>
              <w:right w:val="single" w:color="auto" w:sz="4" w:space="0"/>
            </w:tcBorders>
            <w:noWrap/>
            <w:vAlign w:val="center"/>
          </w:tcPr>
          <w:p w14:paraId="28071C5D">
            <w:pPr>
              <w:pStyle w:val="34"/>
              <w:ind w:firstLine="240" w:firstLine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南雄市乌迳镇人民政府</w:t>
            </w:r>
          </w:p>
        </w:tc>
      </w:tr>
      <w:tr w14:paraId="1B5E5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CE3855">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w:t>
            </w:r>
          </w:p>
        </w:tc>
        <w:tc>
          <w:tcPr>
            <w:tcW w:w="2070" w:type="dxa"/>
            <w:tcBorders>
              <w:top w:val="single" w:color="auto" w:sz="4" w:space="0"/>
              <w:left w:val="single" w:color="auto" w:sz="4" w:space="0"/>
              <w:bottom w:val="single" w:color="auto" w:sz="4" w:space="0"/>
              <w:right w:val="single" w:color="auto" w:sz="4" w:space="0"/>
            </w:tcBorders>
            <w:noWrap/>
            <w:vAlign w:val="center"/>
          </w:tcPr>
          <w:p w14:paraId="7DF55BAA">
            <w:pPr>
              <w:pStyle w:val="34"/>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项目批准部门</w:t>
            </w:r>
          </w:p>
        </w:tc>
        <w:tc>
          <w:tcPr>
            <w:tcW w:w="7183" w:type="dxa"/>
            <w:tcBorders>
              <w:top w:val="single" w:color="auto" w:sz="4" w:space="0"/>
              <w:left w:val="single" w:color="auto" w:sz="4" w:space="0"/>
              <w:bottom w:val="single" w:color="auto" w:sz="4" w:space="0"/>
              <w:right w:val="single" w:color="auto" w:sz="4" w:space="0"/>
            </w:tcBorders>
            <w:noWrap/>
            <w:vAlign w:val="center"/>
          </w:tcPr>
          <w:p w14:paraId="5F2090D9">
            <w:pPr>
              <w:pStyle w:val="34"/>
              <w:ind w:firstLine="240" w:firstLine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南雄市发展和改革局</w:t>
            </w:r>
          </w:p>
        </w:tc>
      </w:tr>
      <w:tr w14:paraId="031EF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24D266A">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4</w:t>
            </w:r>
          </w:p>
        </w:tc>
        <w:tc>
          <w:tcPr>
            <w:tcW w:w="2070" w:type="dxa"/>
            <w:tcBorders>
              <w:top w:val="single" w:color="auto" w:sz="4" w:space="0"/>
              <w:left w:val="single" w:color="auto" w:sz="4" w:space="0"/>
              <w:bottom w:val="single" w:color="auto" w:sz="4" w:space="0"/>
              <w:right w:val="single" w:color="auto" w:sz="4" w:space="0"/>
            </w:tcBorders>
            <w:noWrap/>
            <w:vAlign w:val="center"/>
          </w:tcPr>
          <w:p w14:paraId="6C46B387">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项目批准文号</w:t>
            </w:r>
          </w:p>
        </w:tc>
        <w:tc>
          <w:tcPr>
            <w:tcW w:w="7183" w:type="dxa"/>
            <w:tcBorders>
              <w:top w:val="single" w:color="auto" w:sz="4" w:space="0"/>
              <w:left w:val="single" w:color="auto" w:sz="4" w:space="0"/>
              <w:bottom w:val="single" w:color="auto" w:sz="4" w:space="0"/>
              <w:right w:val="single" w:color="auto" w:sz="4" w:space="0"/>
            </w:tcBorders>
            <w:noWrap/>
            <w:vAlign w:val="center"/>
          </w:tcPr>
          <w:p w14:paraId="16174243">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eastAsia="zh-CN"/>
              </w:rPr>
              <w:t>雄发改投审〔2024〕107号</w:t>
            </w:r>
          </w:p>
        </w:tc>
      </w:tr>
      <w:tr w14:paraId="6DB8A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389E08B8">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5</w:t>
            </w:r>
          </w:p>
        </w:tc>
        <w:tc>
          <w:tcPr>
            <w:tcW w:w="2070" w:type="dxa"/>
            <w:tcBorders>
              <w:top w:val="single" w:color="auto" w:sz="4" w:space="0"/>
              <w:left w:val="single" w:color="auto" w:sz="4" w:space="0"/>
              <w:bottom w:val="single" w:color="auto" w:sz="4" w:space="0"/>
              <w:right w:val="single" w:color="auto" w:sz="4" w:space="0"/>
            </w:tcBorders>
            <w:noWrap/>
            <w:vAlign w:val="center"/>
          </w:tcPr>
          <w:p w14:paraId="09AE85F7">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项目代码</w:t>
            </w:r>
          </w:p>
        </w:tc>
        <w:tc>
          <w:tcPr>
            <w:tcW w:w="7183" w:type="dxa"/>
            <w:tcBorders>
              <w:top w:val="single" w:color="auto" w:sz="4" w:space="0"/>
              <w:left w:val="single" w:color="auto" w:sz="4" w:space="0"/>
              <w:bottom w:val="single" w:color="auto" w:sz="4" w:space="0"/>
              <w:right w:val="single" w:color="auto" w:sz="4" w:space="0"/>
            </w:tcBorders>
            <w:noWrap/>
            <w:vAlign w:val="center"/>
          </w:tcPr>
          <w:p w14:paraId="7732AE4D">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eastAsia="zh-CN"/>
              </w:rPr>
              <w:t>2407-440282-20-01-395819</w:t>
            </w:r>
          </w:p>
        </w:tc>
      </w:tr>
      <w:tr w14:paraId="7CB76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87"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C6D0B39">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6</w:t>
            </w:r>
          </w:p>
        </w:tc>
        <w:tc>
          <w:tcPr>
            <w:tcW w:w="2070" w:type="dxa"/>
            <w:tcBorders>
              <w:top w:val="single" w:color="auto" w:sz="4" w:space="0"/>
              <w:left w:val="single" w:color="auto" w:sz="4" w:space="0"/>
              <w:bottom w:val="single" w:color="auto" w:sz="4" w:space="0"/>
              <w:right w:val="single" w:color="auto" w:sz="4" w:space="0"/>
            </w:tcBorders>
            <w:noWrap/>
            <w:vAlign w:val="center"/>
          </w:tcPr>
          <w:p w14:paraId="3DD3F795">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资金来源</w:t>
            </w:r>
          </w:p>
          <w:p w14:paraId="7533B92D">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及出资比例</w:t>
            </w:r>
          </w:p>
        </w:tc>
        <w:tc>
          <w:tcPr>
            <w:tcW w:w="7183" w:type="dxa"/>
            <w:tcBorders>
              <w:top w:val="single" w:color="auto" w:sz="4" w:space="0"/>
              <w:left w:val="single" w:color="auto" w:sz="4" w:space="0"/>
              <w:bottom w:val="single" w:color="auto" w:sz="4" w:space="0"/>
              <w:right w:val="single" w:color="auto" w:sz="4" w:space="0"/>
            </w:tcBorders>
            <w:noWrap/>
            <w:vAlign w:val="center"/>
          </w:tcPr>
          <w:p w14:paraId="75701D46">
            <w:pPr>
              <w:pStyle w:val="34"/>
              <w:tabs>
                <w:tab w:val="left" w:pos="1180"/>
              </w:tabs>
              <w:ind w:firstLine="240" w:firstLineChars="10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市财政资金及其他100%</w:t>
            </w:r>
          </w:p>
        </w:tc>
      </w:tr>
      <w:tr w14:paraId="2FE46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3C10519">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2070" w:type="dxa"/>
            <w:tcBorders>
              <w:top w:val="single" w:color="auto" w:sz="4" w:space="0"/>
              <w:left w:val="single" w:color="auto" w:sz="4" w:space="0"/>
              <w:bottom w:val="single" w:color="auto" w:sz="4" w:space="0"/>
              <w:right w:val="single" w:color="auto" w:sz="4" w:space="0"/>
            </w:tcBorders>
            <w:noWrap/>
            <w:vAlign w:val="center"/>
          </w:tcPr>
          <w:p w14:paraId="30F2C763">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招标人</w:t>
            </w:r>
          </w:p>
        </w:tc>
        <w:tc>
          <w:tcPr>
            <w:tcW w:w="7183" w:type="dxa"/>
            <w:tcBorders>
              <w:top w:val="single" w:color="auto" w:sz="4" w:space="0"/>
              <w:left w:val="single" w:color="auto" w:sz="4" w:space="0"/>
              <w:bottom w:val="single" w:color="auto" w:sz="4" w:space="0"/>
              <w:right w:val="single" w:color="auto" w:sz="4" w:space="0"/>
            </w:tcBorders>
            <w:noWrap/>
            <w:vAlign w:val="center"/>
          </w:tcPr>
          <w:p w14:paraId="7D027C52">
            <w:pPr>
              <w:pStyle w:val="34"/>
              <w:ind w:firstLine="240" w:firstLineChars="10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南雄市乌迳镇人民政府</w:t>
            </w:r>
          </w:p>
        </w:tc>
      </w:tr>
      <w:tr w14:paraId="341DB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0EF99DD">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8</w:t>
            </w:r>
          </w:p>
        </w:tc>
        <w:tc>
          <w:tcPr>
            <w:tcW w:w="2070" w:type="dxa"/>
            <w:tcBorders>
              <w:top w:val="single" w:color="auto" w:sz="4" w:space="0"/>
              <w:left w:val="single" w:color="auto" w:sz="4" w:space="0"/>
              <w:bottom w:val="single" w:color="auto" w:sz="4" w:space="0"/>
              <w:right w:val="single" w:color="auto" w:sz="4" w:space="0"/>
            </w:tcBorders>
            <w:noWrap/>
            <w:vAlign w:val="center"/>
          </w:tcPr>
          <w:p w14:paraId="63B486E7">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招标代理机构</w:t>
            </w:r>
          </w:p>
        </w:tc>
        <w:tc>
          <w:tcPr>
            <w:tcW w:w="7183" w:type="dxa"/>
            <w:tcBorders>
              <w:top w:val="single" w:color="auto" w:sz="4" w:space="0"/>
              <w:left w:val="single" w:color="auto" w:sz="4" w:space="0"/>
              <w:bottom w:val="single" w:color="auto" w:sz="4" w:space="0"/>
              <w:right w:val="single" w:color="auto" w:sz="4" w:space="0"/>
            </w:tcBorders>
            <w:noWrap/>
            <w:vAlign w:val="center"/>
          </w:tcPr>
          <w:p w14:paraId="16F133CA">
            <w:pPr>
              <w:pStyle w:val="34"/>
              <w:ind w:firstLine="240" w:firstLineChars="1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中创名建工程管理集团有限公司</w:t>
            </w:r>
          </w:p>
        </w:tc>
      </w:tr>
      <w:tr w14:paraId="2BF5A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341781E">
            <w:pPr>
              <w:pStyle w:val="34"/>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2070" w:type="dxa"/>
            <w:tcBorders>
              <w:top w:val="single" w:color="auto" w:sz="4" w:space="0"/>
              <w:left w:val="single" w:color="auto" w:sz="4" w:space="0"/>
              <w:bottom w:val="single" w:color="auto" w:sz="4" w:space="0"/>
              <w:right w:val="single" w:color="auto" w:sz="4" w:space="0"/>
            </w:tcBorders>
            <w:noWrap/>
            <w:vAlign w:val="center"/>
          </w:tcPr>
          <w:p w14:paraId="3F8C2B89">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项目总投资</w:t>
            </w:r>
          </w:p>
        </w:tc>
        <w:tc>
          <w:tcPr>
            <w:tcW w:w="7183" w:type="dxa"/>
            <w:tcBorders>
              <w:top w:val="single" w:color="auto" w:sz="4" w:space="0"/>
              <w:left w:val="single" w:color="auto" w:sz="4" w:space="0"/>
              <w:bottom w:val="single" w:color="auto" w:sz="4" w:space="0"/>
              <w:right w:val="single" w:color="auto" w:sz="4" w:space="0"/>
            </w:tcBorders>
            <w:noWrap/>
            <w:vAlign w:val="center"/>
          </w:tcPr>
          <w:p w14:paraId="1F31922D">
            <w:pPr>
              <w:pStyle w:val="34"/>
              <w:ind w:firstLine="240" w:firstLineChars="1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本项目投资概算约4154万元，其中建安费约3538万元，工程建设其他费约386万元，预备费约78万元。</w:t>
            </w:r>
          </w:p>
        </w:tc>
      </w:tr>
      <w:tr w14:paraId="35CAA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FF009B5">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2070" w:type="dxa"/>
            <w:tcBorders>
              <w:top w:val="single" w:color="auto" w:sz="4" w:space="0"/>
              <w:left w:val="single" w:color="auto" w:sz="4" w:space="0"/>
              <w:bottom w:val="single" w:color="auto" w:sz="4" w:space="0"/>
              <w:right w:val="single" w:color="auto" w:sz="4" w:space="0"/>
            </w:tcBorders>
            <w:noWrap/>
            <w:vAlign w:val="center"/>
          </w:tcPr>
          <w:p w14:paraId="2DA831A3">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建设地点</w:t>
            </w:r>
          </w:p>
        </w:tc>
        <w:tc>
          <w:tcPr>
            <w:tcW w:w="7183" w:type="dxa"/>
            <w:tcBorders>
              <w:top w:val="single" w:color="auto" w:sz="4" w:space="0"/>
              <w:left w:val="single" w:color="auto" w:sz="4" w:space="0"/>
              <w:bottom w:val="single" w:color="auto" w:sz="4" w:space="0"/>
              <w:right w:val="single" w:color="auto" w:sz="4" w:space="0"/>
            </w:tcBorders>
            <w:noWrap/>
            <w:vAlign w:val="center"/>
          </w:tcPr>
          <w:p w14:paraId="48010CA5">
            <w:pPr>
              <w:pStyle w:val="34"/>
              <w:ind w:firstLine="240" w:firstLineChars="100"/>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南雄市乌迳镇</w:t>
            </w:r>
          </w:p>
        </w:tc>
      </w:tr>
      <w:tr w14:paraId="359E8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DF3B266">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2070" w:type="dxa"/>
            <w:tcBorders>
              <w:top w:val="single" w:color="auto" w:sz="4" w:space="0"/>
              <w:left w:val="single" w:color="auto" w:sz="4" w:space="0"/>
              <w:bottom w:val="single" w:color="auto" w:sz="4" w:space="0"/>
              <w:right w:val="single" w:color="auto" w:sz="4" w:space="0"/>
            </w:tcBorders>
            <w:noWrap/>
            <w:vAlign w:val="center"/>
          </w:tcPr>
          <w:p w14:paraId="62F59E6B">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项目建设内容</w:t>
            </w:r>
          </w:p>
          <w:p w14:paraId="428D692E">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和规模</w:t>
            </w:r>
          </w:p>
        </w:tc>
        <w:tc>
          <w:tcPr>
            <w:tcW w:w="7183" w:type="dxa"/>
            <w:tcBorders>
              <w:top w:val="single" w:color="auto" w:sz="4" w:space="0"/>
              <w:left w:val="single" w:color="auto" w:sz="4" w:space="0"/>
              <w:bottom w:val="single" w:color="auto" w:sz="4" w:space="0"/>
              <w:right w:val="single" w:color="auto" w:sz="4" w:space="0"/>
            </w:tcBorders>
            <w:noWrap/>
            <w:vAlign w:val="center"/>
          </w:tcPr>
          <w:p w14:paraId="4B1A489C">
            <w:pPr>
              <w:pStyle w:val="34"/>
              <w:ind w:firstLine="240" w:firstLineChars="100"/>
              <w:rPr>
                <w:rFonts w:hint="default" w:asciiTheme="minorEastAsia" w:hAnsiTheme="minorEastAsia" w:eastAsiaTheme="minorEastAsia" w:cstheme="minorEastAsia"/>
                <w:snapToGrid w:val="0"/>
                <w:color w:val="auto"/>
                <w:kern w:val="0"/>
                <w:sz w:val="24"/>
                <w:szCs w:val="24"/>
                <w:highlight w:val="none"/>
                <w:lang w:val="en-US" w:eastAsia="zh-CN"/>
              </w:rPr>
            </w:pPr>
            <w:r>
              <w:rPr>
                <w:rFonts w:hint="default" w:asciiTheme="minorEastAsia" w:hAnsiTheme="minorEastAsia" w:eastAsiaTheme="minorEastAsia" w:cstheme="minorEastAsia"/>
                <w:snapToGrid w:val="0"/>
                <w:color w:val="auto"/>
                <w:kern w:val="0"/>
                <w:sz w:val="24"/>
                <w:szCs w:val="24"/>
                <w:highlight w:val="none"/>
                <w:lang w:val="en-US" w:eastAsia="zh-CN"/>
              </w:rPr>
              <w:t>本项目建设内容主要包含：乌迳圩镇融合发展建设项目、圩镇体育基础建设项目 2 个子项目。其中，乌迳圩镇融合发展建设项目包括有乡镇风貌改造、文旅基础设施完善、道路局部拓宽改造、商业街基础设施完善、美丽圩镇客厅建设、碧道及沿途基础设施完善、农贸市场及道路、给排水等基础设施完善、环道设施建设完善等内容。圩镇体育基础建设项目包括有综合活动设施、体育设施及场地等内容。</w:t>
            </w:r>
          </w:p>
          <w:p w14:paraId="2E63F59D">
            <w:pPr>
              <w:pStyle w:val="34"/>
              <w:ind w:firstLine="240" w:firstLineChars="100"/>
              <w:rPr>
                <w:rFonts w:hint="default" w:asciiTheme="minorEastAsia" w:hAnsiTheme="minorEastAsia" w:eastAsiaTheme="minorEastAsia" w:cstheme="minorEastAsia"/>
                <w:snapToGrid w:val="0"/>
                <w:color w:val="auto"/>
                <w:kern w:val="0"/>
                <w:sz w:val="24"/>
                <w:szCs w:val="24"/>
                <w:highlight w:val="none"/>
                <w:lang w:val="en-US" w:eastAsia="zh-CN"/>
              </w:rPr>
            </w:pPr>
            <w:r>
              <w:rPr>
                <w:rFonts w:hint="default" w:asciiTheme="minorEastAsia" w:hAnsiTheme="minorEastAsia" w:eastAsiaTheme="minorEastAsia" w:cstheme="minorEastAsia"/>
                <w:snapToGrid w:val="0"/>
                <w:color w:val="auto"/>
                <w:kern w:val="0"/>
                <w:sz w:val="24"/>
                <w:szCs w:val="24"/>
                <w:highlight w:val="none"/>
                <w:lang w:val="en-US" w:eastAsia="zh-CN"/>
              </w:rPr>
              <w:t>项目分2期实施，本项目为二期工程，包括了以下内容。</w:t>
            </w:r>
          </w:p>
          <w:p w14:paraId="5C620671">
            <w:pPr>
              <w:pStyle w:val="34"/>
              <w:ind w:firstLine="240" w:firstLineChars="100"/>
              <w:rPr>
                <w:rFonts w:hint="default" w:asciiTheme="minorEastAsia" w:hAnsiTheme="minorEastAsia" w:eastAsiaTheme="minorEastAsia" w:cstheme="minorEastAsia"/>
                <w:snapToGrid w:val="0"/>
                <w:color w:val="auto"/>
                <w:kern w:val="0"/>
                <w:sz w:val="24"/>
                <w:szCs w:val="24"/>
                <w:highlight w:val="none"/>
                <w:lang w:val="en-US" w:eastAsia="zh-CN"/>
              </w:rPr>
            </w:pPr>
            <w:r>
              <w:rPr>
                <w:rFonts w:hint="default" w:asciiTheme="minorEastAsia" w:hAnsiTheme="minorEastAsia" w:eastAsiaTheme="minorEastAsia" w:cstheme="minorEastAsia"/>
                <w:snapToGrid w:val="0"/>
                <w:color w:val="auto"/>
                <w:kern w:val="0"/>
                <w:sz w:val="24"/>
                <w:szCs w:val="24"/>
                <w:highlight w:val="none"/>
                <w:lang w:val="en-US" w:eastAsia="zh-CN"/>
              </w:rPr>
              <w:t>（1）乡镇风貌改造：人民路建设连片乡镇风貌改造，补充植被覆盖，初步核算改造涉及面积约20000m²。</w:t>
            </w:r>
          </w:p>
          <w:p w14:paraId="19555E7D">
            <w:pPr>
              <w:pStyle w:val="34"/>
              <w:ind w:firstLine="240" w:firstLineChars="100"/>
              <w:rPr>
                <w:rFonts w:hint="default" w:asciiTheme="minorEastAsia" w:hAnsiTheme="minorEastAsia" w:eastAsiaTheme="minorEastAsia" w:cstheme="minorEastAsia"/>
                <w:snapToGrid w:val="0"/>
                <w:color w:val="auto"/>
                <w:kern w:val="0"/>
                <w:sz w:val="24"/>
                <w:szCs w:val="24"/>
                <w:highlight w:val="none"/>
                <w:lang w:val="en-US" w:eastAsia="zh-CN"/>
              </w:rPr>
            </w:pPr>
            <w:r>
              <w:rPr>
                <w:rFonts w:hint="default" w:asciiTheme="minorEastAsia" w:hAnsiTheme="minorEastAsia" w:eastAsiaTheme="minorEastAsia" w:cstheme="minorEastAsia"/>
                <w:snapToGrid w:val="0"/>
                <w:color w:val="auto"/>
                <w:kern w:val="0"/>
                <w:sz w:val="24"/>
                <w:szCs w:val="24"/>
                <w:highlight w:val="none"/>
                <w:lang w:val="en-US" w:eastAsia="zh-CN"/>
              </w:rPr>
              <w:t>（2）道路局部拓宽改造：对水南洞桥至水城桥段及南北延伸段圩镇内部分道路进行道路局部拓宽及配套设施补充，初步核算长度约5公里。</w:t>
            </w:r>
          </w:p>
          <w:p w14:paraId="3A3D987A">
            <w:pPr>
              <w:pStyle w:val="34"/>
              <w:ind w:firstLine="240" w:firstLineChars="100"/>
              <w:rPr>
                <w:rFonts w:hint="default" w:asciiTheme="minorEastAsia" w:hAnsiTheme="minorEastAsia" w:eastAsiaTheme="minorEastAsia" w:cstheme="minorEastAsia"/>
                <w:snapToGrid w:val="0"/>
                <w:color w:val="auto"/>
                <w:kern w:val="0"/>
                <w:sz w:val="24"/>
                <w:szCs w:val="24"/>
                <w:highlight w:val="none"/>
                <w:lang w:val="en-US" w:eastAsia="zh-CN"/>
              </w:rPr>
            </w:pPr>
            <w:r>
              <w:rPr>
                <w:rFonts w:hint="default" w:asciiTheme="minorEastAsia" w:hAnsiTheme="minorEastAsia" w:eastAsiaTheme="minorEastAsia" w:cstheme="minorEastAsia"/>
                <w:snapToGrid w:val="0"/>
                <w:color w:val="auto"/>
                <w:kern w:val="0"/>
                <w:sz w:val="24"/>
                <w:szCs w:val="24"/>
                <w:highlight w:val="none"/>
                <w:lang w:val="en-US" w:eastAsia="zh-CN"/>
              </w:rPr>
              <w:t>（3）碧道及沿途基础设施完善：水南洞桥至水城桥段及南北延伸段碧道建设，对圩镇部分道路沿途基础设施进行完善。长度约5公里。</w:t>
            </w:r>
          </w:p>
          <w:p w14:paraId="50540B84">
            <w:pPr>
              <w:pStyle w:val="34"/>
              <w:ind w:firstLine="240" w:firstLineChars="100"/>
              <w:rPr>
                <w:rFonts w:hint="default" w:asciiTheme="minorEastAsia" w:hAnsiTheme="minorEastAsia" w:eastAsiaTheme="minorEastAsia" w:cstheme="minorEastAsia"/>
                <w:snapToGrid w:val="0"/>
                <w:color w:val="auto"/>
                <w:kern w:val="0"/>
                <w:sz w:val="24"/>
                <w:szCs w:val="24"/>
                <w:highlight w:val="none"/>
                <w:lang w:val="en-US" w:eastAsia="zh-CN"/>
              </w:rPr>
            </w:pPr>
            <w:r>
              <w:rPr>
                <w:rFonts w:hint="default" w:asciiTheme="minorEastAsia" w:hAnsiTheme="minorEastAsia" w:eastAsiaTheme="minorEastAsia" w:cstheme="minorEastAsia"/>
                <w:snapToGrid w:val="0"/>
                <w:color w:val="auto"/>
                <w:kern w:val="0"/>
                <w:sz w:val="24"/>
                <w:szCs w:val="24"/>
                <w:highlight w:val="none"/>
                <w:lang w:val="en-US" w:eastAsia="zh-CN"/>
              </w:rPr>
              <w:t>（4）环道设施建设完善：改造完善环道设施，长度约2公里。</w:t>
            </w:r>
          </w:p>
        </w:tc>
      </w:tr>
      <w:tr w14:paraId="60489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A77891D">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12</w:t>
            </w:r>
          </w:p>
        </w:tc>
        <w:tc>
          <w:tcPr>
            <w:tcW w:w="2070" w:type="dxa"/>
            <w:tcBorders>
              <w:top w:val="single" w:color="auto" w:sz="4" w:space="0"/>
              <w:left w:val="single" w:color="auto" w:sz="4" w:space="0"/>
              <w:bottom w:val="single" w:color="auto" w:sz="4" w:space="0"/>
              <w:right w:val="single" w:color="auto" w:sz="4" w:space="0"/>
            </w:tcBorders>
            <w:noWrap/>
            <w:vAlign w:val="center"/>
          </w:tcPr>
          <w:p w14:paraId="00C6DBEB">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招标范围</w:t>
            </w:r>
          </w:p>
          <w:p w14:paraId="28FE0162">
            <w:pPr>
              <w:pStyle w:val="34"/>
              <w:jc w:val="center"/>
              <w:rPr>
                <w:rFonts w:hint="eastAsia" w:asciiTheme="minorEastAsia" w:hAnsiTheme="minorEastAsia" w:eastAsiaTheme="minorEastAsia" w:cstheme="minorEastAsia"/>
                <w:snapToGrid w:val="0"/>
                <w:color w:val="auto"/>
                <w:kern w:val="0"/>
                <w:sz w:val="24"/>
                <w:szCs w:val="24"/>
                <w:highlight w:val="none"/>
              </w:rPr>
            </w:pPr>
          </w:p>
        </w:tc>
        <w:tc>
          <w:tcPr>
            <w:tcW w:w="7183" w:type="dxa"/>
            <w:tcBorders>
              <w:top w:val="single" w:color="auto" w:sz="4" w:space="0"/>
              <w:left w:val="single" w:color="auto" w:sz="4" w:space="0"/>
              <w:bottom w:val="single" w:color="auto" w:sz="4" w:space="0"/>
              <w:right w:val="single" w:color="auto" w:sz="4" w:space="0"/>
            </w:tcBorders>
            <w:noWrap/>
            <w:vAlign w:val="center"/>
          </w:tcPr>
          <w:p w14:paraId="73B9AD67">
            <w:pPr>
              <w:pStyle w:val="34"/>
              <w:ind w:firstLine="240" w:firstLineChars="100"/>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本工程所涉及的内容包括但不限于以下（1）和（2）：</w:t>
            </w:r>
          </w:p>
          <w:p w14:paraId="0BC2066D">
            <w:pPr>
              <w:pStyle w:val="34"/>
              <w:ind w:firstLine="240" w:firstLineChars="100"/>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设计部分：确保项目顺利实施的报建、报批、施工等所需的所有建安工程等的设计文件，包括但不限于：</w:t>
            </w:r>
          </w:p>
          <w:p w14:paraId="056307B2">
            <w:pPr>
              <w:pStyle w:val="34"/>
              <w:ind w:firstLine="240" w:firstLineChars="100"/>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①施工图设计含总平面及设计说明书、主要设备及材料以及建筑、结构、建筑装饰装修、给排水、电气、照明、消防、节能、无障碍设计、安防及智能系统、充电桩、海绵城市、雨污分流、道路、综合管网等所有专项设计及红线范围内的所有工程及相关配套工程、设施等本项目涉及的所有建安工程的设计；</w:t>
            </w:r>
          </w:p>
          <w:p w14:paraId="207314B3">
            <w:pPr>
              <w:pStyle w:val="34"/>
              <w:ind w:firstLine="240" w:firstLineChars="100"/>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注：设计文件深度要求必须满足住建部《市政公用工程设计文件编制深度规定（2013版）》和《建筑工程设计文件编制深度规定（2016版）》的要求，各专业还应该满足各专业工程设计文件编制深度规范或规定的要求。</w:t>
            </w:r>
          </w:p>
          <w:p w14:paraId="6B0C6E45">
            <w:pPr>
              <w:pStyle w:val="34"/>
              <w:ind w:firstLine="240" w:firstLineChars="100"/>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②施工图预算（含工程量清单）；</w:t>
            </w:r>
          </w:p>
          <w:p w14:paraId="4A04F7F1">
            <w:pPr>
              <w:pStyle w:val="34"/>
              <w:ind w:firstLine="240" w:firstLineChars="100"/>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③提供项目所需相关检测项的明细表和危险性较大的分部分项工程清单；</w:t>
            </w:r>
          </w:p>
          <w:p w14:paraId="65EB9F41">
            <w:pPr>
              <w:pStyle w:val="34"/>
              <w:ind w:firstLine="240" w:firstLineChars="100"/>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④后续设计服务工作。</w:t>
            </w:r>
          </w:p>
          <w:p w14:paraId="4D5FC0A0">
            <w:pPr>
              <w:pStyle w:val="34"/>
              <w:ind w:firstLine="240" w:firstLineChars="100"/>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（2）施工部分：设计文件及工程量清单范围内的所有工程及配套工程、设施等的施工。</w:t>
            </w:r>
          </w:p>
        </w:tc>
      </w:tr>
      <w:tr w14:paraId="4CDE6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BA5D47">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13</w:t>
            </w:r>
          </w:p>
        </w:tc>
        <w:tc>
          <w:tcPr>
            <w:tcW w:w="2070" w:type="dxa"/>
            <w:tcBorders>
              <w:top w:val="single" w:color="auto" w:sz="4" w:space="0"/>
              <w:left w:val="single" w:color="auto" w:sz="4" w:space="0"/>
              <w:bottom w:val="single" w:color="auto" w:sz="4" w:space="0"/>
              <w:right w:val="single" w:color="auto" w:sz="4" w:space="0"/>
            </w:tcBorders>
            <w:noWrap/>
            <w:vAlign w:val="center"/>
          </w:tcPr>
          <w:p w14:paraId="0B2F559C">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标段划分</w:t>
            </w:r>
          </w:p>
        </w:tc>
        <w:tc>
          <w:tcPr>
            <w:tcW w:w="7183" w:type="dxa"/>
            <w:tcBorders>
              <w:top w:val="single" w:color="auto" w:sz="4" w:space="0"/>
              <w:left w:val="single" w:color="auto" w:sz="4" w:space="0"/>
              <w:bottom w:val="single" w:color="auto" w:sz="4" w:space="0"/>
              <w:right w:val="single" w:color="auto" w:sz="4" w:space="0"/>
            </w:tcBorders>
            <w:noWrap/>
            <w:vAlign w:val="center"/>
          </w:tcPr>
          <w:p w14:paraId="17667584">
            <w:pPr>
              <w:wordWrap w:val="0"/>
              <w:adjustRightInd w:val="0"/>
              <w:snapToGrid w:val="0"/>
              <w:spacing w:line="360" w:lineRule="auto"/>
              <w:ind w:firstLine="240" w:firstLine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本招标项目不划分标段。</w:t>
            </w:r>
          </w:p>
        </w:tc>
      </w:tr>
      <w:tr w14:paraId="52644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71DC62B">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14</w:t>
            </w:r>
          </w:p>
        </w:tc>
        <w:tc>
          <w:tcPr>
            <w:tcW w:w="2070" w:type="dxa"/>
            <w:tcBorders>
              <w:top w:val="single" w:color="auto" w:sz="4" w:space="0"/>
              <w:left w:val="single" w:color="auto" w:sz="4" w:space="0"/>
              <w:bottom w:val="single" w:color="auto" w:sz="4" w:space="0"/>
              <w:right w:val="single" w:color="auto" w:sz="4" w:space="0"/>
            </w:tcBorders>
            <w:noWrap/>
            <w:vAlign w:val="center"/>
          </w:tcPr>
          <w:p w14:paraId="215D7159">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工期</w:t>
            </w:r>
          </w:p>
        </w:tc>
        <w:tc>
          <w:tcPr>
            <w:tcW w:w="7183" w:type="dxa"/>
            <w:tcBorders>
              <w:top w:val="single" w:color="auto" w:sz="4" w:space="0"/>
              <w:left w:val="single" w:color="auto" w:sz="4" w:space="0"/>
              <w:bottom w:val="single" w:color="auto" w:sz="4" w:space="0"/>
              <w:right w:val="single" w:color="auto" w:sz="4" w:space="0"/>
            </w:tcBorders>
            <w:noWrap/>
            <w:vAlign w:val="center"/>
          </w:tcPr>
          <w:p w14:paraId="24DE7874">
            <w:pPr>
              <w:wordWrap w:val="0"/>
              <w:adjustRightInd w:val="0"/>
              <w:snapToGrid w:val="0"/>
              <w:spacing w:line="360" w:lineRule="auto"/>
              <w:ind w:firstLine="240" w:firstLineChars="100"/>
              <w:jc w:val="left"/>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eastAsia="zh-CN"/>
              </w:rPr>
              <w:t>设计、施工总工期300日历天，其中：设计工期为60日历天；施工工期为：240日历天。中标人必须在所要求的工期内完成全部招标工程。</w:t>
            </w:r>
          </w:p>
        </w:tc>
      </w:tr>
      <w:tr w14:paraId="0A298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E5E7E4">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15</w:t>
            </w:r>
          </w:p>
        </w:tc>
        <w:tc>
          <w:tcPr>
            <w:tcW w:w="2070" w:type="dxa"/>
            <w:tcBorders>
              <w:top w:val="single" w:color="auto" w:sz="4" w:space="0"/>
              <w:left w:val="single" w:color="auto" w:sz="4" w:space="0"/>
              <w:bottom w:val="single" w:color="auto" w:sz="4" w:space="0"/>
              <w:right w:val="single" w:color="auto" w:sz="4" w:space="0"/>
            </w:tcBorders>
            <w:noWrap/>
            <w:vAlign w:val="center"/>
          </w:tcPr>
          <w:p w14:paraId="31AA2064">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质量标准</w:t>
            </w:r>
          </w:p>
        </w:tc>
        <w:tc>
          <w:tcPr>
            <w:tcW w:w="7183" w:type="dxa"/>
            <w:tcBorders>
              <w:top w:val="single" w:color="auto" w:sz="4" w:space="0"/>
              <w:left w:val="single" w:color="auto" w:sz="4" w:space="0"/>
              <w:bottom w:val="single" w:color="auto" w:sz="4" w:space="0"/>
              <w:right w:val="single" w:color="auto" w:sz="4" w:space="0"/>
            </w:tcBorders>
            <w:noWrap/>
            <w:vAlign w:val="center"/>
          </w:tcPr>
          <w:p w14:paraId="7BB7E08B">
            <w:pPr>
              <w:pStyle w:val="34"/>
              <w:ind w:firstLine="240" w:firstLineChars="100"/>
              <w:jc w:val="left"/>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rPr>
              <w:t>设计要求：</w:t>
            </w:r>
            <w:r>
              <w:rPr>
                <w:rFonts w:hint="eastAsia" w:asciiTheme="minorEastAsia" w:hAnsiTheme="minorEastAsia" w:eastAsiaTheme="minorEastAsia" w:cstheme="minorEastAsia"/>
                <w:snapToGrid w:val="0"/>
                <w:color w:val="auto"/>
                <w:kern w:val="0"/>
                <w:sz w:val="24"/>
                <w:szCs w:val="24"/>
                <w:highlight w:val="none"/>
                <w:lang w:eastAsia="zh-CN"/>
              </w:rPr>
              <w:t>符合国家或行业颁布的现行有效的有关设计的规范要求，并必须通过有关部门的审查及经有资质的审图机构审查合格。</w:t>
            </w:r>
          </w:p>
          <w:p w14:paraId="1154AF97">
            <w:pPr>
              <w:pStyle w:val="34"/>
              <w:ind w:firstLine="240" w:firstLineChars="1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施工要求：施工质量必须达到合格标准。</w:t>
            </w:r>
          </w:p>
        </w:tc>
      </w:tr>
      <w:tr w14:paraId="3BDB0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9F774C9">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16</w:t>
            </w:r>
          </w:p>
        </w:tc>
        <w:tc>
          <w:tcPr>
            <w:tcW w:w="2070" w:type="dxa"/>
            <w:tcBorders>
              <w:top w:val="single" w:color="auto" w:sz="4" w:space="0"/>
              <w:left w:val="single" w:color="auto" w:sz="4" w:space="0"/>
              <w:bottom w:val="single" w:color="auto" w:sz="4" w:space="0"/>
              <w:right w:val="single" w:color="auto" w:sz="4" w:space="0"/>
            </w:tcBorders>
            <w:noWrap/>
            <w:vAlign w:val="center"/>
          </w:tcPr>
          <w:p w14:paraId="6A56A3F8">
            <w:pPr>
              <w:pStyle w:val="34"/>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工程最高投标限价</w:t>
            </w:r>
          </w:p>
        </w:tc>
        <w:tc>
          <w:tcPr>
            <w:tcW w:w="7183" w:type="dxa"/>
            <w:tcBorders>
              <w:top w:val="single" w:color="auto" w:sz="4" w:space="0"/>
              <w:left w:val="single" w:color="auto" w:sz="4" w:space="0"/>
              <w:bottom w:val="single" w:color="auto" w:sz="4" w:space="0"/>
              <w:right w:val="single" w:color="auto" w:sz="4" w:space="0"/>
            </w:tcBorders>
            <w:noWrap/>
            <w:vAlign w:val="center"/>
          </w:tcPr>
          <w:p w14:paraId="1C376F8D">
            <w:pPr>
              <w:pStyle w:val="34"/>
              <w:ind w:firstLine="240" w:firstLineChars="1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本项目最高投标限价在投标截止时间15天前以补充通知的形式在广东省招标投标监管网(https://www.gdzwfw.gov.cn/ztbjg-portal/#/index)、全国公共资源交易平台（广东省·韶关市）（https://ygp.gdzwfw.gov.cn/ggzy-portal/#/440200/index）。</w:t>
            </w:r>
          </w:p>
        </w:tc>
      </w:tr>
      <w:tr w14:paraId="5516B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7FE1282">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17</w:t>
            </w:r>
          </w:p>
        </w:tc>
        <w:tc>
          <w:tcPr>
            <w:tcW w:w="2070" w:type="dxa"/>
            <w:tcBorders>
              <w:top w:val="single" w:color="auto" w:sz="4" w:space="0"/>
              <w:left w:val="single" w:color="auto" w:sz="4" w:space="0"/>
              <w:bottom w:val="single" w:color="auto" w:sz="4" w:space="0"/>
              <w:right w:val="single" w:color="auto" w:sz="4" w:space="0"/>
            </w:tcBorders>
            <w:noWrap/>
            <w:vAlign w:val="center"/>
          </w:tcPr>
          <w:p w14:paraId="2E41CA2A">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投标人资格要求</w:t>
            </w:r>
          </w:p>
        </w:tc>
        <w:tc>
          <w:tcPr>
            <w:tcW w:w="7183" w:type="dxa"/>
            <w:tcBorders>
              <w:top w:val="single" w:color="auto" w:sz="4" w:space="0"/>
              <w:left w:val="single" w:color="auto" w:sz="4" w:space="0"/>
              <w:bottom w:val="single" w:color="auto" w:sz="4" w:space="0"/>
              <w:right w:val="single" w:color="auto" w:sz="4" w:space="0"/>
            </w:tcBorders>
            <w:noWrap/>
            <w:vAlign w:val="center"/>
          </w:tcPr>
          <w:p w14:paraId="39FEFD3D">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1．本次招标</w:t>
            </w:r>
            <w:r>
              <w:rPr>
                <w:rFonts w:hint="eastAsia" w:asciiTheme="minorEastAsia" w:hAnsiTheme="minorEastAsia" w:eastAsiaTheme="minorEastAsia" w:cstheme="minorEastAsia"/>
                <w:b/>
                <w:bCs/>
                <w:color w:val="auto"/>
                <w:sz w:val="24"/>
                <w:szCs w:val="24"/>
                <w:highlight w:val="none"/>
              </w:rPr>
              <w:t>接受</w:t>
            </w:r>
            <w:r>
              <w:rPr>
                <w:rFonts w:hint="eastAsia" w:asciiTheme="minorEastAsia" w:hAnsiTheme="minorEastAsia" w:eastAsiaTheme="minorEastAsia" w:cstheme="minorEastAsia"/>
                <w:color w:val="auto"/>
                <w:sz w:val="24"/>
                <w:szCs w:val="24"/>
                <w:highlight w:val="none"/>
              </w:rPr>
              <w:t>联合体投标，联合体以一个投标人的身份共同投标。</w:t>
            </w:r>
          </w:p>
          <w:p w14:paraId="516B2DA3">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联合体成员数量不超过</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个。</w:t>
            </w:r>
          </w:p>
          <w:p w14:paraId="04101C3F">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联合体各方应按招标文件提供的格式签订联合体协议书，明确联合体牵头人和各方权利义务，并承诺就中标项目向招标人承担连带责任。《联合体协议书》作为投标文件的组成部分向招标人提交。</w:t>
            </w:r>
          </w:p>
          <w:p w14:paraId="380FEA8D">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联合体成员单位均应具备拟承担的工作内容（以《联合体协议书》的约定为准）所规定的资格条件。若同一工作内容由两个或两个以上单位共同承担，该项工作内容按照资质等级较低的单位确定联合体资质等级。</w:t>
            </w:r>
          </w:p>
          <w:p w14:paraId="19465BC2">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1.4联合体各方不得再以自己名义单独或参加其他联合体在本招标项目中投标，否则各相关投标均无效。</w:t>
            </w:r>
          </w:p>
          <w:p w14:paraId="0A5B561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2.资质要求</w:t>
            </w:r>
          </w:p>
          <w:p w14:paraId="074F05AB">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2.1投标人须具备独立法人资格，按国家法律经营。</w:t>
            </w:r>
          </w:p>
          <w:p w14:paraId="75061612">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2.2投标人须持有行政主管部门颁发的企业资质证书。</w:t>
            </w:r>
          </w:p>
          <w:p w14:paraId="6F8573FB">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2.3参加投标的投标人可以是单一独立法人或由不超过</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家独立法人组成的联合体（必须注明其中一家为牵头人），联合体各方不得再以自己的名义单独申请，也不得同时参加两个或两个以上的联合体进行本项目的投标。单一独立法人必须至少同时具备以下①～②资质，组成联合体投标的，联合后必须至少具备以下①～②资质，联合体牵头人必须</w:t>
            </w:r>
            <w:r>
              <w:rPr>
                <w:rFonts w:hint="eastAsia" w:asciiTheme="minorEastAsia" w:hAnsiTheme="minorEastAsia" w:eastAsiaTheme="minorEastAsia" w:cstheme="minorEastAsia"/>
                <w:color w:val="auto"/>
                <w:sz w:val="24"/>
                <w:szCs w:val="24"/>
                <w:highlight w:val="none"/>
                <w:lang w:val="en-US" w:eastAsia="zh-CN"/>
              </w:rPr>
              <w:t>为施工单位</w:t>
            </w:r>
            <w:r>
              <w:rPr>
                <w:rFonts w:hint="eastAsia" w:asciiTheme="minorEastAsia" w:hAnsiTheme="minorEastAsia" w:eastAsiaTheme="minorEastAsia" w:cstheme="minorEastAsia"/>
                <w:color w:val="auto"/>
                <w:sz w:val="24"/>
                <w:szCs w:val="24"/>
                <w:highlight w:val="none"/>
              </w:rPr>
              <w:t>，由同一专业的单位组成的联合体，按照资质等级较低的单位确定资质等级：</w:t>
            </w:r>
          </w:p>
          <w:p w14:paraId="03B08DEB">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①施工资质：具备市政公用工程施工总承包</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val="zh-CN"/>
              </w:rPr>
              <w:t>级以上（含</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val="zh-CN"/>
              </w:rPr>
              <w:t>级）</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val="zh-CN"/>
              </w:rPr>
              <w:t>建筑工程施工总承包二级以上（含二级）资质，并获得安全生产许可证的独立法人。</w:t>
            </w:r>
          </w:p>
          <w:p w14:paraId="15C3573E">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②设计资质</w:t>
            </w:r>
            <w:r>
              <w:rPr>
                <w:rFonts w:hint="eastAsia" w:asciiTheme="minorEastAsia" w:hAnsiTheme="minorEastAsia" w:eastAsiaTheme="minorEastAsia" w:cstheme="minorEastAsia"/>
                <w:color w:val="auto"/>
                <w:kern w:val="0"/>
                <w:sz w:val="24"/>
                <w:szCs w:val="24"/>
                <w:highlight w:val="none"/>
              </w:rPr>
              <w:t>必须具备建设行政主管部门颁发的以下资质之一：</w:t>
            </w:r>
          </w:p>
          <w:p w14:paraId="5ED2078F">
            <w:pPr>
              <w:pStyle w:val="37"/>
              <w:wordWrap w:val="0"/>
              <w:adjustRightInd w:val="0"/>
              <w:snapToGrid w:val="0"/>
              <w:spacing w:line="440" w:lineRule="exact"/>
              <w:ind w:firstLine="720" w:firstLineChars="30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(1）工程设计综合甲级资质；</w:t>
            </w:r>
          </w:p>
          <w:p w14:paraId="3C4CC6AF">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（2）工程设计市政行业乙级以上（含乙级）资质和建筑行业工程设计乙级以上（含乙级）资质；</w:t>
            </w:r>
          </w:p>
          <w:p w14:paraId="14EB7FF9">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（3）工程设计市政行业乙级以上（含乙级）资质和建筑行业工程设计（建筑工程专业）乙级以上（含乙级）资质；</w:t>
            </w:r>
          </w:p>
          <w:p w14:paraId="75FDFCFD">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（4）工程设计市政行业乙级（燃气工程、轨道交通工程除外）以上（含乙级）资质和建筑行业工程设计乙级以上（含乙级）资质；</w:t>
            </w:r>
          </w:p>
          <w:p w14:paraId="2E424BC0">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（5）工程设计市政行业乙级（燃气工程、轨道交通工程除外）以上（含乙级）资质和建筑行业工程设计（建筑工程专业）乙级以上（含乙级）资质；</w:t>
            </w:r>
          </w:p>
          <w:p w14:paraId="3195763D">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（6）工程设计市政行业（道路工程、排水工程）专业乙级以上（含乙级）资质和建筑行业工程设计乙级以上（含乙级）资质；</w:t>
            </w:r>
          </w:p>
          <w:p w14:paraId="146A56A6">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（7）工程设计市政行业（道路工程、排水工程）专业乙级以上（含乙级）资质和建筑行业工程设计（建筑工程专业）乙级以上（含乙级）资质。</w:t>
            </w:r>
          </w:p>
          <w:p w14:paraId="48D5BF75">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根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6D837EC1">
            <w:pPr>
              <w:pStyle w:val="37"/>
              <w:wordWrap w:val="0"/>
              <w:adjustRightInd w:val="0"/>
              <w:snapToGri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3．相关人员要求</w:t>
            </w:r>
          </w:p>
          <w:p w14:paraId="32CE695D">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snapToGrid w:val="0"/>
                <w:color w:val="auto"/>
                <w:kern w:val="0"/>
                <w:sz w:val="24"/>
                <w:szCs w:val="24"/>
                <w:highlight w:val="none"/>
              </w:rPr>
              <w:t>拟派</w:t>
            </w:r>
            <w:r>
              <w:rPr>
                <w:rFonts w:hint="eastAsia" w:asciiTheme="minorEastAsia" w:hAnsiTheme="minorEastAsia" w:eastAsiaTheme="minorEastAsia" w:cstheme="minorEastAsia"/>
                <w:snapToGrid w:val="0"/>
                <w:color w:val="auto"/>
                <w:kern w:val="0"/>
                <w:sz w:val="24"/>
                <w:szCs w:val="24"/>
                <w:highlight w:val="none"/>
                <w:lang w:eastAsia="zh-CN"/>
              </w:rPr>
              <w:t>项目经理为</w:t>
            </w:r>
            <w:r>
              <w:rPr>
                <w:rFonts w:hint="eastAsia" w:asciiTheme="minorEastAsia" w:hAnsiTheme="minorEastAsia" w:eastAsiaTheme="minorEastAsia" w:cstheme="minorEastAsia"/>
                <w:snapToGrid w:val="0"/>
                <w:color w:val="auto"/>
                <w:kern w:val="0"/>
                <w:sz w:val="24"/>
                <w:szCs w:val="24"/>
                <w:highlight w:val="none"/>
                <w:u w:val="none"/>
                <w:lang w:eastAsia="zh-CN"/>
              </w:rPr>
              <w:t>具有</w:t>
            </w:r>
            <w:r>
              <w:rPr>
                <w:rFonts w:hint="eastAsia" w:asciiTheme="minorEastAsia" w:hAnsiTheme="minorEastAsia" w:eastAsiaTheme="minorEastAsia" w:cstheme="minorEastAsia"/>
                <w:snapToGrid w:val="0"/>
                <w:color w:val="auto"/>
                <w:kern w:val="0"/>
                <w:sz w:val="24"/>
                <w:szCs w:val="24"/>
                <w:highlight w:val="none"/>
                <w:u w:val="single"/>
                <w:lang w:eastAsia="zh-CN"/>
              </w:rPr>
              <w:t>市政公用工程或建筑工程</w:t>
            </w:r>
            <w:r>
              <w:rPr>
                <w:rFonts w:hint="eastAsia" w:asciiTheme="minorEastAsia" w:hAnsiTheme="minorEastAsia" w:eastAsiaTheme="minorEastAsia" w:cstheme="minorEastAsia"/>
                <w:snapToGrid w:val="0"/>
                <w:color w:val="auto"/>
                <w:kern w:val="0"/>
                <w:sz w:val="24"/>
                <w:szCs w:val="24"/>
                <w:highlight w:val="none"/>
                <w:u w:val="none"/>
                <w:lang w:eastAsia="zh-CN"/>
              </w:rPr>
              <w:t>专业一级或二级注册建造师，应持有住建部门印发的在使用有效期内的有效电子注册证书（根据广东省住房和城乡建设厅（粤建市函〔2023〕469号）文件精神，二级注册建造师可随注册企业在全国范围内执业），同时须具备有效安全生产考核合格证明（B证，安全生产考核合格证书或“广东省建筑施工企业管理人员安全生产考核信息系统”考核合格信息打印页），且未担任其他在施（包括已中标未开工、已建成未竣工）建设工程项目的项目经理。</w:t>
            </w:r>
          </w:p>
          <w:p w14:paraId="5208E53C">
            <w:pPr>
              <w:pStyle w:val="37"/>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3.2．拟派项目技术负责人须具备</w:t>
            </w:r>
            <w:r>
              <w:rPr>
                <w:rFonts w:hint="eastAsia" w:asciiTheme="minorEastAsia" w:hAnsiTheme="minorEastAsia" w:eastAsiaTheme="minorEastAsia" w:cstheme="minorEastAsia"/>
                <w:color w:val="auto"/>
                <w:sz w:val="24"/>
                <w:szCs w:val="24"/>
                <w:highlight w:val="none"/>
                <w:u w:val="single"/>
              </w:rPr>
              <w:t>市政公用工程或建筑工程</w:t>
            </w:r>
            <w:r>
              <w:rPr>
                <w:rFonts w:hint="eastAsia" w:asciiTheme="minorEastAsia" w:hAnsiTheme="minorEastAsia" w:eastAsiaTheme="minorEastAsia" w:cstheme="minorEastAsia"/>
                <w:color w:val="auto"/>
                <w:sz w:val="24"/>
                <w:szCs w:val="24"/>
                <w:highlight w:val="none"/>
              </w:rPr>
              <w:t>专业类</w:t>
            </w:r>
            <w:r>
              <w:rPr>
                <w:rFonts w:hint="eastAsia" w:asciiTheme="minorEastAsia" w:hAnsiTheme="minorEastAsia" w:eastAsiaTheme="minorEastAsia" w:cstheme="minorEastAsia"/>
                <w:color w:val="auto"/>
                <w:sz w:val="24"/>
                <w:szCs w:val="24"/>
                <w:highlight w:val="none"/>
                <w:lang w:val="en-US" w:eastAsia="zh-CN"/>
              </w:rPr>
              <w:t>中</w:t>
            </w:r>
            <w:r>
              <w:rPr>
                <w:rFonts w:hint="eastAsia" w:asciiTheme="minorEastAsia" w:hAnsiTheme="minorEastAsia" w:eastAsiaTheme="minorEastAsia" w:cstheme="minorEastAsia"/>
                <w:color w:val="auto"/>
                <w:sz w:val="24"/>
                <w:szCs w:val="24"/>
                <w:highlight w:val="none"/>
              </w:rPr>
              <w:t>级或以上技术职称。</w:t>
            </w:r>
          </w:p>
          <w:p w14:paraId="1C5412AD">
            <w:pPr>
              <w:pStyle w:val="37"/>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3.3．拟派专职安全生产管理人员须具备有效安全生产考核合格证明（C证，安全生产考核合格证书或广东省建筑施工企业管理人员安全生产考核系统考核合格信息打印页），且不少于</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人。</w:t>
            </w:r>
          </w:p>
          <w:p w14:paraId="14A5DE66">
            <w:pPr>
              <w:pStyle w:val="37"/>
              <w:wordWrap w:val="0"/>
              <w:adjustRightInd w:val="0"/>
              <w:snapToGri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3.4．拟委派担任本工程的设计负责人必须</w:t>
            </w:r>
            <w:r>
              <w:rPr>
                <w:rFonts w:hint="eastAsia" w:asciiTheme="minorEastAsia" w:hAnsiTheme="minorEastAsia" w:eastAsiaTheme="minorEastAsia" w:cstheme="minorEastAsia"/>
                <w:color w:val="auto"/>
                <w:sz w:val="24"/>
                <w:szCs w:val="24"/>
                <w:highlight w:val="none"/>
                <w:shd w:val="clear" w:color="auto" w:fill="FFFFFF"/>
              </w:rPr>
              <w:t>具备</w:t>
            </w:r>
            <w:r>
              <w:rPr>
                <w:rFonts w:hint="eastAsia" w:asciiTheme="minorEastAsia" w:hAnsiTheme="minorEastAsia" w:eastAsiaTheme="minorEastAsia" w:cstheme="minorEastAsia"/>
                <w:color w:val="auto"/>
                <w:sz w:val="24"/>
                <w:szCs w:val="24"/>
                <w:highlight w:val="none"/>
                <w:u w:val="single"/>
                <w:shd w:val="clear" w:color="auto" w:fill="FFFFFF"/>
              </w:rPr>
              <w:t>市政工程或建筑工程</w:t>
            </w:r>
            <w:r>
              <w:rPr>
                <w:rFonts w:hint="eastAsia" w:asciiTheme="minorEastAsia" w:hAnsiTheme="minorEastAsia" w:eastAsiaTheme="minorEastAsia" w:cstheme="minorEastAsia"/>
                <w:color w:val="auto"/>
                <w:sz w:val="24"/>
                <w:szCs w:val="24"/>
                <w:highlight w:val="none"/>
                <w:shd w:val="clear" w:color="auto" w:fill="FFFFFF"/>
              </w:rPr>
              <w:t>相关专业</w:t>
            </w:r>
            <w:r>
              <w:rPr>
                <w:rFonts w:hint="eastAsia" w:asciiTheme="minorEastAsia" w:hAnsiTheme="minorEastAsia" w:eastAsiaTheme="minorEastAsia" w:cstheme="minorEastAsia"/>
                <w:color w:val="auto"/>
                <w:sz w:val="24"/>
                <w:szCs w:val="24"/>
                <w:highlight w:val="none"/>
                <w:shd w:val="clear" w:color="auto" w:fill="FFFFFF"/>
                <w:lang w:val="en-US" w:eastAsia="zh-CN"/>
              </w:rPr>
              <w:t>高</w:t>
            </w:r>
            <w:r>
              <w:rPr>
                <w:rFonts w:hint="eastAsia" w:asciiTheme="minorEastAsia" w:hAnsiTheme="minorEastAsia" w:eastAsiaTheme="minorEastAsia" w:cstheme="minorEastAsia"/>
                <w:color w:val="auto"/>
                <w:sz w:val="24"/>
                <w:szCs w:val="24"/>
                <w:highlight w:val="none"/>
                <w:shd w:val="clear" w:color="auto" w:fill="FFFFFF"/>
              </w:rPr>
              <w:t>级以上（含</w:t>
            </w:r>
            <w:r>
              <w:rPr>
                <w:rFonts w:hint="eastAsia" w:asciiTheme="minorEastAsia" w:hAnsiTheme="minorEastAsia" w:eastAsiaTheme="minorEastAsia" w:cstheme="minorEastAsia"/>
                <w:color w:val="auto"/>
                <w:sz w:val="24"/>
                <w:szCs w:val="24"/>
                <w:highlight w:val="none"/>
                <w:shd w:val="clear" w:color="auto" w:fill="FFFFFF"/>
                <w:lang w:val="en-US" w:eastAsia="zh-CN"/>
              </w:rPr>
              <w:t>高</w:t>
            </w:r>
            <w:r>
              <w:rPr>
                <w:rFonts w:hint="eastAsia" w:asciiTheme="minorEastAsia" w:hAnsiTheme="minorEastAsia" w:eastAsiaTheme="minorEastAsia" w:cstheme="minorEastAsia"/>
                <w:color w:val="auto"/>
                <w:sz w:val="24"/>
                <w:szCs w:val="24"/>
                <w:highlight w:val="none"/>
                <w:shd w:val="clear" w:color="auto" w:fill="FFFFFF"/>
              </w:rPr>
              <w:t>级）技术职称</w:t>
            </w:r>
            <w:r>
              <w:rPr>
                <w:rFonts w:hint="eastAsia" w:asciiTheme="minorEastAsia" w:hAnsiTheme="minorEastAsia" w:eastAsiaTheme="minorEastAsia" w:cstheme="minorEastAsia"/>
                <w:color w:val="auto"/>
                <w:sz w:val="24"/>
                <w:szCs w:val="24"/>
                <w:highlight w:val="none"/>
              </w:rPr>
              <w:t>。</w:t>
            </w:r>
          </w:p>
          <w:p w14:paraId="0404D82E">
            <w:pPr>
              <w:wordWrap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3.5．投标人（包括组成联合体的所有成员单位）与其拟派往本项目管理机构的所有人员之间必须具备合法、唯一的劳动聘用关系。拟派人员中具备注册执业资格的，其注册单位须与投标人保持一致。</w:t>
            </w:r>
          </w:p>
          <w:p w14:paraId="15C9389E">
            <w:pPr>
              <w:wordWrap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4．禁止投标条款：</w:t>
            </w:r>
          </w:p>
          <w:p w14:paraId="4DC39987">
            <w:pPr>
              <w:wordWrap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4.1．投标人不得存在下列情形之一：</w:t>
            </w:r>
          </w:p>
          <w:p w14:paraId="55A1C159">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（1）为招标人不具有独立法人资格的附属机构（单位）；</w:t>
            </w:r>
          </w:p>
          <w:p w14:paraId="7E26A68A">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（2）为本招标项目前期准备提供咨询服务的；</w:t>
            </w:r>
          </w:p>
          <w:p w14:paraId="6C37D882">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（3）与本招标项目的其他投标人为同一个单位负责人；</w:t>
            </w:r>
          </w:p>
          <w:p w14:paraId="722D115F">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（4）与本招标项目的其他投标人存在控股、管理关系；</w:t>
            </w:r>
          </w:p>
          <w:p w14:paraId="788E6B4F">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（5）为本招标项目的监理人；</w:t>
            </w:r>
          </w:p>
          <w:p w14:paraId="77BAE21F">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（6）为本招标项目的代建人；</w:t>
            </w:r>
          </w:p>
          <w:p w14:paraId="73B25F38">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（7）为本招标项目的招标代理机构；</w:t>
            </w:r>
          </w:p>
          <w:p w14:paraId="4E96EDE3">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（8）与本招标项目的监理人或代建人或招标代理机构同为一个法定代表人；</w:t>
            </w:r>
          </w:p>
          <w:p w14:paraId="2B46BCDE">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（9）与本招标项目的监理人或代建人或招标代理机构存在控股或参股关系；</w:t>
            </w:r>
          </w:p>
          <w:p w14:paraId="4F229E42">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（10）与本招标项目的监理人或代建人或招标代理机构存在相互任职或工作关系；</w:t>
            </w:r>
          </w:p>
          <w:p w14:paraId="0B91057E">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（11）被依法暂停或者取消投标资格；</w:t>
            </w:r>
          </w:p>
          <w:p w14:paraId="499B7F3F">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（12）被责令停产停业、暂扣或者吊销许可证、暂扣或者吊销执照；</w:t>
            </w:r>
          </w:p>
          <w:p w14:paraId="2734AE16">
            <w:pPr>
              <w:wordWrap w:val="0"/>
              <w:adjustRightInd w:val="0"/>
              <w:snapToGrid w:val="0"/>
              <w:spacing w:line="360" w:lineRule="auto"/>
              <w:ind w:left="240" w:left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（13）进入清算程序，或被宣告破产，或其他丧失履约能力的情形；</w:t>
            </w:r>
          </w:p>
          <w:p w14:paraId="0F62766D">
            <w:pPr>
              <w:wordWrap w:val="0"/>
              <w:adjustRightInd w:val="0"/>
              <w:snapToGrid w:val="0"/>
              <w:spacing w:line="360" w:lineRule="auto"/>
              <w:ind w:left="240" w:left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（14）在最近三年内发生重大工程质量或安全问题（以相关行业主管部门的行政处罚决定或司法机关出具的有关法律文书为准）；</w:t>
            </w:r>
          </w:p>
          <w:p w14:paraId="35D1AB67">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（15）被“信用中国”网站（https://www.creditchina.gov.cn）发布的《法人和非法人组织公共信用信息报告》列入严重失信主体名单的。</w:t>
            </w:r>
          </w:p>
          <w:p w14:paraId="19789BA1">
            <w:pPr>
              <w:wordWrap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4.2．招标人拒绝以下名单中的单位参加本次投标：</w:t>
            </w:r>
          </w:p>
          <w:tbl>
            <w:tblPr>
              <w:tblStyle w:val="21"/>
              <w:tblW w:w="6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985"/>
              <w:gridCol w:w="2989"/>
            </w:tblGrid>
            <w:tr w14:paraId="65A9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45" w:type="dxa"/>
                  <w:noWrap/>
                  <w:vAlign w:val="center"/>
                </w:tcPr>
                <w:p w14:paraId="45BB71D5">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985" w:type="dxa"/>
                  <w:noWrap/>
                  <w:vAlign w:val="center"/>
                </w:tcPr>
                <w:p w14:paraId="3BA95EDF">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p>
              </w:tc>
              <w:tc>
                <w:tcPr>
                  <w:tcW w:w="2989" w:type="dxa"/>
                  <w:noWrap/>
                  <w:vAlign w:val="center"/>
                </w:tcPr>
                <w:p w14:paraId="2BD1ED67">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拒绝原因</w:t>
                  </w:r>
                </w:p>
              </w:tc>
            </w:tr>
            <w:tr w14:paraId="4B55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5" w:type="dxa"/>
                  <w:noWrap/>
                  <w:vAlign w:val="center"/>
                </w:tcPr>
                <w:p w14:paraId="6329BAE5">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985" w:type="dxa"/>
                  <w:noWrap/>
                  <w:vAlign w:val="center"/>
                </w:tcPr>
                <w:p w14:paraId="77F3ED15">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南雄市乌迳镇人民政府</w:t>
                  </w:r>
                </w:p>
              </w:tc>
              <w:tc>
                <w:tcPr>
                  <w:tcW w:w="2989" w:type="dxa"/>
                  <w:noWrap/>
                  <w:vAlign w:val="center"/>
                </w:tcPr>
                <w:p w14:paraId="3C817685">
                  <w:pPr>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为本招标项目的招标人</w:t>
                  </w:r>
                </w:p>
              </w:tc>
            </w:tr>
            <w:tr w14:paraId="0735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45" w:type="dxa"/>
                  <w:noWrap/>
                  <w:vAlign w:val="center"/>
                </w:tcPr>
                <w:p w14:paraId="6CE31AB3">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985" w:type="dxa"/>
                  <w:noWrap/>
                  <w:vAlign w:val="center"/>
                </w:tcPr>
                <w:p w14:paraId="089BF40C">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南雄市乌迳镇人民政府</w:t>
                  </w:r>
                  <w:r>
                    <w:rPr>
                      <w:rFonts w:hint="eastAsia" w:asciiTheme="minorEastAsia" w:hAnsiTheme="minorEastAsia" w:eastAsiaTheme="minorEastAsia" w:cstheme="minorEastAsia"/>
                      <w:color w:val="auto"/>
                      <w:sz w:val="24"/>
                      <w:szCs w:val="24"/>
                      <w:highlight w:val="none"/>
                    </w:rPr>
                    <w:t xml:space="preserve"> </w:t>
                  </w:r>
                </w:p>
              </w:tc>
              <w:tc>
                <w:tcPr>
                  <w:tcW w:w="2989" w:type="dxa"/>
                  <w:noWrap/>
                  <w:vAlign w:val="center"/>
                </w:tcPr>
                <w:p w14:paraId="105A4B35">
                  <w:pPr>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为本招标项目的业主单位</w:t>
                  </w:r>
                </w:p>
              </w:tc>
            </w:tr>
            <w:tr w14:paraId="0BC5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45" w:type="dxa"/>
                  <w:noWrap/>
                  <w:vAlign w:val="center"/>
                </w:tcPr>
                <w:p w14:paraId="6F335190">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985" w:type="dxa"/>
                  <w:noWrap/>
                  <w:vAlign w:val="center"/>
                </w:tcPr>
                <w:p w14:paraId="40A79E2E">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广东省建筑设计研究院集团股份有限公司</w:t>
                  </w:r>
                  <w:r>
                    <w:rPr>
                      <w:rFonts w:hint="eastAsia" w:asciiTheme="minorEastAsia" w:hAnsiTheme="minorEastAsia" w:eastAsiaTheme="minorEastAsia" w:cstheme="minorEastAsia"/>
                      <w:color w:val="auto"/>
                      <w:sz w:val="24"/>
                      <w:szCs w:val="24"/>
                      <w:highlight w:val="none"/>
                    </w:rPr>
                    <w:t xml:space="preserve">    </w:t>
                  </w:r>
                </w:p>
              </w:tc>
              <w:tc>
                <w:tcPr>
                  <w:tcW w:w="2989" w:type="dxa"/>
                  <w:noWrap/>
                  <w:vAlign w:val="center"/>
                </w:tcPr>
                <w:p w14:paraId="2B19EC2C">
                  <w:pPr>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为本招标项目的可行性研究报告编制单位</w:t>
                  </w:r>
                </w:p>
              </w:tc>
            </w:tr>
            <w:tr w14:paraId="0187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5" w:type="dxa"/>
                  <w:noWrap/>
                  <w:vAlign w:val="center"/>
                </w:tcPr>
                <w:p w14:paraId="112FE441">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985" w:type="dxa"/>
                  <w:noWrap/>
                  <w:vAlign w:val="center"/>
                </w:tcPr>
                <w:p w14:paraId="0CFCBFA3">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中创名建工程管理集团有限公司</w:t>
                  </w:r>
                </w:p>
              </w:tc>
              <w:tc>
                <w:tcPr>
                  <w:tcW w:w="2989" w:type="dxa"/>
                  <w:noWrap/>
                  <w:vAlign w:val="center"/>
                </w:tcPr>
                <w:p w14:paraId="7C4DC9F7">
                  <w:pPr>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为本招标项目的招标代理机构</w:t>
                  </w:r>
                </w:p>
              </w:tc>
            </w:tr>
            <w:tr w14:paraId="46A8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45" w:type="dxa"/>
                  <w:noWrap/>
                  <w:vAlign w:val="center"/>
                </w:tcPr>
                <w:p w14:paraId="5AD737C7">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2985" w:type="dxa"/>
                  <w:noWrap/>
                  <w:vAlign w:val="center"/>
                </w:tcPr>
                <w:p w14:paraId="11C20D8C">
                  <w:pPr>
                    <w:wordWrap w:val="0"/>
                    <w:adjustRightInd w:val="0"/>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en-US" w:eastAsia="zh-CN"/>
                    </w:rPr>
                    <w:t>河南省中工设计研究院集团股份有限公司</w:t>
                  </w:r>
                </w:p>
              </w:tc>
              <w:tc>
                <w:tcPr>
                  <w:tcW w:w="2989" w:type="dxa"/>
                  <w:noWrap/>
                  <w:vAlign w:val="center"/>
                </w:tcPr>
                <w:p w14:paraId="793EE7C0">
                  <w:pPr>
                    <w:wordWrap w:val="0"/>
                    <w:adjustRightInd w:val="0"/>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为本招标项目的初步设计单位</w:t>
                  </w:r>
                </w:p>
              </w:tc>
            </w:tr>
            <w:tr w14:paraId="1D9A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45" w:type="dxa"/>
                  <w:noWrap/>
                  <w:vAlign w:val="center"/>
                </w:tcPr>
                <w:p w14:paraId="1AE37854">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2985" w:type="dxa"/>
                  <w:noWrap/>
                  <w:vAlign w:val="center"/>
                </w:tcPr>
                <w:p w14:paraId="0443BFC3">
                  <w:pPr>
                    <w:wordWrap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江苏省岩土工程勘察设计研究院</w:t>
                  </w:r>
                </w:p>
              </w:tc>
              <w:tc>
                <w:tcPr>
                  <w:tcW w:w="2989" w:type="dxa"/>
                  <w:noWrap/>
                  <w:vAlign w:val="center"/>
                </w:tcPr>
                <w:p w14:paraId="327D64AD">
                  <w:pPr>
                    <w:wordWrap w:val="0"/>
                    <w:adjustRightInd w:val="0"/>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为本招标项目的勘察单位</w:t>
                  </w:r>
                </w:p>
              </w:tc>
            </w:tr>
            <w:tr w14:paraId="45B1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45" w:type="dxa"/>
                  <w:noWrap/>
                  <w:vAlign w:val="center"/>
                </w:tcPr>
                <w:p w14:paraId="3B34A22B">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2985" w:type="dxa"/>
                  <w:noWrap/>
                  <w:vAlign w:val="center"/>
                </w:tcPr>
                <w:p w14:paraId="3E0C4BC9">
                  <w:pPr>
                    <w:tabs>
                      <w:tab w:val="center" w:pos="941"/>
                    </w:tabs>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待定</w:t>
                  </w:r>
                </w:p>
              </w:tc>
              <w:tc>
                <w:tcPr>
                  <w:tcW w:w="2989" w:type="dxa"/>
                  <w:noWrap/>
                  <w:vAlign w:val="center"/>
                </w:tcPr>
                <w:p w14:paraId="7B54E4AD">
                  <w:pPr>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为本招标项目的监理单位</w:t>
                  </w:r>
                </w:p>
              </w:tc>
            </w:tr>
          </w:tbl>
          <w:p w14:paraId="5B40FCC1">
            <w:pPr>
              <w:pStyle w:val="38"/>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tc>
      </w:tr>
      <w:tr w14:paraId="2629A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9A0FD23">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18</w:t>
            </w:r>
          </w:p>
        </w:tc>
        <w:tc>
          <w:tcPr>
            <w:tcW w:w="2070" w:type="dxa"/>
            <w:tcBorders>
              <w:top w:val="single" w:color="auto" w:sz="4" w:space="0"/>
              <w:left w:val="single" w:color="auto" w:sz="4" w:space="0"/>
              <w:bottom w:val="single" w:color="auto" w:sz="4" w:space="0"/>
              <w:right w:val="single" w:color="auto" w:sz="4" w:space="0"/>
            </w:tcBorders>
            <w:noWrap/>
            <w:vAlign w:val="center"/>
          </w:tcPr>
          <w:p w14:paraId="0B2E0E09">
            <w:pPr>
              <w:snapToGrid w:val="0"/>
              <w:spacing w:beforeLines="50"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投标保证</w:t>
            </w:r>
          </w:p>
        </w:tc>
        <w:tc>
          <w:tcPr>
            <w:tcW w:w="7183" w:type="dxa"/>
            <w:tcBorders>
              <w:top w:val="single" w:color="auto" w:sz="4" w:space="0"/>
              <w:left w:val="single" w:color="auto" w:sz="4" w:space="0"/>
              <w:bottom w:val="single" w:color="auto" w:sz="4" w:space="0"/>
              <w:right w:val="single" w:color="auto" w:sz="4" w:space="0"/>
            </w:tcBorders>
            <w:noWrap/>
            <w:vAlign w:val="center"/>
          </w:tcPr>
          <w:p w14:paraId="13ED4D28">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1．投标人须缴纳金额为人民币</w:t>
            </w:r>
            <w:r>
              <w:rPr>
                <w:rFonts w:hint="eastAsia" w:asciiTheme="minorEastAsia" w:hAnsiTheme="minorEastAsia" w:eastAsiaTheme="minorEastAsia" w:cstheme="minorEastAsia"/>
                <w:b/>
                <w:bCs/>
                <w:snapToGrid w:val="0"/>
                <w:color w:val="auto"/>
                <w:kern w:val="0"/>
                <w:sz w:val="24"/>
                <w:szCs w:val="24"/>
                <w:highlight w:val="none"/>
                <w:u w:val="single"/>
                <w:lang w:val="en-US" w:eastAsia="zh-CN"/>
              </w:rPr>
              <w:t>伍拾万元整</w:t>
            </w:r>
            <w:r>
              <w:rPr>
                <w:rFonts w:hint="eastAsia" w:asciiTheme="minorEastAsia" w:hAnsiTheme="minorEastAsia" w:eastAsiaTheme="minorEastAsia" w:cstheme="minorEastAsia"/>
                <w:snapToGrid w:val="0"/>
                <w:color w:val="auto"/>
                <w:kern w:val="0"/>
                <w:sz w:val="24"/>
                <w:szCs w:val="24"/>
                <w:highlight w:val="none"/>
              </w:rPr>
              <w:t>的投标保证。联合体投标的，由联合体牵头人缴纳。</w:t>
            </w:r>
          </w:p>
          <w:p w14:paraId="62094DE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2．投标保证的形式包括投标保证金、投标保证担保、投标保证保险三种，由投标人自主选择。</w:t>
            </w:r>
          </w:p>
          <w:p w14:paraId="0CCE61D8">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采用投标保证金的，投标人在建设工程交易系统获取招标文件完毕后，即可在系统申请缴纳投标保证金，获取本次招标投标保证金缴纳账号。投标人必须于投标保证金到账截止时间（见本章“重要事项时间地点一览表”）前，从其基本账户将投标保证金转账到指定的缴纳账号。逾期到账的、从非投标人基本账户转出的，其投标无效。</w:t>
            </w:r>
          </w:p>
          <w:p w14:paraId="174E2FB2">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采用投标保证担保的，投标人应提交有效的银行保函，银行保函的有效期不得短于投标有效期。投标人必须在投标保证担保截止时间（见本章“重要事项时间地点一览表”）前，使用工程建设交易系统完成网上办理电子保函。</w:t>
            </w:r>
          </w:p>
          <w:p w14:paraId="4518DC67">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采用投标保证保险的，投标人须在投标保证保险投保截止时间（见本章“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50175835">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40D28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CDE1DF1">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19</w:t>
            </w:r>
          </w:p>
        </w:tc>
        <w:tc>
          <w:tcPr>
            <w:tcW w:w="2070" w:type="dxa"/>
            <w:tcBorders>
              <w:top w:val="single" w:color="auto" w:sz="4" w:space="0"/>
              <w:left w:val="single" w:color="auto" w:sz="4" w:space="0"/>
              <w:bottom w:val="single" w:color="auto" w:sz="4" w:space="0"/>
              <w:right w:val="single" w:color="auto" w:sz="4" w:space="0"/>
            </w:tcBorders>
            <w:noWrap/>
            <w:vAlign w:val="center"/>
          </w:tcPr>
          <w:p w14:paraId="4DBBFD3B">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投标有效期</w:t>
            </w:r>
          </w:p>
        </w:tc>
        <w:tc>
          <w:tcPr>
            <w:tcW w:w="7183" w:type="dxa"/>
            <w:tcBorders>
              <w:top w:val="single" w:color="auto" w:sz="4" w:space="0"/>
              <w:left w:val="single" w:color="auto" w:sz="4" w:space="0"/>
              <w:bottom w:val="single" w:color="auto" w:sz="4" w:space="0"/>
              <w:right w:val="single" w:color="auto" w:sz="4" w:space="0"/>
            </w:tcBorders>
            <w:noWrap/>
            <w:vAlign w:val="center"/>
          </w:tcPr>
          <w:p w14:paraId="5F3C3CCC">
            <w:pPr>
              <w:wordWrap w:val="0"/>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本次招标的投标有效期为</w:t>
            </w:r>
            <w:r>
              <w:rPr>
                <w:rFonts w:hint="eastAsia" w:asciiTheme="minorEastAsia" w:hAnsiTheme="minorEastAsia" w:eastAsiaTheme="minorEastAsia" w:cstheme="minorEastAsia"/>
                <w:snapToGrid w:val="0"/>
                <w:color w:val="auto"/>
                <w:kern w:val="0"/>
                <w:sz w:val="24"/>
                <w:szCs w:val="24"/>
                <w:highlight w:val="none"/>
                <w:u w:val="single"/>
              </w:rPr>
              <w:t>120</w:t>
            </w:r>
            <w:r>
              <w:rPr>
                <w:rFonts w:hint="eastAsia" w:asciiTheme="minorEastAsia" w:hAnsiTheme="minorEastAsia" w:eastAsiaTheme="minorEastAsia" w:cstheme="minorEastAsia"/>
                <w:snapToGrid w:val="0"/>
                <w:color w:val="auto"/>
                <w:kern w:val="0"/>
                <w:sz w:val="24"/>
                <w:szCs w:val="24"/>
                <w:highlight w:val="none"/>
              </w:rPr>
              <w:t>个日历天。</w:t>
            </w:r>
          </w:p>
        </w:tc>
      </w:tr>
      <w:tr w14:paraId="742B9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E13C134">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20</w:t>
            </w:r>
          </w:p>
        </w:tc>
        <w:tc>
          <w:tcPr>
            <w:tcW w:w="2070" w:type="dxa"/>
            <w:tcBorders>
              <w:top w:val="single" w:color="auto" w:sz="4" w:space="0"/>
              <w:left w:val="single" w:color="auto" w:sz="4" w:space="0"/>
              <w:bottom w:val="single" w:color="auto" w:sz="4" w:space="0"/>
              <w:right w:val="single" w:color="auto" w:sz="4" w:space="0"/>
            </w:tcBorders>
            <w:noWrap/>
            <w:vAlign w:val="center"/>
          </w:tcPr>
          <w:p w14:paraId="1F8EBDA4">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投标文件</w:t>
            </w:r>
          </w:p>
          <w:p w14:paraId="312D36D1">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组成</w:t>
            </w:r>
          </w:p>
        </w:tc>
        <w:tc>
          <w:tcPr>
            <w:tcW w:w="7183" w:type="dxa"/>
            <w:tcBorders>
              <w:top w:val="single" w:color="auto" w:sz="4" w:space="0"/>
              <w:left w:val="single" w:color="auto" w:sz="4" w:space="0"/>
              <w:bottom w:val="single" w:color="auto" w:sz="4" w:space="0"/>
              <w:right w:val="single" w:color="auto" w:sz="4" w:space="0"/>
            </w:tcBorders>
            <w:noWrap/>
            <w:vAlign w:val="center"/>
          </w:tcPr>
          <w:p w14:paraId="6E7F5634">
            <w:pPr>
              <w:wordWrap w:val="0"/>
              <w:adjustRightInd w:val="0"/>
              <w:snapToGrid w:val="0"/>
              <w:spacing w:line="36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投标标书分为一册。</w:t>
            </w:r>
          </w:p>
        </w:tc>
      </w:tr>
      <w:tr w14:paraId="36334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AB94F57">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21</w:t>
            </w:r>
          </w:p>
        </w:tc>
        <w:tc>
          <w:tcPr>
            <w:tcW w:w="2070" w:type="dxa"/>
            <w:tcBorders>
              <w:top w:val="single" w:color="auto" w:sz="4" w:space="0"/>
              <w:left w:val="single" w:color="auto" w:sz="4" w:space="0"/>
              <w:bottom w:val="single" w:color="auto" w:sz="4" w:space="0"/>
              <w:right w:val="single" w:color="auto" w:sz="4" w:space="0"/>
            </w:tcBorders>
            <w:noWrap/>
            <w:vAlign w:val="center"/>
          </w:tcPr>
          <w:p w14:paraId="7F08709A">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评标委员会</w:t>
            </w:r>
          </w:p>
        </w:tc>
        <w:tc>
          <w:tcPr>
            <w:tcW w:w="7183" w:type="dxa"/>
            <w:tcBorders>
              <w:top w:val="single" w:color="auto" w:sz="4" w:space="0"/>
              <w:left w:val="single" w:color="auto" w:sz="4" w:space="0"/>
              <w:bottom w:val="single" w:color="auto" w:sz="4" w:space="0"/>
              <w:right w:val="single" w:color="auto" w:sz="4" w:space="0"/>
            </w:tcBorders>
            <w:noWrap/>
            <w:vAlign w:val="center"/>
          </w:tcPr>
          <w:p w14:paraId="418FF5C6">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评标委员会由</w:t>
            </w:r>
            <w:r>
              <w:rPr>
                <w:rFonts w:hint="eastAsia" w:asciiTheme="minorEastAsia" w:hAnsiTheme="minorEastAsia" w:eastAsiaTheme="minorEastAsia" w:cstheme="minorEastAsia"/>
                <w:snapToGrid w:val="0"/>
                <w:color w:val="auto"/>
                <w:kern w:val="0"/>
                <w:sz w:val="24"/>
                <w:szCs w:val="24"/>
                <w:highlight w:val="none"/>
                <w:lang w:val="en-US" w:eastAsia="zh-CN"/>
              </w:rPr>
              <w:t>5</w:t>
            </w:r>
            <w:r>
              <w:rPr>
                <w:rFonts w:hint="eastAsia" w:asciiTheme="minorEastAsia" w:hAnsiTheme="minorEastAsia" w:eastAsiaTheme="minorEastAsia" w:cstheme="minorEastAsia"/>
                <w:snapToGrid w:val="0"/>
                <w:color w:val="auto"/>
                <w:kern w:val="0"/>
                <w:sz w:val="24"/>
                <w:szCs w:val="24"/>
                <w:highlight w:val="none"/>
              </w:rPr>
              <w:t>人组成，其中招标人代表0人，专家</w:t>
            </w:r>
            <w:r>
              <w:rPr>
                <w:rFonts w:hint="eastAsia" w:asciiTheme="minorEastAsia" w:hAnsiTheme="minorEastAsia" w:eastAsiaTheme="minorEastAsia" w:cstheme="minorEastAsia"/>
                <w:snapToGrid w:val="0"/>
                <w:color w:val="auto"/>
                <w:kern w:val="0"/>
                <w:sz w:val="24"/>
                <w:szCs w:val="24"/>
                <w:highlight w:val="none"/>
                <w:lang w:val="en-US" w:eastAsia="zh-CN"/>
              </w:rPr>
              <w:t>5</w:t>
            </w:r>
            <w:r>
              <w:rPr>
                <w:rFonts w:hint="eastAsia" w:asciiTheme="minorEastAsia" w:hAnsiTheme="minorEastAsia" w:eastAsiaTheme="minorEastAsia" w:cstheme="minorEastAsia"/>
                <w:snapToGrid w:val="0"/>
                <w:color w:val="auto"/>
                <w:kern w:val="0"/>
                <w:sz w:val="24"/>
                <w:szCs w:val="24"/>
                <w:highlight w:val="none"/>
              </w:rPr>
              <w:t>人。专家从广东省综合评标评审专家库－韶关区域中随机抽取，其中技术类专家</w:t>
            </w:r>
            <w:r>
              <w:rPr>
                <w:rFonts w:hint="eastAsia" w:asciiTheme="minorEastAsia" w:hAnsiTheme="minorEastAsia" w:eastAsiaTheme="minorEastAsia" w:cstheme="minorEastAsia"/>
                <w:snapToGrid w:val="0"/>
                <w:color w:val="auto"/>
                <w:kern w:val="0"/>
                <w:sz w:val="24"/>
                <w:szCs w:val="24"/>
                <w:highlight w:val="none"/>
                <w:lang w:val="en-US" w:eastAsia="zh-CN"/>
              </w:rPr>
              <w:t>3</w:t>
            </w:r>
            <w:r>
              <w:rPr>
                <w:rFonts w:hint="eastAsia" w:asciiTheme="minorEastAsia" w:hAnsiTheme="minorEastAsia" w:eastAsiaTheme="minorEastAsia" w:cstheme="minorEastAsia"/>
                <w:snapToGrid w:val="0"/>
                <w:color w:val="auto"/>
                <w:kern w:val="0"/>
                <w:sz w:val="24"/>
                <w:szCs w:val="24"/>
                <w:highlight w:val="none"/>
              </w:rPr>
              <w:t>人，经济类专家2人。</w:t>
            </w:r>
          </w:p>
        </w:tc>
      </w:tr>
      <w:tr w14:paraId="07DCF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59A494C">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22</w:t>
            </w:r>
          </w:p>
        </w:tc>
        <w:tc>
          <w:tcPr>
            <w:tcW w:w="2070" w:type="dxa"/>
            <w:tcBorders>
              <w:top w:val="single" w:color="auto" w:sz="4" w:space="0"/>
              <w:left w:val="single" w:color="auto" w:sz="4" w:space="0"/>
              <w:bottom w:val="single" w:color="auto" w:sz="4" w:space="0"/>
              <w:right w:val="single" w:color="auto" w:sz="4" w:space="0"/>
            </w:tcBorders>
            <w:noWrap/>
            <w:vAlign w:val="center"/>
          </w:tcPr>
          <w:p w14:paraId="5C89E496">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评标方法</w:t>
            </w:r>
          </w:p>
        </w:tc>
        <w:tc>
          <w:tcPr>
            <w:tcW w:w="7183" w:type="dxa"/>
            <w:tcBorders>
              <w:top w:val="single" w:color="auto" w:sz="4" w:space="0"/>
              <w:left w:val="single" w:color="auto" w:sz="4" w:space="0"/>
              <w:bottom w:val="single" w:color="auto" w:sz="4" w:space="0"/>
              <w:right w:val="single" w:color="auto" w:sz="4" w:space="0"/>
            </w:tcBorders>
            <w:noWrap/>
            <w:vAlign w:val="center"/>
          </w:tcPr>
          <w:p w14:paraId="56B9C5FA">
            <w:pPr>
              <w:wordWrap w:val="0"/>
              <w:adjustRightInd w:val="0"/>
              <w:snapToGrid w:val="0"/>
              <w:spacing w:line="36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综合评估法</w:t>
            </w:r>
          </w:p>
        </w:tc>
      </w:tr>
      <w:tr w14:paraId="70281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149EE20">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2070" w:type="dxa"/>
            <w:tcBorders>
              <w:top w:val="single" w:color="auto" w:sz="4" w:space="0"/>
              <w:left w:val="single" w:color="auto" w:sz="4" w:space="0"/>
              <w:bottom w:val="single" w:color="auto" w:sz="4" w:space="0"/>
              <w:right w:val="single" w:color="auto" w:sz="4" w:space="0"/>
            </w:tcBorders>
            <w:noWrap/>
            <w:vAlign w:val="center"/>
          </w:tcPr>
          <w:p w14:paraId="792787B8">
            <w:pPr>
              <w:pStyle w:val="34"/>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安全文明施工</w:t>
            </w:r>
          </w:p>
        </w:tc>
        <w:tc>
          <w:tcPr>
            <w:tcW w:w="7183" w:type="dxa"/>
            <w:tcBorders>
              <w:top w:val="single" w:color="auto" w:sz="4" w:space="0"/>
              <w:left w:val="single" w:color="auto" w:sz="4" w:space="0"/>
              <w:bottom w:val="single" w:color="auto" w:sz="4" w:space="0"/>
              <w:right w:val="single" w:color="auto" w:sz="4" w:space="0"/>
            </w:tcBorders>
            <w:noWrap/>
            <w:vAlign w:val="center"/>
          </w:tcPr>
          <w:p w14:paraId="4C98B9C6">
            <w:pPr>
              <w:pStyle w:val="34"/>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达到国家、省、市有关标准</w:t>
            </w:r>
          </w:p>
        </w:tc>
      </w:tr>
      <w:tr w14:paraId="4FAE7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96DD9EF">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2070" w:type="dxa"/>
            <w:tcBorders>
              <w:top w:val="single" w:color="auto" w:sz="4" w:space="0"/>
              <w:left w:val="single" w:color="auto" w:sz="4" w:space="0"/>
              <w:bottom w:val="single" w:color="auto" w:sz="4" w:space="0"/>
              <w:right w:val="single" w:color="auto" w:sz="4" w:space="0"/>
            </w:tcBorders>
            <w:noWrap/>
            <w:vAlign w:val="center"/>
          </w:tcPr>
          <w:p w14:paraId="5F408FC1">
            <w:pPr>
              <w:pStyle w:val="34"/>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房屋建筑工程</w:t>
            </w:r>
          </w:p>
          <w:p w14:paraId="2DEFDAEF">
            <w:pPr>
              <w:pStyle w:val="34"/>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绿色建筑标准</w:t>
            </w:r>
          </w:p>
        </w:tc>
        <w:tc>
          <w:tcPr>
            <w:tcW w:w="7183" w:type="dxa"/>
            <w:tcBorders>
              <w:top w:val="single" w:color="auto" w:sz="4" w:space="0"/>
              <w:left w:val="single" w:color="auto" w:sz="4" w:space="0"/>
              <w:bottom w:val="single" w:color="auto" w:sz="4" w:space="0"/>
              <w:right w:val="single" w:color="auto" w:sz="4" w:space="0"/>
            </w:tcBorders>
            <w:noWrap/>
            <w:vAlign w:val="center"/>
          </w:tcPr>
          <w:p w14:paraId="70EAB278">
            <w:pPr>
              <w:pStyle w:val="34"/>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本招标项目不纳入绿色建筑实施范围。</w:t>
            </w:r>
          </w:p>
        </w:tc>
      </w:tr>
      <w:tr w14:paraId="4EB76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8DB0188">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2070" w:type="dxa"/>
            <w:tcBorders>
              <w:top w:val="single" w:color="auto" w:sz="4" w:space="0"/>
              <w:left w:val="single" w:color="auto" w:sz="4" w:space="0"/>
              <w:bottom w:val="single" w:color="auto" w:sz="4" w:space="0"/>
              <w:right w:val="single" w:color="auto" w:sz="4" w:space="0"/>
            </w:tcBorders>
            <w:noWrap/>
            <w:vAlign w:val="center"/>
          </w:tcPr>
          <w:p w14:paraId="7387BCDE">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183" w:type="dxa"/>
            <w:tcBorders>
              <w:top w:val="single" w:color="auto" w:sz="4" w:space="0"/>
              <w:left w:val="single" w:color="auto" w:sz="4" w:space="0"/>
              <w:bottom w:val="single" w:color="auto" w:sz="4" w:space="0"/>
              <w:right w:val="single" w:color="auto" w:sz="4" w:space="0"/>
            </w:tcBorders>
            <w:noWrap/>
            <w:vAlign w:val="center"/>
          </w:tcPr>
          <w:p w14:paraId="6BC93424">
            <w:pPr>
              <w:pStyle w:val="34"/>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履约保证金为中标价的</w:t>
            </w:r>
            <w:r>
              <w:rPr>
                <w:rFonts w:hint="eastAsia" w:asciiTheme="minorEastAsia" w:hAnsiTheme="minorEastAsia" w:eastAsiaTheme="minorEastAsia" w:cstheme="minorEastAsia"/>
                <w:color w:val="auto"/>
                <w:sz w:val="24"/>
                <w:szCs w:val="24"/>
                <w:highlight w:val="none"/>
                <w:u w:val="single"/>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snapToGrid w:val="0"/>
                <w:color w:val="auto"/>
                <w:kern w:val="0"/>
                <w:sz w:val="24"/>
                <w:szCs w:val="24"/>
                <w:highlight w:val="none"/>
              </w:rPr>
              <w:t>在领取中标通知书之日起</w:t>
            </w:r>
            <w:r>
              <w:rPr>
                <w:rFonts w:hint="eastAsia" w:asciiTheme="minorEastAsia" w:hAnsiTheme="minorEastAsia" w:eastAsiaTheme="minorEastAsia" w:cstheme="minorEastAsia"/>
                <w:snapToGrid w:val="0"/>
                <w:color w:val="auto"/>
                <w:kern w:val="0"/>
                <w:sz w:val="24"/>
                <w:szCs w:val="24"/>
                <w:highlight w:val="none"/>
                <w:u w:val="single"/>
              </w:rPr>
              <w:t>5</w:t>
            </w:r>
            <w:r>
              <w:rPr>
                <w:rFonts w:hint="eastAsia" w:asciiTheme="minorEastAsia" w:hAnsiTheme="minorEastAsia" w:eastAsiaTheme="minorEastAsia" w:cstheme="minorEastAsia"/>
                <w:snapToGrid w:val="0"/>
                <w:color w:val="auto"/>
                <w:kern w:val="0"/>
                <w:sz w:val="24"/>
                <w:szCs w:val="24"/>
                <w:highlight w:val="none"/>
              </w:rPr>
              <w:t>个工作日内、签订合同前缴纳</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highlight w:val="none"/>
              </w:rPr>
              <w:t>组成联合体时，由联合体牵头人缴纳</w:t>
            </w:r>
            <w:r>
              <w:rPr>
                <w:rFonts w:hint="eastAsia" w:asciiTheme="minorEastAsia" w:hAnsiTheme="minorEastAsia" w:eastAsiaTheme="minorEastAsia" w:cstheme="minorEastAsia"/>
                <w:color w:val="auto"/>
                <w:sz w:val="24"/>
                <w:szCs w:val="24"/>
                <w:highlight w:val="none"/>
              </w:rPr>
              <w:t>）。中标人根据《关于统一在市公共资源交易一体化服务平台缴退工程建设项目履约保证金的通知》办理相关手续，履约保证的形式包括履约保证金、履约保证担保、履约保证保险三种，由中标人自主选择。</w:t>
            </w:r>
          </w:p>
        </w:tc>
      </w:tr>
      <w:tr w14:paraId="29E5C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FAC644E">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2070" w:type="dxa"/>
            <w:tcBorders>
              <w:top w:val="single" w:color="auto" w:sz="4" w:space="0"/>
              <w:left w:val="single" w:color="auto" w:sz="4" w:space="0"/>
              <w:bottom w:val="single" w:color="auto" w:sz="4" w:space="0"/>
              <w:right w:val="single" w:color="auto" w:sz="4" w:space="0"/>
            </w:tcBorders>
            <w:noWrap/>
            <w:vAlign w:val="center"/>
          </w:tcPr>
          <w:p w14:paraId="3053B38A">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工程款支付</w:t>
            </w:r>
          </w:p>
        </w:tc>
        <w:tc>
          <w:tcPr>
            <w:tcW w:w="7183" w:type="dxa"/>
            <w:tcBorders>
              <w:top w:val="single" w:color="auto" w:sz="4" w:space="0"/>
              <w:left w:val="single" w:color="auto" w:sz="4" w:space="0"/>
              <w:bottom w:val="single" w:color="auto" w:sz="4" w:space="0"/>
              <w:right w:val="single" w:color="auto" w:sz="4" w:space="0"/>
            </w:tcBorders>
            <w:noWrap/>
            <w:vAlign w:val="center"/>
          </w:tcPr>
          <w:p w14:paraId="1E9EE519">
            <w:pPr>
              <w:pStyle w:val="34"/>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详见本招标文件“2-4、工程付款办法”</w:t>
            </w:r>
          </w:p>
        </w:tc>
      </w:tr>
      <w:tr w14:paraId="020A3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7F70250">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2070" w:type="dxa"/>
            <w:tcBorders>
              <w:top w:val="single" w:color="auto" w:sz="4" w:space="0"/>
              <w:left w:val="single" w:color="auto" w:sz="4" w:space="0"/>
              <w:bottom w:val="single" w:color="auto" w:sz="4" w:space="0"/>
              <w:right w:val="single" w:color="auto" w:sz="4" w:space="0"/>
            </w:tcBorders>
            <w:noWrap/>
            <w:vAlign w:val="center"/>
          </w:tcPr>
          <w:p w14:paraId="1B906B99">
            <w:pPr>
              <w:pStyle w:val="34"/>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工程质量保证金</w:t>
            </w:r>
          </w:p>
        </w:tc>
        <w:tc>
          <w:tcPr>
            <w:tcW w:w="7183" w:type="dxa"/>
            <w:tcBorders>
              <w:top w:val="single" w:color="auto" w:sz="4" w:space="0"/>
              <w:left w:val="single" w:color="auto" w:sz="4" w:space="0"/>
              <w:bottom w:val="single" w:color="auto" w:sz="4" w:space="0"/>
              <w:right w:val="single" w:color="auto" w:sz="4" w:space="0"/>
            </w:tcBorders>
            <w:noWrap/>
            <w:vAlign w:val="center"/>
          </w:tcPr>
          <w:p w14:paraId="4A30AB3E">
            <w:pPr>
              <w:pStyle w:val="34"/>
              <w:spacing w:line="24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工程质量保证金总金额为结算价的3%，从工程竣工验收合格之日起计满2年。</w:t>
            </w:r>
          </w:p>
        </w:tc>
      </w:tr>
      <w:tr w14:paraId="6F4B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CE6E3D7">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p>
        </w:tc>
        <w:tc>
          <w:tcPr>
            <w:tcW w:w="2070" w:type="dxa"/>
            <w:tcBorders>
              <w:top w:val="single" w:color="auto" w:sz="4" w:space="0"/>
              <w:left w:val="single" w:color="auto" w:sz="4" w:space="0"/>
              <w:bottom w:val="single" w:color="auto" w:sz="4" w:space="0"/>
              <w:right w:val="single" w:color="auto" w:sz="4" w:space="0"/>
            </w:tcBorders>
            <w:noWrap/>
            <w:vAlign w:val="center"/>
          </w:tcPr>
          <w:p w14:paraId="255329DD">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绿色施工安全防护措施费</w:t>
            </w:r>
          </w:p>
        </w:tc>
        <w:tc>
          <w:tcPr>
            <w:tcW w:w="7183" w:type="dxa"/>
            <w:tcBorders>
              <w:top w:val="single" w:color="auto" w:sz="4" w:space="0"/>
              <w:left w:val="single" w:color="auto" w:sz="4" w:space="0"/>
              <w:bottom w:val="single" w:color="auto" w:sz="4" w:space="0"/>
              <w:right w:val="single" w:color="auto" w:sz="4" w:space="0"/>
            </w:tcBorders>
            <w:noWrap/>
            <w:vAlign w:val="center"/>
          </w:tcPr>
          <w:p w14:paraId="5310C6DB">
            <w:pPr>
              <w:pStyle w:val="34"/>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按《建设工程工程量清单计价规范》（GB50500～2013）、《广东省建设工程计价依据（2018）》《关于明确建筑工程安全防护、文明施工措施费用具体管理办法的通知》（韶市建【2015】26号）等最新规定执行。</w:t>
            </w:r>
          </w:p>
        </w:tc>
      </w:tr>
      <w:tr w14:paraId="5451F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34BA046F">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w:t>
            </w:r>
          </w:p>
        </w:tc>
        <w:tc>
          <w:tcPr>
            <w:tcW w:w="2070" w:type="dxa"/>
            <w:tcBorders>
              <w:top w:val="single" w:color="auto" w:sz="4" w:space="0"/>
              <w:left w:val="single" w:color="auto" w:sz="4" w:space="0"/>
              <w:bottom w:val="single" w:color="auto" w:sz="4" w:space="0"/>
              <w:right w:val="single" w:color="auto" w:sz="4" w:space="0"/>
            </w:tcBorders>
            <w:noWrap/>
            <w:vAlign w:val="center"/>
          </w:tcPr>
          <w:p w14:paraId="2DB13430">
            <w:pPr>
              <w:pStyle w:val="34"/>
              <w:ind w:firstLine="240" w:firstLineChars="1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招标文件要求提交的用于评审的证书、证件、</w:t>
            </w:r>
            <w:r>
              <w:rPr>
                <w:rFonts w:hint="eastAsia" w:asciiTheme="minorEastAsia" w:hAnsiTheme="minorEastAsia" w:eastAsiaTheme="minorEastAsia" w:cstheme="minorEastAsia"/>
                <w:snapToGrid w:val="0"/>
                <w:color w:val="auto"/>
                <w:kern w:val="0"/>
                <w:sz w:val="24"/>
                <w:szCs w:val="24"/>
                <w:highlight w:val="none"/>
              </w:rPr>
              <w:t>凭证</w:t>
            </w:r>
            <w:r>
              <w:rPr>
                <w:rFonts w:hint="eastAsia" w:asciiTheme="minorEastAsia" w:hAnsiTheme="minorEastAsia" w:eastAsiaTheme="minorEastAsia" w:cstheme="minorEastAsia"/>
                <w:color w:val="auto"/>
                <w:sz w:val="24"/>
                <w:szCs w:val="24"/>
                <w:highlight w:val="none"/>
              </w:rPr>
              <w:t>原件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如有</w:t>
            </w:r>
            <w:r>
              <w:rPr>
                <w:rFonts w:hint="eastAsia" w:asciiTheme="minorEastAsia" w:hAnsiTheme="minorEastAsia" w:eastAsiaTheme="minorEastAsia" w:cstheme="minorEastAsia"/>
                <w:color w:val="auto"/>
                <w:sz w:val="24"/>
                <w:szCs w:val="24"/>
                <w:highlight w:val="none"/>
                <w:lang w:eastAsia="zh-CN"/>
              </w:rPr>
              <w:t>）</w:t>
            </w:r>
          </w:p>
        </w:tc>
        <w:tc>
          <w:tcPr>
            <w:tcW w:w="7183" w:type="dxa"/>
            <w:tcBorders>
              <w:top w:val="single" w:color="auto" w:sz="4" w:space="0"/>
              <w:left w:val="single" w:color="auto" w:sz="4" w:space="0"/>
              <w:bottom w:val="single" w:color="auto" w:sz="4" w:space="0"/>
              <w:right w:val="single" w:color="auto" w:sz="4" w:space="0"/>
            </w:tcBorders>
            <w:noWrap/>
            <w:vAlign w:val="center"/>
          </w:tcPr>
          <w:p w14:paraId="60A9D101">
            <w:pPr>
              <w:pStyle w:val="34"/>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投标人在递交纸质投标文件时须</w:t>
            </w:r>
            <w:r>
              <w:rPr>
                <w:rFonts w:hint="eastAsia" w:asciiTheme="minorEastAsia" w:hAnsiTheme="minorEastAsia" w:eastAsiaTheme="minorEastAsia" w:cstheme="minorEastAsia"/>
                <w:snapToGrid w:val="0"/>
                <w:color w:val="auto"/>
                <w:kern w:val="0"/>
                <w:sz w:val="24"/>
                <w:szCs w:val="24"/>
                <w:highlight w:val="none"/>
              </w:rPr>
              <w:t>提交用于评审的证书、证件、证明原件</w:t>
            </w:r>
            <w:r>
              <w:rPr>
                <w:rFonts w:hint="eastAsia" w:asciiTheme="minorEastAsia" w:hAnsiTheme="minorEastAsia" w:eastAsiaTheme="minorEastAsia" w:cstheme="minorEastAsia"/>
                <w:color w:val="auto"/>
                <w:sz w:val="24"/>
                <w:szCs w:val="24"/>
                <w:highlight w:val="none"/>
              </w:rPr>
              <w:t>的，投标人应自行将所需原件密封于文件袋（箱）中，并自行准备两张“原件一览表”（详见格式十四，投标人须自行填写，表格可扩展），一张贴于文件袋（箱），一张在递交时由投标人、招标代理人签字。招标代理机构仅代签收，不对文件袋（箱）中资料的数量、内容及真实性负责。评标结束后，招标代理人将退回投标人的原件。若投标人未按要求提交相应证明材料原件或投标文件中证明材料的彩色扫描件与原件不一致，评审时相应证明材料不予认可。</w:t>
            </w:r>
          </w:p>
        </w:tc>
      </w:tr>
      <w:tr w14:paraId="7F8A8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6"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F927BD1">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c>
          <w:tcPr>
            <w:tcW w:w="2070" w:type="dxa"/>
            <w:tcBorders>
              <w:top w:val="single" w:color="auto" w:sz="4" w:space="0"/>
              <w:left w:val="single" w:color="auto" w:sz="4" w:space="0"/>
              <w:bottom w:val="single" w:color="auto" w:sz="4" w:space="0"/>
              <w:right w:val="single" w:color="auto" w:sz="4" w:space="0"/>
            </w:tcBorders>
            <w:noWrap/>
            <w:vAlign w:val="center"/>
          </w:tcPr>
          <w:p w14:paraId="1D0BE78C">
            <w:pPr>
              <w:snapToGrid w:val="0"/>
              <w:spacing w:beforeLines="50"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招标代理服务费</w:t>
            </w:r>
          </w:p>
        </w:tc>
        <w:tc>
          <w:tcPr>
            <w:tcW w:w="7183" w:type="dxa"/>
            <w:tcBorders>
              <w:top w:val="single" w:color="auto" w:sz="4" w:space="0"/>
              <w:left w:val="single" w:color="auto" w:sz="4" w:space="0"/>
              <w:bottom w:val="single" w:color="auto" w:sz="4" w:space="0"/>
              <w:right w:val="single" w:color="auto" w:sz="4" w:space="0"/>
            </w:tcBorders>
            <w:noWrap/>
            <w:vAlign w:val="center"/>
          </w:tcPr>
          <w:p w14:paraId="5B60D9EE">
            <w:pPr>
              <w:adjustRightInd w:val="0"/>
              <w:snapToGrid w:val="0"/>
              <w:spacing w:line="360" w:lineRule="auto"/>
              <w:ind w:firstLine="480" w:firstLineChars="200"/>
              <w:jc w:val="left"/>
              <w:rPr>
                <w:rFonts w:hint="eastAsia" w:asciiTheme="minorEastAsia" w:hAnsiTheme="minorEastAsia" w:eastAsiaTheme="minorEastAsia" w:cstheme="minorEastAsia"/>
                <w:b w:val="0"/>
                <w:bCs w:val="0"/>
                <w:snapToGrid w:val="0"/>
                <w:color w:val="auto"/>
                <w:kern w:val="0"/>
                <w:sz w:val="24"/>
                <w:szCs w:val="24"/>
                <w:highlight w:val="none"/>
              </w:rPr>
            </w:pPr>
            <w:r>
              <w:rPr>
                <w:rFonts w:hint="eastAsia" w:asciiTheme="minorEastAsia" w:hAnsiTheme="minorEastAsia" w:eastAsiaTheme="minorEastAsia" w:cstheme="minorEastAsia"/>
                <w:b w:val="0"/>
                <w:bCs w:val="0"/>
                <w:snapToGrid w:val="0"/>
                <w:color w:val="auto"/>
                <w:kern w:val="0"/>
                <w:sz w:val="24"/>
                <w:szCs w:val="24"/>
                <w:highlight w:val="none"/>
              </w:rPr>
              <w:t>本项目的招标代理服务费及评标专家酬劳（包括食宿费用、交通费、专家评审劳务费等）由中标人支付。本项目的招标代理服务费参照《关于印发&lt;招标代理服务收费管理暂行办法&gt;的通知》计价格[2002]1980号文计算</w:t>
            </w:r>
            <w:r>
              <w:rPr>
                <w:rFonts w:hint="eastAsia" w:asciiTheme="minorEastAsia" w:hAnsiTheme="minorEastAsia" w:eastAsiaTheme="minorEastAsia" w:cstheme="minorEastAsia"/>
                <w:b w:val="0"/>
                <w:bCs w:val="0"/>
                <w:snapToGrid w:val="0"/>
                <w:color w:val="auto"/>
                <w:kern w:val="0"/>
                <w:sz w:val="24"/>
                <w:szCs w:val="24"/>
                <w:highlight w:val="none"/>
                <w:lang w:val="en-US" w:eastAsia="zh-CN"/>
              </w:rPr>
              <w:t>并下浮20%作为</w:t>
            </w:r>
            <w:r>
              <w:rPr>
                <w:rFonts w:hint="eastAsia" w:asciiTheme="minorEastAsia" w:hAnsiTheme="minorEastAsia" w:eastAsiaTheme="minorEastAsia" w:cstheme="minorEastAsia"/>
                <w:b w:val="0"/>
                <w:bCs w:val="0"/>
                <w:snapToGrid w:val="0"/>
                <w:color w:val="auto"/>
                <w:kern w:val="0"/>
                <w:sz w:val="24"/>
                <w:szCs w:val="24"/>
                <w:highlight w:val="none"/>
              </w:rPr>
              <w:t>本项目的招标代理服务费，评标专家酬劳由招标代理机构先行垫付，中标人须在中标候选人公示结束后,领取中标通知书前须向招标代理机构一次性付清招标代理服务费及评标专家酬劳，方可领取中标通知书。</w:t>
            </w:r>
          </w:p>
          <w:p w14:paraId="22B3739C">
            <w:pPr>
              <w:adjustRightInd w:val="0"/>
              <w:snapToGrid w:val="0"/>
              <w:spacing w:line="360" w:lineRule="auto"/>
              <w:ind w:firstLine="482"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rPr>
              <w:t>注：参与投标视为认可该条款。</w:t>
            </w:r>
          </w:p>
        </w:tc>
      </w:tr>
      <w:tr w14:paraId="10ED6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952389B">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31</w:t>
            </w:r>
          </w:p>
        </w:tc>
        <w:tc>
          <w:tcPr>
            <w:tcW w:w="2070" w:type="dxa"/>
            <w:tcBorders>
              <w:top w:val="single" w:color="auto" w:sz="4" w:space="0"/>
              <w:left w:val="single" w:color="auto" w:sz="4" w:space="0"/>
              <w:bottom w:val="single" w:color="auto" w:sz="4" w:space="0"/>
              <w:right w:val="single" w:color="auto" w:sz="4" w:space="0"/>
            </w:tcBorders>
            <w:noWrap/>
            <w:vAlign w:val="center"/>
          </w:tcPr>
          <w:p w14:paraId="65CC5BDD">
            <w:pPr>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招标人</w:t>
            </w:r>
          </w:p>
          <w:p w14:paraId="37A143E2">
            <w:pPr>
              <w:wordWrap w:val="0"/>
              <w:adjustRightInd w:val="0"/>
              <w:snapToGrid w:val="0"/>
              <w:spacing w:line="36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napToGrid w:val="0"/>
                <w:color w:val="auto"/>
                <w:kern w:val="0"/>
                <w:sz w:val="24"/>
                <w:szCs w:val="24"/>
                <w:highlight w:val="none"/>
              </w:rPr>
              <w:t>联系方式</w:t>
            </w:r>
          </w:p>
        </w:tc>
        <w:tc>
          <w:tcPr>
            <w:tcW w:w="7183" w:type="dxa"/>
            <w:tcBorders>
              <w:top w:val="single" w:color="auto" w:sz="4" w:space="0"/>
              <w:left w:val="single" w:color="auto" w:sz="4" w:space="0"/>
              <w:bottom w:val="single" w:color="auto" w:sz="4" w:space="0"/>
              <w:right w:val="single" w:color="auto" w:sz="4" w:space="0"/>
            </w:tcBorders>
            <w:noWrap/>
            <w:vAlign w:val="center"/>
          </w:tcPr>
          <w:p w14:paraId="652D54E2">
            <w:pPr>
              <w:wordWrap w:val="0"/>
              <w:adjustRightInd w:val="0"/>
              <w:snapToGrid w:val="0"/>
              <w:spacing w:line="400" w:lineRule="exact"/>
              <w:ind w:firstLine="240" w:firstLineChars="100"/>
              <w:jc w:val="left"/>
              <w:rPr>
                <w:rFonts w:hint="eastAsia" w:ascii="宋体" w:hAnsi="宋体" w:eastAsia="宋体" w:cs="宋体"/>
                <w:b w:val="0"/>
                <w:bCs w:val="0"/>
                <w:snapToGrid w:val="0"/>
                <w:color w:val="auto"/>
                <w:kern w:val="0"/>
                <w:sz w:val="24"/>
                <w:szCs w:val="24"/>
                <w:highlight w:val="none"/>
                <w:lang w:eastAsia="zh-CN"/>
              </w:rPr>
            </w:pPr>
            <w:r>
              <w:rPr>
                <w:rFonts w:hint="eastAsia" w:ascii="宋体" w:hAnsi="宋体" w:eastAsia="宋体" w:cs="宋体"/>
                <w:b w:val="0"/>
                <w:bCs w:val="0"/>
                <w:snapToGrid w:val="0"/>
                <w:color w:val="auto"/>
                <w:kern w:val="0"/>
                <w:sz w:val="24"/>
                <w:szCs w:val="24"/>
                <w:highlight w:val="none"/>
              </w:rPr>
              <w:t>单位名称：</w:t>
            </w:r>
            <w:r>
              <w:rPr>
                <w:rFonts w:hint="eastAsia" w:ascii="宋体" w:hAnsi="宋体" w:eastAsia="宋体" w:cs="宋体"/>
                <w:b w:val="0"/>
                <w:bCs w:val="0"/>
                <w:snapToGrid w:val="0"/>
                <w:color w:val="auto"/>
                <w:kern w:val="0"/>
                <w:sz w:val="24"/>
                <w:szCs w:val="24"/>
                <w:highlight w:val="none"/>
                <w:lang w:eastAsia="zh-CN"/>
              </w:rPr>
              <w:t>南雄市乌迳镇人民政府</w:t>
            </w:r>
          </w:p>
          <w:p w14:paraId="131186C7">
            <w:pPr>
              <w:wordWrap w:val="0"/>
              <w:adjustRightInd w:val="0"/>
              <w:snapToGrid w:val="0"/>
              <w:spacing w:line="400" w:lineRule="exact"/>
              <w:ind w:firstLine="240" w:firstLineChars="100"/>
              <w:jc w:val="left"/>
              <w:rPr>
                <w:rFonts w:hint="eastAsia" w:ascii="宋体" w:hAnsi="宋体" w:eastAsia="宋体" w:cs="宋体"/>
                <w:b w:val="0"/>
                <w:bCs w:val="0"/>
                <w:snapToGrid w:val="0"/>
                <w:color w:val="auto"/>
                <w:kern w:val="0"/>
                <w:sz w:val="24"/>
                <w:szCs w:val="24"/>
                <w:highlight w:val="none"/>
                <w:lang w:eastAsia="zh-CN"/>
              </w:rPr>
            </w:pPr>
            <w:r>
              <w:rPr>
                <w:rFonts w:hint="eastAsia" w:ascii="宋体" w:hAnsi="宋体" w:eastAsia="宋体" w:cs="宋体"/>
                <w:b w:val="0"/>
                <w:bCs w:val="0"/>
                <w:snapToGrid w:val="0"/>
                <w:color w:val="auto"/>
                <w:kern w:val="0"/>
                <w:sz w:val="24"/>
                <w:szCs w:val="24"/>
                <w:highlight w:val="none"/>
              </w:rPr>
              <w:t>办公地址：</w:t>
            </w:r>
            <w:r>
              <w:rPr>
                <w:rFonts w:hint="eastAsia" w:ascii="宋体" w:hAnsi="宋体" w:eastAsia="宋体" w:cs="宋体"/>
                <w:b w:val="0"/>
                <w:bCs w:val="0"/>
                <w:snapToGrid w:val="0"/>
                <w:color w:val="auto"/>
                <w:kern w:val="0"/>
                <w:sz w:val="24"/>
                <w:szCs w:val="24"/>
                <w:highlight w:val="none"/>
                <w:lang w:eastAsia="zh-CN"/>
              </w:rPr>
              <w:t>韶关市南雄市乌迳镇342省道文化广场对面</w:t>
            </w:r>
            <w:r>
              <w:rPr>
                <w:rFonts w:hint="eastAsia" w:ascii="宋体" w:hAnsi="宋体" w:eastAsia="宋体" w:cs="宋体"/>
                <w:b w:val="0"/>
                <w:bCs w:val="0"/>
                <w:snapToGrid w:val="0"/>
                <w:color w:val="auto"/>
                <w:kern w:val="0"/>
                <w:sz w:val="24"/>
                <w:szCs w:val="24"/>
                <w:highlight w:val="none"/>
                <w:lang w:val="en-US" w:eastAsia="zh-CN"/>
              </w:rPr>
              <w:t xml:space="preserve"> </w:t>
            </w:r>
          </w:p>
          <w:p w14:paraId="2D88C34B">
            <w:pPr>
              <w:wordWrap w:val="0"/>
              <w:adjustRightInd w:val="0"/>
              <w:snapToGrid w:val="0"/>
              <w:spacing w:line="400" w:lineRule="exact"/>
              <w:ind w:firstLine="240" w:firstLineChars="100"/>
              <w:jc w:val="left"/>
              <w:rPr>
                <w:rFonts w:hint="eastAsia" w:ascii="宋体" w:hAnsi="宋体" w:eastAsia="宋体" w:cs="宋体"/>
                <w:b w:val="0"/>
                <w:bCs w:val="0"/>
                <w:snapToGrid w:val="0"/>
                <w:color w:val="auto"/>
                <w:kern w:val="0"/>
                <w:sz w:val="24"/>
                <w:szCs w:val="24"/>
                <w:highlight w:val="none"/>
                <w:lang w:val="en-US"/>
              </w:rPr>
            </w:pPr>
            <w:r>
              <w:rPr>
                <w:rFonts w:hint="eastAsia" w:ascii="宋体" w:hAnsi="宋体" w:eastAsia="宋体" w:cs="宋体"/>
                <w:b w:val="0"/>
                <w:bCs w:val="0"/>
                <w:snapToGrid w:val="0"/>
                <w:color w:val="auto"/>
                <w:kern w:val="0"/>
                <w:sz w:val="24"/>
                <w:szCs w:val="24"/>
                <w:highlight w:val="none"/>
              </w:rPr>
              <w:t>联系人（部门）：</w:t>
            </w:r>
            <w:r>
              <w:rPr>
                <w:rFonts w:hint="eastAsia" w:ascii="宋体" w:hAnsi="宋体" w:eastAsia="宋体" w:cs="宋体"/>
                <w:b w:val="0"/>
                <w:bCs w:val="0"/>
                <w:snapToGrid w:val="0"/>
                <w:color w:val="auto"/>
                <w:kern w:val="0"/>
                <w:sz w:val="24"/>
                <w:szCs w:val="24"/>
                <w:highlight w:val="none"/>
                <w:lang w:val="en-US" w:eastAsia="zh-CN"/>
              </w:rPr>
              <w:t>林先生</w:t>
            </w:r>
          </w:p>
          <w:p w14:paraId="4D93B340">
            <w:pPr>
              <w:wordWrap w:val="0"/>
              <w:adjustRightInd w:val="0"/>
              <w:snapToGrid w:val="0"/>
              <w:spacing w:line="400" w:lineRule="exact"/>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val="0"/>
                <w:bCs w:val="0"/>
                <w:snapToGrid w:val="0"/>
                <w:color w:val="auto"/>
                <w:kern w:val="0"/>
                <w:sz w:val="24"/>
                <w:szCs w:val="24"/>
                <w:highlight w:val="none"/>
              </w:rPr>
              <w:t>电话：</w:t>
            </w:r>
            <w:r>
              <w:rPr>
                <w:rFonts w:hint="eastAsia" w:ascii="宋体" w:hAnsi="宋体" w:eastAsia="宋体" w:cs="宋体"/>
                <w:b w:val="0"/>
                <w:bCs w:val="0"/>
                <w:snapToGrid w:val="0"/>
                <w:color w:val="auto"/>
                <w:kern w:val="0"/>
                <w:sz w:val="24"/>
                <w:szCs w:val="24"/>
                <w:highlight w:val="none"/>
                <w:lang w:eastAsia="zh-CN"/>
              </w:rPr>
              <w:t>0751-3752001</w:t>
            </w:r>
          </w:p>
        </w:tc>
      </w:tr>
      <w:tr w14:paraId="1F4EC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295BFB7">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32</w:t>
            </w:r>
          </w:p>
        </w:tc>
        <w:tc>
          <w:tcPr>
            <w:tcW w:w="2070" w:type="dxa"/>
            <w:tcBorders>
              <w:top w:val="single" w:color="auto" w:sz="4" w:space="0"/>
              <w:left w:val="single" w:color="auto" w:sz="4" w:space="0"/>
              <w:bottom w:val="single" w:color="auto" w:sz="4" w:space="0"/>
              <w:right w:val="single" w:color="auto" w:sz="4" w:space="0"/>
            </w:tcBorders>
            <w:noWrap/>
            <w:vAlign w:val="center"/>
          </w:tcPr>
          <w:p w14:paraId="5E16188F">
            <w:pPr>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招标代理机构</w:t>
            </w:r>
          </w:p>
          <w:p w14:paraId="4F5E6971">
            <w:pPr>
              <w:wordWrap w:val="0"/>
              <w:adjustRightInd w:val="0"/>
              <w:snapToGrid w:val="0"/>
              <w:spacing w:line="36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napToGrid w:val="0"/>
                <w:color w:val="auto"/>
                <w:kern w:val="0"/>
                <w:sz w:val="24"/>
                <w:szCs w:val="24"/>
                <w:highlight w:val="none"/>
              </w:rPr>
              <w:t>联系方式</w:t>
            </w:r>
          </w:p>
        </w:tc>
        <w:tc>
          <w:tcPr>
            <w:tcW w:w="7183" w:type="dxa"/>
            <w:tcBorders>
              <w:top w:val="single" w:color="auto" w:sz="4" w:space="0"/>
              <w:left w:val="single" w:color="auto" w:sz="4" w:space="0"/>
              <w:bottom w:val="single" w:color="auto" w:sz="4" w:space="0"/>
              <w:right w:val="single" w:color="auto" w:sz="4" w:space="0"/>
            </w:tcBorders>
            <w:noWrap/>
            <w:vAlign w:val="center"/>
          </w:tcPr>
          <w:p w14:paraId="48BBF752">
            <w:pPr>
              <w:wordWrap w:val="0"/>
              <w:adjustRightInd w:val="0"/>
              <w:snapToGrid w:val="0"/>
              <w:spacing w:line="400" w:lineRule="exact"/>
              <w:ind w:firstLine="240" w:firstLineChars="100"/>
              <w:jc w:val="left"/>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单位名称：</w:t>
            </w:r>
            <w:r>
              <w:rPr>
                <w:rFonts w:hint="eastAsia" w:ascii="宋体" w:hAnsi="宋体" w:eastAsia="宋体" w:cs="宋体"/>
                <w:snapToGrid w:val="0"/>
                <w:color w:val="auto"/>
                <w:kern w:val="0"/>
                <w:sz w:val="24"/>
                <w:szCs w:val="24"/>
                <w:highlight w:val="none"/>
                <w:lang w:eastAsia="zh-CN"/>
              </w:rPr>
              <w:t>中创名建工程管理集团有限公司</w:t>
            </w:r>
          </w:p>
          <w:p w14:paraId="708DC607">
            <w:pPr>
              <w:wordWrap w:val="0"/>
              <w:adjustRightInd w:val="0"/>
              <w:snapToGrid w:val="0"/>
              <w:spacing w:line="400" w:lineRule="exact"/>
              <w:ind w:firstLine="240" w:firstLineChars="100"/>
              <w:jc w:val="left"/>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办公地址：</w:t>
            </w:r>
            <w:r>
              <w:rPr>
                <w:rFonts w:hint="eastAsia" w:ascii="宋体" w:hAnsi="宋体" w:eastAsia="宋体" w:cs="宋体"/>
                <w:snapToGrid w:val="0"/>
                <w:color w:val="auto"/>
                <w:kern w:val="0"/>
                <w:sz w:val="24"/>
                <w:szCs w:val="24"/>
                <w:highlight w:val="none"/>
                <w:lang w:eastAsia="zh-CN"/>
              </w:rPr>
              <w:t>韶关市武江区惠民南路7号3楼301房</w:t>
            </w:r>
          </w:p>
          <w:p w14:paraId="4A8C65DA">
            <w:pPr>
              <w:wordWrap w:val="0"/>
              <w:adjustRightInd w:val="0"/>
              <w:snapToGrid w:val="0"/>
              <w:spacing w:line="400" w:lineRule="exact"/>
              <w:ind w:firstLine="240" w:firstLineChars="10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联系人(部门)：</w:t>
            </w:r>
            <w:r>
              <w:rPr>
                <w:rFonts w:hint="eastAsia" w:ascii="宋体" w:hAnsi="宋体" w:eastAsia="宋体" w:cs="宋体"/>
                <w:snapToGrid w:val="0"/>
                <w:color w:val="auto"/>
                <w:kern w:val="0"/>
                <w:sz w:val="24"/>
                <w:szCs w:val="24"/>
                <w:highlight w:val="none"/>
                <w:lang w:val="en-US" w:eastAsia="zh-CN"/>
              </w:rPr>
              <w:t>谢工</w:t>
            </w:r>
          </w:p>
          <w:p w14:paraId="5CE1CA6D">
            <w:pPr>
              <w:wordWrap w:val="0"/>
              <w:adjustRightInd w:val="0"/>
              <w:snapToGrid w:val="0"/>
              <w:spacing w:line="400" w:lineRule="exact"/>
              <w:ind w:firstLine="240" w:firstLineChars="100"/>
              <w:jc w:val="left"/>
              <w:rPr>
                <w:rFonts w:hint="eastAsia" w:asciiTheme="minorEastAsia" w:hAnsiTheme="minorEastAsia" w:eastAsiaTheme="minorEastAsia" w:cstheme="minorEastAsia"/>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联系电话：</w:t>
            </w:r>
            <w:r>
              <w:rPr>
                <w:rFonts w:hint="eastAsia" w:ascii="宋体" w:hAnsi="宋体" w:eastAsia="宋体" w:cs="宋体"/>
                <w:snapToGrid w:val="0"/>
                <w:color w:val="auto"/>
                <w:kern w:val="0"/>
                <w:sz w:val="24"/>
                <w:szCs w:val="24"/>
                <w:highlight w:val="none"/>
                <w:lang w:eastAsia="zh-CN"/>
              </w:rPr>
              <w:t>15119172803</w:t>
            </w:r>
          </w:p>
        </w:tc>
      </w:tr>
      <w:tr w14:paraId="17AA8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28"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D2D2BF8">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33</w:t>
            </w:r>
          </w:p>
        </w:tc>
        <w:tc>
          <w:tcPr>
            <w:tcW w:w="2070" w:type="dxa"/>
            <w:tcBorders>
              <w:top w:val="single" w:color="auto" w:sz="4" w:space="0"/>
              <w:left w:val="single" w:color="auto" w:sz="4" w:space="0"/>
              <w:bottom w:val="single" w:color="auto" w:sz="4" w:space="0"/>
              <w:right w:val="single" w:color="auto" w:sz="4" w:space="0"/>
            </w:tcBorders>
            <w:noWrap/>
            <w:vAlign w:val="center"/>
          </w:tcPr>
          <w:p w14:paraId="40104432">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交易场所</w:t>
            </w:r>
          </w:p>
          <w:p w14:paraId="49BD1E6B">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联系方式</w:t>
            </w:r>
          </w:p>
        </w:tc>
        <w:tc>
          <w:tcPr>
            <w:tcW w:w="7183" w:type="dxa"/>
            <w:tcBorders>
              <w:top w:val="single" w:color="auto" w:sz="4" w:space="0"/>
              <w:left w:val="single" w:color="auto" w:sz="4" w:space="0"/>
              <w:bottom w:val="single" w:color="auto" w:sz="4" w:space="0"/>
              <w:right w:val="single" w:color="auto" w:sz="4" w:space="0"/>
            </w:tcBorders>
            <w:noWrap/>
            <w:vAlign w:val="center"/>
          </w:tcPr>
          <w:p w14:paraId="1EF589B9">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单位名称：韶关市公共资源交易中心</w:t>
            </w:r>
          </w:p>
          <w:p w14:paraId="43324816">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办公地址：韶关市公共资源交易中心南雄分中心（南雄市雄东路1号大润发四楼）南雄市公共服务中心内</w:t>
            </w:r>
          </w:p>
          <w:p w14:paraId="55BBFA5E">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联系人（部门）：工程交易部</w:t>
            </w:r>
          </w:p>
          <w:p w14:paraId="7EB3992F">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联系电话： 0751-3860729</w:t>
            </w:r>
          </w:p>
        </w:tc>
      </w:tr>
      <w:tr w14:paraId="57B03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569AA4B">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34</w:t>
            </w:r>
          </w:p>
        </w:tc>
        <w:tc>
          <w:tcPr>
            <w:tcW w:w="2070" w:type="dxa"/>
            <w:tcBorders>
              <w:top w:val="single" w:color="auto" w:sz="4" w:space="0"/>
              <w:left w:val="single" w:color="auto" w:sz="4" w:space="0"/>
              <w:bottom w:val="single" w:color="auto" w:sz="4" w:space="0"/>
              <w:right w:val="single" w:color="auto" w:sz="4" w:space="0"/>
            </w:tcBorders>
            <w:noWrap/>
            <w:vAlign w:val="center"/>
          </w:tcPr>
          <w:p w14:paraId="25F16557">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行政监督部门</w:t>
            </w:r>
          </w:p>
          <w:p w14:paraId="368588DE">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联系方式</w:t>
            </w:r>
          </w:p>
        </w:tc>
        <w:tc>
          <w:tcPr>
            <w:tcW w:w="7183" w:type="dxa"/>
            <w:tcBorders>
              <w:top w:val="single" w:color="auto" w:sz="4" w:space="0"/>
              <w:left w:val="single" w:color="auto" w:sz="4" w:space="0"/>
              <w:bottom w:val="single" w:color="auto" w:sz="4" w:space="0"/>
              <w:right w:val="single" w:color="auto" w:sz="4" w:space="0"/>
            </w:tcBorders>
            <w:noWrap/>
            <w:vAlign w:val="center"/>
          </w:tcPr>
          <w:p w14:paraId="47DEC464">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单位名称：南雄市住房和城乡建设局</w:t>
            </w:r>
          </w:p>
          <w:p w14:paraId="4E375ED5">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办公地址：南雄市新城沿江东路143号三楼 </w:t>
            </w:r>
          </w:p>
          <w:p w14:paraId="3F4A5E5C">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联系人（部门）：建筑业市场管理股</w:t>
            </w:r>
          </w:p>
          <w:p w14:paraId="7F7E1093">
            <w:pPr>
              <w:wordWrap w:val="0"/>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联系电话：0751-3823847 </w:t>
            </w:r>
          </w:p>
        </w:tc>
      </w:tr>
      <w:bookmarkEnd w:id="4"/>
    </w:tbl>
    <w:p w14:paraId="13A9FF01">
      <w:pPr>
        <w:pStyle w:val="4"/>
        <w:wordWrap w:val="0"/>
        <w:autoSpaceDE/>
        <w:autoSpaceDN/>
        <w:snapToGrid w:val="0"/>
        <w:spacing w:after="260" w:line="440" w:lineRule="exact"/>
        <w:jc w:val="both"/>
        <w:rPr>
          <w:rFonts w:hint="eastAsia" w:asciiTheme="minorEastAsia" w:hAnsiTheme="minorEastAsia" w:eastAsiaTheme="minorEastAsia" w:cstheme="minorEastAsia"/>
          <w:b/>
          <w:color w:val="auto"/>
          <w:kern w:val="2"/>
          <w:highlight w:val="none"/>
        </w:rPr>
      </w:pPr>
      <w:bookmarkStart w:id="5" w:name="_Toc122859103"/>
      <w:bookmarkStart w:id="6" w:name="_Toc122671103"/>
      <w:bookmarkStart w:id="7" w:name="_Toc122769943"/>
      <w:r>
        <w:rPr>
          <w:rFonts w:hint="eastAsia" w:asciiTheme="minorEastAsia" w:hAnsiTheme="minorEastAsia" w:eastAsiaTheme="minorEastAsia" w:cstheme="minorEastAsia"/>
          <w:b/>
          <w:color w:val="auto"/>
          <w:kern w:val="2"/>
          <w:highlight w:val="none"/>
        </w:rPr>
        <w:br w:type="page"/>
      </w:r>
      <w:bookmarkEnd w:id="5"/>
      <w:bookmarkEnd w:id="6"/>
      <w:bookmarkEnd w:id="7"/>
      <w:bookmarkStart w:id="8" w:name="_Toc13395"/>
      <w:r>
        <w:rPr>
          <w:rFonts w:hint="eastAsia" w:asciiTheme="minorEastAsia" w:hAnsiTheme="minorEastAsia" w:eastAsiaTheme="minorEastAsia" w:cstheme="minorEastAsia"/>
          <w:b/>
          <w:color w:val="auto"/>
          <w:kern w:val="2"/>
          <w:szCs w:val="24"/>
          <w:highlight w:val="none"/>
        </w:rPr>
        <w:t>第二节.重要事项时间地点一览表.</w:t>
      </w:r>
      <w:bookmarkEnd w:id="8"/>
    </w:p>
    <w:tbl>
      <w:tblPr>
        <w:tblStyle w:val="21"/>
        <w:tblW w:w="969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04"/>
        <w:gridCol w:w="1610"/>
        <w:gridCol w:w="7585"/>
      </w:tblGrid>
      <w:tr w14:paraId="22168A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2"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17063ED9">
            <w:pPr>
              <w:pStyle w:val="37"/>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1</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27EE3730">
            <w:pPr>
              <w:pStyle w:val="37"/>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招标公告</w:t>
            </w:r>
          </w:p>
          <w:p w14:paraId="59A2B6BD">
            <w:pPr>
              <w:pStyle w:val="37"/>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 xml:space="preserve">发布时间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FDE5BF9">
            <w:pPr>
              <w:pStyle w:val="37"/>
              <w:wordWrap w:val="0"/>
              <w:adjustRightInd w:val="0"/>
              <w:snapToGrid w:val="0"/>
              <w:spacing w:line="400" w:lineRule="exact"/>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u w:val="single"/>
                <w:lang w:bidi="ar"/>
              </w:rPr>
              <w:t>202</w:t>
            </w:r>
            <w:r>
              <w:rPr>
                <w:rFonts w:hint="eastAsia" w:asciiTheme="minorEastAsia" w:hAnsiTheme="minorEastAsia" w:eastAsiaTheme="minorEastAsia" w:cstheme="minorEastAsia"/>
                <w:color w:val="auto"/>
                <w:kern w:val="0"/>
                <w:sz w:val="24"/>
                <w:highlight w:val="none"/>
                <w:u w:val="single"/>
                <w:lang w:val="en-US" w:eastAsia="zh-CN" w:bidi="ar"/>
              </w:rPr>
              <w:t>4</w:t>
            </w:r>
            <w:r>
              <w:rPr>
                <w:rFonts w:hint="eastAsia" w:asciiTheme="minorEastAsia" w:hAnsiTheme="minorEastAsia" w:eastAsiaTheme="minorEastAsia" w:cstheme="minorEastAsia"/>
                <w:snapToGrid w:val="0"/>
                <w:color w:val="auto"/>
                <w:kern w:val="0"/>
                <w:sz w:val="24"/>
                <w:highlight w:val="none"/>
              </w:rPr>
              <w:t>年</w:t>
            </w:r>
            <w:r>
              <w:rPr>
                <w:rFonts w:hint="eastAsia" w:asciiTheme="minorEastAsia" w:hAnsiTheme="minorEastAsia" w:eastAsiaTheme="minorEastAsia" w:cstheme="minorEastAsia"/>
                <w:snapToGrid w:val="0"/>
                <w:color w:val="auto"/>
                <w:kern w:val="0"/>
                <w:sz w:val="24"/>
                <w:highlight w:val="none"/>
                <w:u w:val="single"/>
                <w:lang w:val="en-US" w:eastAsia="zh-CN"/>
              </w:rPr>
              <w:t>10</w:t>
            </w:r>
            <w:r>
              <w:rPr>
                <w:rFonts w:hint="eastAsia" w:asciiTheme="minorEastAsia" w:hAnsiTheme="minorEastAsia" w:eastAsiaTheme="minorEastAsia" w:cstheme="minorEastAsia"/>
                <w:snapToGrid w:val="0"/>
                <w:color w:val="auto"/>
                <w:kern w:val="0"/>
                <w:sz w:val="24"/>
                <w:highlight w:val="none"/>
              </w:rPr>
              <w:t>月</w:t>
            </w:r>
            <w:r>
              <w:rPr>
                <w:rFonts w:hint="eastAsia" w:asciiTheme="minorEastAsia" w:hAnsiTheme="minorEastAsia" w:eastAsiaTheme="minorEastAsia" w:cstheme="minorEastAsia"/>
                <w:snapToGrid w:val="0"/>
                <w:color w:val="auto"/>
                <w:kern w:val="0"/>
                <w:sz w:val="24"/>
                <w:highlight w:val="none"/>
                <w:u w:val="single"/>
                <w:lang w:val="en-US" w:eastAsia="zh-CN"/>
              </w:rPr>
              <w:t>12</w:t>
            </w:r>
            <w:r>
              <w:rPr>
                <w:rFonts w:hint="eastAsia" w:asciiTheme="minorEastAsia" w:hAnsiTheme="minorEastAsia" w:eastAsiaTheme="minorEastAsia" w:cstheme="minorEastAsia"/>
                <w:snapToGrid w:val="0"/>
                <w:color w:val="auto"/>
                <w:kern w:val="0"/>
                <w:sz w:val="24"/>
                <w:highlight w:val="none"/>
              </w:rPr>
              <w:t>日</w:t>
            </w:r>
            <w:r>
              <w:rPr>
                <w:rFonts w:hint="eastAsia" w:asciiTheme="minorEastAsia" w:hAnsiTheme="minorEastAsia" w:eastAsiaTheme="minorEastAsia" w:cstheme="minorEastAsia"/>
                <w:snapToGrid w:val="0"/>
                <w:color w:val="auto"/>
                <w:kern w:val="0"/>
                <w:sz w:val="24"/>
                <w:highlight w:val="none"/>
                <w:u w:val="single"/>
                <w:lang w:val="en-US" w:eastAsia="zh-CN"/>
              </w:rPr>
              <w:t>18</w:t>
            </w:r>
            <w:r>
              <w:rPr>
                <w:rFonts w:hint="eastAsia" w:asciiTheme="minorEastAsia" w:hAnsiTheme="minorEastAsia" w:eastAsiaTheme="minorEastAsia" w:cstheme="minorEastAsia"/>
                <w:snapToGrid w:val="0"/>
                <w:color w:val="auto"/>
                <w:kern w:val="0"/>
                <w:sz w:val="24"/>
                <w:highlight w:val="none"/>
              </w:rPr>
              <w:t>时</w:t>
            </w:r>
            <w:r>
              <w:rPr>
                <w:rFonts w:hint="eastAsia" w:asciiTheme="minorEastAsia" w:hAnsiTheme="minorEastAsia" w:eastAsiaTheme="minorEastAsia" w:cstheme="minorEastAsia"/>
                <w:snapToGrid w:val="0"/>
                <w:color w:val="auto"/>
                <w:kern w:val="0"/>
                <w:sz w:val="24"/>
                <w:highlight w:val="none"/>
                <w:u w:val="single"/>
              </w:rPr>
              <w:t>00</w:t>
            </w:r>
            <w:r>
              <w:rPr>
                <w:rFonts w:hint="eastAsia" w:asciiTheme="minorEastAsia" w:hAnsiTheme="minorEastAsia" w:eastAsiaTheme="minorEastAsia" w:cstheme="minorEastAsia"/>
                <w:snapToGrid w:val="0"/>
                <w:color w:val="auto"/>
                <w:kern w:val="0"/>
                <w:sz w:val="24"/>
                <w:highlight w:val="none"/>
              </w:rPr>
              <w:t>分</w:t>
            </w:r>
          </w:p>
        </w:tc>
      </w:tr>
      <w:tr w14:paraId="05A2E6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1"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4E9098B4">
            <w:pPr>
              <w:pStyle w:val="37"/>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2</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7D93DB6D">
            <w:pPr>
              <w:pStyle w:val="37"/>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 xml:space="preserve">获取招标文件截止时间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6068B54">
            <w:pPr>
              <w:pStyle w:val="37"/>
              <w:wordWrap w:val="0"/>
              <w:adjustRightInd w:val="0"/>
              <w:snapToGrid w:val="0"/>
              <w:spacing w:line="400" w:lineRule="exact"/>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u w:val="single"/>
                <w:lang w:bidi="ar"/>
              </w:rPr>
              <w:t>202</w:t>
            </w:r>
            <w:r>
              <w:rPr>
                <w:rFonts w:hint="eastAsia" w:asciiTheme="minorEastAsia" w:hAnsiTheme="minorEastAsia" w:eastAsiaTheme="minorEastAsia" w:cstheme="minorEastAsia"/>
                <w:color w:val="auto"/>
                <w:kern w:val="0"/>
                <w:sz w:val="24"/>
                <w:highlight w:val="none"/>
                <w:u w:val="single"/>
                <w:lang w:val="en-US" w:eastAsia="zh-CN" w:bidi="ar"/>
              </w:rPr>
              <w:t>4</w:t>
            </w:r>
            <w:r>
              <w:rPr>
                <w:rFonts w:hint="eastAsia" w:asciiTheme="minorEastAsia" w:hAnsiTheme="minorEastAsia" w:eastAsiaTheme="minorEastAsia" w:cstheme="minorEastAsia"/>
                <w:snapToGrid w:val="0"/>
                <w:color w:val="auto"/>
                <w:kern w:val="0"/>
                <w:sz w:val="24"/>
                <w:highlight w:val="none"/>
              </w:rPr>
              <w:t>年</w:t>
            </w:r>
            <w:r>
              <w:rPr>
                <w:rFonts w:hint="eastAsia" w:asciiTheme="minorEastAsia" w:hAnsiTheme="minorEastAsia" w:eastAsiaTheme="minorEastAsia" w:cstheme="minorEastAsia"/>
                <w:snapToGrid w:val="0"/>
                <w:color w:val="auto"/>
                <w:kern w:val="0"/>
                <w:sz w:val="24"/>
                <w:highlight w:val="none"/>
                <w:u w:val="single"/>
                <w:lang w:val="en-US" w:eastAsia="zh-CN"/>
              </w:rPr>
              <w:t>11</w:t>
            </w:r>
            <w:r>
              <w:rPr>
                <w:rFonts w:hint="eastAsia" w:asciiTheme="minorEastAsia" w:hAnsiTheme="minorEastAsia" w:eastAsiaTheme="minorEastAsia" w:cstheme="minorEastAsia"/>
                <w:snapToGrid w:val="0"/>
                <w:color w:val="auto"/>
                <w:kern w:val="0"/>
                <w:sz w:val="24"/>
                <w:highlight w:val="none"/>
              </w:rPr>
              <w:t>月</w:t>
            </w:r>
            <w:r>
              <w:rPr>
                <w:rFonts w:hint="eastAsia" w:asciiTheme="minorEastAsia" w:hAnsiTheme="minorEastAsia" w:eastAsiaTheme="minorEastAsia" w:cstheme="minorEastAsia"/>
                <w:snapToGrid w:val="0"/>
                <w:color w:val="auto"/>
                <w:kern w:val="0"/>
                <w:sz w:val="24"/>
                <w:highlight w:val="none"/>
                <w:u w:val="single"/>
                <w:lang w:val="en-US" w:eastAsia="zh-CN"/>
              </w:rPr>
              <w:t>05</w:t>
            </w:r>
            <w:r>
              <w:rPr>
                <w:rFonts w:hint="eastAsia" w:asciiTheme="minorEastAsia" w:hAnsiTheme="minorEastAsia" w:eastAsiaTheme="minorEastAsia" w:cstheme="minorEastAsia"/>
                <w:snapToGrid w:val="0"/>
                <w:color w:val="auto"/>
                <w:kern w:val="0"/>
                <w:sz w:val="24"/>
                <w:highlight w:val="none"/>
              </w:rPr>
              <w:t>日</w:t>
            </w:r>
            <w:r>
              <w:rPr>
                <w:rFonts w:hint="eastAsia" w:asciiTheme="minorEastAsia" w:hAnsiTheme="minorEastAsia" w:eastAsiaTheme="minorEastAsia" w:cstheme="minorEastAsia"/>
                <w:snapToGrid w:val="0"/>
                <w:color w:val="auto"/>
                <w:kern w:val="0"/>
                <w:sz w:val="24"/>
                <w:highlight w:val="none"/>
                <w:u w:val="single"/>
                <w:lang w:val="en-US" w:eastAsia="zh-CN"/>
              </w:rPr>
              <w:t>10</w:t>
            </w:r>
            <w:r>
              <w:rPr>
                <w:rFonts w:hint="eastAsia" w:asciiTheme="minorEastAsia" w:hAnsiTheme="minorEastAsia" w:eastAsiaTheme="minorEastAsia" w:cstheme="minorEastAsia"/>
                <w:snapToGrid w:val="0"/>
                <w:color w:val="auto"/>
                <w:kern w:val="0"/>
                <w:sz w:val="24"/>
                <w:highlight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0</w:t>
            </w:r>
            <w:r>
              <w:rPr>
                <w:rFonts w:hint="eastAsia" w:asciiTheme="minorEastAsia" w:hAnsiTheme="minorEastAsia" w:eastAsiaTheme="minorEastAsia" w:cstheme="minorEastAsia"/>
                <w:snapToGrid w:val="0"/>
                <w:color w:val="auto"/>
                <w:kern w:val="0"/>
                <w:sz w:val="24"/>
                <w:highlight w:val="none"/>
                <w:u w:val="single"/>
              </w:rPr>
              <w:t>0</w:t>
            </w:r>
            <w:r>
              <w:rPr>
                <w:rFonts w:hint="eastAsia" w:asciiTheme="minorEastAsia" w:hAnsiTheme="minorEastAsia" w:eastAsiaTheme="minorEastAsia" w:cstheme="minorEastAsia"/>
                <w:snapToGrid w:val="0"/>
                <w:color w:val="auto"/>
                <w:kern w:val="0"/>
                <w:sz w:val="24"/>
                <w:highlight w:val="none"/>
              </w:rPr>
              <w:t>分</w:t>
            </w:r>
          </w:p>
        </w:tc>
      </w:tr>
      <w:tr w14:paraId="5FC7B6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0"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71821A0A">
            <w:pPr>
              <w:pStyle w:val="37"/>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3</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06D0E338">
            <w:pPr>
              <w:pStyle w:val="37"/>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网上提问</w:t>
            </w:r>
          </w:p>
          <w:p w14:paraId="6FAF4569">
            <w:pPr>
              <w:pStyle w:val="37"/>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 xml:space="preserve">截止时间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4F229188">
            <w:pPr>
              <w:pStyle w:val="37"/>
              <w:wordWrap w:val="0"/>
              <w:adjustRightInd w:val="0"/>
              <w:snapToGrid w:val="0"/>
              <w:spacing w:line="400" w:lineRule="exact"/>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u w:val="single"/>
                <w:lang w:bidi="ar"/>
              </w:rPr>
              <w:t>202</w:t>
            </w:r>
            <w:r>
              <w:rPr>
                <w:rFonts w:hint="eastAsia" w:asciiTheme="minorEastAsia" w:hAnsiTheme="minorEastAsia" w:eastAsiaTheme="minorEastAsia" w:cstheme="minorEastAsia"/>
                <w:color w:val="auto"/>
                <w:kern w:val="0"/>
                <w:sz w:val="24"/>
                <w:highlight w:val="none"/>
                <w:u w:val="single"/>
                <w:lang w:val="en-US" w:eastAsia="zh-CN" w:bidi="ar"/>
              </w:rPr>
              <w:t>4</w:t>
            </w:r>
            <w:r>
              <w:rPr>
                <w:rFonts w:hint="eastAsia" w:asciiTheme="minorEastAsia" w:hAnsiTheme="minorEastAsia" w:eastAsiaTheme="minorEastAsia" w:cstheme="minorEastAsia"/>
                <w:snapToGrid w:val="0"/>
                <w:color w:val="auto"/>
                <w:kern w:val="0"/>
                <w:sz w:val="24"/>
                <w:highlight w:val="none"/>
              </w:rPr>
              <w:t>年</w:t>
            </w:r>
            <w:r>
              <w:rPr>
                <w:rFonts w:hint="eastAsia" w:asciiTheme="minorEastAsia" w:hAnsiTheme="minorEastAsia" w:eastAsiaTheme="minorEastAsia" w:cstheme="minorEastAsia"/>
                <w:snapToGrid w:val="0"/>
                <w:color w:val="auto"/>
                <w:kern w:val="0"/>
                <w:sz w:val="24"/>
                <w:highlight w:val="none"/>
                <w:u w:val="single"/>
                <w:lang w:val="en-US" w:eastAsia="zh-CN"/>
              </w:rPr>
              <w:t>10</w:t>
            </w:r>
            <w:r>
              <w:rPr>
                <w:rFonts w:hint="eastAsia" w:asciiTheme="minorEastAsia" w:hAnsiTheme="minorEastAsia" w:eastAsiaTheme="minorEastAsia" w:cstheme="minorEastAsia"/>
                <w:snapToGrid w:val="0"/>
                <w:color w:val="auto"/>
                <w:kern w:val="0"/>
                <w:sz w:val="24"/>
                <w:highlight w:val="none"/>
              </w:rPr>
              <w:t>月</w:t>
            </w:r>
            <w:r>
              <w:rPr>
                <w:rFonts w:hint="eastAsia" w:asciiTheme="minorEastAsia" w:hAnsiTheme="minorEastAsia" w:eastAsiaTheme="minorEastAsia" w:cstheme="minorEastAsia"/>
                <w:snapToGrid w:val="0"/>
                <w:color w:val="auto"/>
                <w:kern w:val="0"/>
                <w:sz w:val="24"/>
                <w:highlight w:val="none"/>
                <w:u w:val="single"/>
                <w:lang w:val="en-US" w:eastAsia="zh-CN"/>
              </w:rPr>
              <w:t>26</w:t>
            </w:r>
            <w:r>
              <w:rPr>
                <w:rFonts w:hint="eastAsia" w:asciiTheme="minorEastAsia" w:hAnsiTheme="minorEastAsia" w:eastAsiaTheme="minorEastAsia" w:cstheme="minorEastAsia"/>
                <w:snapToGrid w:val="0"/>
                <w:color w:val="auto"/>
                <w:kern w:val="0"/>
                <w:sz w:val="24"/>
                <w:highlight w:val="none"/>
              </w:rPr>
              <w:t>日</w:t>
            </w:r>
            <w:r>
              <w:rPr>
                <w:rFonts w:hint="eastAsia" w:asciiTheme="minorEastAsia" w:hAnsiTheme="minorEastAsia" w:eastAsiaTheme="minorEastAsia" w:cstheme="minorEastAsia"/>
                <w:snapToGrid w:val="0"/>
                <w:color w:val="auto"/>
                <w:kern w:val="0"/>
                <w:sz w:val="24"/>
                <w:highlight w:val="none"/>
                <w:u w:val="single"/>
              </w:rPr>
              <w:t>16</w:t>
            </w:r>
            <w:r>
              <w:rPr>
                <w:rFonts w:hint="eastAsia" w:asciiTheme="minorEastAsia" w:hAnsiTheme="minorEastAsia" w:eastAsiaTheme="minorEastAsia" w:cstheme="minorEastAsia"/>
                <w:snapToGrid w:val="0"/>
                <w:color w:val="auto"/>
                <w:kern w:val="0"/>
                <w:sz w:val="24"/>
                <w:highlight w:val="none"/>
              </w:rPr>
              <w:t>时</w:t>
            </w:r>
            <w:r>
              <w:rPr>
                <w:rFonts w:hint="eastAsia" w:asciiTheme="minorEastAsia" w:hAnsiTheme="minorEastAsia" w:eastAsiaTheme="minorEastAsia" w:cstheme="minorEastAsia"/>
                <w:snapToGrid w:val="0"/>
                <w:color w:val="auto"/>
                <w:kern w:val="0"/>
                <w:sz w:val="24"/>
                <w:highlight w:val="none"/>
                <w:u w:val="single"/>
              </w:rPr>
              <w:t>00</w:t>
            </w:r>
            <w:r>
              <w:rPr>
                <w:rFonts w:hint="eastAsia" w:asciiTheme="minorEastAsia" w:hAnsiTheme="minorEastAsia" w:eastAsiaTheme="minorEastAsia" w:cstheme="minorEastAsia"/>
                <w:snapToGrid w:val="0"/>
                <w:color w:val="auto"/>
                <w:kern w:val="0"/>
                <w:sz w:val="24"/>
                <w:highlight w:val="none"/>
              </w:rPr>
              <w:t>分</w:t>
            </w:r>
          </w:p>
        </w:tc>
      </w:tr>
      <w:tr w14:paraId="7DEEBF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0"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45C470D5">
            <w:pPr>
              <w:pStyle w:val="37"/>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4</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0F0C6282">
            <w:pPr>
              <w:pStyle w:val="37"/>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网上答疑</w:t>
            </w:r>
          </w:p>
          <w:p w14:paraId="0A74B8A9">
            <w:pPr>
              <w:pStyle w:val="37"/>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时间</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45E20FE3">
            <w:pPr>
              <w:pStyle w:val="37"/>
              <w:wordWrap w:val="0"/>
              <w:adjustRightInd w:val="0"/>
              <w:snapToGrid w:val="0"/>
              <w:spacing w:line="400" w:lineRule="exact"/>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u w:val="single"/>
                <w:lang w:bidi="ar"/>
              </w:rPr>
              <w:t>202</w:t>
            </w:r>
            <w:r>
              <w:rPr>
                <w:rFonts w:hint="eastAsia" w:asciiTheme="minorEastAsia" w:hAnsiTheme="minorEastAsia" w:eastAsiaTheme="minorEastAsia" w:cstheme="minorEastAsia"/>
                <w:color w:val="auto"/>
                <w:kern w:val="0"/>
                <w:sz w:val="24"/>
                <w:highlight w:val="none"/>
                <w:u w:val="single"/>
                <w:lang w:val="en-US" w:eastAsia="zh-CN" w:bidi="ar"/>
              </w:rPr>
              <w:t>4</w:t>
            </w:r>
            <w:r>
              <w:rPr>
                <w:rFonts w:hint="eastAsia" w:asciiTheme="minorEastAsia" w:hAnsiTheme="minorEastAsia" w:eastAsiaTheme="minorEastAsia" w:cstheme="minorEastAsia"/>
                <w:snapToGrid w:val="0"/>
                <w:color w:val="auto"/>
                <w:kern w:val="0"/>
                <w:sz w:val="24"/>
                <w:highlight w:val="none"/>
              </w:rPr>
              <w:t>年</w:t>
            </w:r>
            <w:r>
              <w:rPr>
                <w:rFonts w:hint="eastAsia" w:asciiTheme="minorEastAsia" w:hAnsiTheme="minorEastAsia" w:eastAsiaTheme="minorEastAsia" w:cstheme="minorEastAsia"/>
                <w:snapToGrid w:val="0"/>
                <w:color w:val="auto"/>
                <w:kern w:val="0"/>
                <w:sz w:val="24"/>
                <w:highlight w:val="none"/>
                <w:u w:val="single"/>
                <w:lang w:val="en-US" w:eastAsia="zh-CN"/>
              </w:rPr>
              <w:t>10</w:t>
            </w:r>
            <w:r>
              <w:rPr>
                <w:rFonts w:hint="eastAsia" w:asciiTheme="minorEastAsia" w:hAnsiTheme="minorEastAsia" w:eastAsiaTheme="minorEastAsia" w:cstheme="minorEastAsia"/>
                <w:snapToGrid w:val="0"/>
                <w:color w:val="auto"/>
                <w:kern w:val="0"/>
                <w:sz w:val="24"/>
                <w:highlight w:val="none"/>
              </w:rPr>
              <w:t>月</w:t>
            </w:r>
            <w:r>
              <w:rPr>
                <w:rFonts w:hint="eastAsia" w:asciiTheme="minorEastAsia" w:hAnsiTheme="minorEastAsia" w:eastAsiaTheme="minorEastAsia" w:cstheme="minorEastAsia"/>
                <w:snapToGrid w:val="0"/>
                <w:color w:val="auto"/>
                <w:kern w:val="0"/>
                <w:sz w:val="24"/>
                <w:highlight w:val="none"/>
                <w:u w:val="single"/>
                <w:lang w:val="en-US" w:eastAsia="zh-CN"/>
              </w:rPr>
              <w:t>26</w:t>
            </w:r>
            <w:r>
              <w:rPr>
                <w:rFonts w:hint="eastAsia" w:asciiTheme="minorEastAsia" w:hAnsiTheme="minorEastAsia" w:eastAsiaTheme="minorEastAsia" w:cstheme="minorEastAsia"/>
                <w:snapToGrid w:val="0"/>
                <w:color w:val="auto"/>
                <w:kern w:val="0"/>
                <w:sz w:val="24"/>
                <w:highlight w:val="none"/>
              </w:rPr>
              <w:t>日</w:t>
            </w:r>
            <w:r>
              <w:rPr>
                <w:rFonts w:hint="eastAsia" w:asciiTheme="minorEastAsia" w:hAnsiTheme="minorEastAsia" w:eastAsiaTheme="minorEastAsia" w:cstheme="minorEastAsia"/>
                <w:snapToGrid w:val="0"/>
                <w:color w:val="auto"/>
                <w:kern w:val="0"/>
                <w:sz w:val="24"/>
                <w:highlight w:val="none"/>
                <w:u w:val="single"/>
              </w:rPr>
              <w:t>16</w:t>
            </w:r>
            <w:r>
              <w:rPr>
                <w:rFonts w:hint="eastAsia" w:asciiTheme="minorEastAsia" w:hAnsiTheme="minorEastAsia" w:eastAsiaTheme="minorEastAsia" w:cstheme="minorEastAsia"/>
                <w:snapToGrid w:val="0"/>
                <w:color w:val="auto"/>
                <w:kern w:val="0"/>
                <w:sz w:val="24"/>
                <w:highlight w:val="none"/>
              </w:rPr>
              <w:t>时</w:t>
            </w:r>
            <w:r>
              <w:rPr>
                <w:rFonts w:hint="eastAsia" w:asciiTheme="minorEastAsia" w:hAnsiTheme="minorEastAsia" w:eastAsiaTheme="minorEastAsia" w:cstheme="minorEastAsia"/>
                <w:snapToGrid w:val="0"/>
                <w:color w:val="auto"/>
                <w:kern w:val="0"/>
                <w:sz w:val="24"/>
                <w:highlight w:val="none"/>
                <w:u w:val="single"/>
              </w:rPr>
              <w:t>30</w:t>
            </w:r>
            <w:r>
              <w:rPr>
                <w:rFonts w:hint="eastAsia" w:asciiTheme="minorEastAsia" w:hAnsiTheme="minorEastAsia" w:eastAsiaTheme="minorEastAsia" w:cstheme="minorEastAsia"/>
                <w:snapToGrid w:val="0"/>
                <w:color w:val="auto"/>
                <w:kern w:val="0"/>
                <w:sz w:val="24"/>
                <w:highlight w:val="none"/>
              </w:rPr>
              <w:t>分至</w:t>
            </w:r>
            <w:r>
              <w:rPr>
                <w:rFonts w:hint="eastAsia" w:asciiTheme="minorEastAsia" w:hAnsiTheme="minorEastAsia" w:eastAsiaTheme="minorEastAsia" w:cstheme="minorEastAsia"/>
                <w:color w:val="auto"/>
                <w:kern w:val="0"/>
                <w:sz w:val="24"/>
                <w:highlight w:val="none"/>
                <w:u w:val="single"/>
                <w:lang w:bidi="ar"/>
              </w:rPr>
              <w:t>202</w:t>
            </w:r>
            <w:r>
              <w:rPr>
                <w:rFonts w:hint="eastAsia" w:asciiTheme="minorEastAsia" w:hAnsiTheme="minorEastAsia" w:eastAsiaTheme="minorEastAsia" w:cstheme="minorEastAsia"/>
                <w:color w:val="auto"/>
                <w:kern w:val="0"/>
                <w:sz w:val="24"/>
                <w:highlight w:val="none"/>
                <w:u w:val="single"/>
                <w:lang w:val="en-US" w:eastAsia="zh-CN" w:bidi="ar"/>
              </w:rPr>
              <w:t>4</w:t>
            </w:r>
            <w:r>
              <w:rPr>
                <w:rFonts w:hint="eastAsia" w:asciiTheme="minorEastAsia" w:hAnsiTheme="minorEastAsia" w:eastAsiaTheme="minorEastAsia" w:cstheme="minorEastAsia"/>
                <w:snapToGrid w:val="0"/>
                <w:color w:val="auto"/>
                <w:kern w:val="0"/>
                <w:sz w:val="24"/>
                <w:highlight w:val="none"/>
              </w:rPr>
              <w:t>年</w:t>
            </w:r>
            <w:r>
              <w:rPr>
                <w:rFonts w:hint="eastAsia" w:asciiTheme="minorEastAsia" w:hAnsiTheme="minorEastAsia" w:eastAsiaTheme="minorEastAsia" w:cstheme="minorEastAsia"/>
                <w:snapToGrid w:val="0"/>
                <w:color w:val="auto"/>
                <w:kern w:val="0"/>
                <w:sz w:val="24"/>
                <w:highlight w:val="none"/>
                <w:u w:val="single"/>
                <w:lang w:val="en-US" w:eastAsia="zh-CN"/>
              </w:rPr>
              <w:t>10</w:t>
            </w:r>
            <w:r>
              <w:rPr>
                <w:rFonts w:hint="eastAsia" w:asciiTheme="minorEastAsia" w:hAnsiTheme="minorEastAsia" w:eastAsiaTheme="minorEastAsia" w:cstheme="minorEastAsia"/>
                <w:snapToGrid w:val="0"/>
                <w:color w:val="auto"/>
                <w:kern w:val="0"/>
                <w:sz w:val="24"/>
                <w:highlight w:val="none"/>
              </w:rPr>
              <w:t>月</w:t>
            </w:r>
            <w:r>
              <w:rPr>
                <w:rFonts w:hint="eastAsia" w:asciiTheme="minorEastAsia" w:hAnsiTheme="minorEastAsia" w:eastAsiaTheme="minorEastAsia" w:cstheme="minorEastAsia"/>
                <w:snapToGrid w:val="0"/>
                <w:color w:val="auto"/>
                <w:kern w:val="0"/>
                <w:sz w:val="24"/>
                <w:highlight w:val="none"/>
                <w:u w:val="single"/>
                <w:lang w:val="en-US" w:eastAsia="zh-CN"/>
              </w:rPr>
              <w:t>29</w:t>
            </w:r>
            <w:r>
              <w:rPr>
                <w:rFonts w:hint="eastAsia" w:asciiTheme="minorEastAsia" w:hAnsiTheme="minorEastAsia" w:eastAsiaTheme="minorEastAsia" w:cstheme="minorEastAsia"/>
                <w:snapToGrid w:val="0"/>
                <w:color w:val="auto"/>
                <w:kern w:val="0"/>
                <w:sz w:val="24"/>
                <w:highlight w:val="none"/>
              </w:rPr>
              <w:t>日</w:t>
            </w:r>
            <w:r>
              <w:rPr>
                <w:rFonts w:hint="eastAsia" w:asciiTheme="minorEastAsia" w:hAnsiTheme="minorEastAsia" w:eastAsiaTheme="minorEastAsia" w:cstheme="minorEastAsia"/>
                <w:snapToGrid w:val="0"/>
                <w:color w:val="auto"/>
                <w:kern w:val="0"/>
                <w:sz w:val="24"/>
                <w:highlight w:val="none"/>
                <w:u w:val="single"/>
              </w:rPr>
              <w:t>16</w:t>
            </w:r>
            <w:r>
              <w:rPr>
                <w:rFonts w:hint="eastAsia" w:asciiTheme="minorEastAsia" w:hAnsiTheme="minorEastAsia" w:eastAsiaTheme="minorEastAsia" w:cstheme="minorEastAsia"/>
                <w:snapToGrid w:val="0"/>
                <w:color w:val="auto"/>
                <w:kern w:val="0"/>
                <w:sz w:val="24"/>
                <w:highlight w:val="none"/>
              </w:rPr>
              <w:t>时</w:t>
            </w:r>
            <w:r>
              <w:rPr>
                <w:rFonts w:hint="eastAsia" w:asciiTheme="minorEastAsia" w:hAnsiTheme="minorEastAsia" w:eastAsiaTheme="minorEastAsia" w:cstheme="minorEastAsia"/>
                <w:snapToGrid w:val="0"/>
                <w:color w:val="auto"/>
                <w:kern w:val="0"/>
                <w:sz w:val="24"/>
                <w:highlight w:val="none"/>
                <w:u w:val="single"/>
              </w:rPr>
              <w:t>00</w:t>
            </w:r>
            <w:r>
              <w:rPr>
                <w:rFonts w:hint="eastAsia" w:asciiTheme="minorEastAsia" w:hAnsiTheme="minorEastAsia" w:eastAsiaTheme="minorEastAsia" w:cstheme="minorEastAsia"/>
                <w:snapToGrid w:val="0"/>
                <w:color w:val="auto"/>
                <w:kern w:val="0"/>
                <w:sz w:val="24"/>
                <w:highlight w:val="none"/>
              </w:rPr>
              <w:t>分</w:t>
            </w:r>
          </w:p>
        </w:tc>
      </w:tr>
      <w:tr w14:paraId="27131F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4"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66F98CB7">
            <w:pPr>
              <w:pStyle w:val="37"/>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5</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4F1C7D0A">
            <w:pPr>
              <w:pStyle w:val="37"/>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投标保证缴</w:t>
            </w:r>
          </w:p>
          <w:p w14:paraId="0D9FF3FC">
            <w:pPr>
              <w:pStyle w:val="37"/>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纳截止时间</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5DE476C">
            <w:pPr>
              <w:pStyle w:val="37"/>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投标保证金到账截止时间：</w:t>
            </w:r>
            <w:r>
              <w:rPr>
                <w:rFonts w:hint="eastAsia" w:asciiTheme="minorEastAsia" w:hAnsiTheme="minorEastAsia" w:eastAsiaTheme="minorEastAsia" w:cstheme="minorEastAsia"/>
                <w:color w:val="auto"/>
                <w:kern w:val="0"/>
                <w:sz w:val="24"/>
                <w:highlight w:val="none"/>
                <w:u w:val="single"/>
                <w:lang w:bidi="ar"/>
              </w:rPr>
              <w:t>202</w:t>
            </w:r>
            <w:r>
              <w:rPr>
                <w:rFonts w:hint="eastAsia" w:asciiTheme="minorEastAsia" w:hAnsiTheme="minorEastAsia" w:eastAsiaTheme="minorEastAsia" w:cstheme="minorEastAsia"/>
                <w:color w:val="auto"/>
                <w:kern w:val="0"/>
                <w:sz w:val="24"/>
                <w:highlight w:val="none"/>
                <w:u w:val="single"/>
                <w:lang w:val="en-US" w:eastAsia="zh-CN" w:bidi="ar"/>
              </w:rPr>
              <w:t>4</w:t>
            </w:r>
            <w:r>
              <w:rPr>
                <w:rFonts w:hint="eastAsia" w:asciiTheme="minorEastAsia" w:hAnsiTheme="minorEastAsia" w:eastAsiaTheme="minorEastAsia" w:cstheme="minorEastAsia"/>
                <w:snapToGrid w:val="0"/>
                <w:color w:val="auto"/>
                <w:kern w:val="0"/>
                <w:sz w:val="24"/>
                <w:highlight w:val="none"/>
              </w:rPr>
              <w:t>年</w:t>
            </w:r>
            <w:r>
              <w:rPr>
                <w:rFonts w:hint="eastAsia" w:asciiTheme="minorEastAsia" w:hAnsiTheme="minorEastAsia" w:eastAsiaTheme="minorEastAsia" w:cstheme="minorEastAsia"/>
                <w:snapToGrid w:val="0"/>
                <w:color w:val="auto"/>
                <w:kern w:val="0"/>
                <w:sz w:val="24"/>
                <w:highlight w:val="none"/>
                <w:u w:val="single"/>
                <w:lang w:val="en-US" w:eastAsia="zh-CN"/>
              </w:rPr>
              <w:t>11</w:t>
            </w:r>
            <w:r>
              <w:rPr>
                <w:rFonts w:hint="eastAsia" w:asciiTheme="minorEastAsia" w:hAnsiTheme="minorEastAsia" w:eastAsiaTheme="minorEastAsia" w:cstheme="minorEastAsia"/>
                <w:snapToGrid w:val="0"/>
                <w:color w:val="auto"/>
                <w:kern w:val="0"/>
                <w:sz w:val="24"/>
                <w:highlight w:val="none"/>
              </w:rPr>
              <w:t>月</w:t>
            </w:r>
            <w:r>
              <w:rPr>
                <w:rFonts w:hint="eastAsia" w:asciiTheme="minorEastAsia" w:hAnsiTheme="minorEastAsia" w:eastAsiaTheme="minorEastAsia" w:cstheme="minorEastAsia"/>
                <w:snapToGrid w:val="0"/>
                <w:color w:val="auto"/>
                <w:kern w:val="0"/>
                <w:sz w:val="24"/>
                <w:highlight w:val="none"/>
                <w:u w:val="single"/>
                <w:lang w:val="en-US" w:eastAsia="zh-CN"/>
              </w:rPr>
              <w:t>04</w:t>
            </w:r>
            <w:r>
              <w:rPr>
                <w:rFonts w:hint="eastAsia" w:asciiTheme="minorEastAsia" w:hAnsiTheme="minorEastAsia" w:eastAsiaTheme="minorEastAsia" w:cstheme="minorEastAsia"/>
                <w:snapToGrid w:val="0"/>
                <w:color w:val="auto"/>
                <w:kern w:val="0"/>
                <w:sz w:val="24"/>
                <w:highlight w:val="none"/>
              </w:rPr>
              <w:t>日</w:t>
            </w:r>
            <w:r>
              <w:rPr>
                <w:rFonts w:hint="eastAsia" w:asciiTheme="minorEastAsia" w:hAnsiTheme="minorEastAsia" w:eastAsiaTheme="minorEastAsia" w:cstheme="minorEastAsia"/>
                <w:snapToGrid w:val="0"/>
                <w:color w:val="auto"/>
                <w:kern w:val="0"/>
                <w:sz w:val="24"/>
                <w:highlight w:val="none"/>
                <w:u w:val="single"/>
                <w:lang w:val="en-US" w:eastAsia="zh-CN"/>
              </w:rPr>
              <w:t>10</w:t>
            </w:r>
            <w:r>
              <w:rPr>
                <w:rFonts w:hint="eastAsia" w:asciiTheme="minorEastAsia" w:hAnsiTheme="minorEastAsia" w:eastAsiaTheme="minorEastAsia" w:cstheme="minorEastAsia"/>
                <w:snapToGrid w:val="0"/>
                <w:color w:val="auto"/>
                <w:kern w:val="0"/>
                <w:sz w:val="24"/>
                <w:highlight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0</w:t>
            </w:r>
            <w:r>
              <w:rPr>
                <w:rFonts w:hint="eastAsia" w:asciiTheme="minorEastAsia" w:hAnsiTheme="minorEastAsia" w:eastAsiaTheme="minorEastAsia" w:cstheme="minorEastAsia"/>
                <w:snapToGrid w:val="0"/>
                <w:color w:val="auto"/>
                <w:kern w:val="0"/>
                <w:sz w:val="24"/>
                <w:highlight w:val="none"/>
                <w:u w:val="single"/>
              </w:rPr>
              <w:t>0</w:t>
            </w:r>
            <w:r>
              <w:rPr>
                <w:rFonts w:hint="eastAsia" w:asciiTheme="minorEastAsia" w:hAnsiTheme="minorEastAsia" w:eastAsiaTheme="minorEastAsia" w:cstheme="minorEastAsia"/>
                <w:snapToGrid w:val="0"/>
                <w:color w:val="auto"/>
                <w:kern w:val="0"/>
                <w:sz w:val="24"/>
                <w:highlight w:val="none"/>
              </w:rPr>
              <w:t>分；</w:t>
            </w:r>
          </w:p>
          <w:p w14:paraId="6DA70669">
            <w:pPr>
              <w:pStyle w:val="37"/>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投标保证担保上传截止时间：</w:t>
            </w:r>
            <w:r>
              <w:rPr>
                <w:rFonts w:hint="eastAsia" w:asciiTheme="minorEastAsia" w:hAnsiTheme="minorEastAsia" w:eastAsiaTheme="minorEastAsia" w:cstheme="minorEastAsia"/>
                <w:color w:val="auto"/>
                <w:kern w:val="0"/>
                <w:sz w:val="24"/>
                <w:highlight w:val="none"/>
                <w:u w:val="single"/>
                <w:lang w:bidi="ar"/>
              </w:rPr>
              <w:t>202</w:t>
            </w:r>
            <w:r>
              <w:rPr>
                <w:rFonts w:hint="eastAsia" w:asciiTheme="minorEastAsia" w:hAnsiTheme="minorEastAsia" w:eastAsiaTheme="minorEastAsia" w:cstheme="minorEastAsia"/>
                <w:color w:val="auto"/>
                <w:kern w:val="0"/>
                <w:sz w:val="24"/>
                <w:highlight w:val="none"/>
                <w:u w:val="single"/>
                <w:lang w:val="en-US" w:eastAsia="zh-CN" w:bidi="ar"/>
              </w:rPr>
              <w:t>4</w:t>
            </w:r>
            <w:r>
              <w:rPr>
                <w:rFonts w:hint="eastAsia" w:asciiTheme="minorEastAsia" w:hAnsiTheme="minorEastAsia" w:eastAsiaTheme="minorEastAsia" w:cstheme="minorEastAsia"/>
                <w:snapToGrid w:val="0"/>
                <w:color w:val="auto"/>
                <w:kern w:val="0"/>
                <w:sz w:val="24"/>
                <w:highlight w:val="none"/>
              </w:rPr>
              <w:t>年</w:t>
            </w:r>
            <w:r>
              <w:rPr>
                <w:rFonts w:hint="eastAsia" w:asciiTheme="minorEastAsia" w:hAnsiTheme="minorEastAsia" w:eastAsiaTheme="minorEastAsia" w:cstheme="minorEastAsia"/>
                <w:snapToGrid w:val="0"/>
                <w:color w:val="auto"/>
                <w:kern w:val="0"/>
                <w:sz w:val="24"/>
                <w:highlight w:val="none"/>
                <w:u w:val="single"/>
                <w:lang w:val="en-US" w:eastAsia="zh-CN"/>
              </w:rPr>
              <w:t>11</w:t>
            </w:r>
            <w:r>
              <w:rPr>
                <w:rFonts w:hint="eastAsia" w:asciiTheme="minorEastAsia" w:hAnsiTheme="minorEastAsia" w:eastAsiaTheme="minorEastAsia" w:cstheme="minorEastAsia"/>
                <w:snapToGrid w:val="0"/>
                <w:color w:val="auto"/>
                <w:kern w:val="0"/>
                <w:sz w:val="24"/>
                <w:highlight w:val="none"/>
              </w:rPr>
              <w:t>月</w:t>
            </w:r>
            <w:r>
              <w:rPr>
                <w:rFonts w:hint="eastAsia" w:asciiTheme="minorEastAsia" w:hAnsiTheme="minorEastAsia" w:eastAsiaTheme="minorEastAsia" w:cstheme="minorEastAsia"/>
                <w:snapToGrid w:val="0"/>
                <w:color w:val="auto"/>
                <w:kern w:val="0"/>
                <w:sz w:val="24"/>
                <w:highlight w:val="none"/>
                <w:u w:val="single"/>
                <w:lang w:val="en-US" w:eastAsia="zh-CN"/>
              </w:rPr>
              <w:t>04</w:t>
            </w:r>
            <w:r>
              <w:rPr>
                <w:rFonts w:hint="eastAsia" w:asciiTheme="minorEastAsia" w:hAnsiTheme="minorEastAsia" w:eastAsiaTheme="minorEastAsia" w:cstheme="minorEastAsia"/>
                <w:snapToGrid w:val="0"/>
                <w:color w:val="auto"/>
                <w:kern w:val="0"/>
                <w:sz w:val="24"/>
                <w:highlight w:val="none"/>
              </w:rPr>
              <w:t>日</w:t>
            </w:r>
            <w:r>
              <w:rPr>
                <w:rFonts w:hint="eastAsia" w:asciiTheme="minorEastAsia" w:hAnsiTheme="minorEastAsia" w:eastAsiaTheme="minorEastAsia" w:cstheme="minorEastAsia"/>
                <w:snapToGrid w:val="0"/>
                <w:color w:val="auto"/>
                <w:kern w:val="0"/>
                <w:sz w:val="24"/>
                <w:highlight w:val="none"/>
                <w:u w:val="single"/>
                <w:lang w:val="en-US" w:eastAsia="zh-CN"/>
              </w:rPr>
              <w:t>10</w:t>
            </w:r>
            <w:r>
              <w:rPr>
                <w:rFonts w:hint="eastAsia" w:asciiTheme="minorEastAsia" w:hAnsiTheme="minorEastAsia" w:eastAsiaTheme="minorEastAsia" w:cstheme="minorEastAsia"/>
                <w:snapToGrid w:val="0"/>
                <w:color w:val="auto"/>
                <w:kern w:val="0"/>
                <w:sz w:val="24"/>
                <w:highlight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0</w:t>
            </w:r>
            <w:r>
              <w:rPr>
                <w:rFonts w:hint="eastAsia" w:asciiTheme="minorEastAsia" w:hAnsiTheme="minorEastAsia" w:eastAsiaTheme="minorEastAsia" w:cstheme="minorEastAsia"/>
                <w:snapToGrid w:val="0"/>
                <w:color w:val="auto"/>
                <w:kern w:val="0"/>
                <w:sz w:val="24"/>
                <w:highlight w:val="none"/>
                <w:u w:val="single"/>
              </w:rPr>
              <w:t>0</w:t>
            </w:r>
            <w:r>
              <w:rPr>
                <w:rFonts w:hint="eastAsia" w:asciiTheme="minorEastAsia" w:hAnsiTheme="minorEastAsia" w:eastAsiaTheme="minorEastAsia" w:cstheme="minorEastAsia"/>
                <w:snapToGrid w:val="0"/>
                <w:color w:val="auto"/>
                <w:kern w:val="0"/>
                <w:sz w:val="24"/>
                <w:highlight w:val="none"/>
              </w:rPr>
              <w:t>分；</w:t>
            </w:r>
          </w:p>
          <w:p w14:paraId="67AA4DAC">
            <w:pPr>
              <w:pStyle w:val="19"/>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投标保证保险投保截止时间：</w:t>
            </w:r>
            <w:r>
              <w:rPr>
                <w:rFonts w:hint="eastAsia" w:asciiTheme="minorEastAsia" w:hAnsiTheme="minorEastAsia" w:eastAsiaTheme="minorEastAsia" w:cstheme="minorEastAsia"/>
                <w:color w:val="auto"/>
                <w:kern w:val="0"/>
                <w:szCs w:val="24"/>
                <w:highlight w:val="none"/>
                <w:u w:val="single"/>
                <w:lang w:bidi="ar"/>
              </w:rPr>
              <w:t>202</w:t>
            </w:r>
            <w:r>
              <w:rPr>
                <w:rFonts w:hint="eastAsia" w:asciiTheme="minorEastAsia" w:hAnsiTheme="minorEastAsia" w:eastAsiaTheme="minorEastAsia" w:cstheme="minorEastAsia"/>
                <w:color w:val="auto"/>
                <w:kern w:val="0"/>
                <w:szCs w:val="24"/>
                <w:highlight w:val="none"/>
                <w:u w:val="single"/>
                <w:lang w:val="en-US" w:eastAsia="zh-CN" w:bidi="ar"/>
              </w:rPr>
              <w:t>4</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 w:val="24"/>
                <w:highlight w:val="none"/>
                <w:u w:val="single"/>
                <w:lang w:val="en-US" w:eastAsia="zh-CN"/>
              </w:rPr>
              <w:t>11</w:t>
            </w:r>
            <w:r>
              <w:rPr>
                <w:rFonts w:hint="eastAsia" w:asciiTheme="minorEastAsia" w:hAnsiTheme="minorEastAsia" w:eastAsiaTheme="minorEastAsia" w:cstheme="minorEastAsia"/>
                <w:snapToGrid w:val="0"/>
                <w:color w:val="auto"/>
                <w:kern w:val="0"/>
                <w:sz w:val="24"/>
                <w:highlight w:val="none"/>
              </w:rPr>
              <w:t>月</w:t>
            </w:r>
            <w:r>
              <w:rPr>
                <w:rFonts w:hint="eastAsia" w:asciiTheme="minorEastAsia" w:hAnsiTheme="minorEastAsia" w:eastAsiaTheme="minorEastAsia" w:cstheme="minorEastAsia"/>
                <w:snapToGrid w:val="0"/>
                <w:color w:val="auto"/>
                <w:kern w:val="0"/>
                <w:sz w:val="24"/>
                <w:highlight w:val="none"/>
                <w:u w:val="single"/>
                <w:lang w:val="en-US" w:eastAsia="zh-CN"/>
              </w:rPr>
              <w:t>04</w:t>
            </w:r>
            <w:r>
              <w:rPr>
                <w:rFonts w:hint="eastAsia" w:asciiTheme="minorEastAsia" w:hAnsiTheme="minorEastAsia" w:eastAsiaTheme="minorEastAsia" w:cstheme="minorEastAsia"/>
                <w:snapToGrid w:val="0"/>
                <w:color w:val="auto"/>
                <w:kern w:val="0"/>
                <w:sz w:val="24"/>
                <w:highlight w:val="none"/>
              </w:rPr>
              <w:t>日</w:t>
            </w:r>
            <w:r>
              <w:rPr>
                <w:rFonts w:hint="eastAsia" w:asciiTheme="minorEastAsia" w:hAnsiTheme="minorEastAsia" w:eastAsiaTheme="minorEastAsia" w:cstheme="minorEastAsia"/>
                <w:snapToGrid w:val="0"/>
                <w:color w:val="auto"/>
                <w:kern w:val="0"/>
                <w:sz w:val="24"/>
                <w:highlight w:val="none"/>
                <w:u w:val="single"/>
                <w:lang w:val="en-US" w:eastAsia="zh-CN"/>
              </w:rPr>
              <w:t>10</w:t>
            </w:r>
            <w:r>
              <w:rPr>
                <w:rFonts w:hint="eastAsia" w:asciiTheme="minorEastAsia" w:hAnsiTheme="minorEastAsia" w:eastAsiaTheme="minorEastAsia" w:cstheme="minorEastAsia"/>
                <w:snapToGrid w:val="0"/>
                <w:color w:val="auto"/>
                <w:kern w:val="0"/>
                <w:sz w:val="24"/>
                <w:highlight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0</w:t>
            </w:r>
            <w:r>
              <w:rPr>
                <w:rFonts w:hint="eastAsia" w:asciiTheme="minorEastAsia" w:hAnsiTheme="minorEastAsia" w:eastAsiaTheme="minorEastAsia" w:cstheme="minorEastAsia"/>
                <w:snapToGrid w:val="0"/>
                <w:color w:val="auto"/>
                <w:kern w:val="0"/>
                <w:sz w:val="24"/>
                <w:highlight w:val="none"/>
                <w:u w:val="single"/>
              </w:rPr>
              <w:t>0</w:t>
            </w:r>
            <w:r>
              <w:rPr>
                <w:rFonts w:hint="eastAsia" w:asciiTheme="minorEastAsia" w:hAnsiTheme="minorEastAsia" w:eastAsiaTheme="minorEastAsia" w:cstheme="minorEastAsia"/>
                <w:snapToGrid w:val="0"/>
                <w:color w:val="auto"/>
                <w:kern w:val="0"/>
                <w:sz w:val="24"/>
                <w:highlight w:val="none"/>
              </w:rPr>
              <w:t>分</w:t>
            </w:r>
            <w:r>
              <w:rPr>
                <w:rFonts w:hint="eastAsia" w:asciiTheme="minorEastAsia" w:hAnsiTheme="minorEastAsia" w:eastAsiaTheme="minorEastAsia" w:cstheme="minorEastAsia"/>
                <w:snapToGrid w:val="0"/>
                <w:color w:val="auto"/>
                <w:kern w:val="0"/>
                <w:szCs w:val="24"/>
                <w:highlight w:val="none"/>
              </w:rPr>
              <w:t>。</w:t>
            </w:r>
          </w:p>
        </w:tc>
      </w:tr>
      <w:tr w14:paraId="1FE4F4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8"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1BECB072">
            <w:pPr>
              <w:pStyle w:val="37"/>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6</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023875C3">
            <w:pPr>
              <w:pStyle w:val="37"/>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电子投标</w:t>
            </w:r>
          </w:p>
          <w:p w14:paraId="2F5139AE">
            <w:pPr>
              <w:pStyle w:val="37"/>
              <w:wordWrap w:val="0"/>
              <w:adjustRightInd w:val="0"/>
              <w:snapToGrid w:val="0"/>
              <w:spacing w:line="360" w:lineRule="exact"/>
              <w:jc w:val="center"/>
              <w:rPr>
                <w:rFonts w:hint="eastAsia" w:asciiTheme="minorEastAsia" w:hAnsiTheme="minorEastAsia" w:eastAsiaTheme="minorEastAsia" w:cstheme="minorEastAsia"/>
                <w:strike/>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 xml:space="preserve">截止时间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10EBA23">
            <w:pPr>
              <w:pStyle w:val="19"/>
              <w:wordWrap w:val="0"/>
              <w:adjustRightInd w:val="0"/>
              <w:snapToGrid w:val="0"/>
              <w:spacing w:line="400" w:lineRule="exact"/>
              <w:ind w:firstLine="120" w:firstLineChars="50"/>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kern w:val="0"/>
                <w:szCs w:val="24"/>
                <w:highlight w:val="none"/>
                <w:u w:val="single"/>
                <w:lang w:bidi="ar"/>
              </w:rPr>
              <w:t>202</w:t>
            </w:r>
            <w:r>
              <w:rPr>
                <w:rFonts w:hint="eastAsia" w:asciiTheme="minorEastAsia" w:hAnsiTheme="minorEastAsia" w:eastAsiaTheme="minorEastAsia" w:cstheme="minorEastAsia"/>
                <w:color w:val="auto"/>
                <w:kern w:val="0"/>
                <w:szCs w:val="24"/>
                <w:highlight w:val="none"/>
                <w:u w:val="single"/>
                <w:lang w:val="en-US" w:eastAsia="zh-CN" w:bidi="ar"/>
              </w:rPr>
              <w:t>4</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 w:val="24"/>
                <w:highlight w:val="none"/>
                <w:u w:val="single"/>
                <w:lang w:val="en-US" w:eastAsia="zh-CN"/>
              </w:rPr>
              <w:t>11</w:t>
            </w:r>
            <w:r>
              <w:rPr>
                <w:rFonts w:hint="eastAsia" w:asciiTheme="minorEastAsia" w:hAnsiTheme="minorEastAsia" w:eastAsiaTheme="minorEastAsia" w:cstheme="minorEastAsia"/>
                <w:snapToGrid w:val="0"/>
                <w:color w:val="auto"/>
                <w:kern w:val="0"/>
                <w:sz w:val="24"/>
                <w:highlight w:val="none"/>
              </w:rPr>
              <w:t>月</w:t>
            </w:r>
            <w:r>
              <w:rPr>
                <w:rFonts w:hint="eastAsia" w:asciiTheme="minorEastAsia" w:hAnsiTheme="minorEastAsia" w:eastAsiaTheme="minorEastAsia" w:cstheme="minorEastAsia"/>
                <w:snapToGrid w:val="0"/>
                <w:color w:val="auto"/>
                <w:kern w:val="0"/>
                <w:sz w:val="24"/>
                <w:highlight w:val="none"/>
                <w:u w:val="single"/>
                <w:lang w:val="en-US" w:eastAsia="zh-CN"/>
              </w:rPr>
              <w:t>05</w:t>
            </w:r>
            <w:r>
              <w:rPr>
                <w:rFonts w:hint="eastAsia" w:asciiTheme="minorEastAsia" w:hAnsiTheme="minorEastAsia" w:eastAsiaTheme="minorEastAsia" w:cstheme="minorEastAsia"/>
                <w:snapToGrid w:val="0"/>
                <w:color w:val="auto"/>
                <w:kern w:val="0"/>
                <w:sz w:val="24"/>
                <w:highlight w:val="none"/>
              </w:rPr>
              <w:t>日</w:t>
            </w:r>
            <w:r>
              <w:rPr>
                <w:rFonts w:hint="eastAsia" w:asciiTheme="minorEastAsia" w:hAnsiTheme="minorEastAsia" w:eastAsiaTheme="minorEastAsia" w:cstheme="minorEastAsia"/>
                <w:snapToGrid w:val="0"/>
                <w:color w:val="auto"/>
                <w:kern w:val="0"/>
                <w:sz w:val="24"/>
                <w:highlight w:val="none"/>
                <w:u w:val="single"/>
                <w:lang w:val="en-US" w:eastAsia="zh-CN"/>
              </w:rPr>
              <w:t>10</w:t>
            </w:r>
            <w:r>
              <w:rPr>
                <w:rFonts w:hint="eastAsia" w:asciiTheme="minorEastAsia" w:hAnsiTheme="minorEastAsia" w:eastAsiaTheme="minorEastAsia" w:cstheme="minorEastAsia"/>
                <w:snapToGrid w:val="0"/>
                <w:color w:val="auto"/>
                <w:kern w:val="0"/>
                <w:sz w:val="24"/>
                <w:highlight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0</w:t>
            </w:r>
            <w:r>
              <w:rPr>
                <w:rFonts w:hint="eastAsia" w:asciiTheme="minorEastAsia" w:hAnsiTheme="minorEastAsia" w:eastAsiaTheme="minorEastAsia" w:cstheme="minorEastAsia"/>
                <w:snapToGrid w:val="0"/>
                <w:color w:val="auto"/>
                <w:kern w:val="0"/>
                <w:sz w:val="24"/>
                <w:highlight w:val="none"/>
                <w:u w:val="single"/>
              </w:rPr>
              <w:t>0</w:t>
            </w:r>
            <w:r>
              <w:rPr>
                <w:rFonts w:hint="eastAsia" w:asciiTheme="minorEastAsia" w:hAnsiTheme="minorEastAsia" w:eastAsiaTheme="minorEastAsia" w:cstheme="minorEastAsia"/>
                <w:snapToGrid w:val="0"/>
                <w:color w:val="auto"/>
                <w:kern w:val="0"/>
                <w:sz w:val="24"/>
                <w:highlight w:val="none"/>
              </w:rPr>
              <w:t>分</w:t>
            </w:r>
          </w:p>
        </w:tc>
      </w:tr>
      <w:tr w14:paraId="5FD046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93"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616A944A">
            <w:pPr>
              <w:pStyle w:val="37"/>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7</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72E0DCA2">
            <w:pPr>
              <w:pStyle w:val="37"/>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投标相关资料（如有）递交时间</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67655BE1">
            <w:pPr>
              <w:pStyle w:val="19"/>
              <w:wordWrap w:val="0"/>
              <w:adjustRightInd w:val="0"/>
              <w:snapToGrid w:val="0"/>
              <w:spacing w:line="400" w:lineRule="exact"/>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color w:val="auto"/>
                <w:kern w:val="0"/>
                <w:szCs w:val="24"/>
                <w:highlight w:val="none"/>
                <w:u w:val="single"/>
                <w:lang w:bidi="ar"/>
              </w:rPr>
              <w:t>202</w:t>
            </w:r>
            <w:r>
              <w:rPr>
                <w:rFonts w:hint="eastAsia" w:asciiTheme="minorEastAsia" w:hAnsiTheme="minorEastAsia" w:eastAsiaTheme="minorEastAsia" w:cstheme="minorEastAsia"/>
                <w:color w:val="auto"/>
                <w:kern w:val="0"/>
                <w:szCs w:val="24"/>
                <w:highlight w:val="none"/>
                <w:u w:val="single"/>
                <w:lang w:val="en-US" w:eastAsia="zh-CN" w:bidi="ar"/>
              </w:rPr>
              <w:t>4</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 w:val="24"/>
                <w:highlight w:val="none"/>
                <w:u w:val="single"/>
                <w:lang w:val="en-US" w:eastAsia="zh-CN"/>
              </w:rPr>
              <w:t>11</w:t>
            </w:r>
            <w:r>
              <w:rPr>
                <w:rFonts w:hint="eastAsia" w:asciiTheme="minorEastAsia" w:hAnsiTheme="minorEastAsia" w:eastAsiaTheme="minorEastAsia" w:cstheme="minorEastAsia"/>
                <w:snapToGrid w:val="0"/>
                <w:color w:val="auto"/>
                <w:kern w:val="0"/>
                <w:sz w:val="24"/>
                <w:highlight w:val="none"/>
              </w:rPr>
              <w:t>月</w:t>
            </w:r>
            <w:r>
              <w:rPr>
                <w:rFonts w:hint="eastAsia" w:asciiTheme="minorEastAsia" w:hAnsiTheme="minorEastAsia" w:eastAsiaTheme="minorEastAsia" w:cstheme="minorEastAsia"/>
                <w:snapToGrid w:val="0"/>
                <w:color w:val="auto"/>
                <w:kern w:val="0"/>
                <w:sz w:val="24"/>
                <w:highlight w:val="none"/>
                <w:u w:val="single"/>
                <w:lang w:val="en-US" w:eastAsia="zh-CN"/>
              </w:rPr>
              <w:t>05</w:t>
            </w:r>
            <w:r>
              <w:rPr>
                <w:rFonts w:hint="eastAsia" w:asciiTheme="minorEastAsia" w:hAnsiTheme="minorEastAsia" w:eastAsiaTheme="minorEastAsia" w:cstheme="minorEastAsia"/>
                <w:snapToGrid w:val="0"/>
                <w:color w:val="auto"/>
                <w:kern w:val="0"/>
                <w:sz w:val="24"/>
                <w:highlight w:val="none"/>
              </w:rPr>
              <w:t>日</w:t>
            </w:r>
            <w:r>
              <w:rPr>
                <w:rFonts w:hint="eastAsia" w:asciiTheme="minorEastAsia" w:hAnsiTheme="minorEastAsia" w:eastAsiaTheme="minorEastAsia" w:cstheme="minorEastAsia"/>
                <w:snapToGrid w:val="0"/>
                <w:color w:val="auto"/>
                <w:kern w:val="0"/>
                <w:sz w:val="24"/>
                <w:highlight w:val="none"/>
                <w:u w:val="single"/>
                <w:lang w:val="en-US" w:eastAsia="zh-CN"/>
              </w:rPr>
              <w:t>09</w:t>
            </w:r>
            <w:r>
              <w:rPr>
                <w:rFonts w:hint="eastAsia" w:asciiTheme="minorEastAsia" w:hAnsiTheme="minorEastAsia" w:eastAsiaTheme="minorEastAsia" w:cstheme="minorEastAsia"/>
                <w:snapToGrid w:val="0"/>
                <w:color w:val="auto"/>
                <w:kern w:val="0"/>
                <w:szCs w:val="24"/>
                <w:highlight w:val="none"/>
              </w:rPr>
              <w:t>时</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u w:val="single"/>
                <w:lang w:val="en-US" w:eastAsia="zh-CN"/>
              </w:rPr>
              <w:t>3</w:t>
            </w:r>
            <w:r>
              <w:rPr>
                <w:rFonts w:hint="eastAsia" w:asciiTheme="minorEastAsia" w:hAnsiTheme="minorEastAsia" w:eastAsiaTheme="minorEastAsia" w:cstheme="minorEastAsia"/>
                <w:snapToGrid w:val="0"/>
                <w:color w:val="auto"/>
                <w:kern w:val="0"/>
                <w:szCs w:val="24"/>
                <w:highlight w:val="none"/>
                <w:u w:val="single"/>
              </w:rPr>
              <w:t xml:space="preserve">0 </w:t>
            </w:r>
            <w:r>
              <w:rPr>
                <w:rFonts w:hint="eastAsia" w:asciiTheme="minorEastAsia" w:hAnsiTheme="minorEastAsia" w:eastAsiaTheme="minorEastAsia" w:cstheme="minorEastAsia"/>
                <w:snapToGrid w:val="0"/>
                <w:color w:val="auto"/>
                <w:kern w:val="0"/>
                <w:szCs w:val="24"/>
                <w:highlight w:val="none"/>
              </w:rPr>
              <w:t>分至</w:t>
            </w:r>
            <w:r>
              <w:rPr>
                <w:rFonts w:hint="eastAsia" w:asciiTheme="minorEastAsia" w:hAnsiTheme="minorEastAsia" w:eastAsiaTheme="minorEastAsia" w:cstheme="minorEastAsia"/>
                <w:color w:val="auto"/>
                <w:kern w:val="0"/>
                <w:szCs w:val="24"/>
                <w:highlight w:val="none"/>
                <w:u w:val="single"/>
                <w:lang w:bidi="ar"/>
              </w:rPr>
              <w:t>202</w:t>
            </w:r>
            <w:r>
              <w:rPr>
                <w:rFonts w:hint="eastAsia" w:asciiTheme="minorEastAsia" w:hAnsiTheme="minorEastAsia" w:eastAsiaTheme="minorEastAsia" w:cstheme="minorEastAsia"/>
                <w:color w:val="auto"/>
                <w:kern w:val="0"/>
                <w:szCs w:val="24"/>
                <w:highlight w:val="none"/>
                <w:u w:val="single"/>
                <w:lang w:val="en-US" w:eastAsia="zh-CN" w:bidi="ar"/>
              </w:rPr>
              <w:t>4</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 w:val="24"/>
                <w:highlight w:val="none"/>
                <w:u w:val="single"/>
                <w:lang w:val="en-US" w:eastAsia="zh-CN"/>
              </w:rPr>
              <w:t>1</w:t>
            </w:r>
            <w:bookmarkStart w:id="630" w:name="_GoBack"/>
            <w:bookmarkEnd w:id="630"/>
            <w:r>
              <w:rPr>
                <w:rFonts w:hint="eastAsia" w:asciiTheme="minorEastAsia" w:hAnsiTheme="minorEastAsia" w:eastAsiaTheme="minorEastAsia" w:cstheme="minorEastAsia"/>
                <w:snapToGrid w:val="0"/>
                <w:color w:val="auto"/>
                <w:kern w:val="0"/>
                <w:sz w:val="24"/>
                <w:highlight w:val="none"/>
                <w:u w:val="single"/>
                <w:lang w:val="en-US" w:eastAsia="zh-CN"/>
              </w:rPr>
              <w:t>1</w:t>
            </w:r>
            <w:r>
              <w:rPr>
                <w:rFonts w:hint="eastAsia" w:asciiTheme="minorEastAsia" w:hAnsiTheme="minorEastAsia" w:eastAsiaTheme="minorEastAsia" w:cstheme="minorEastAsia"/>
                <w:snapToGrid w:val="0"/>
                <w:color w:val="auto"/>
                <w:kern w:val="0"/>
                <w:sz w:val="24"/>
                <w:highlight w:val="none"/>
              </w:rPr>
              <w:t>月</w:t>
            </w:r>
            <w:r>
              <w:rPr>
                <w:rFonts w:hint="eastAsia" w:asciiTheme="minorEastAsia" w:hAnsiTheme="minorEastAsia" w:eastAsiaTheme="minorEastAsia" w:cstheme="minorEastAsia"/>
                <w:snapToGrid w:val="0"/>
                <w:color w:val="auto"/>
                <w:kern w:val="0"/>
                <w:sz w:val="24"/>
                <w:highlight w:val="none"/>
                <w:u w:val="single"/>
                <w:lang w:val="en-US" w:eastAsia="zh-CN"/>
              </w:rPr>
              <w:t>05</w:t>
            </w:r>
            <w:r>
              <w:rPr>
                <w:rFonts w:hint="eastAsia" w:asciiTheme="minorEastAsia" w:hAnsiTheme="minorEastAsia" w:eastAsiaTheme="minorEastAsia" w:cstheme="minorEastAsia"/>
                <w:snapToGrid w:val="0"/>
                <w:color w:val="auto"/>
                <w:kern w:val="0"/>
                <w:sz w:val="24"/>
                <w:highlight w:val="none"/>
              </w:rPr>
              <w:t>日</w:t>
            </w:r>
            <w:r>
              <w:rPr>
                <w:rFonts w:hint="eastAsia" w:asciiTheme="minorEastAsia" w:hAnsiTheme="minorEastAsia" w:eastAsiaTheme="minorEastAsia" w:cstheme="minorEastAsia"/>
                <w:snapToGrid w:val="0"/>
                <w:color w:val="auto"/>
                <w:kern w:val="0"/>
                <w:sz w:val="24"/>
                <w:highlight w:val="none"/>
                <w:u w:val="single"/>
                <w:lang w:val="en-US" w:eastAsia="zh-CN"/>
              </w:rPr>
              <w:t>10</w:t>
            </w:r>
            <w:r>
              <w:rPr>
                <w:rFonts w:hint="eastAsia" w:asciiTheme="minorEastAsia" w:hAnsiTheme="minorEastAsia" w:eastAsiaTheme="minorEastAsia" w:cstheme="minorEastAsia"/>
                <w:snapToGrid w:val="0"/>
                <w:color w:val="auto"/>
                <w:kern w:val="0"/>
                <w:sz w:val="24"/>
                <w:highlight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0</w:t>
            </w:r>
            <w:r>
              <w:rPr>
                <w:rFonts w:hint="eastAsia" w:asciiTheme="minorEastAsia" w:hAnsiTheme="minorEastAsia" w:eastAsiaTheme="minorEastAsia" w:cstheme="minorEastAsia"/>
                <w:snapToGrid w:val="0"/>
                <w:color w:val="auto"/>
                <w:kern w:val="0"/>
                <w:sz w:val="24"/>
                <w:highlight w:val="none"/>
                <w:u w:val="single"/>
              </w:rPr>
              <w:t>0</w:t>
            </w:r>
            <w:r>
              <w:rPr>
                <w:rFonts w:hint="eastAsia" w:asciiTheme="minorEastAsia" w:hAnsiTheme="minorEastAsia" w:eastAsiaTheme="minorEastAsia" w:cstheme="minorEastAsia"/>
                <w:snapToGrid w:val="0"/>
                <w:color w:val="auto"/>
                <w:kern w:val="0"/>
                <w:sz w:val="24"/>
                <w:highlight w:val="none"/>
              </w:rPr>
              <w:t>分</w:t>
            </w:r>
          </w:p>
        </w:tc>
      </w:tr>
      <w:tr w14:paraId="5FFACE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77"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78DEEFEE">
            <w:pPr>
              <w:pStyle w:val="37"/>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8</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491A0D5A">
            <w:pPr>
              <w:pStyle w:val="37"/>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投标相关资料（如有）递交地点</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26E128DD">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u w:val="single"/>
              </w:rPr>
            </w:pPr>
            <w:r>
              <w:rPr>
                <w:rFonts w:hint="eastAsia" w:asciiTheme="minorEastAsia" w:hAnsiTheme="minorEastAsia" w:eastAsiaTheme="minorEastAsia" w:cstheme="minorEastAsia"/>
                <w:snapToGrid w:val="0"/>
                <w:color w:val="auto"/>
                <w:kern w:val="0"/>
                <w:szCs w:val="24"/>
                <w:highlight w:val="none"/>
              </w:rPr>
              <w:t>递交场所：</w:t>
            </w:r>
            <w:r>
              <w:rPr>
                <w:rFonts w:hint="eastAsia" w:asciiTheme="minorEastAsia" w:hAnsiTheme="minorEastAsia" w:eastAsiaTheme="minorEastAsia" w:cstheme="minorEastAsia"/>
                <w:snapToGrid w:val="0"/>
                <w:color w:val="auto"/>
                <w:kern w:val="0"/>
                <w:szCs w:val="24"/>
                <w:highlight w:val="none"/>
                <w:u w:val="single"/>
              </w:rPr>
              <w:t>韶关市公共资源交易中心南雄分中心</w:t>
            </w:r>
          </w:p>
          <w:p w14:paraId="452F2DA7">
            <w:pPr>
              <w:pStyle w:val="37"/>
              <w:wordWrap w:val="0"/>
              <w:adjustRightInd w:val="0"/>
              <w:snapToGrid w:val="0"/>
              <w:spacing w:line="360" w:lineRule="auto"/>
              <w:ind w:firstLine="240" w:firstLineChars="10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地址：</w:t>
            </w:r>
            <w:r>
              <w:rPr>
                <w:rFonts w:hint="eastAsia" w:asciiTheme="minorEastAsia" w:hAnsiTheme="minorEastAsia" w:eastAsiaTheme="minorEastAsia" w:cstheme="minorEastAsia"/>
                <w:snapToGrid w:val="0"/>
                <w:color w:val="auto"/>
                <w:kern w:val="0"/>
                <w:sz w:val="24"/>
                <w:highlight w:val="none"/>
                <w:u w:val="single"/>
              </w:rPr>
              <w:t>南雄市雄东路1号</w:t>
            </w:r>
            <w:r>
              <w:rPr>
                <w:rFonts w:hint="eastAsia" w:asciiTheme="minorEastAsia" w:hAnsiTheme="minorEastAsia" w:eastAsiaTheme="minorEastAsia" w:cstheme="minorEastAsia"/>
                <w:snapToGrid w:val="0"/>
                <w:color w:val="auto"/>
                <w:kern w:val="0"/>
                <w:sz w:val="24"/>
                <w:highlight w:val="none"/>
                <w:u w:val="single"/>
                <w:lang w:eastAsia="zh-CN"/>
              </w:rPr>
              <w:t>（</w:t>
            </w:r>
            <w:r>
              <w:rPr>
                <w:rFonts w:hint="eastAsia" w:asciiTheme="minorEastAsia" w:hAnsiTheme="minorEastAsia" w:eastAsiaTheme="minorEastAsia" w:cstheme="minorEastAsia"/>
                <w:snapToGrid w:val="0"/>
                <w:color w:val="auto"/>
                <w:kern w:val="0"/>
                <w:sz w:val="24"/>
                <w:highlight w:val="none"/>
                <w:u w:val="single"/>
              </w:rPr>
              <w:t>大润发</w:t>
            </w:r>
            <w:r>
              <w:rPr>
                <w:rFonts w:hint="eastAsia" w:asciiTheme="minorEastAsia" w:hAnsiTheme="minorEastAsia" w:eastAsiaTheme="minorEastAsia" w:cstheme="minorEastAsia"/>
                <w:snapToGrid w:val="0"/>
                <w:color w:val="auto"/>
                <w:kern w:val="0"/>
                <w:sz w:val="24"/>
                <w:highlight w:val="none"/>
                <w:u w:val="single"/>
                <w:lang w:eastAsia="zh-CN"/>
              </w:rPr>
              <w:t>）</w:t>
            </w:r>
            <w:r>
              <w:rPr>
                <w:rFonts w:hint="eastAsia" w:asciiTheme="minorEastAsia" w:hAnsiTheme="minorEastAsia" w:eastAsiaTheme="minorEastAsia" w:cstheme="minorEastAsia"/>
                <w:snapToGrid w:val="0"/>
                <w:color w:val="auto"/>
                <w:kern w:val="0"/>
                <w:sz w:val="24"/>
                <w:highlight w:val="none"/>
                <w:u w:val="single"/>
              </w:rPr>
              <w:t>四楼韶关市公共资源交易中心南雄分中心</w:t>
            </w:r>
            <w:r>
              <w:rPr>
                <w:rFonts w:hint="eastAsia" w:asciiTheme="minorEastAsia" w:hAnsiTheme="minorEastAsia" w:eastAsiaTheme="minorEastAsia" w:cstheme="minorEastAsia"/>
                <w:snapToGrid w:val="0"/>
                <w:color w:val="auto"/>
                <w:kern w:val="0"/>
                <w:sz w:val="24"/>
                <w:highlight w:val="none"/>
                <w:u w:val="single"/>
                <w:lang w:eastAsia="zh-CN"/>
              </w:rPr>
              <w:t>（</w:t>
            </w:r>
            <w:r>
              <w:rPr>
                <w:rFonts w:hint="eastAsia" w:asciiTheme="minorEastAsia" w:hAnsiTheme="minorEastAsia" w:eastAsiaTheme="minorEastAsia" w:cstheme="minorEastAsia"/>
                <w:snapToGrid w:val="0"/>
                <w:color w:val="auto"/>
                <w:kern w:val="0"/>
                <w:sz w:val="24"/>
                <w:highlight w:val="none"/>
                <w:u w:val="single"/>
              </w:rPr>
              <w:t>南雄市公共服务中心内</w:t>
            </w:r>
            <w:r>
              <w:rPr>
                <w:rFonts w:hint="eastAsia" w:asciiTheme="minorEastAsia" w:hAnsiTheme="minorEastAsia" w:eastAsiaTheme="minorEastAsia" w:cstheme="minorEastAsia"/>
                <w:snapToGrid w:val="0"/>
                <w:color w:val="auto"/>
                <w:kern w:val="0"/>
                <w:sz w:val="24"/>
                <w:highlight w:val="none"/>
                <w:u w:val="single"/>
                <w:lang w:eastAsia="zh-CN"/>
              </w:rPr>
              <w:t>）</w:t>
            </w:r>
            <w:r>
              <w:rPr>
                <w:rFonts w:hint="eastAsia" w:asciiTheme="minorEastAsia" w:hAnsiTheme="minorEastAsia" w:eastAsiaTheme="minorEastAsia" w:cstheme="minorEastAsia"/>
                <w:snapToGrid w:val="0"/>
                <w:color w:val="auto"/>
                <w:kern w:val="0"/>
                <w:sz w:val="24"/>
                <w:highlight w:val="none"/>
                <w:u w:val="single"/>
              </w:rPr>
              <w:t>。</w:t>
            </w:r>
          </w:p>
        </w:tc>
      </w:tr>
      <w:tr w14:paraId="3BC5B7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0"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6E0B6893">
            <w:pPr>
              <w:pStyle w:val="37"/>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9</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4F6A3ED1">
            <w:pPr>
              <w:pStyle w:val="37"/>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 xml:space="preserve">开标时间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5E9F5160">
            <w:pPr>
              <w:pStyle w:val="19"/>
              <w:wordWrap w:val="0"/>
              <w:adjustRightInd w:val="0"/>
              <w:snapToGrid w:val="0"/>
              <w:spacing w:line="400" w:lineRule="exact"/>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color w:val="auto"/>
                <w:kern w:val="0"/>
                <w:szCs w:val="24"/>
                <w:highlight w:val="none"/>
                <w:u w:val="single"/>
                <w:lang w:bidi="ar"/>
              </w:rPr>
              <w:t>202</w:t>
            </w:r>
            <w:r>
              <w:rPr>
                <w:rFonts w:hint="eastAsia" w:asciiTheme="minorEastAsia" w:hAnsiTheme="minorEastAsia" w:eastAsiaTheme="minorEastAsia" w:cstheme="minorEastAsia"/>
                <w:color w:val="auto"/>
                <w:kern w:val="0"/>
                <w:szCs w:val="24"/>
                <w:highlight w:val="none"/>
                <w:u w:val="single"/>
                <w:lang w:val="en-US" w:eastAsia="zh-CN" w:bidi="ar"/>
              </w:rPr>
              <w:t>4</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 w:val="24"/>
                <w:highlight w:val="none"/>
                <w:u w:val="single"/>
                <w:lang w:val="en-US" w:eastAsia="zh-CN"/>
              </w:rPr>
              <w:t>11</w:t>
            </w:r>
            <w:r>
              <w:rPr>
                <w:rFonts w:hint="eastAsia" w:asciiTheme="minorEastAsia" w:hAnsiTheme="minorEastAsia" w:eastAsiaTheme="minorEastAsia" w:cstheme="minorEastAsia"/>
                <w:snapToGrid w:val="0"/>
                <w:color w:val="auto"/>
                <w:kern w:val="0"/>
                <w:sz w:val="24"/>
                <w:highlight w:val="none"/>
              </w:rPr>
              <w:t>月</w:t>
            </w:r>
            <w:r>
              <w:rPr>
                <w:rFonts w:hint="eastAsia" w:asciiTheme="minorEastAsia" w:hAnsiTheme="minorEastAsia" w:eastAsiaTheme="minorEastAsia" w:cstheme="minorEastAsia"/>
                <w:snapToGrid w:val="0"/>
                <w:color w:val="auto"/>
                <w:kern w:val="0"/>
                <w:sz w:val="24"/>
                <w:highlight w:val="none"/>
                <w:u w:val="single"/>
                <w:lang w:val="en-US" w:eastAsia="zh-CN"/>
              </w:rPr>
              <w:t>05</w:t>
            </w:r>
            <w:r>
              <w:rPr>
                <w:rFonts w:hint="eastAsia" w:asciiTheme="minorEastAsia" w:hAnsiTheme="minorEastAsia" w:eastAsiaTheme="minorEastAsia" w:cstheme="minorEastAsia"/>
                <w:snapToGrid w:val="0"/>
                <w:color w:val="auto"/>
                <w:kern w:val="0"/>
                <w:sz w:val="24"/>
                <w:highlight w:val="none"/>
              </w:rPr>
              <w:t>日</w:t>
            </w:r>
            <w:r>
              <w:rPr>
                <w:rFonts w:hint="eastAsia" w:asciiTheme="minorEastAsia" w:hAnsiTheme="minorEastAsia" w:eastAsiaTheme="minorEastAsia" w:cstheme="minorEastAsia"/>
                <w:snapToGrid w:val="0"/>
                <w:color w:val="auto"/>
                <w:kern w:val="0"/>
                <w:sz w:val="24"/>
                <w:highlight w:val="none"/>
                <w:u w:val="single"/>
                <w:lang w:val="en-US" w:eastAsia="zh-CN"/>
              </w:rPr>
              <w:t>10</w:t>
            </w:r>
            <w:r>
              <w:rPr>
                <w:rFonts w:hint="eastAsia" w:asciiTheme="minorEastAsia" w:hAnsiTheme="minorEastAsia" w:eastAsiaTheme="minorEastAsia" w:cstheme="minorEastAsia"/>
                <w:snapToGrid w:val="0"/>
                <w:color w:val="auto"/>
                <w:kern w:val="0"/>
                <w:sz w:val="24"/>
                <w:highlight w:val="none"/>
              </w:rPr>
              <w:t>时</w:t>
            </w:r>
            <w:r>
              <w:rPr>
                <w:rFonts w:hint="eastAsia" w:asciiTheme="minorEastAsia" w:hAnsiTheme="minorEastAsia" w:eastAsiaTheme="minorEastAsia" w:cstheme="minorEastAsia"/>
                <w:snapToGrid w:val="0"/>
                <w:color w:val="auto"/>
                <w:kern w:val="0"/>
                <w:sz w:val="24"/>
                <w:highlight w:val="none"/>
                <w:u w:val="single"/>
                <w:lang w:val="en-US" w:eastAsia="zh-CN"/>
              </w:rPr>
              <w:t>0</w:t>
            </w:r>
            <w:r>
              <w:rPr>
                <w:rFonts w:hint="eastAsia" w:asciiTheme="minorEastAsia" w:hAnsiTheme="minorEastAsia" w:eastAsiaTheme="minorEastAsia" w:cstheme="minorEastAsia"/>
                <w:snapToGrid w:val="0"/>
                <w:color w:val="auto"/>
                <w:kern w:val="0"/>
                <w:sz w:val="24"/>
                <w:highlight w:val="none"/>
                <w:u w:val="single"/>
              </w:rPr>
              <w:t>0</w:t>
            </w:r>
            <w:r>
              <w:rPr>
                <w:rFonts w:hint="eastAsia" w:asciiTheme="minorEastAsia" w:hAnsiTheme="minorEastAsia" w:eastAsiaTheme="minorEastAsia" w:cstheme="minorEastAsia"/>
                <w:snapToGrid w:val="0"/>
                <w:color w:val="auto"/>
                <w:kern w:val="0"/>
                <w:sz w:val="24"/>
                <w:highlight w:val="none"/>
              </w:rPr>
              <w:t>分</w:t>
            </w:r>
          </w:p>
        </w:tc>
      </w:tr>
      <w:tr w14:paraId="183B6B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7"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776EBF36">
            <w:pPr>
              <w:pStyle w:val="37"/>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10</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364B7747">
            <w:pPr>
              <w:pStyle w:val="37"/>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 xml:space="preserve">开标地点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6B745586">
            <w:pPr>
              <w:pStyle w:val="37"/>
              <w:wordWrap w:val="0"/>
              <w:adjustRightInd w:val="0"/>
              <w:snapToGrid w:val="0"/>
              <w:spacing w:line="360" w:lineRule="auto"/>
              <w:ind w:firstLine="240" w:firstLineChars="10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开标场所：</w:t>
            </w:r>
            <w:r>
              <w:rPr>
                <w:rFonts w:hint="eastAsia" w:asciiTheme="minorEastAsia" w:hAnsiTheme="minorEastAsia" w:eastAsiaTheme="minorEastAsia" w:cstheme="minorEastAsia"/>
                <w:snapToGrid w:val="0"/>
                <w:color w:val="auto"/>
                <w:kern w:val="0"/>
                <w:sz w:val="24"/>
                <w:highlight w:val="none"/>
                <w:u w:val="single"/>
              </w:rPr>
              <w:t>韶关市公共资源交易中心南雄分中心</w:t>
            </w:r>
          </w:p>
          <w:p w14:paraId="5ADFA055">
            <w:pPr>
              <w:pStyle w:val="37"/>
              <w:wordWrap w:val="0"/>
              <w:adjustRightInd w:val="0"/>
              <w:snapToGrid w:val="0"/>
              <w:spacing w:line="360" w:lineRule="auto"/>
              <w:ind w:firstLine="240" w:firstLineChars="10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地址：</w:t>
            </w:r>
            <w:r>
              <w:rPr>
                <w:rFonts w:hint="eastAsia" w:asciiTheme="minorEastAsia" w:hAnsiTheme="minorEastAsia" w:eastAsiaTheme="minorEastAsia" w:cstheme="minorEastAsia"/>
                <w:color w:val="auto"/>
                <w:kern w:val="0"/>
                <w:sz w:val="24"/>
                <w:highlight w:val="none"/>
              </w:rPr>
              <w:t>南雄市雄东路1号大润发四楼韶关市公共资源交易中心南雄分中心（南雄市公共服务中心内）</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 xml:space="preserve"> </w:t>
            </w:r>
          </w:p>
        </w:tc>
      </w:tr>
      <w:tr w14:paraId="365C5C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31"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391EFF47">
            <w:pPr>
              <w:pStyle w:val="37"/>
              <w:widowControl/>
              <w:snapToGrid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11</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12C593B1">
            <w:pPr>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备注</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00628AC1">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投标人应按有关要求办理数字证书（CA）和企业入库、获取招标文件、资料文件及招标答疑书等。若由于投标人自身原因未能及时取得上述资料的，由此发生的任何责任由投标人自行承担。</w:t>
            </w:r>
          </w:p>
        </w:tc>
      </w:tr>
    </w:tbl>
    <w:p w14:paraId="50A4BECE">
      <w:pPr>
        <w:pStyle w:val="35"/>
        <w:keepNext/>
        <w:keepLines/>
        <w:tabs>
          <w:tab w:val="left" w:pos="885"/>
        </w:tabs>
        <w:ind w:left="885" w:hanging="885"/>
        <w:jc w:val="center"/>
        <w:outlineLvl w:val="1"/>
        <w:rPr>
          <w:rFonts w:hint="eastAsia" w:asciiTheme="minorEastAsia" w:hAnsiTheme="minorEastAsia" w:eastAsiaTheme="minorEastAsia" w:cstheme="minorEastAsia"/>
          <w:b/>
          <w:color w:val="auto"/>
          <w:kern w:val="44"/>
          <w:sz w:val="36"/>
          <w:szCs w:val="36"/>
          <w:highlight w:val="none"/>
        </w:rPr>
      </w:pPr>
      <w:r>
        <w:rPr>
          <w:rFonts w:hint="eastAsia" w:asciiTheme="minorEastAsia" w:hAnsiTheme="minorEastAsia" w:eastAsiaTheme="minorEastAsia" w:cstheme="minorEastAsia"/>
          <w:color w:val="auto"/>
          <w:sz w:val="24"/>
          <w:highlight w:val="none"/>
        </w:rPr>
        <w:br w:type="page"/>
      </w:r>
      <w:bookmarkStart w:id="9" w:name="_Hlt69669159"/>
      <w:bookmarkEnd w:id="9"/>
      <w:bookmarkStart w:id="10" w:name="_Toc11960"/>
      <w:bookmarkStart w:id="11" w:name="_Hlt69698705"/>
      <w:bookmarkStart w:id="12" w:name="_Hlt69698754"/>
      <w:r>
        <w:rPr>
          <w:rFonts w:hint="eastAsia" w:asciiTheme="minorEastAsia" w:hAnsiTheme="minorEastAsia" w:eastAsiaTheme="minorEastAsia" w:cstheme="minorEastAsia"/>
          <w:b/>
          <w:color w:val="auto"/>
          <w:sz w:val="36"/>
          <w:szCs w:val="36"/>
          <w:highlight w:val="none"/>
        </w:rPr>
        <w:t>第</w:t>
      </w:r>
      <w:r>
        <w:rPr>
          <w:rFonts w:hint="eastAsia" w:asciiTheme="minorEastAsia" w:hAnsiTheme="minorEastAsia" w:eastAsiaTheme="minorEastAsia" w:cstheme="minorEastAsia"/>
          <w:b/>
          <w:color w:val="auto"/>
          <w:kern w:val="44"/>
          <w:sz w:val="36"/>
          <w:szCs w:val="36"/>
          <w:highlight w:val="none"/>
        </w:rPr>
        <w:t>三节</w:t>
      </w:r>
      <w:bookmarkStart w:id="13" w:name="_Hlt87793819"/>
      <w:bookmarkEnd w:id="13"/>
      <w:r>
        <w:rPr>
          <w:rFonts w:hint="eastAsia" w:asciiTheme="minorEastAsia" w:hAnsiTheme="minorEastAsia" w:eastAsiaTheme="minorEastAsia" w:cstheme="minorEastAsia"/>
          <w:b/>
          <w:color w:val="auto"/>
          <w:kern w:val="44"/>
          <w:sz w:val="36"/>
          <w:szCs w:val="36"/>
          <w:highlight w:val="none"/>
        </w:rPr>
        <w:t xml:space="preserve"> 投标须知正文</w:t>
      </w:r>
      <w:bookmarkEnd w:id="10"/>
    </w:p>
    <w:bookmarkEnd w:id="11"/>
    <w:bookmarkEnd w:id="12"/>
    <w:p w14:paraId="64B54B44">
      <w:pPr>
        <w:pStyle w:val="7"/>
        <w:spacing w:line="400" w:lineRule="exact"/>
        <w:rPr>
          <w:rFonts w:hint="eastAsia" w:asciiTheme="minorEastAsia" w:hAnsiTheme="minorEastAsia" w:eastAsiaTheme="minorEastAsia" w:cstheme="minorEastAsia"/>
          <w:color w:val="auto"/>
          <w:sz w:val="24"/>
          <w:szCs w:val="28"/>
          <w:highlight w:val="none"/>
          <w:u w:val="single"/>
        </w:rPr>
      </w:pPr>
    </w:p>
    <w:p w14:paraId="6870AE7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u w:val="single"/>
          <w:lang w:eastAsia="zh-CN"/>
        </w:rPr>
        <w:t>商贸乌迳城乡融合发展建设项目</w:t>
      </w:r>
      <w:r>
        <w:rPr>
          <w:rFonts w:hint="eastAsia" w:asciiTheme="minorEastAsia" w:hAnsiTheme="minorEastAsia" w:eastAsiaTheme="minorEastAsia" w:cstheme="minorEastAsia"/>
          <w:snapToGrid w:val="0"/>
          <w:color w:val="auto"/>
          <w:kern w:val="0"/>
          <w:szCs w:val="24"/>
          <w:highlight w:val="none"/>
          <w:lang w:eastAsia="zh-CN"/>
        </w:rPr>
        <w:t>业</w:t>
      </w:r>
      <w:r>
        <w:rPr>
          <w:rFonts w:hint="eastAsia" w:asciiTheme="minorEastAsia" w:hAnsiTheme="minorEastAsia" w:eastAsiaTheme="minorEastAsia" w:cstheme="minorEastAsia"/>
          <w:snapToGrid w:val="0"/>
          <w:color w:val="auto"/>
          <w:kern w:val="0"/>
          <w:szCs w:val="24"/>
          <w:highlight w:val="none"/>
        </w:rPr>
        <w:t>经南雄市发展和改革局以《</w:t>
      </w:r>
      <w:bookmarkStart w:id="14" w:name="bookmark5"/>
      <w:bookmarkStart w:id="15" w:name="bookmark3"/>
      <w:bookmarkStart w:id="16" w:name="bookmark4"/>
      <w:r>
        <w:rPr>
          <w:rFonts w:hint="eastAsia" w:asciiTheme="minorEastAsia" w:hAnsiTheme="minorEastAsia" w:eastAsiaTheme="minorEastAsia" w:cstheme="minorEastAsia"/>
          <w:snapToGrid w:val="0"/>
          <w:color w:val="auto"/>
          <w:kern w:val="0"/>
          <w:szCs w:val="24"/>
          <w:highlight w:val="none"/>
          <w:u w:val="single"/>
        </w:rPr>
        <w:t>关于</w:t>
      </w:r>
      <w:r>
        <w:rPr>
          <w:rFonts w:hint="eastAsia" w:asciiTheme="minorEastAsia" w:hAnsiTheme="minorEastAsia" w:eastAsiaTheme="minorEastAsia" w:cstheme="minorEastAsia"/>
          <w:snapToGrid w:val="0"/>
          <w:color w:val="auto"/>
          <w:kern w:val="0"/>
          <w:szCs w:val="24"/>
          <w:highlight w:val="none"/>
          <w:u w:val="single"/>
          <w:lang w:eastAsia="zh-CN"/>
        </w:rPr>
        <w:t>商贸乌迳城乡融合发展建设项目</w:t>
      </w:r>
      <w:r>
        <w:rPr>
          <w:rFonts w:hint="eastAsia" w:asciiTheme="minorEastAsia" w:hAnsiTheme="minorEastAsia" w:eastAsiaTheme="minorEastAsia" w:cstheme="minorEastAsia"/>
          <w:snapToGrid w:val="0"/>
          <w:color w:val="auto"/>
          <w:kern w:val="0"/>
          <w:szCs w:val="24"/>
          <w:highlight w:val="none"/>
          <w:u w:val="single"/>
        </w:rPr>
        <w:t>可行性研究报告的批复</w:t>
      </w:r>
      <w:bookmarkEnd w:id="14"/>
      <w:bookmarkEnd w:id="15"/>
      <w:bookmarkEnd w:id="16"/>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eastAsia="zh-CN"/>
        </w:rPr>
        <w:t>雄发改投审〔2024〕107号</w:t>
      </w:r>
      <w:r>
        <w:rPr>
          <w:rFonts w:hint="eastAsia" w:asciiTheme="minorEastAsia" w:hAnsiTheme="minorEastAsia" w:eastAsiaTheme="minorEastAsia" w:cstheme="minorEastAsia"/>
          <w:snapToGrid w:val="0"/>
          <w:color w:val="auto"/>
          <w:kern w:val="0"/>
          <w:szCs w:val="24"/>
          <w:highlight w:val="none"/>
        </w:rPr>
        <w:t>批准建设，项目代码为</w:t>
      </w:r>
      <w:r>
        <w:rPr>
          <w:rFonts w:hint="eastAsia" w:asciiTheme="minorEastAsia" w:hAnsiTheme="minorEastAsia" w:eastAsiaTheme="minorEastAsia" w:cstheme="minorEastAsia"/>
          <w:snapToGrid w:val="0"/>
          <w:color w:val="auto"/>
          <w:kern w:val="0"/>
          <w:szCs w:val="24"/>
          <w:highlight w:val="none"/>
          <w:lang w:eastAsia="zh-CN"/>
        </w:rPr>
        <w:t>2407-440282-20-01-395819</w:t>
      </w:r>
      <w:r>
        <w:rPr>
          <w:rFonts w:hint="eastAsia" w:asciiTheme="minorEastAsia" w:hAnsiTheme="minorEastAsia" w:eastAsiaTheme="minorEastAsia" w:cstheme="minorEastAsia"/>
          <w:snapToGrid w:val="0"/>
          <w:color w:val="auto"/>
          <w:kern w:val="0"/>
          <w:szCs w:val="24"/>
          <w:highlight w:val="none"/>
        </w:rPr>
        <w:t>。本工程项目业主为南雄市住房和城乡建设局，建设资金来自</w:t>
      </w:r>
      <w:r>
        <w:rPr>
          <w:rFonts w:hint="eastAsia" w:asciiTheme="minorEastAsia" w:hAnsiTheme="minorEastAsia" w:eastAsiaTheme="minorEastAsia" w:cstheme="minorEastAsia"/>
          <w:snapToGrid w:val="0"/>
          <w:color w:val="auto"/>
          <w:kern w:val="0"/>
          <w:szCs w:val="24"/>
          <w:highlight w:val="none"/>
          <w:u w:val="single"/>
          <w:lang w:eastAsia="zh-CN"/>
        </w:rPr>
        <w:t>市财政资金及其他</w:t>
      </w:r>
      <w:r>
        <w:rPr>
          <w:rFonts w:hint="eastAsia" w:asciiTheme="minorEastAsia" w:hAnsiTheme="minorEastAsia" w:eastAsiaTheme="minorEastAsia" w:cstheme="minorEastAsia"/>
          <w:snapToGrid w:val="0"/>
          <w:color w:val="auto"/>
          <w:kern w:val="0"/>
          <w:szCs w:val="24"/>
          <w:highlight w:val="none"/>
        </w:rPr>
        <w:t>，出资比例为</w:t>
      </w:r>
      <w:r>
        <w:rPr>
          <w:rFonts w:hint="eastAsia" w:asciiTheme="minorEastAsia" w:hAnsiTheme="minorEastAsia" w:eastAsiaTheme="minorEastAsia" w:cstheme="minorEastAsia"/>
          <w:snapToGrid w:val="0"/>
          <w:color w:val="auto"/>
          <w:kern w:val="0"/>
          <w:szCs w:val="24"/>
          <w:highlight w:val="none"/>
          <w:u w:val="single"/>
        </w:rPr>
        <w:t>100%</w:t>
      </w:r>
      <w:r>
        <w:rPr>
          <w:rFonts w:hint="eastAsia" w:asciiTheme="minorEastAsia" w:hAnsiTheme="minorEastAsia" w:eastAsiaTheme="minorEastAsia" w:cstheme="minorEastAsia"/>
          <w:snapToGrid w:val="0"/>
          <w:color w:val="auto"/>
          <w:kern w:val="0"/>
          <w:szCs w:val="24"/>
          <w:highlight w:val="none"/>
        </w:rPr>
        <w:t>，招标人为</w:t>
      </w:r>
      <w:r>
        <w:rPr>
          <w:rFonts w:hint="eastAsia" w:asciiTheme="minorEastAsia" w:hAnsiTheme="minorEastAsia" w:eastAsiaTheme="minorEastAsia" w:cstheme="minorEastAsia"/>
          <w:snapToGrid w:val="0"/>
          <w:color w:val="auto"/>
          <w:kern w:val="0"/>
          <w:szCs w:val="24"/>
          <w:highlight w:val="none"/>
          <w:u w:val="single"/>
          <w:lang w:eastAsia="zh-CN"/>
        </w:rPr>
        <w:t>南雄市乌迳镇人民政府</w:t>
      </w:r>
      <w:r>
        <w:rPr>
          <w:rFonts w:hint="eastAsia" w:asciiTheme="minorEastAsia" w:hAnsiTheme="minorEastAsia" w:eastAsiaTheme="minorEastAsia" w:cstheme="minorEastAsia"/>
          <w:snapToGrid w:val="0"/>
          <w:color w:val="auto"/>
          <w:kern w:val="0"/>
          <w:szCs w:val="24"/>
          <w:highlight w:val="none"/>
        </w:rPr>
        <w:t>，招标代理机构为</w:t>
      </w:r>
      <w:r>
        <w:rPr>
          <w:rFonts w:hint="eastAsia" w:asciiTheme="minorEastAsia" w:hAnsiTheme="minorEastAsia" w:eastAsiaTheme="minorEastAsia" w:cstheme="minorEastAsia"/>
          <w:snapToGrid w:val="0"/>
          <w:color w:val="auto"/>
          <w:kern w:val="0"/>
          <w:szCs w:val="24"/>
          <w:highlight w:val="none"/>
          <w:u w:val="single"/>
          <w:lang w:eastAsia="zh-CN"/>
        </w:rPr>
        <w:t>中创名建工程管理集团有限公司</w:t>
      </w:r>
      <w:r>
        <w:rPr>
          <w:rFonts w:hint="eastAsia" w:asciiTheme="minorEastAsia" w:hAnsiTheme="minorEastAsia" w:eastAsiaTheme="minorEastAsia" w:cstheme="minorEastAsia"/>
          <w:snapToGrid w:val="0"/>
          <w:color w:val="auto"/>
          <w:kern w:val="0"/>
          <w:szCs w:val="24"/>
          <w:highlight w:val="none"/>
        </w:rPr>
        <w:t>。项目已具备招标条件，现对该项目的</w:t>
      </w:r>
      <w:r>
        <w:rPr>
          <w:rFonts w:hint="eastAsia" w:asciiTheme="minorEastAsia" w:hAnsiTheme="minorEastAsia" w:eastAsiaTheme="minorEastAsia" w:cstheme="minorEastAsia"/>
          <w:snapToGrid w:val="0"/>
          <w:color w:val="auto"/>
          <w:kern w:val="0"/>
          <w:szCs w:val="24"/>
          <w:highlight w:val="none"/>
          <w:u w:val="single"/>
          <w:lang w:eastAsia="zh-CN"/>
        </w:rPr>
        <w:t>（二期）</w:t>
      </w:r>
      <w:r>
        <w:rPr>
          <w:rFonts w:hint="eastAsia" w:asciiTheme="minorEastAsia" w:hAnsiTheme="minorEastAsia" w:eastAsiaTheme="minorEastAsia" w:cstheme="minorEastAsia"/>
          <w:snapToGrid w:val="0"/>
          <w:color w:val="auto"/>
          <w:kern w:val="0"/>
          <w:szCs w:val="24"/>
          <w:highlight w:val="none"/>
          <w:u w:val="single"/>
        </w:rPr>
        <w:t>设计</w:t>
      </w:r>
      <w:r>
        <w:rPr>
          <w:rFonts w:hint="eastAsia" w:asciiTheme="minorEastAsia" w:hAnsiTheme="minorEastAsia" w:eastAsiaTheme="minorEastAsia" w:cstheme="minorEastAsia"/>
          <w:snapToGrid w:val="0"/>
          <w:color w:val="auto"/>
          <w:kern w:val="0"/>
          <w:szCs w:val="24"/>
          <w:highlight w:val="none"/>
          <w:u w:val="single"/>
          <w:lang w:eastAsia="zh-CN"/>
        </w:rPr>
        <w:t>、</w:t>
      </w:r>
      <w:r>
        <w:rPr>
          <w:rFonts w:hint="eastAsia" w:asciiTheme="minorEastAsia" w:hAnsiTheme="minorEastAsia" w:eastAsiaTheme="minorEastAsia" w:cstheme="minorEastAsia"/>
          <w:snapToGrid w:val="0"/>
          <w:color w:val="auto"/>
          <w:kern w:val="0"/>
          <w:szCs w:val="24"/>
          <w:highlight w:val="none"/>
          <w:u w:val="single"/>
        </w:rPr>
        <w:t>施工总承包</w:t>
      </w:r>
      <w:r>
        <w:rPr>
          <w:rFonts w:hint="eastAsia" w:asciiTheme="minorEastAsia" w:hAnsiTheme="minorEastAsia" w:eastAsiaTheme="minorEastAsia" w:cstheme="minorEastAsia"/>
          <w:snapToGrid w:val="0"/>
          <w:color w:val="auto"/>
          <w:kern w:val="0"/>
          <w:szCs w:val="24"/>
          <w:highlight w:val="none"/>
        </w:rPr>
        <w:t>进行公开招标。</w:t>
      </w:r>
    </w:p>
    <w:p w14:paraId="6197F2E1">
      <w:pPr>
        <w:pStyle w:val="36"/>
        <w:keepNext/>
        <w:keepLines/>
        <w:ind w:firstLine="480"/>
        <w:jc w:val="both"/>
        <w:rPr>
          <w:rFonts w:hint="eastAsia" w:asciiTheme="minorEastAsia" w:hAnsiTheme="minorEastAsia" w:eastAsiaTheme="minorEastAsia" w:cstheme="minorEastAsia"/>
          <w:b/>
          <w:bCs/>
          <w:snapToGrid w:val="0"/>
          <w:color w:val="auto"/>
          <w:highlight w:val="none"/>
        </w:rPr>
      </w:pPr>
      <w:bookmarkStart w:id="17" w:name="_Hlt87948285"/>
      <w:bookmarkEnd w:id="17"/>
      <w:bookmarkStart w:id="18" w:name="_Hlt109358474"/>
      <w:bookmarkEnd w:id="18"/>
      <w:bookmarkStart w:id="19" w:name="_Hlt74474735"/>
      <w:bookmarkEnd w:id="19"/>
      <w:bookmarkStart w:id="20" w:name="_Hlt78795222"/>
      <w:bookmarkEnd w:id="20"/>
      <w:bookmarkStart w:id="21" w:name="_Hlt119991399"/>
      <w:bookmarkEnd w:id="21"/>
      <w:bookmarkStart w:id="22" w:name="_Toc4081"/>
      <w:bookmarkStart w:id="23" w:name="_Toc30732"/>
      <w:bookmarkStart w:id="24" w:name="_Toc31976"/>
      <w:bookmarkStart w:id="25" w:name="_Toc574"/>
      <w:bookmarkStart w:id="26" w:name="_Toc4462"/>
      <w:bookmarkStart w:id="27" w:name="_Toc18453"/>
      <w:bookmarkStart w:id="28" w:name="_Toc25252"/>
      <w:bookmarkStart w:id="29" w:name="_Toc23054"/>
      <w:bookmarkStart w:id="30" w:name="_Toc24563"/>
      <w:r>
        <w:rPr>
          <w:rFonts w:hint="eastAsia" w:asciiTheme="minorEastAsia" w:hAnsiTheme="minorEastAsia" w:eastAsiaTheme="minorEastAsia" w:cstheme="minorEastAsia"/>
          <w:b/>
          <w:color w:val="auto"/>
          <w:kern w:val="2"/>
          <w:highlight w:val="none"/>
        </w:rPr>
        <w:t>1、 工程概况综合说明</w:t>
      </w:r>
      <w:bookmarkEnd w:id="22"/>
      <w:bookmarkEnd w:id="23"/>
      <w:bookmarkEnd w:id="24"/>
      <w:bookmarkEnd w:id="25"/>
      <w:bookmarkEnd w:id="26"/>
      <w:bookmarkEnd w:id="27"/>
      <w:bookmarkEnd w:id="28"/>
      <w:bookmarkEnd w:id="29"/>
      <w:bookmarkEnd w:id="30"/>
    </w:p>
    <w:p w14:paraId="20A82846">
      <w:pPr>
        <w:pStyle w:val="37"/>
        <w:wordWrap w:val="0"/>
        <w:adjustRightInd w:val="0"/>
        <w:snapToGrid w:val="0"/>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1.1</w:t>
      </w:r>
      <w:r>
        <w:rPr>
          <w:rFonts w:hint="eastAsia" w:asciiTheme="minorEastAsia" w:hAnsiTheme="minorEastAsia" w:eastAsiaTheme="minorEastAsia" w:cstheme="minorEastAsia"/>
          <w:color w:val="auto"/>
          <w:sz w:val="24"/>
          <w:highlight w:val="none"/>
        </w:rPr>
        <w:t xml:space="preserve"> 工程概况</w:t>
      </w:r>
    </w:p>
    <w:p w14:paraId="2A22D848">
      <w:pPr>
        <w:pStyle w:val="37"/>
        <w:wordWrap w:val="0"/>
        <w:adjustRightInd w:val="0"/>
        <w:snapToGrid w:val="0"/>
        <w:spacing w:line="360" w:lineRule="auto"/>
        <w:ind w:firstLine="480"/>
        <w:jc w:val="left"/>
        <w:rPr>
          <w:rFonts w:hint="eastAsia" w:asciiTheme="minorEastAsia" w:hAnsiTheme="minorEastAsia" w:eastAsiaTheme="minorEastAsia" w:cstheme="minorEastAsia"/>
          <w:color w:val="auto"/>
          <w:sz w:val="24"/>
          <w:szCs w:val="18"/>
          <w:highlight w:val="none"/>
          <w:u w:val="none"/>
        </w:rPr>
      </w:pPr>
      <w:r>
        <w:rPr>
          <w:rFonts w:hint="eastAsia" w:asciiTheme="minorEastAsia" w:hAnsiTheme="minorEastAsia" w:eastAsiaTheme="minorEastAsia" w:cstheme="minorEastAsia"/>
          <w:b/>
          <w:bCs/>
          <w:color w:val="auto"/>
          <w:sz w:val="24"/>
          <w:highlight w:val="none"/>
        </w:rPr>
        <w:t>1.1.1</w:t>
      </w:r>
      <w:r>
        <w:rPr>
          <w:rFonts w:hint="eastAsia" w:asciiTheme="minorEastAsia" w:hAnsiTheme="minorEastAsia" w:eastAsiaTheme="minorEastAsia" w:cstheme="minorEastAsia"/>
          <w:color w:val="auto"/>
          <w:sz w:val="24"/>
          <w:highlight w:val="none"/>
        </w:rPr>
        <w:t xml:space="preserve"> 建设地点：</w:t>
      </w:r>
      <w:r>
        <w:rPr>
          <w:rFonts w:hint="eastAsia" w:asciiTheme="minorEastAsia" w:hAnsiTheme="minorEastAsia" w:eastAsiaTheme="minorEastAsia" w:cstheme="minorEastAsia"/>
          <w:snapToGrid w:val="0"/>
          <w:color w:val="auto"/>
          <w:kern w:val="0"/>
          <w:sz w:val="24"/>
          <w:highlight w:val="none"/>
          <w:u w:val="none"/>
          <w:lang w:val="en-US" w:eastAsia="zh-CN"/>
        </w:rPr>
        <w:t>南雄市乌迳镇</w:t>
      </w:r>
    </w:p>
    <w:p w14:paraId="0BDCAA8C">
      <w:pPr>
        <w:widowControl/>
        <w:spacing w:line="360" w:lineRule="auto"/>
        <w:ind w:left="511" w:leftChars="2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1.1.2</w:t>
      </w:r>
      <w:r>
        <w:rPr>
          <w:rFonts w:hint="eastAsia" w:asciiTheme="minorEastAsia" w:hAnsiTheme="minorEastAsia" w:eastAsiaTheme="minorEastAsia" w:cstheme="minorEastAsia"/>
          <w:color w:val="auto"/>
          <w:highlight w:val="none"/>
        </w:rPr>
        <w:t xml:space="preserve"> 建设内容和规模：本项目建设内容主要包含：乌迳圩镇融合发展建设项目、圩镇体育基础建设项目 2 个子项目。其中，乌迳圩镇融合发展建设项目包括有乡镇风貌改造、文旅基础设施完善、道路局部拓宽改造、商业街基础设施完善、美丽圩镇客厅建设、碧道及沿途基础设施完善、农贸市场及道路、给排水等基础设施完善、环道设施建设完善等内容。圩镇体育基础建设项目包括有综合活动设施、体育设施及场地等内容。</w:t>
      </w:r>
    </w:p>
    <w:p w14:paraId="0ACF7D93">
      <w:pPr>
        <w:widowControl/>
        <w:spacing w:line="360" w:lineRule="auto"/>
        <w:ind w:left="511" w:leftChars="2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项目分2期实施，本项目为二期工程，包括了以下内容。</w:t>
      </w:r>
    </w:p>
    <w:p w14:paraId="200F5A60">
      <w:pPr>
        <w:widowControl/>
        <w:spacing w:line="360" w:lineRule="auto"/>
        <w:ind w:left="511" w:leftChars="2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（1）乡镇风貌改造：人民路建设连片乡镇风貌改造，补充植被覆盖，初步核算改造涉及面积约20000m²。</w:t>
      </w:r>
    </w:p>
    <w:p w14:paraId="05DBF50D">
      <w:pPr>
        <w:widowControl/>
        <w:spacing w:line="360" w:lineRule="auto"/>
        <w:ind w:left="511" w:leftChars="2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（2）道路局部拓宽改造：对水南洞桥至水城桥段及南北延伸段圩镇内部分道路进行道路局部拓宽及配套设施补充，初步核算长度约5公里。</w:t>
      </w:r>
    </w:p>
    <w:p w14:paraId="29037619">
      <w:pPr>
        <w:widowControl/>
        <w:spacing w:line="360" w:lineRule="auto"/>
        <w:ind w:left="511" w:leftChars="2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（3）碧道及沿途基础设施完善：水南洞桥至水城桥段及南北延伸段碧道建设，对圩镇部分道路沿途基础设施进行完善。长度约5公里。</w:t>
      </w:r>
    </w:p>
    <w:p w14:paraId="4539074F">
      <w:pPr>
        <w:widowControl/>
        <w:spacing w:line="360" w:lineRule="auto"/>
        <w:ind w:left="511" w:leftChars="213"/>
        <w:rPr>
          <w:rFonts w:hint="eastAsia" w:asciiTheme="minorEastAsia" w:hAnsiTheme="minorEastAsia" w:eastAsiaTheme="minorEastAsia" w:cstheme="minorEastAsia"/>
          <w:snapToGrid w:val="0"/>
          <w:color w:val="auto"/>
          <w:kern w:val="0"/>
          <w:sz w:val="24"/>
          <w:szCs w:val="24"/>
          <w:highlight w:val="none"/>
          <w:u w:val="single"/>
          <w:lang w:val="en-US" w:eastAsia="zh-CN" w:bidi="ar-SA"/>
        </w:rPr>
      </w:pPr>
      <w:r>
        <w:rPr>
          <w:rFonts w:hint="eastAsia" w:asciiTheme="minorEastAsia" w:hAnsiTheme="minorEastAsia" w:eastAsiaTheme="minorEastAsia" w:cstheme="minorEastAsia"/>
          <w:color w:val="auto"/>
          <w:highlight w:val="none"/>
        </w:rPr>
        <w:t>（4）环道设施建设完善：改造完善环道设施，长度约2公里。</w:t>
      </w:r>
    </w:p>
    <w:p w14:paraId="2A89E065">
      <w:pPr>
        <w:widowControl/>
        <w:spacing w:line="360" w:lineRule="auto"/>
        <w:ind w:left="511" w:leftChars="213"/>
        <w:rPr>
          <w:rFonts w:hint="eastAsia" w:asciiTheme="minorEastAsia" w:hAnsiTheme="minorEastAsia" w:eastAsiaTheme="minorEastAsia" w:cstheme="minorEastAsia"/>
          <w:snapToGrid w:val="0"/>
          <w:color w:val="auto"/>
          <w:kern w:val="0"/>
          <w:sz w:val="24"/>
          <w:szCs w:val="24"/>
          <w:highlight w:val="none"/>
          <w:u w:val="none"/>
          <w:lang w:val="en-US" w:eastAsia="zh-CN" w:bidi="ar-SA"/>
        </w:rPr>
      </w:pPr>
      <w:r>
        <w:rPr>
          <w:rFonts w:hint="eastAsia" w:asciiTheme="minorEastAsia" w:hAnsiTheme="minorEastAsia" w:eastAsiaTheme="minorEastAsia" w:cstheme="minorEastAsia"/>
          <w:b/>
          <w:bCs/>
          <w:color w:val="auto"/>
          <w:szCs w:val="24"/>
          <w:highlight w:val="none"/>
        </w:rPr>
        <w:t>1.1.3</w:t>
      </w:r>
      <w:r>
        <w:rPr>
          <w:rFonts w:hint="eastAsia" w:asciiTheme="minorEastAsia" w:hAnsiTheme="minorEastAsia" w:eastAsiaTheme="minorEastAsia" w:cstheme="minorEastAsia"/>
          <w:color w:val="auto"/>
          <w:szCs w:val="24"/>
          <w:highlight w:val="none"/>
        </w:rPr>
        <w:t xml:space="preserve"> </w:t>
      </w:r>
      <w:bookmarkStart w:id="31" w:name="_Toc20999"/>
      <w:r>
        <w:rPr>
          <w:rFonts w:hint="eastAsia" w:asciiTheme="minorEastAsia" w:hAnsiTheme="minorEastAsia" w:eastAsiaTheme="minorEastAsia" w:cstheme="minorEastAsia"/>
          <w:color w:val="auto"/>
          <w:szCs w:val="24"/>
          <w:highlight w:val="none"/>
          <w:lang w:val="en-US" w:eastAsia="zh-CN"/>
        </w:rPr>
        <w:t>本项目投资概算约4154万元，其中建安费约3538万元，工程建设其他费约386万元，预备费约78万元。</w:t>
      </w:r>
    </w:p>
    <w:p w14:paraId="37F8AD91">
      <w:pPr>
        <w:widowControl/>
        <w:spacing w:line="360" w:lineRule="auto"/>
        <w:ind w:left="511" w:leftChars="213"/>
        <w:rPr>
          <w:rFonts w:hint="eastAsia" w:asciiTheme="minorEastAsia" w:hAnsiTheme="minorEastAsia" w:eastAsiaTheme="minorEastAsia" w:cstheme="minorEastAsia"/>
          <w:snapToGrid w:val="0"/>
          <w:color w:val="auto"/>
          <w:kern w:val="0"/>
          <w:highlight w:val="none"/>
          <w:u w:val="none"/>
        </w:rPr>
      </w:pPr>
      <w:r>
        <w:rPr>
          <w:rFonts w:hint="eastAsia" w:asciiTheme="minorEastAsia" w:hAnsiTheme="minorEastAsia" w:eastAsiaTheme="minorEastAsia" w:cstheme="minorEastAsia"/>
          <w:b/>
          <w:bCs/>
          <w:snapToGrid w:val="0"/>
          <w:color w:val="auto"/>
          <w:kern w:val="0"/>
          <w:highlight w:val="none"/>
        </w:rPr>
        <w:t>1.2</w:t>
      </w:r>
      <w:r>
        <w:rPr>
          <w:rFonts w:hint="eastAsia" w:asciiTheme="minorEastAsia" w:hAnsiTheme="minorEastAsia" w:eastAsiaTheme="minorEastAsia" w:cstheme="minorEastAsia"/>
          <w:snapToGrid w:val="0"/>
          <w:color w:val="auto"/>
          <w:kern w:val="0"/>
          <w:highlight w:val="none"/>
        </w:rPr>
        <w:t xml:space="preserve"> 标段划分：</w:t>
      </w:r>
      <w:bookmarkEnd w:id="31"/>
      <w:r>
        <w:rPr>
          <w:rFonts w:hint="eastAsia" w:asciiTheme="minorEastAsia" w:hAnsiTheme="minorEastAsia" w:eastAsiaTheme="minorEastAsia" w:cstheme="minorEastAsia"/>
          <w:snapToGrid w:val="0"/>
          <w:color w:val="auto"/>
          <w:kern w:val="0"/>
          <w:szCs w:val="24"/>
          <w:highlight w:val="none"/>
          <w:u w:val="none"/>
        </w:rPr>
        <w:t>本招标项目不划分标段。</w:t>
      </w:r>
    </w:p>
    <w:p w14:paraId="3302462C">
      <w:pPr>
        <w:pStyle w:val="34"/>
        <w:tabs>
          <w:tab w:val="left" w:pos="7020"/>
        </w:tabs>
        <w:ind w:firstLine="482" w:firstLineChars="200"/>
        <w:rPr>
          <w:rFonts w:hint="eastAsia" w:asciiTheme="minorEastAsia" w:hAnsiTheme="minorEastAsia" w:eastAsiaTheme="minorEastAsia" w:cstheme="minorEastAsia"/>
          <w:color w:val="auto"/>
          <w:highlight w:val="none"/>
          <w:u w:val="none"/>
        </w:rPr>
      </w:pPr>
      <w:r>
        <w:rPr>
          <w:rFonts w:hint="eastAsia" w:asciiTheme="minorEastAsia" w:hAnsiTheme="minorEastAsia" w:eastAsiaTheme="minorEastAsia" w:cstheme="minorEastAsia"/>
          <w:b/>
          <w:bCs/>
          <w:color w:val="auto"/>
          <w:szCs w:val="24"/>
          <w:highlight w:val="none"/>
          <w:u w:val="none"/>
        </w:rPr>
        <w:t>1.3</w:t>
      </w:r>
      <w:r>
        <w:rPr>
          <w:rFonts w:hint="eastAsia" w:asciiTheme="minorEastAsia" w:hAnsiTheme="minorEastAsia" w:eastAsiaTheme="minorEastAsia" w:cstheme="minorEastAsia"/>
          <w:color w:val="auto"/>
          <w:szCs w:val="24"/>
          <w:highlight w:val="none"/>
          <w:u w:val="none"/>
        </w:rPr>
        <w:t xml:space="preserve"> 监理单位：</w:t>
      </w:r>
      <w:r>
        <w:rPr>
          <w:rFonts w:hint="eastAsia" w:asciiTheme="minorEastAsia" w:hAnsiTheme="minorEastAsia" w:eastAsiaTheme="minorEastAsia" w:cstheme="minorEastAsia"/>
          <w:color w:val="auto"/>
          <w:szCs w:val="18"/>
          <w:highlight w:val="none"/>
          <w:u w:val="none"/>
        </w:rPr>
        <w:t>待定。</w:t>
      </w:r>
    </w:p>
    <w:p w14:paraId="7530DDF6">
      <w:pPr>
        <w:pStyle w:val="34"/>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1.4</w:t>
      </w:r>
      <w:r>
        <w:rPr>
          <w:rFonts w:hint="eastAsia" w:asciiTheme="minorEastAsia" w:hAnsiTheme="minorEastAsia" w:eastAsiaTheme="minorEastAsia" w:cstheme="minorEastAsia"/>
          <w:color w:val="auto"/>
          <w:szCs w:val="24"/>
          <w:highlight w:val="none"/>
        </w:rPr>
        <w:t xml:space="preserve"> 投标费用：</w:t>
      </w:r>
      <w:r>
        <w:rPr>
          <w:rFonts w:hint="eastAsia" w:asciiTheme="minorEastAsia" w:hAnsiTheme="minorEastAsia" w:eastAsiaTheme="minorEastAsia" w:cstheme="minorEastAsia"/>
          <w:color w:val="auto"/>
          <w:szCs w:val="24"/>
          <w:highlight w:val="none"/>
          <w:u w:val="none"/>
        </w:rPr>
        <w:t>投标人应承担所有准备和参加投标的相关费用，不论投标结果如何，招标人均无义务和责任承担这些费用。</w:t>
      </w:r>
      <w:bookmarkStart w:id="32" w:name="_Toc106184808"/>
    </w:p>
    <w:p w14:paraId="3EB48DDC">
      <w:pPr>
        <w:pStyle w:val="36"/>
        <w:keepNext/>
        <w:keepLines/>
        <w:ind w:firstLine="480"/>
        <w:jc w:val="both"/>
        <w:rPr>
          <w:rFonts w:hint="eastAsia" w:asciiTheme="minorEastAsia" w:hAnsiTheme="minorEastAsia" w:eastAsiaTheme="minorEastAsia" w:cstheme="minorEastAsia"/>
          <w:b/>
          <w:color w:val="auto"/>
          <w:kern w:val="2"/>
          <w:highlight w:val="none"/>
        </w:rPr>
      </w:pPr>
      <w:bookmarkStart w:id="33" w:name="_Toc17359"/>
      <w:bookmarkStart w:id="34" w:name="_Toc12190"/>
      <w:bookmarkStart w:id="35" w:name="_Toc22348"/>
      <w:bookmarkStart w:id="36" w:name="_Toc22550"/>
      <w:bookmarkStart w:id="37" w:name="_Toc14958"/>
      <w:bookmarkStart w:id="38" w:name="_Toc32400"/>
      <w:bookmarkStart w:id="39" w:name="_Toc18851"/>
      <w:bookmarkStart w:id="40" w:name="_Toc121"/>
      <w:bookmarkStart w:id="41" w:name="_Toc7700"/>
      <w:r>
        <w:rPr>
          <w:rFonts w:hint="eastAsia" w:asciiTheme="minorEastAsia" w:hAnsiTheme="minorEastAsia" w:eastAsiaTheme="minorEastAsia" w:cstheme="minorEastAsia"/>
          <w:b/>
          <w:color w:val="auto"/>
          <w:kern w:val="2"/>
          <w:highlight w:val="none"/>
        </w:rPr>
        <w:t>2 、招标范围</w:t>
      </w:r>
      <w:bookmarkEnd w:id="32"/>
      <w:bookmarkEnd w:id="33"/>
      <w:bookmarkEnd w:id="34"/>
      <w:bookmarkEnd w:id="35"/>
      <w:bookmarkEnd w:id="36"/>
      <w:bookmarkEnd w:id="37"/>
      <w:bookmarkEnd w:id="38"/>
      <w:bookmarkEnd w:id="39"/>
      <w:bookmarkEnd w:id="40"/>
      <w:bookmarkEnd w:id="41"/>
    </w:p>
    <w:p w14:paraId="358B4272">
      <w:pPr>
        <w:pStyle w:val="39"/>
        <w:rPr>
          <w:rFonts w:hint="eastAsia" w:asciiTheme="minorEastAsia" w:hAnsiTheme="minorEastAsia" w:eastAsiaTheme="minorEastAsia" w:cstheme="minorEastAsia"/>
          <w:color w:val="auto"/>
          <w:highlight w:val="none"/>
        </w:rPr>
      </w:pPr>
      <w:bookmarkStart w:id="42" w:name="_Hlt91408212"/>
      <w:bookmarkEnd w:id="42"/>
      <w:r>
        <w:rPr>
          <w:rFonts w:hint="eastAsia" w:asciiTheme="minorEastAsia" w:hAnsiTheme="minorEastAsia" w:eastAsiaTheme="minorEastAsia" w:cstheme="minorEastAsia"/>
          <w:b/>
          <w:bCs/>
          <w:color w:val="auto"/>
          <w:sz w:val="24"/>
          <w:szCs w:val="24"/>
          <w:highlight w:val="none"/>
        </w:rPr>
        <w:t>2.1</w:t>
      </w:r>
      <w:r>
        <w:rPr>
          <w:rFonts w:hint="eastAsia" w:asciiTheme="minorEastAsia" w:hAnsiTheme="minorEastAsia" w:eastAsiaTheme="minorEastAsia" w:cstheme="minorEastAsia"/>
          <w:color w:val="auto"/>
          <w:sz w:val="24"/>
          <w:szCs w:val="24"/>
          <w:highlight w:val="none"/>
        </w:rPr>
        <w:t>招标范围：</w:t>
      </w:r>
      <w:r>
        <w:rPr>
          <w:rFonts w:hint="eastAsia" w:asciiTheme="minorEastAsia" w:hAnsiTheme="minorEastAsia" w:eastAsiaTheme="minorEastAsia" w:cstheme="minorEastAsia"/>
          <w:color w:val="auto"/>
          <w:sz w:val="24"/>
          <w:highlight w:val="none"/>
        </w:rPr>
        <w:t>本工程所涉及的内容包括但不限于以下（1）和（2）：</w:t>
      </w:r>
    </w:p>
    <w:p w14:paraId="3E600981">
      <w:pPr>
        <w:pStyle w:val="34"/>
        <w:ind w:firstLine="240" w:firstLineChars="100"/>
        <w:jc w:val="left"/>
        <w:rPr>
          <w:rFonts w:hint="eastAsia" w:asciiTheme="minorEastAsia" w:hAnsiTheme="minorEastAsia" w:eastAsiaTheme="minorEastAsia" w:cstheme="minorEastAsia"/>
          <w:snapToGrid w:val="0"/>
          <w:color w:val="auto"/>
          <w:kern w:val="0"/>
          <w:highlight w:val="none"/>
        </w:rPr>
      </w:pPr>
      <w:bookmarkStart w:id="43" w:name="_Toc26845"/>
      <w:bookmarkStart w:id="44" w:name="_Toc708"/>
      <w:bookmarkStart w:id="45" w:name="_Toc32739"/>
      <w:bookmarkStart w:id="46" w:name="_Toc2350"/>
      <w:bookmarkStart w:id="47" w:name="_Toc1366"/>
      <w:bookmarkStart w:id="48" w:name="_Toc21803"/>
      <w:bookmarkStart w:id="49" w:name="_Toc27886"/>
      <w:bookmarkStart w:id="50" w:name="_Toc2217"/>
      <w:r>
        <w:rPr>
          <w:rFonts w:hint="eastAsia" w:asciiTheme="minorEastAsia" w:hAnsiTheme="minorEastAsia" w:eastAsiaTheme="minorEastAsia" w:cstheme="minorEastAsia"/>
          <w:snapToGrid w:val="0"/>
          <w:color w:val="auto"/>
          <w:kern w:val="0"/>
          <w:highlight w:val="none"/>
        </w:rPr>
        <w:t>（1）设计部分：确保项目顺利实施的报建、报批、施工等所需的所有建安工程等的设计文件，</w:t>
      </w:r>
      <w:r>
        <w:rPr>
          <w:rFonts w:hint="eastAsia" w:asciiTheme="minorEastAsia" w:hAnsiTheme="minorEastAsia" w:eastAsiaTheme="minorEastAsia" w:cstheme="minorEastAsia"/>
          <w:b/>
          <w:snapToGrid w:val="0"/>
          <w:color w:val="auto"/>
          <w:kern w:val="0"/>
          <w:highlight w:val="none"/>
        </w:rPr>
        <w:t>包括但不限于</w:t>
      </w:r>
      <w:r>
        <w:rPr>
          <w:rFonts w:hint="eastAsia" w:asciiTheme="minorEastAsia" w:hAnsiTheme="minorEastAsia" w:eastAsiaTheme="minorEastAsia" w:cstheme="minorEastAsia"/>
          <w:snapToGrid w:val="0"/>
          <w:color w:val="auto"/>
          <w:kern w:val="0"/>
          <w:highlight w:val="none"/>
        </w:rPr>
        <w:t>：①施工图设计含总平面及设计说明书、主要设备及材料以及建筑、结构、建筑装饰装修、给排水、电气、照明、消防、节能、无障碍设计、安防及智能系统、充电桩、</w:t>
      </w:r>
      <w:r>
        <w:rPr>
          <w:rFonts w:hint="eastAsia" w:asciiTheme="minorEastAsia" w:hAnsiTheme="minorEastAsia" w:eastAsiaTheme="minorEastAsia" w:cstheme="minorEastAsia"/>
          <w:snapToGrid w:val="0"/>
          <w:color w:val="auto"/>
          <w:kern w:val="0"/>
          <w:highlight w:val="none"/>
          <w:u w:val="none" w:color="auto"/>
        </w:rPr>
        <w:t>海绵城市</w:t>
      </w:r>
      <w:r>
        <w:rPr>
          <w:rFonts w:hint="eastAsia" w:asciiTheme="minorEastAsia" w:hAnsiTheme="minorEastAsia" w:eastAsiaTheme="minorEastAsia" w:cstheme="minorEastAsia"/>
          <w:snapToGrid w:val="0"/>
          <w:color w:val="auto"/>
          <w:kern w:val="0"/>
          <w:highlight w:val="none"/>
          <w:u w:val="none" w:color="auto"/>
          <w:lang w:eastAsia="zh-CN"/>
        </w:rPr>
        <w:t>、</w:t>
      </w:r>
      <w:r>
        <w:rPr>
          <w:rFonts w:hint="eastAsia" w:asciiTheme="minorEastAsia" w:hAnsiTheme="minorEastAsia" w:eastAsiaTheme="minorEastAsia" w:cstheme="minorEastAsia"/>
          <w:snapToGrid w:val="0"/>
          <w:color w:val="auto"/>
          <w:kern w:val="0"/>
          <w:highlight w:val="none"/>
        </w:rPr>
        <w:t>雨污分流、道路、综合管网等所有专项设计及红线范围内的所有工程及相关配套工程、设施等本项目涉及的所有建安工程的设计；</w:t>
      </w:r>
    </w:p>
    <w:p w14:paraId="5453E301">
      <w:pPr>
        <w:pStyle w:val="34"/>
        <w:ind w:firstLine="241" w:firstLineChars="100"/>
        <w:jc w:val="left"/>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b/>
          <w:bCs/>
          <w:snapToGrid w:val="0"/>
          <w:color w:val="auto"/>
          <w:kern w:val="0"/>
          <w:highlight w:val="none"/>
        </w:rPr>
        <w:t>注：设计文件深度要求必须满足住建部《市政公用工程设计文件编制深度规定（2013版）》和《建筑工程设计文件编制深度规定（2016版）》的要求，各专业还应该满足各专业工程设计文件编制深度规范或规定的要求</w:t>
      </w:r>
      <w:r>
        <w:rPr>
          <w:rFonts w:hint="eastAsia" w:asciiTheme="minorEastAsia" w:hAnsiTheme="minorEastAsia" w:eastAsiaTheme="minorEastAsia" w:cstheme="minorEastAsia"/>
          <w:snapToGrid w:val="0"/>
          <w:color w:val="auto"/>
          <w:kern w:val="0"/>
          <w:highlight w:val="none"/>
        </w:rPr>
        <w:t>。</w:t>
      </w:r>
    </w:p>
    <w:p w14:paraId="24030C22">
      <w:pPr>
        <w:pStyle w:val="34"/>
        <w:ind w:firstLine="240" w:firstLineChars="100"/>
        <w:jc w:val="left"/>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②施工图预算（含工程量清单）；</w:t>
      </w:r>
    </w:p>
    <w:p w14:paraId="1543ABD9">
      <w:pPr>
        <w:pStyle w:val="34"/>
        <w:ind w:firstLine="240" w:firstLineChars="100"/>
        <w:jc w:val="left"/>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③提供项目所需相关检测项的明细表和危险性较大的分部分项工程清单；</w:t>
      </w:r>
    </w:p>
    <w:p w14:paraId="66D1201F">
      <w:pPr>
        <w:pStyle w:val="34"/>
        <w:ind w:firstLine="240" w:firstLineChars="100"/>
        <w:jc w:val="left"/>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④后续设计服务工作。</w:t>
      </w:r>
    </w:p>
    <w:p w14:paraId="1C81C4B2">
      <w:pPr>
        <w:pStyle w:val="34"/>
        <w:ind w:firstLine="240" w:firstLineChars="100"/>
        <w:rPr>
          <w:rFonts w:hint="eastAsia" w:asciiTheme="minorEastAsia" w:hAnsiTheme="minorEastAsia" w:eastAsiaTheme="minorEastAsia" w:cstheme="minorEastAsia"/>
          <w:snapToGrid w:val="0"/>
          <w:color w:val="auto"/>
          <w:highlight w:val="none"/>
        </w:rPr>
      </w:pPr>
      <w:bookmarkStart w:id="51" w:name="_Toc4645"/>
      <w:bookmarkStart w:id="52" w:name="_Toc7799"/>
      <w:bookmarkStart w:id="53" w:name="_Toc13988"/>
      <w:r>
        <w:rPr>
          <w:rFonts w:hint="eastAsia" w:asciiTheme="minorEastAsia" w:hAnsiTheme="minorEastAsia" w:eastAsiaTheme="minorEastAsia" w:cstheme="minorEastAsia"/>
          <w:snapToGrid w:val="0"/>
          <w:color w:val="auto"/>
          <w:highlight w:val="none"/>
        </w:rPr>
        <w:t>（2）施工部分：设计文件及工程量清单范围内的所有工程及配套工程、设施等的施工。</w:t>
      </w:r>
      <w:bookmarkEnd w:id="51"/>
      <w:bookmarkEnd w:id="52"/>
      <w:bookmarkEnd w:id="53"/>
    </w:p>
    <w:p w14:paraId="4C6ED494">
      <w:pPr>
        <w:pStyle w:val="36"/>
        <w:keepNext/>
        <w:keepLines/>
        <w:ind w:firstLine="480"/>
        <w:jc w:val="both"/>
        <w:rPr>
          <w:rFonts w:hint="eastAsia" w:asciiTheme="minorEastAsia" w:hAnsiTheme="minorEastAsia" w:eastAsiaTheme="minorEastAsia" w:cstheme="minorEastAsia"/>
          <w:b/>
          <w:color w:val="auto"/>
          <w:kern w:val="2"/>
          <w:highlight w:val="none"/>
        </w:rPr>
      </w:pPr>
      <w:bookmarkStart w:id="54" w:name="_Toc20641"/>
      <w:r>
        <w:rPr>
          <w:rFonts w:hint="eastAsia" w:asciiTheme="minorEastAsia" w:hAnsiTheme="minorEastAsia" w:eastAsiaTheme="minorEastAsia" w:cstheme="minorEastAsia"/>
          <w:b/>
          <w:color w:val="auto"/>
          <w:kern w:val="2"/>
          <w:highlight w:val="none"/>
        </w:rPr>
        <w:t>3</w:t>
      </w:r>
      <w:bookmarkStart w:id="55" w:name="_Hlt66187826"/>
      <w:bookmarkEnd w:id="55"/>
      <w:r>
        <w:rPr>
          <w:rFonts w:hint="eastAsia" w:asciiTheme="minorEastAsia" w:hAnsiTheme="minorEastAsia" w:eastAsiaTheme="minorEastAsia" w:cstheme="minorEastAsia"/>
          <w:b/>
          <w:color w:val="auto"/>
          <w:kern w:val="2"/>
          <w:highlight w:val="none"/>
        </w:rPr>
        <w:t>、工期</w:t>
      </w:r>
      <w:bookmarkEnd w:id="43"/>
      <w:bookmarkEnd w:id="44"/>
      <w:bookmarkEnd w:id="45"/>
      <w:bookmarkEnd w:id="46"/>
      <w:bookmarkEnd w:id="47"/>
      <w:bookmarkEnd w:id="48"/>
      <w:bookmarkEnd w:id="49"/>
      <w:bookmarkEnd w:id="50"/>
      <w:bookmarkEnd w:id="54"/>
    </w:p>
    <w:p w14:paraId="1D49252B">
      <w:pPr>
        <w:pStyle w:val="34"/>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highlight w:val="none"/>
        </w:rPr>
        <w:t>3.1</w:t>
      </w:r>
      <w:r>
        <w:rPr>
          <w:rFonts w:hint="eastAsia" w:asciiTheme="minorEastAsia" w:hAnsiTheme="minorEastAsia" w:eastAsiaTheme="minorEastAsia" w:cstheme="minorEastAsia"/>
          <w:color w:val="auto"/>
          <w:highlight w:val="none"/>
        </w:rPr>
        <w:t xml:space="preserve"> 本工程工期为：</w:t>
      </w:r>
      <w:r>
        <w:rPr>
          <w:rFonts w:hint="eastAsia" w:asciiTheme="minorEastAsia" w:hAnsiTheme="minorEastAsia" w:eastAsiaTheme="minorEastAsia" w:cstheme="minorEastAsia"/>
          <w:color w:val="auto"/>
          <w:kern w:val="0"/>
          <w:highlight w:val="none"/>
        </w:rPr>
        <w:t>设计、施工总工期</w:t>
      </w:r>
      <w:r>
        <w:rPr>
          <w:rFonts w:hint="eastAsia" w:asciiTheme="minorEastAsia" w:hAnsiTheme="minorEastAsia" w:eastAsiaTheme="minorEastAsia" w:cstheme="minorEastAsia"/>
          <w:color w:val="auto"/>
          <w:kern w:val="0"/>
          <w:highlight w:val="none"/>
          <w:u w:val="single"/>
          <w:lang w:val="en-US" w:eastAsia="zh-CN"/>
        </w:rPr>
        <w:t>300</w:t>
      </w:r>
      <w:r>
        <w:rPr>
          <w:rFonts w:hint="eastAsia" w:asciiTheme="minorEastAsia" w:hAnsiTheme="minorEastAsia" w:eastAsiaTheme="minorEastAsia" w:cstheme="minorEastAsia"/>
          <w:color w:val="auto"/>
          <w:kern w:val="0"/>
          <w:highlight w:val="none"/>
        </w:rPr>
        <w:t>日历天，其中：设计工期为</w:t>
      </w:r>
      <w:r>
        <w:rPr>
          <w:rFonts w:hint="eastAsia" w:asciiTheme="minorEastAsia" w:hAnsiTheme="minorEastAsia" w:eastAsiaTheme="minorEastAsia" w:cstheme="minorEastAsia"/>
          <w:color w:val="auto"/>
          <w:kern w:val="0"/>
          <w:highlight w:val="none"/>
          <w:u w:val="single"/>
          <w:lang w:val="en-US" w:eastAsia="zh-CN"/>
        </w:rPr>
        <w:t>60</w:t>
      </w:r>
      <w:r>
        <w:rPr>
          <w:rFonts w:hint="eastAsia" w:asciiTheme="minorEastAsia" w:hAnsiTheme="minorEastAsia" w:eastAsiaTheme="minorEastAsia" w:cstheme="minorEastAsia"/>
          <w:color w:val="auto"/>
          <w:kern w:val="0"/>
          <w:highlight w:val="none"/>
        </w:rPr>
        <w:t>日历天；施工工期为</w:t>
      </w:r>
      <w:r>
        <w:rPr>
          <w:rFonts w:hint="eastAsia" w:asciiTheme="minorEastAsia" w:hAnsiTheme="minorEastAsia" w:eastAsiaTheme="minorEastAsia" w:cstheme="minorEastAsia"/>
          <w:color w:val="auto"/>
          <w:kern w:val="0"/>
          <w:highlight w:val="none"/>
          <w:u w:val="single"/>
          <w:lang w:val="en-US" w:eastAsia="zh-CN"/>
        </w:rPr>
        <w:t>240</w:t>
      </w:r>
      <w:r>
        <w:rPr>
          <w:rFonts w:hint="eastAsia" w:asciiTheme="minorEastAsia" w:hAnsiTheme="minorEastAsia" w:eastAsiaTheme="minorEastAsia" w:cstheme="minorEastAsia"/>
          <w:color w:val="auto"/>
          <w:kern w:val="0"/>
          <w:highlight w:val="none"/>
        </w:rPr>
        <w:t>日历天。中标人必须在所要求的工期内完成全部招标工程。</w:t>
      </w:r>
    </w:p>
    <w:p w14:paraId="7069292E">
      <w:pPr>
        <w:pStyle w:val="34"/>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3.2</w:t>
      </w:r>
      <w:r>
        <w:rPr>
          <w:rFonts w:hint="eastAsia" w:asciiTheme="minorEastAsia" w:hAnsiTheme="minorEastAsia" w:eastAsiaTheme="minorEastAsia" w:cstheme="minorEastAsia"/>
          <w:color w:val="auto"/>
          <w:highlight w:val="none"/>
        </w:rPr>
        <w:t>因中标人原因，没有按期完成设计任务、工程没有按期竣工时，中标人须在逾期第壹天起每天分别按设计、施工合同价款的1.5</w:t>
      </w:r>
      <w:r>
        <w:rPr>
          <w:rFonts w:hint="eastAsia" w:asciiTheme="minorEastAsia" w:hAnsiTheme="minorEastAsia" w:eastAsiaTheme="minorEastAsia" w:cstheme="minorEastAsia"/>
          <w:color w:val="auto"/>
          <w:szCs w:val="22"/>
          <w:highlight w:val="none"/>
        </w:rPr>
        <w:t>‰向</w:t>
      </w:r>
      <w:r>
        <w:rPr>
          <w:rFonts w:hint="eastAsia" w:asciiTheme="minorEastAsia" w:hAnsiTheme="minorEastAsia" w:eastAsiaTheme="minorEastAsia" w:cstheme="minorEastAsia"/>
          <w:color w:val="auto"/>
          <w:highlight w:val="none"/>
        </w:rPr>
        <w:t>招标人缴纳逾期违约金，分别累计最高不超过设计、施工合同价款的10%向招标人缴纳逾期违约金。</w:t>
      </w:r>
    </w:p>
    <w:p w14:paraId="4BCB15A2">
      <w:pPr>
        <w:pStyle w:val="34"/>
        <w:ind w:firstLine="482" w:firstLineChars="2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color w:val="auto"/>
          <w:kern w:val="44"/>
          <w:highlight w:val="none"/>
        </w:rPr>
        <w:t>3.3</w:t>
      </w:r>
      <w:r>
        <w:rPr>
          <w:rFonts w:hint="eastAsia" w:asciiTheme="minorEastAsia" w:hAnsiTheme="minorEastAsia" w:eastAsiaTheme="minorEastAsia" w:cstheme="minorEastAsia"/>
          <w:color w:val="auto"/>
          <w:highlight w:val="none"/>
        </w:rPr>
        <w:t>设计工期自</w:t>
      </w:r>
      <w:r>
        <w:rPr>
          <w:rFonts w:hint="eastAsia" w:asciiTheme="minorEastAsia" w:hAnsiTheme="minorEastAsia" w:eastAsiaTheme="minorEastAsia" w:cstheme="minorEastAsia"/>
          <w:color w:val="auto"/>
          <w:szCs w:val="24"/>
          <w:highlight w:val="none"/>
        </w:rPr>
        <w:t>中标通知书发出之日</w:t>
      </w:r>
      <w:r>
        <w:rPr>
          <w:rFonts w:hint="eastAsia" w:asciiTheme="minorEastAsia" w:hAnsiTheme="minorEastAsia" w:eastAsiaTheme="minorEastAsia" w:cstheme="minorEastAsia"/>
          <w:color w:val="auto"/>
          <w:highlight w:val="none"/>
        </w:rPr>
        <w:t>起计算，至提交符合招标人及审图机构要求的施工图设计文件以及符合要求的施工图预算之日止（每一步设计工作，必须以招标人及有关部门审核批准后方可实施）</w:t>
      </w:r>
      <w:r>
        <w:rPr>
          <w:rFonts w:hint="eastAsia" w:asciiTheme="minorEastAsia" w:hAnsiTheme="minorEastAsia" w:eastAsiaTheme="minorEastAsia" w:cstheme="minorEastAsia"/>
          <w:color w:val="auto"/>
          <w:highlight w:val="none"/>
          <w:lang w:val="zh-CN"/>
        </w:rPr>
        <w:t>。</w:t>
      </w:r>
    </w:p>
    <w:p w14:paraId="5689BC32">
      <w:pPr>
        <w:pStyle w:val="34"/>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highlight w:val="none"/>
        </w:rPr>
        <w:t>3</w:t>
      </w:r>
      <w:r>
        <w:rPr>
          <w:rFonts w:hint="eastAsia" w:asciiTheme="minorEastAsia" w:hAnsiTheme="minorEastAsia" w:eastAsiaTheme="minorEastAsia" w:cstheme="minorEastAsia"/>
          <w:b/>
          <w:bCs/>
          <w:color w:val="auto"/>
          <w:highlight w:val="none"/>
          <w:lang w:val="zh-CN"/>
        </w:rPr>
        <w:t>.</w:t>
      </w:r>
      <w:r>
        <w:rPr>
          <w:rFonts w:hint="eastAsia" w:asciiTheme="minorEastAsia" w:hAnsiTheme="minorEastAsia" w:eastAsiaTheme="minorEastAsia" w:cstheme="minorEastAsia"/>
          <w:b/>
          <w:bCs/>
          <w:color w:val="auto"/>
          <w:highlight w:val="none"/>
        </w:rPr>
        <w:t>4</w:t>
      </w:r>
      <w:r>
        <w:rPr>
          <w:rFonts w:hint="eastAsia" w:asciiTheme="minorEastAsia" w:hAnsiTheme="minorEastAsia" w:eastAsiaTheme="minorEastAsia" w:cstheme="minorEastAsia"/>
          <w:color w:val="auto"/>
          <w:highlight w:val="none"/>
          <w:lang w:val="zh-CN"/>
        </w:rPr>
        <w:t xml:space="preserve"> 施工工期从开工令签发之日起计，至竣工验收之日止。</w:t>
      </w:r>
      <w:bookmarkStart w:id="56" w:name="_Toc11872"/>
    </w:p>
    <w:p w14:paraId="1FEB7EBD">
      <w:pPr>
        <w:pStyle w:val="36"/>
        <w:keepNext/>
        <w:keepLines/>
        <w:ind w:firstLine="482" w:firstLineChars="200"/>
        <w:jc w:val="both"/>
        <w:rPr>
          <w:rFonts w:hint="eastAsia" w:asciiTheme="minorEastAsia" w:hAnsiTheme="minorEastAsia" w:eastAsiaTheme="minorEastAsia" w:cstheme="minorEastAsia"/>
          <w:b/>
          <w:color w:val="auto"/>
          <w:kern w:val="2"/>
          <w:szCs w:val="24"/>
          <w:highlight w:val="none"/>
        </w:rPr>
      </w:pPr>
      <w:bookmarkStart w:id="57" w:name="_Toc1287"/>
      <w:bookmarkStart w:id="58" w:name="_Toc30034"/>
      <w:bookmarkStart w:id="59" w:name="_Toc3312"/>
      <w:bookmarkStart w:id="60" w:name="_Toc13379"/>
      <w:bookmarkStart w:id="61" w:name="_Toc19644"/>
      <w:bookmarkStart w:id="62" w:name="_Toc2499"/>
      <w:bookmarkStart w:id="63" w:name="_Toc24539"/>
      <w:bookmarkStart w:id="64" w:name="_Toc1889"/>
      <w:r>
        <w:rPr>
          <w:rFonts w:hint="eastAsia" w:asciiTheme="minorEastAsia" w:hAnsiTheme="minorEastAsia" w:eastAsiaTheme="minorEastAsia" w:cstheme="minorEastAsia"/>
          <w:b/>
          <w:color w:val="auto"/>
          <w:kern w:val="2"/>
          <w:highlight w:val="none"/>
        </w:rPr>
        <w:t>4 、投标人资质及条件要求</w:t>
      </w:r>
      <w:bookmarkEnd w:id="56"/>
      <w:bookmarkEnd w:id="57"/>
      <w:bookmarkEnd w:id="58"/>
      <w:bookmarkEnd w:id="59"/>
      <w:bookmarkEnd w:id="60"/>
      <w:bookmarkEnd w:id="61"/>
      <w:bookmarkEnd w:id="62"/>
      <w:bookmarkEnd w:id="63"/>
      <w:bookmarkEnd w:id="64"/>
      <w:bookmarkStart w:id="65" w:name="_Hlt74496495"/>
      <w:bookmarkEnd w:id="65"/>
    </w:p>
    <w:p w14:paraId="73D49CEE">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w:t>
      </w:r>
      <w:r>
        <w:rPr>
          <w:rFonts w:hint="eastAsia" w:asciiTheme="minorEastAsia" w:hAnsiTheme="minorEastAsia" w:eastAsiaTheme="minorEastAsia" w:cstheme="minorEastAsia"/>
          <w:color w:val="auto"/>
          <w:kern w:val="0"/>
          <w:sz w:val="24"/>
          <w:highlight w:val="none"/>
        </w:rPr>
        <w:t>本次招标接受联合体投标，联合体以一个投标人的身份共同投标。</w:t>
      </w:r>
    </w:p>
    <w:p w14:paraId="27F00CF8">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4.1.1</w:t>
      </w:r>
      <w:r>
        <w:rPr>
          <w:rFonts w:hint="eastAsia" w:asciiTheme="minorEastAsia" w:hAnsiTheme="minorEastAsia" w:eastAsiaTheme="minorEastAsia" w:cstheme="minorEastAsia"/>
          <w:color w:val="auto"/>
          <w:kern w:val="0"/>
          <w:sz w:val="24"/>
          <w:highlight w:val="none"/>
        </w:rPr>
        <w:t>联合体成员数量不超过</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个。</w:t>
      </w:r>
    </w:p>
    <w:p w14:paraId="1226EA21">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4.1.2</w:t>
      </w:r>
      <w:r>
        <w:rPr>
          <w:rFonts w:hint="eastAsia" w:asciiTheme="minorEastAsia" w:hAnsiTheme="minorEastAsia" w:eastAsiaTheme="minorEastAsia" w:cstheme="minorEastAsia"/>
          <w:color w:val="auto"/>
          <w:kern w:val="0"/>
          <w:sz w:val="24"/>
          <w:highlight w:val="none"/>
        </w:rPr>
        <w:t>联合体各方应按招标文件提供的格式签订联合体协议书，明确联合体牵头人和各方权利义务，并承诺就中标项目向招标人承担连带责任。《联合体协议书》作为投标文件的组成部分向招标人提交。</w:t>
      </w:r>
    </w:p>
    <w:p w14:paraId="2F046095">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4.1.3</w:t>
      </w:r>
      <w:r>
        <w:rPr>
          <w:rFonts w:hint="eastAsia" w:asciiTheme="minorEastAsia" w:hAnsiTheme="minorEastAsia" w:eastAsiaTheme="minorEastAsia" w:cstheme="minorEastAsia"/>
          <w:color w:val="auto"/>
          <w:kern w:val="0"/>
          <w:sz w:val="24"/>
          <w:highlight w:val="none"/>
        </w:rPr>
        <w:t>联合体成员单位均应具备拟承担的工作内容（以《联合体协议书》的约定为准）所规定的资格条件。若同一工作内容由两个或两个以上单位共同承担，该项工作内容按照资质等级较低的单位确定联合体资质等级。</w:t>
      </w:r>
    </w:p>
    <w:p w14:paraId="483020D0">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4.1.4</w:t>
      </w:r>
      <w:r>
        <w:rPr>
          <w:rFonts w:hint="eastAsia" w:asciiTheme="minorEastAsia" w:hAnsiTheme="minorEastAsia" w:eastAsiaTheme="minorEastAsia" w:cstheme="minorEastAsia"/>
          <w:color w:val="auto"/>
          <w:kern w:val="0"/>
          <w:sz w:val="24"/>
          <w:highlight w:val="none"/>
        </w:rPr>
        <w:t>联合体各方不得再以自己名义单独或参加其他联合体在本招标项目中投标，否则各相关投标均无效。</w:t>
      </w:r>
    </w:p>
    <w:p w14:paraId="1F7E3C0F">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4.2</w:t>
      </w:r>
      <w:r>
        <w:rPr>
          <w:rFonts w:hint="eastAsia" w:asciiTheme="minorEastAsia" w:hAnsiTheme="minorEastAsia" w:eastAsiaTheme="minorEastAsia" w:cstheme="minorEastAsia"/>
          <w:color w:val="auto"/>
          <w:kern w:val="0"/>
          <w:sz w:val="24"/>
          <w:highlight w:val="none"/>
        </w:rPr>
        <w:t>资质要求</w:t>
      </w:r>
    </w:p>
    <w:p w14:paraId="5D0EAD91">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4.2.1</w:t>
      </w:r>
      <w:r>
        <w:rPr>
          <w:rFonts w:hint="eastAsia" w:asciiTheme="minorEastAsia" w:hAnsiTheme="minorEastAsia" w:eastAsiaTheme="minorEastAsia" w:cstheme="minorEastAsia"/>
          <w:color w:val="auto"/>
          <w:kern w:val="0"/>
          <w:sz w:val="24"/>
          <w:highlight w:val="none"/>
        </w:rPr>
        <w:t>投标人须具备独立法人资格，按国家法律经营。</w:t>
      </w:r>
    </w:p>
    <w:p w14:paraId="205647D5">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4.2.2</w:t>
      </w:r>
      <w:r>
        <w:rPr>
          <w:rFonts w:hint="eastAsia" w:asciiTheme="minorEastAsia" w:hAnsiTheme="minorEastAsia" w:eastAsiaTheme="minorEastAsia" w:cstheme="minorEastAsia"/>
          <w:color w:val="auto"/>
          <w:kern w:val="0"/>
          <w:sz w:val="24"/>
          <w:highlight w:val="none"/>
        </w:rPr>
        <w:t>投标人须持有行政主管部门颁发的企业资质证书。</w:t>
      </w:r>
    </w:p>
    <w:p w14:paraId="34C88BEE">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t>4.2.3</w:t>
      </w:r>
      <w:r>
        <w:rPr>
          <w:rFonts w:hint="eastAsia" w:asciiTheme="minorEastAsia" w:hAnsiTheme="minorEastAsia" w:eastAsiaTheme="minorEastAsia" w:cstheme="minorEastAsia"/>
          <w:color w:val="auto"/>
          <w:sz w:val="24"/>
          <w:highlight w:val="none"/>
        </w:rPr>
        <w:t>参加投标的投标人可以是单一独立法人或由不超过两家独立法人组成的联合体（必须注明其中一家为牵头人），联合体各方不得再以自己的名义单独申请，也不得同时参加两个或两个以上的联合体进行本项目的投标。单一独立法人必须至少同时具备以下①～②资质，组成联合体投标的，联合后必须至少具备以下①～②资质，联合体牵头人必须</w:t>
      </w:r>
      <w:r>
        <w:rPr>
          <w:rFonts w:hint="eastAsia" w:asciiTheme="minorEastAsia" w:hAnsiTheme="minorEastAsia" w:eastAsiaTheme="minorEastAsia" w:cstheme="minorEastAsia"/>
          <w:color w:val="auto"/>
          <w:sz w:val="24"/>
          <w:highlight w:val="none"/>
          <w:lang w:eastAsia="zh-CN"/>
        </w:rPr>
        <w:t>是</w:t>
      </w:r>
      <w:r>
        <w:rPr>
          <w:rFonts w:hint="eastAsia" w:asciiTheme="minorEastAsia" w:hAnsiTheme="minorEastAsia" w:eastAsiaTheme="minorEastAsia" w:cstheme="minorEastAsia"/>
          <w:color w:val="auto"/>
          <w:sz w:val="24"/>
          <w:highlight w:val="none"/>
          <w:lang w:val="en-US" w:eastAsia="zh-CN"/>
        </w:rPr>
        <w:t>施工单位</w:t>
      </w:r>
      <w:r>
        <w:rPr>
          <w:rFonts w:hint="eastAsia" w:asciiTheme="minorEastAsia" w:hAnsiTheme="minorEastAsia" w:eastAsiaTheme="minorEastAsia" w:cstheme="minorEastAsia"/>
          <w:color w:val="auto"/>
          <w:sz w:val="24"/>
          <w:highlight w:val="none"/>
        </w:rPr>
        <w:t>，由同一专业的单位组成的联合体，按照资质等级较低的单位确定资质等级：</w:t>
      </w:r>
    </w:p>
    <w:p w14:paraId="263A9842">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①施工资质：具备市政公用工程施工总承包</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val="zh-CN"/>
        </w:rPr>
        <w:t>级以上（含</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val="zh-CN"/>
        </w:rPr>
        <w:t>级）</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val="zh-CN"/>
        </w:rPr>
        <w:t>建筑工程施工总承包二级以上（含二级）资质，并获得安全生产许可证的独立法人。</w:t>
      </w:r>
    </w:p>
    <w:p w14:paraId="2D2DFCF7">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②设计资质</w:t>
      </w:r>
      <w:r>
        <w:rPr>
          <w:rFonts w:hint="eastAsia" w:asciiTheme="minorEastAsia" w:hAnsiTheme="minorEastAsia" w:eastAsiaTheme="minorEastAsia" w:cstheme="minorEastAsia"/>
          <w:color w:val="auto"/>
          <w:kern w:val="0"/>
          <w:sz w:val="24"/>
          <w:szCs w:val="24"/>
          <w:highlight w:val="none"/>
        </w:rPr>
        <w:t>必须具备建设行政主管部门颁发的以下资质之一：</w:t>
      </w:r>
    </w:p>
    <w:p w14:paraId="3708C9C2">
      <w:pPr>
        <w:pStyle w:val="37"/>
        <w:wordWrap w:val="0"/>
        <w:adjustRightInd w:val="0"/>
        <w:snapToGrid w:val="0"/>
        <w:spacing w:line="440" w:lineRule="exact"/>
        <w:ind w:firstLine="720" w:firstLineChars="30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(1）工程设计综合甲级资质；</w:t>
      </w:r>
    </w:p>
    <w:p w14:paraId="3D62B472">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（2）工程设计市政行业乙级以上（含乙级）资质和建筑行业工程设计乙级以上（含乙级）资质；</w:t>
      </w:r>
    </w:p>
    <w:p w14:paraId="3CA33952">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（3）工程设计市政行业乙级以上（含乙级）资质和建筑行业工程设计（建筑工程专业）乙级以上（含乙级）资质；</w:t>
      </w:r>
    </w:p>
    <w:p w14:paraId="15CB88CB">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（4）工程设计市政行业乙级（燃气工程、轨道交通工程除外）以上（含乙级）资质和建筑行业工程设计乙级以上（含乙级）资质；</w:t>
      </w:r>
    </w:p>
    <w:p w14:paraId="5C3C313B">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（5）工程设计市政行业乙级（燃气工程、轨道交通工程除外）以上（含乙级）资质和建筑行业工程设计（建筑工程专业）乙级以上（含乙级）资质；</w:t>
      </w:r>
    </w:p>
    <w:p w14:paraId="6CD02D14">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（6）工程设计市政行业（道路工程、排水工程）专业乙级以上（含乙级）资质和建筑行业工程设计乙级以上（含乙级）资质；</w:t>
      </w:r>
    </w:p>
    <w:p w14:paraId="3053363C">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（7）工程设计市政行业（道路工程、排水工程）专业乙级以上（含乙级）资质和建筑行业工程设计（建筑工程专业）乙级以上（含乙级）资质。</w:t>
      </w:r>
    </w:p>
    <w:p w14:paraId="2152F776">
      <w:pPr>
        <w:pStyle w:val="37"/>
        <w:wordWrap w:val="0"/>
        <w:adjustRightInd w:val="0"/>
        <w:snapToGrid w:val="0"/>
        <w:spacing w:line="440" w:lineRule="exact"/>
        <w:ind w:firstLine="480"/>
        <w:jc w:val="left"/>
        <w:rPr>
          <w:rFonts w:hint="eastAsia" w:asciiTheme="minorEastAsia" w:hAnsiTheme="minorEastAsia" w:eastAsiaTheme="minorEastAsia" w:cstheme="minorEastAsia"/>
          <w:strike/>
          <w:color w:val="auto"/>
          <w:sz w:val="24"/>
          <w:highlight w:val="none"/>
          <w:lang w:val="zh-CN"/>
        </w:rPr>
      </w:pPr>
      <w:r>
        <w:rPr>
          <w:rFonts w:hint="eastAsia" w:asciiTheme="minorEastAsia" w:hAnsiTheme="minorEastAsia" w:eastAsiaTheme="minorEastAsia" w:cstheme="minorEastAsia"/>
          <w:b/>
          <w:bCs/>
          <w:color w:val="auto"/>
          <w:kern w:val="0"/>
          <w:sz w:val="24"/>
          <w:highlight w:val="none"/>
        </w:rPr>
        <w:t>4.2.4</w:t>
      </w:r>
      <w:r>
        <w:rPr>
          <w:rFonts w:hint="eastAsia" w:asciiTheme="minorEastAsia" w:hAnsiTheme="minorEastAsia" w:eastAsiaTheme="minorEastAsia" w:cstheme="minorEastAsia"/>
          <w:color w:val="auto"/>
          <w:sz w:val="24"/>
          <w:highlight w:val="none"/>
          <w:lang w:val="zh-CN"/>
        </w:rPr>
        <w:t>根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2C25277A">
      <w:pPr>
        <w:pStyle w:val="37"/>
        <w:wordWrap w:val="0"/>
        <w:adjustRightInd w:val="0"/>
        <w:snapToGrid w:val="0"/>
        <w:spacing w:line="360" w:lineRule="auto"/>
        <w:ind w:firstLine="48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b/>
          <w:bCs/>
          <w:color w:val="auto"/>
          <w:kern w:val="0"/>
          <w:sz w:val="24"/>
          <w:highlight w:val="none"/>
        </w:rPr>
        <w:t>4.3</w:t>
      </w:r>
      <w:r>
        <w:rPr>
          <w:rFonts w:hint="eastAsia" w:asciiTheme="minorEastAsia" w:hAnsiTheme="minorEastAsia" w:eastAsiaTheme="minorEastAsia" w:cstheme="minorEastAsia"/>
          <w:snapToGrid w:val="0"/>
          <w:color w:val="auto"/>
          <w:kern w:val="0"/>
          <w:sz w:val="24"/>
          <w:highlight w:val="none"/>
        </w:rPr>
        <w:t>相关人员要求</w:t>
      </w:r>
    </w:p>
    <w:p w14:paraId="1CAFF3D4">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rPr>
        <w:t>4.3.1</w:t>
      </w:r>
      <w:r>
        <w:rPr>
          <w:rFonts w:hint="eastAsia" w:asciiTheme="minorEastAsia" w:hAnsiTheme="minorEastAsia" w:eastAsiaTheme="minorEastAsia" w:cstheme="minorEastAsia"/>
          <w:snapToGrid w:val="0"/>
          <w:color w:val="auto"/>
          <w:kern w:val="0"/>
          <w:sz w:val="24"/>
          <w:highlight w:val="none"/>
        </w:rPr>
        <w:t>拟派项目经理为具有</w:t>
      </w:r>
      <w:r>
        <w:rPr>
          <w:rFonts w:hint="eastAsia" w:asciiTheme="minorEastAsia" w:hAnsiTheme="minorEastAsia" w:eastAsiaTheme="minorEastAsia" w:cstheme="minorEastAsia"/>
          <w:snapToGrid w:val="0"/>
          <w:color w:val="auto"/>
          <w:kern w:val="0"/>
          <w:sz w:val="24"/>
          <w:highlight w:val="none"/>
          <w:u w:val="single"/>
        </w:rPr>
        <w:t>市政公用工程或建筑工程</w:t>
      </w:r>
      <w:r>
        <w:rPr>
          <w:rFonts w:hint="eastAsia" w:asciiTheme="minorEastAsia" w:hAnsiTheme="minorEastAsia" w:eastAsiaTheme="minorEastAsia" w:cstheme="minorEastAsia"/>
          <w:snapToGrid w:val="0"/>
          <w:color w:val="auto"/>
          <w:kern w:val="0"/>
          <w:sz w:val="24"/>
          <w:highlight w:val="none"/>
        </w:rPr>
        <w:t>专业一级</w:t>
      </w:r>
      <w:r>
        <w:rPr>
          <w:rFonts w:hint="eastAsia" w:asciiTheme="minorEastAsia" w:hAnsiTheme="minorEastAsia" w:eastAsiaTheme="minorEastAsia" w:cstheme="minorEastAsia"/>
          <w:snapToGrid w:val="0"/>
          <w:color w:val="auto"/>
          <w:kern w:val="0"/>
          <w:sz w:val="24"/>
          <w:highlight w:val="none"/>
          <w:lang w:eastAsia="zh-CN"/>
        </w:rPr>
        <w:t>或二级注册建造师，应持有住建部门印发的在使用有效期内的有效电子注册证书（根据广东省住房和城乡建设厅（粤建市函〔2023〕469号）文件精神，二级注册建造师可随注册企业在全国范围内执业），同时须具备有效安全生产考核合格证明（B证，安全生产考核合格证书或“广东省建筑施工企业管理人员安全生产考核信息系统”考核合格信息打印页），且未担任其他在施（包括已中标未开工、已建成未竣工）建设工程项目的项目经理。</w:t>
      </w:r>
    </w:p>
    <w:p w14:paraId="0A428977">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w:t>
      </w:r>
      <w:r>
        <w:rPr>
          <w:rFonts w:hint="eastAsia" w:asciiTheme="minorEastAsia" w:hAnsiTheme="minorEastAsia" w:eastAsiaTheme="minorEastAsia" w:cstheme="minorEastAsia"/>
          <w:b/>
          <w:bCs/>
          <w:snapToGrid w:val="0"/>
          <w:color w:val="auto"/>
          <w:kern w:val="0"/>
          <w:sz w:val="24"/>
          <w:highlight w:val="none"/>
        </w:rPr>
        <w:t>3.2</w:t>
      </w:r>
      <w:r>
        <w:rPr>
          <w:rFonts w:hint="eastAsia" w:asciiTheme="minorEastAsia" w:hAnsiTheme="minorEastAsia" w:eastAsiaTheme="minorEastAsia" w:cstheme="minorEastAsia"/>
          <w:color w:val="auto"/>
          <w:sz w:val="24"/>
          <w:highlight w:val="none"/>
        </w:rPr>
        <w:t>拟派项目技术负责人须具备</w:t>
      </w:r>
      <w:r>
        <w:rPr>
          <w:rFonts w:hint="eastAsia" w:asciiTheme="minorEastAsia" w:hAnsiTheme="minorEastAsia" w:eastAsiaTheme="minorEastAsia" w:cstheme="minorEastAsia"/>
          <w:color w:val="auto"/>
          <w:sz w:val="24"/>
          <w:highlight w:val="none"/>
          <w:u w:val="single"/>
        </w:rPr>
        <w:t>市政公用工程或建筑工程</w:t>
      </w:r>
      <w:r>
        <w:rPr>
          <w:rFonts w:hint="eastAsia" w:asciiTheme="minorEastAsia" w:hAnsiTheme="minorEastAsia" w:eastAsiaTheme="minorEastAsia" w:cstheme="minorEastAsia"/>
          <w:color w:val="auto"/>
          <w:sz w:val="24"/>
          <w:highlight w:val="none"/>
        </w:rPr>
        <w:t>专业类</w:t>
      </w:r>
      <w:r>
        <w:rPr>
          <w:rFonts w:hint="eastAsia" w:asciiTheme="minorEastAsia" w:hAnsiTheme="minorEastAsia" w:eastAsiaTheme="minorEastAsia" w:cstheme="minorEastAsia"/>
          <w:color w:val="auto"/>
          <w:sz w:val="24"/>
          <w:highlight w:val="none"/>
          <w:lang w:val="en-US" w:eastAsia="zh-CN"/>
        </w:rPr>
        <w:t>中</w:t>
      </w:r>
      <w:r>
        <w:rPr>
          <w:rFonts w:hint="eastAsia" w:asciiTheme="minorEastAsia" w:hAnsiTheme="minorEastAsia" w:eastAsiaTheme="minorEastAsia" w:cstheme="minorEastAsia"/>
          <w:color w:val="auto"/>
          <w:sz w:val="24"/>
          <w:highlight w:val="none"/>
        </w:rPr>
        <w:t>级或及以上技术职称。</w:t>
      </w:r>
    </w:p>
    <w:p w14:paraId="5A1F1609">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b/>
          <w:bCs/>
          <w:color w:val="auto"/>
          <w:kern w:val="0"/>
          <w:sz w:val="24"/>
          <w:highlight w:val="none"/>
        </w:rPr>
        <w:t>4.</w:t>
      </w:r>
      <w:r>
        <w:rPr>
          <w:rFonts w:hint="eastAsia" w:asciiTheme="minorEastAsia" w:hAnsiTheme="minorEastAsia" w:eastAsiaTheme="minorEastAsia" w:cstheme="minorEastAsia"/>
          <w:b/>
          <w:bCs/>
          <w:snapToGrid w:val="0"/>
          <w:color w:val="auto"/>
          <w:kern w:val="0"/>
          <w:sz w:val="24"/>
          <w:highlight w:val="none"/>
        </w:rPr>
        <w:t>3.3</w:t>
      </w:r>
      <w:r>
        <w:rPr>
          <w:rFonts w:hint="eastAsia" w:asciiTheme="minorEastAsia" w:hAnsiTheme="minorEastAsia" w:eastAsiaTheme="minorEastAsia" w:cstheme="minorEastAsia"/>
          <w:snapToGrid w:val="0"/>
          <w:color w:val="auto"/>
          <w:kern w:val="0"/>
          <w:sz w:val="24"/>
          <w:highlight w:val="none"/>
        </w:rPr>
        <w:t>拟派专职安全生产管理人员须具备有效安全生产考核合格证明（C证，安全生产考核合格证书或广东省建筑施工企业管理人员安全生产考核系统考核合格信息打印页），且不少于</w:t>
      </w:r>
      <w:r>
        <w:rPr>
          <w:rFonts w:hint="eastAsia" w:asciiTheme="minorEastAsia" w:hAnsiTheme="minorEastAsia" w:eastAsiaTheme="minorEastAsia" w:cstheme="minorEastAsia"/>
          <w:snapToGrid w:val="0"/>
          <w:color w:val="auto"/>
          <w:kern w:val="0"/>
          <w:sz w:val="24"/>
          <w:highlight w:val="none"/>
          <w:lang w:val="en-US" w:eastAsia="zh-CN"/>
        </w:rPr>
        <w:t>3</w:t>
      </w:r>
      <w:r>
        <w:rPr>
          <w:rFonts w:hint="eastAsia" w:asciiTheme="minorEastAsia" w:hAnsiTheme="minorEastAsia" w:eastAsiaTheme="minorEastAsia" w:cstheme="minorEastAsia"/>
          <w:snapToGrid w:val="0"/>
          <w:color w:val="auto"/>
          <w:kern w:val="0"/>
          <w:sz w:val="24"/>
          <w:highlight w:val="none"/>
        </w:rPr>
        <w:t>人。</w:t>
      </w:r>
    </w:p>
    <w:p w14:paraId="33C6C5A5">
      <w:pPr>
        <w:pStyle w:val="37"/>
        <w:wordWrap w:val="0"/>
        <w:adjustRightInd w:val="0"/>
        <w:snapToGrid w:val="0"/>
        <w:spacing w:line="360" w:lineRule="auto"/>
        <w:ind w:firstLine="480"/>
        <w:jc w:val="left"/>
        <w:rPr>
          <w:rFonts w:hint="eastAsia" w:asciiTheme="minorEastAsia" w:hAnsiTheme="minorEastAsia" w:eastAsiaTheme="minorEastAsia" w:cstheme="minorEastAsia"/>
          <w:i/>
          <w:color w:val="auto"/>
          <w:kern w:val="0"/>
          <w:sz w:val="24"/>
          <w:highlight w:val="none"/>
        </w:rPr>
      </w:pPr>
      <w:r>
        <w:rPr>
          <w:rFonts w:hint="eastAsia" w:asciiTheme="minorEastAsia" w:hAnsiTheme="minorEastAsia" w:eastAsiaTheme="minorEastAsia" w:cstheme="minorEastAsia"/>
          <w:b/>
          <w:bCs/>
          <w:color w:val="auto"/>
          <w:kern w:val="0"/>
          <w:sz w:val="24"/>
          <w:highlight w:val="none"/>
        </w:rPr>
        <w:t>4.</w:t>
      </w:r>
      <w:r>
        <w:rPr>
          <w:rFonts w:hint="eastAsia" w:asciiTheme="minorEastAsia" w:hAnsiTheme="minorEastAsia" w:eastAsiaTheme="minorEastAsia" w:cstheme="minorEastAsia"/>
          <w:b/>
          <w:bCs/>
          <w:snapToGrid w:val="0"/>
          <w:color w:val="auto"/>
          <w:kern w:val="0"/>
          <w:sz w:val="24"/>
          <w:highlight w:val="none"/>
        </w:rPr>
        <w:t>3.4</w:t>
      </w:r>
      <w:r>
        <w:rPr>
          <w:rFonts w:hint="eastAsia" w:asciiTheme="minorEastAsia" w:hAnsiTheme="minorEastAsia" w:eastAsiaTheme="minorEastAsia" w:cstheme="minorEastAsia"/>
          <w:color w:val="auto"/>
          <w:sz w:val="24"/>
          <w:highlight w:val="none"/>
        </w:rPr>
        <w:t>拟委派担任本工程的设计负责人必须</w:t>
      </w:r>
      <w:r>
        <w:rPr>
          <w:rFonts w:hint="eastAsia" w:asciiTheme="minorEastAsia" w:hAnsiTheme="minorEastAsia" w:eastAsiaTheme="minorEastAsia" w:cstheme="minorEastAsia"/>
          <w:color w:val="auto"/>
          <w:sz w:val="24"/>
          <w:highlight w:val="none"/>
          <w:shd w:val="clear" w:color="auto" w:fill="FFFFFF"/>
        </w:rPr>
        <w:t>具备</w:t>
      </w:r>
      <w:r>
        <w:rPr>
          <w:rFonts w:hint="eastAsia" w:asciiTheme="minorEastAsia" w:hAnsiTheme="minorEastAsia" w:eastAsiaTheme="minorEastAsia" w:cstheme="minorEastAsia"/>
          <w:color w:val="auto"/>
          <w:sz w:val="24"/>
          <w:highlight w:val="none"/>
          <w:u w:val="single"/>
          <w:shd w:val="clear" w:color="auto" w:fill="FFFFFF"/>
        </w:rPr>
        <w:t>市政工程或建筑工程</w:t>
      </w:r>
      <w:r>
        <w:rPr>
          <w:rFonts w:hint="eastAsia" w:asciiTheme="minorEastAsia" w:hAnsiTheme="minorEastAsia" w:eastAsiaTheme="minorEastAsia" w:cstheme="minorEastAsia"/>
          <w:color w:val="auto"/>
          <w:sz w:val="24"/>
          <w:highlight w:val="none"/>
          <w:shd w:val="clear" w:color="auto" w:fill="FFFFFF"/>
        </w:rPr>
        <w:t>相关专业</w:t>
      </w:r>
      <w:r>
        <w:rPr>
          <w:rFonts w:hint="eastAsia" w:asciiTheme="minorEastAsia" w:hAnsiTheme="minorEastAsia" w:eastAsiaTheme="minorEastAsia" w:cstheme="minorEastAsia"/>
          <w:color w:val="auto"/>
          <w:sz w:val="24"/>
          <w:highlight w:val="none"/>
          <w:shd w:val="clear" w:color="auto" w:fill="FFFFFF"/>
          <w:lang w:val="en-US" w:eastAsia="zh-CN"/>
        </w:rPr>
        <w:t>高</w:t>
      </w:r>
      <w:r>
        <w:rPr>
          <w:rFonts w:hint="eastAsia" w:asciiTheme="minorEastAsia" w:hAnsiTheme="minorEastAsia" w:eastAsiaTheme="minorEastAsia" w:cstheme="minorEastAsia"/>
          <w:color w:val="auto"/>
          <w:sz w:val="24"/>
          <w:highlight w:val="none"/>
          <w:shd w:val="clear" w:color="auto" w:fill="FFFFFF"/>
        </w:rPr>
        <w:t>级以上（含</w:t>
      </w:r>
      <w:r>
        <w:rPr>
          <w:rFonts w:hint="eastAsia" w:asciiTheme="minorEastAsia" w:hAnsiTheme="minorEastAsia" w:eastAsiaTheme="minorEastAsia" w:cstheme="minorEastAsia"/>
          <w:color w:val="auto"/>
          <w:sz w:val="24"/>
          <w:highlight w:val="none"/>
          <w:shd w:val="clear" w:color="auto" w:fill="FFFFFF"/>
          <w:lang w:val="en-US" w:eastAsia="zh-CN"/>
        </w:rPr>
        <w:t>高</w:t>
      </w:r>
      <w:r>
        <w:rPr>
          <w:rFonts w:hint="eastAsia" w:asciiTheme="minorEastAsia" w:hAnsiTheme="minorEastAsia" w:eastAsiaTheme="minorEastAsia" w:cstheme="minorEastAsia"/>
          <w:color w:val="auto"/>
          <w:sz w:val="24"/>
          <w:highlight w:val="none"/>
          <w:shd w:val="clear" w:color="auto" w:fill="FFFFFF"/>
        </w:rPr>
        <w:t>级）技术职称</w:t>
      </w:r>
      <w:r>
        <w:rPr>
          <w:rFonts w:hint="eastAsia" w:asciiTheme="minorEastAsia" w:hAnsiTheme="minorEastAsia" w:eastAsiaTheme="minorEastAsia" w:cstheme="minorEastAsia"/>
          <w:color w:val="auto"/>
          <w:sz w:val="24"/>
          <w:highlight w:val="none"/>
        </w:rPr>
        <w:t>。</w:t>
      </w:r>
    </w:p>
    <w:p w14:paraId="697BF4DD">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color w:val="auto"/>
          <w:kern w:val="0"/>
          <w:szCs w:val="24"/>
          <w:highlight w:val="none"/>
        </w:rPr>
        <w:t>4.</w:t>
      </w:r>
      <w:r>
        <w:rPr>
          <w:rFonts w:hint="eastAsia" w:asciiTheme="minorEastAsia" w:hAnsiTheme="minorEastAsia" w:eastAsiaTheme="minorEastAsia" w:cstheme="minorEastAsia"/>
          <w:b/>
          <w:bCs/>
          <w:snapToGrid w:val="0"/>
          <w:color w:val="auto"/>
          <w:kern w:val="0"/>
          <w:szCs w:val="24"/>
          <w:highlight w:val="none"/>
        </w:rPr>
        <w:t>3.5</w:t>
      </w:r>
      <w:r>
        <w:rPr>
          <w:rFonts w:hint="eastAsia" w:asciiTheme="minorEastAsia" w:hAnsiTheme="minorEastAsia" w:eastAsiaTheme="minorEastAsia" w:cstheme="minorEastAsia"/>
          <w:snapToGrid w:val="0"/>
          <w:color w:val="auto"/>
          <w:kern w:val="0"/>
          <w:szCs w:val="24"/>
          <w:highlight w:val="none"/>
        </w:rPr>
        <w:t>投标人（包括组成联合体的所有成员单位）与其拟派往本项目管理机构的所有人员之间必须具备合法、唯一的劳动聘用关系。拟派人员中具备注册执业资格的，其注册单位须与投标人保持一致。</w:t>
      </w:r>
    </w:p>
    <w:p w14:paraId="47DA48DA">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color w:val="auto"/>
          <w:kern w:val="0"/>
          <w:szCs w:val="24"/>
          <w:highlight w:val="none"/>
        </w:rPr>
        <w:t>4.4</w:t>
      </w:r>
      <w:r>
        <w:rPr>
          <w:rFonts w:hint="eastAsia" w:asciiTheme="minorEastAsia" w:hAnsiTheme="minorEastAsia" w:eastAsiaTheme="minorEastAsia" w:cstheme="minorEastAsia"/>
          <w:snapToGrid w:val="0"/>
          <w:color w:val="auto"/>
          <w:kern w:val="0"/>
          <w:szCs w:val="24"/>
          <w:highlight w:val="none"/>
        </w:rPr>
        <w:t>禁止投标条款：</w:t>
      </w:r>
    </w:p>
    <w:p w14:paraId="4A4EB074">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color w:val="auto"/>
          <w:kern w:val="0"/>
          <w:szCs w:val="24"/>
          <w:highlight w:val="none"/>
        </w:rPr>
        <w:t>4.4.1</w:t>
      </w:r>
      <w:r>
        <w:rPr>
          <w:rFonts w:hint="eastAsia" w:asciiTheme="minorEastAsia" w:hAnsiTheme="minorEastAsia" w:eastAsiaTheme="minorEastAsia" w:cstheme="minorEastAsia"/>
          <w:snapToGrid w:val="0"/>
          <w:color w:val="auto"/>
          <w:kern w:val="0"/>
          <w:szCs w:val="24"/>
          <w:highlight w:val="none"/>
        </w:rPr>
        <w:t>投标人不得存在下列情形之一：</w:t>
      </w:r>
    </w:p>
    <w:p w14:paraId="0CC29F9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（1）为招标人不具有独立法人资格的附属机构（单位）；</w:t>
      </w:r>
    </w:p>
    <w:p w14:paraId="4BC742A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（2）为本招标项目前期准备提供咨询服务的；</w:t>
      </w:r>
    </w:p>
    <w:p w14:paraId="0C4406B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（3）与本招标项目的其他投标人为同一个单位负责人；</w:t>
      </w:r>
    </w:p>
    <w:p w14:paraId="3274665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（4）与本招标项目的其他投标人存在控股、管理关系；</w:t>
      </w:r>
    </w:p>
    <w:p w14:paraId="5D0149B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（5）为本招标项目的监理人；</w:t>
      </w:r>
    </w:p>
    <w:p w14:paraId="4F018B5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（6）为本招标项目的代建人；</w:t>
      </w:r>
    </w:p>
    <w:p w14:paraId="0DD591D5">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（7）为本招标项目的招标代理机构；</w:t>
      </w:r>
    </w:p>
    <w:p w14:paraId="6FE7351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（8）与本招标项目的监理人或代建人或招标代理机构同为一个法定代表人；</w:t>
      </w:r>
    </w:p>
    <w:p w14:paraId="0C15F11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（9）与本招标项目的监理人或代建人或招标代理机构存在控股或参股关系；</w:t>
      </w:r>
    </w:p>
    <w:p w14:paraId="04BAED4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（10）与本招标项目的监理人或代建人或招标代理机构存在相互任职或工作关系；</w:t>
      </w:r>
    </w:p>
    <w:p w14:paraId="78159E1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（11）被依法暂停或者取消投标资格；</w:t>
      </w:r>
    </w:p>
    <w:p w14:paraId="142376F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（12）被责令停产停业、暂扣或者吊销许可证、暂扣或者吊销执照；</w:t>
      </w:r>
    </w:p>
    <w:p w14:paraId="1CEFC63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（13）进入清算程序，或被宣告破产，或其他丧失履约能力的情形；</w:t>
      </w:r>
    </w:p>
    <w:p w14:paraId="0ACF323E">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（14）在最近三年内发生重大工程质量或安全问题（以相关行业主管部门的行政处罚决定或司法机关出具的有关法律文书为准）；</w:t>
      </w:r>
    </w:p>
    <w:p w14:paraId="6FC0E96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（15）被“信用中国”网站（https://www.creditchina.gov.cn）发布的《法人和非法人组织公共信用信息报告》列入严重失信主体名单的。</w:t>
      </w:r>
    </w:p>
    <w:p w14:paraId="2B413508">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4.4.2</w:t>
      </w:r>
      <w:r>
        <w:rPr>
          <w:rFonts w:hint="eastAsia" w:asciiTheme="minorEastAsia" w:hAnsiTheme="minorEastAsia" w:eastAsiaTheme="minorEastAsia" w:cstheme="minorEastAsia"/>
          <w:snapToGrid w:val="0"/>
          <w:color w:val="auto"/>
          <w:kern w:val="0"/>
          <w:szCs w:val="24"/>
          <w:highlight w:val="none"/>
        </w:rPr>
        <w:t>招标人拒绝以下名单中的单位参加本次投标：</w:t>
      </w:r>
    </w:p>
    <w:tbl>
      <w:tblPr>
        <w:tblStyle w:val="21"/>
        <w:tblW w:w="9780"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5250"/>
        <w:gridCol w:w="3540"/>
      </w:tblGrid>
      <w:tr w14:paraId="3BBE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90" w:type="dxa"/>
            <w:noWrap/>
            <w:vAlign w:val="center"/>
          </w:tcPr>
          <w:p w14:paraId="27C006A1">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5250" w:type="dxa"/>
            <w:noWrap/>
            <w:vAlign w:val="center"/>
          </w:tcPr>
          <w:p w14:paraId="1D357B38">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p>
        </w:tc>
        <w:tc>
          <w:tcPr>
            <w:tcW w:w="3540" w:type="dxa"/>
            <w:noWrap/>
            <w:vAlign w:val="center"/>
          </w:tcPr>
          <w:p w14:paraId="102F25AC">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拒绝原因</w:t>
            </w:r>
          </w:p>
        </w:tc>
      </w:tr>
      <w:tr w14:paraId="281C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0" w:type="dxa"/>
            <w:noWrap/>
            <w:vAlign w:val="center"/>
          </w:tcPr>
          <w:p w14:paraId="5C0B97D5">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250" w:type="dxa"/>
            <w:noWrap/>
            <w:vAlign w:val="center"/>
          </w:tcPr>
          <w:p w14:paraId="6C723C57">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南雄市乌迳镇人民政府</w:t>
            </w:r>
          </w:p>
        </w:tc>
        <w:tc>
          <w:tcPr>
            <w:tcW w:w="3540" w:type="dxa"/>
            <w:noWrap/>
            <w:vAlign w:val="center"/>
          </w:tcPr>
          <w:p w14:paraId="637B1763">
            <w:pPr>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为本招标项目的招标人</w:t>
            </w:r>
          </w:p>
        </w:tc>
      </w:tr>
      <w:tr w14:paraId="5CB0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90" w:type="dxa"/>
            <w:noWrap/>
            <w:vAlign w:val="center"/>
          </w:tcPr>
          <w:p w14:paraId="034641EE">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5250" w:type="dxa"/>
            <w:noWrap/>
            <w:vAlign w:val="center"/>
          </w:tcPr>
          <w:p w14:paraId="4F97ADEE">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南雄市乌迳镇人民政府</w:t>
            </w:r>
            <w:r>
              <w:rPr>
                <w:rFonts w:hint="eastAsia" w:asciiTheme="minorEastAsia" w:hAnsiTheme="minorEastAsia" w:eastAsiaTheme="minorEastAsia" w:cstheme="minorEastAsia"/>
                <w:color w:val="auto"/>
                <w:sz w:val="24"/>
                <w:szCs w:val="24"/>
                <w:highlight w:val="none"/>
              </w:rPr>
              <w:t xml:space="preserve"> </w:t>
            </w:r>
          </w:p>
        </w:tc>
        <w:tc>
          <w:tcPr>
            <w:tcW w:w="3540" w:type="dxa"/>
            <w:noWrap/>
            <w:vAlign w:val="center"/>
          </w:tcPr>
          <w:p w14:paraId="616118EF">
            <w:pPr>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为本招标项目的业主单位</w:t>
            </w:r>
          </w:p>
        </w:tc>
      </w:tr>
      <w:tr w14:paraId="15BE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90" w:type="dxa"/>
            <w:noWrap/>
            <w:vAlign w:val="center"/>
          </w:tcPr>
          <w:p w14:paraId="42C8DAC7">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5250" w:type="dxa"/>
            <w:noWrap/>
            <w:vAlign w:val="center"/>
          </w:tcPr>
          <w:p w14:paraId="641E28D8">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广东省建筑设计研究院集团股份有限公司</w:t>
            </w:r>
            <w:r>
              <w:rPr>
                <w:rFonts w:hint="eastAsia" w:asciiTheme="minorEastAsia" w:hAnsiTheme="minorEastAsia" w:eastAsiaTheme="minorEastAsia" w:cstheme="minorEastAsia"/>
                <w:color w:val="auto"/>
                <w:sz w:val="24"/>
                <w:szCs w:val="24"/>
                <w:highlight w:val="none"/>
              </w:rPr>
              <w:t xml:space="preserve">    </w:t>
            </w:r>
          </w:p>
        </w:tc>
        <w:tc>
          <w:tcPr>
            <w:tcW w:w="3540" w:type="dxa"/>
            <w:noWrap/>
            <w:vAlign w:val="center"/>
          </w:tcPr>
          <w:p w14:paraId="303D99DA">
            <w:pPr>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为本招标项目的可行性研究报告编制单位</w:t>
            </w:r>
          </w:p>
        </w:tc>
      </w:tr>
      <w:tr w14:paraId="71ED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0" w:type="dxa"/>
            <w:noWrap/>
            <w:vAlign w:val="center"/>
          </w:tcPr>
          <w:p w14:paraId="05BEB00A">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5250" w:type="dxa"/>
            <w:noWrap/>
            <w:vAlign w:val="center"/>
          </w:tcPr>
          <w:p w14:paraId="21C7CEC0">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中创名建工程管理集团有限公司</w:t>
            </w:r>
          </w:p>
        </w:tc>
        <w:tc>
          <w:tcPr>
            <w:tcW w:w="3540" w:type="dxa"/>
            <w:noWrap/>
            <w:vAlign w:val="center"/>
          </w:tcPr>
          <w:p w14:paraId="73F05BA5">
            <w:pPr>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为本招标项目的招标代理机构</w:t>
            </w:r>
          </w:p>
        </w:tc>
      </w:tr>
      <w:tr w14:paraId="7C5D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90" w:type="dxa"/>
            <w:noWrap/>
            <w:vAlign w:val="center"/>
          </w:tcPr>
          <w:p w14:paraId="3F21D150">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5250" w:type="dxa"/>
            <w:noWrap/>
            <w:vAlign w:val="center"/>
          </w:tcPr>
          <w:p w14:paraId="1B4778BC">
            <w:pPr>
              <w:wordWrap w:val="0"/>
              <w:adjustRightInd w:val="0"/>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en-US" w:eastAsia="zh-CN"/>
              </w:rPr>
              <w:t>河南省中工设计研究院集团股份有限公司</w:t>
            </w:r>
          </w:p>
        </w:tc>
        <w:tc>
          <w:tcPr>
            <w:tcW w:w="3540" w:type="dxa"/>
            <w:noWrap/>
            <w:vAlign w:val="center"/>
          </w:tcPr>
          <w:p w14:paraId="19EF56A0">
            <w:pPr>
              <w:wordWrap w:val="0"/>
              <w:adjustRightInd w:val="0"/>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为本招标项目的初步设计单位</w:t>
            </w:r>
          </w:p>
        </w:tc>
      </w:tr>
      <w:tr w14:paraId="3C3D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90" w:type="dxa"/>
            <w:noWrap/>
            <w:vAlign w:val="center"/>
          </w:tcPr>
          <w:p w14:paraId="2EC79482">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5250" w:type="dxa"/>
            <w:noWrap/>
            <w:vAlign w:val="center"/>
          </w:tcPr>
          <w:p w14:paraId="6945E3EE">
            <w:pPr>
              <w:wordWrap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江苏省岩土工程勘察设计研究院</w:t>
            </w:r>
          </w:p>
        </w:tc>
        <w:tc>
          <w:tcPr>
            <w:tcW w:w="3540" w:type="dxa"/>
            <w:noWrap/>
            <w:vAlign w:val="center"/>
          </w:tcPr>
          <w:p w14:paraId="2A533BFB">
            <w:pPr>
              <w:wordWrap w:val="0"/>
              <w:adjustRightInd w:val="0"/>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为本招标项目的勘察单位</w:t>
            </w:r>
          </w:p>
        </w:tc>
      </w:tr>
      <w:tr w14:paraId="2BDC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0" w:type="dxa"/>
            <w:noWrap/>
            <w:vAlign w:val="center"/>
          </w:tcPr>
          <w:p w14:paraId="31E36485">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5250" w:type="dxa"/>
            <w:noWrap/>
            <w:vAlign w:val="center"/>
          </w:tcPr>
          <w:p w14:paraId="0268D0F8">
            <w:pPr>
              <w:tabs>
                <w:tab w:val="center" w:pos="941"/>
              </w:tabs>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待定</w:t>
            </w:r>
          </w:p>
        </w:tc>
        <w:tc>
          <w:tcPr>
            <w:tcW w:w="3540" w:type="dxa"/>
            <w:noWrap/>
            <w:vAlign w:val="center"/>
          </w:tcPr>
          <w:p w14:paraId="17B6B69F">
            <w:pPr>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为本招标项目的监理单位</w:t>
            </w:r>
          </w:p>
        </w:tc>
      </w:tr>
    </w:tbl>
    <w:p w14:paraId="7AB883CC">
      <w:pPr>
        <w:wordWrap w:val="0"/>
        <w:adjustRightInd w:val="0"/>
        <w:snapToGrid w:val="0"/>
        <w:spacing w:line="360" w:lineRule="auto"/>
        <w:ind w:firstLine="240" w:firstLineChars="100"/>
        <w:jc w:val="left"/>
        <w:rPr>
          <w:rFonts w:hint="eastAsia" w:asciiTheme="minorEastAsia" w:hAnsiTheme="minorEastAsia" w:eastAsiaTheme="minorEastAsia" w:cstheme="minorEastAsia"/>
          <w:color w:val="auto"/>
          <w:kern w:val="2"/>
          <w:sz w:val="24"/>
          <w:szCs w:val="21"/>
          <w:highlight w:val="none"/>
          <w:lang w:val="en-US" w:eastAsia="zh-CN" w:bidi="ar-SA"/>
        </w:rPr>
      </w:pPr>
    </w:p>
    <w:p w14:paraId="07136E5D">
      <w:pPr>
        <w:wordWrap w:val="0"/>
        <w:adjustRightInd w:val="0"/>
        <w:snapToGrid w:val="0"/>
        <w:spacing w:line="360" w:lineRule="auto"/>
        <w:ind w:firstLine="241" w:firstLineChars="100"/>
        <w:jc w:val="left"/>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b/>
          <w:bCs/>
          <w:color w:val="auto"/>
          <w:kern w:val="2"/>
          <w:sz w:val="24"/>
          <w:szCs w:val="21"/>
          <w:highlight w:val="none"/>
          <w:lang w:val="en-US" w:eastAsia="zh-CN" w:bidi="ar-SA"/>
        </w:rPr>
        <w:t>4.5</w:t>
      </w:r>
      <w:r>
        <w:rPr>
          <w:rFonts w:hint="eastAsia" w:asciiTheme="minorEastAsia" w:hAnsiTheme="minorEastAsia" w:eastAsiaTheme="minorEastAsia" w:cstheme="minorEastAsia"/>
          <w:color w:val="auto"/>
          <w:kern w:val="2"/>
          <w:sz w:val="24"/>
          <w:szCs w:val="21"/>
          <w:highlight w:val="none"/>
          <w:lang w:val="en-US" w:eastAsia="zh-CN" w:bidi="ar-SA"/>
        </w:rPr>
        <w:t>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p w14:paraId="22E3F83E">
      <w:pPr>
        <w:pStyle w:val="30"/>
        <w:spacing w:line="360" w:lineRule="auto"/>
        <w:jc w:val="both"/>
        <w:rPr>
          <w:rFonts w:hint="eastAsia" w:asciiTheme="minorEastAsia" w:hAnsiTheme="minorEastAsia" w:eastAsiaTheme="minorEastAsia" w:cstheme="minorEastAsia"/>
          <w:color w:val="auto"/>
          <w:highlight w:val="none"/>
        </w:rPr>
      </w:pPr>
    </w:p>
    <w:p w14:paraId="034A7CEB">
      <w:pPr>
        <w:pStyle w:val="36"/>
        <w:keepNext/>
        <w:keepLines/>
        <w:ind w:firstLine="482" w:firstLineChars="200"/>
        <w:jc w:val="both"/>
        <w:rPr>
          <w:rFonts w:hint="eastAsia" w:asciiTheme="minorEastAsia" w:hAnsiTheme="minorEastAsia" w:eastAsiaTheme="minorEastAsia" w:cstheme="minorEastAsia"/>
          <w:b/>
          <w:color w:val="auto"/>
          <w:kern w:val="2"/>
          <w:highlight w:val="none"/>
        </w:rPr>
      </w:pPr>
      <w:bookmarkStart w:id="66" w:name="_Toc17175"/>
      <w:bookmarkStart w:id="67" w:name="_Toc3094"/>
      <w:bookmarkStart w:id="68" w:name="_Toc17645"/>
      <w:bookmarkStart w:id="69" w:name="_Toc2707"/>
      <w:bookmarkStart w:id="70" w:name="_Toc8294"/>
      <w:bookmarkStart w:id="71" w:name="_Toc20378"/>
      <w:bookmarkStart w:id="72" w:name="_Toc18979"/>
      <w:bookmarkStart w:id="73" w:name="_Toc24391"/>
      <w:bookmarkStart w:id="74" w:name="_Toc3588"/>
      <w:r>
        <w:rPr>
          <w:rFonts w:hint="eastAsia" w:asciiTheme="minorEastAsia" w:hAnsiTheme="minorEastAsia" w:eastAsiaTheme="minorEastAsia" w:cstheme="minorEastAsia"/>
          <w:b/>
          <w:color w:val="auto"/>
          <w:kern w:val="2"/>
          <w:highlight w:val="none"/>
        </w:rPr>
        <w:t>5 、工程招标内容及要求</w:t>
      </w:r>
      <w:bookmarkEnd w:id="66"/>
      <w:bookmarkEnd w:id="67"/>
      <w:bookmarkEnd w:id="68"/>
      <w:bookmarkEnd w:id="69"/>
      <w:bookmarkEnd w:id="70"/>
      <w:bookmarkEnd w:id="71"/>
      <w:bookmarkEnd w:id="72"/>
      <w:bookmarkEnd w:id="73"/>
      <w:bookmarkEnd w:id="74"/>
    </w:p>
    <w:p w14:paraId="70E14DB2">
      <w:pPr>
        <w:pStyle w:val="42"/>
        <w:widowControl/>
        <w:spacing w:line="360" w:lineRule="auto"/>
        <w:ind w:firstLine="480"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设计阶段包括所有相关报建、报批、施工设计文件、施工图设计、施工图预算（不单独计收预算编制费用）及施工配合、后续设计服务工作等；</w:t>
      </w:r>
    </w:p>
    <w:p w14:paraId="083C7446">
      <w:pPr>
        <w:pStyle w:val="42"/>
        <w:widowControl/>
        <w:spacing w:line="360" w:lineRule="auto"/>
        <w:ind w:firstLine="480" w:firstLineChars="200"/>
        <w:jc w:val="left"/>
        <w:rPr>
          <w:rFonts w:hint="eastAsia" w:asciiTheme="minorEastAsia" w:hAnsiTheme="minorEastAsia" w:eastAsiaTheme="minorEastAsia" w:cstheme="minorEastAsia"/>
          <w:b/>
          <w:bCs/>
          <w:snapToGrid w:val="0"/>
          <w:color w:val="auto"/>
          <w:kern w:val="0"/>
          <w:highlight w:val="none"/>
        </w:rPr>
      </w:pPr>
      <w:r>
        <w:rPr>
          <w:rFonts w:hint="eastAsia" w:asciiTheme="minorEastAsia" w:hAnsiTheme="minorEastAsia" w:eastAsiaTheme="minorEastAsia" w:cstheme="minorEastAsia"/>
          <w:color w:val="auto"/>
          <w:sz w:val="24"/>
          <w:szCs w:val="21"/>
          <w:highlight w:val="none"/>
        </w:rPr>
        <w:t>施工包括施工图设计文件及工程量清单范围内的所有工程及配套设施等的施工及配合阶段验收、档案整理、保修期维护等总承包范围工作。</w:t>
      </w:r>
    </w:p>
    <w:p w14:paraId="2F333B0C">
      <w:pPr>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5.1本次设计工程的内容及要求：</w:t>
      </w:r>
    </w:p>
    <w:p w14:paraId="43783ED3">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5.5.1</w:t>
      </w:r>
      <w:r>
        <w:rPr>
          <w:rFonts w:hint="eastAsia" w:asciiTheme="minorEastAsia" w:hAnsiTheme="minorEastAsia" w:eastAsiaTheme="minorEastAsia" w:cstheme="minorEastAsia"/>
          <w:snapToGrid w:val="0"/>
          <w:color w:val="auto"/>
          <w:kern w:val="0"/>
          <w:szCs w:val="24"/>
          <w:highlight w:val="none"/>
        </w:rPr>
        <w:t>本次设计工程的内容及要求：</w:t>
      </w:r>
    </w:p>
    <w:p w14:paraId="4E42992D">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5.1.1.1</w:t>
      </w:r>
      <w:r>
        <w:rPr>
          <w:rFonts w:hint="eastAsia" w:asciiTheme="minorEastAsia" w:hAnsiTheme="minorEastAsia" w:eastAsiaTheme="minorEastAsia" w:cstheme="minorEastAsia"/>
          <w:color w:val="auto"/>
          <w:sz w:val="24"/>
          <w:szCs w:val="21"/>
          <w:highlight w:val="none"/>
        </w:rPr>
        <w:t>本项目设计包括工程所有专业及其配套设施工程和其他工程等所有招标范围工程项目报建、报批、施工设计文件、施工图（含配套附属工程等）设计（含预算编制）的编制。</w:t>
      </w:r>
    </w:p>
    <w:p w14:paraId="5BEC6736">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5.1.1.2</w:t>
      </w:r>
      <w:r>
        <w:rPr>
          <w:rFonts w:hint="eastAsia" w:asciiTheme="minorEastAsia" w:hAnsiTheme="minorEastAsia" w:eastAsiaTheme="minorEastAsia" w:cstheme="minorEastAsia"/>
          <w:color w:val="auto"/>
          <w:sz w:val="24"/>
          <w:szCs w:val="21"/>
          <w:highlight w:val="none"/>
        </w:rPr>
        <w:t>本工程各个阶段的设计成果必须经招标人及有关审批部门同意后方可进行下一工序的设计工作，若招标人或有关审批部门在审批过程中提出的设计修改或变更，中标人必须无条件进行修改或变更，招标人不再支付由此而增加的设计费用。本工程施工图设计必须先经招标人确认才能送审，并经招标人委托的有资质的审图机构审查合格。若招标人或审图机构在审查过程中提出的设计修改或变更，中标人必须无条件进行修改或优化设计，招标人不再支付由此而增加的设计费用。</w:t>
      </w:r>
    </w:p>
    <w:p w14:paraId="2DDED044">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5.1.1.3</w:t>
      </w:r>
      <w:r>
        <w:rPr>
          <w:rFonts w:hint="eastAsia" w:asciiTheme="minorEastAsia" w:hAnsiTheme="minorEastAsia" w:eastAsiaTheme="minorEastAsia" w:cstheme="minorEastAsia"/>
          <w:color w:val="auto"/>
          <w:sz w:val="24"/>
          <w:szCs w:val="21"/>
          <w:highlight w:val="none"/>
        </w:rPr>
        <w:t>本工程设计要求的质量标准：符合现行的国家及地方的有关设计规范等，且必须通过有关部门的审查及经有资质的审图机构审查合格。</w:t>
      </w:r>
    </w:p>
    <w:p w14:paraId="4D09F44B">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5.2</w:t>
      </w:r>
      <w:r>
        <w:rPr>
          <w:rFonts w:hint="eastAsia" w:asciiTheme="minorEastAsia" w:hAnsiTheme="minorEastAsia" w:eastAsiaTheme="minorEastAsia" w:cstheme="minorEastAsia"/>
          <w:color w:val="auto"/>
          <w:sz w:val="24"/>
          <w:szCs w:val="21"/>
          <w:highlight w:val="none"/>
        </w:rPr>
        <w:t>设计承包内容：中标人按合同约定、招标文件内容要求、法律法规及国家强制性标准要求提供完整的设计文件及建设期间的服务等内容。</w:t>
      </w:r>
    </w:p>
    <w:p w14:paraId="54CF1E41">
      <w:pPr>
        <w:pStyle w:val="42"/>
        <w:widowControl/>
        <w:spacing w:line="360" w:lineRule="auto"/>
        <w:ind w:firstLine="480"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施工图设计文件（含施工图预算）12套、施工图预算（含工程量清单）5套。提供的所有资料均含电子版（含CAD及PDF文件格式）。</w:t>
      </w:r>
    </w:p>
    <w:p w14:paraId="1B93DD49">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5.3</w:t>
      </w:r>
      <w:r>
        <w:rPr>
          <w:rFonts w:hint="eastAsia" w:asciiTheme="minorEastAsia" w:hAnsiTheme="minorEastAsia" w:eastAsiaTheme="minorEastAsia" w:cstheme="minorEastAsia"/>
          <w:color w:val="auto"/>
          <w:sz w:val="24"/>
          <w:szCs w:val="21"/>
          <w:highlight w:val="none"/>
        </w:rPr>
        <w:t xml:space="preserve"> 中标人要按照批准的投资概算、批准的可行性研究报告、初步设计成果资料等控制施工图设计及施工图预算，即限额设计。中标人要无条件对设计文件出现的遗漏或错误负责修改或补充、优化设计，直到满足要求。</w:t>
      </w:r>
    </w:p>
    <w:p w14:paraId="0E27458B">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5.4</w:t>
      </w:r>
      <w:r>
        <w:rPr>
          <w:rFonts w:hint="eastAsia" w:asciiTheme="minorEastAsia" w:hAnsiTheme="minorEastAsia" w:eastAsiaTheme="minorEastAsia" w:cstheme="minorEastAsia"/>
          <w:color w:val="auto"/>
          <w:sz w:val="24"/>
          <w:szCs w:val="21"/>
          <w:highlight w:val="none"/>
        </w:rPr>
        <w:t xml:space="preserve"> 施工期间若遇到工程变更、突发事件或不可预见的事件等情况，中标人接到建设单位或监理单位通知后应当立即到达施工现场，研究并及时处理问题。</w:t>
      </w:r>
    </w:p>
    <w:p w14:paraId="24612A5F">
      <w:pPr>
        <w:pStyle w:val="42"/>
        <w:widowControl/>
        <w:spacing w:line="360" w:lineRule="auto"/>
        <w:ind w:firstLine="482" w:firstLineChars="200"/>
        <w:jc w:val="left"/>
        <w:rPr>
          <w:rFonts w:hint="eastAsia" w:asciiTheme="minorEastAsia" w:hAnsiTheme="minorEastAsia" w:eastAsiaTheme="minorEastAsia" w:cstheme="minorEastAsia"/>
          <w:b/>
          <w:bCs/>
          <w:color w:val="auto"/>
          <w:sz w:val="24"/>
          <w:szCs w:val="21"/>
          <w:highlight w:val="none"/>
        </w:rPr>
      </w:pPr>
      <w:r>
        <w:rPr>
          <w:rFonts w:hint="eastAsia" w:asciiTheme="minorEastAsia" w:hAnsiTheme="minorEastAsia" w:eastAsiaTheme="minorEastAsia" w:cstheme="minorEastAsia"/>
          <w:b/>
          <w:bCs/>
          <w:color w:val="auto"/>
          <w:sz w:val="24"/>
          <w:szCs w:val="21"/>
          <w:highlight w:val="none"/>
        </w:rPr>
        <w:t>5.5关于设计深度的要求</w:t>
      </w:r>
    </w:p>
    <w:p w14:paraId="0FB6A6BE">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5.5.1</w:t>
      </w:r>
      <w:r>
        <w:rPr>
          <w:rFonts w:hint="eastAsia" w:asciiTheme="minorEastAsia" w:hAnsiTheme="minorEastAsia" w:eastAsiaTheme="minorEastAsia" w:cstheme="minorEastAsia"/>
          <w:color w:val="auto"/>
          <w:sz w:val="24"/>
          <w:szCs w:val="21"/>
          <w:highlight w:val="none"/>
        </w:rPr>
        <w:t>按现行的设计文件深度规定等有关技术标准、设计规范（标准）要求。</w:t>
      </w:r>
    </w:p>
    <w:p w14:paraId="5BC9A542">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5.5.2</w:t>
      </w:r>
      <w:r>
        <w:rPr>
          <w:rFonts w:hint="eastAsia" w:asciiTheme="minorEastAsia" w:hAnsiTheme="minorEastAsia" w:eastAsiaTheme="minorEastAsia" w:cstheme="minorEastAsia"/>
          <w:color w:val="auto"/>
          <w:sz w:val="24"/>
          <w:szCs w:val="21"/>
          <w:highlight w:val="none"/>
        </w:rPr>
        <w:t>各专业设计应同步进行，中标人应指定总体中标人统筹布局，做好各项设施的协调和衔接、位置预留，不得留待施工中临时变更。</w:t>
      </w:r>
    </w:p>
    <w:p w14:paraId="29F63BCA">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5.5.3</w:t>
      </w:r>
      <w:r>
        <w:rPr>
          <w:rFonts w:hint="eastAsia" w:asciiTheme="minorEastAsia" w:hAnsiTheme="minorEastAsia" w:eastAsiaTheme="minorEastAsia" w:cstheme="minorEastAsia"/>
          <w:color w:val="auto"/>
          <w:sz w:val="24"/>
          <w:szCs w:val="21"/>
          <w:highlight w:val="none"/>
        </w:rPr>
        <w:t>对技术复杂或造价、规模较大的主要分项工程应作方案比较。</w:t>
      </w:r>
    </w:p>
    <w:p w14:paraId="7C85A8FD">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5.5.4</w:t>
      </w:r>
      <w:r>
        <w:rPr>
          <w:rFonts w:hint="eastAsia" w:asciiTheme="minorEastAsia" w:hAnsiTheme="minorEastAsia" w:eastAsiaTheme="minorEastAsia" w:cstheme="minorEastAsia"/>
          <w:color w:val="auto"/>
          <w:sz w:val="24"/>
          <w:szCs w:val="21"/>
          <w:highlight w:val="none"/>
        </w:rPr>
        <w:t>施工图设计文件的深度，应当满足设备材料采购，非标准设备制作和施工的需要，并注明建设工程合理使用年限。</w:t>
      </w:r>
    </w:p>
    <w:p w14:paraId="37AD52AB">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5.5.5</w:t>
      </w:r>
      <w:r>
        <w:rPr>
          <w:rFonts w:hint="eastAsia" w:asciiTheme="minorEastAsia" w:hAnsiTheme="minorEastAsia" w:eastAsiaTheme="minorEastAsia" w:cstheme="minorEastAsia"/>
          <w:color w:val="auto"/>
          <w:sz w:val="24"/>
          <w:szCs w:val="21"/>
          <w:highlight w:val="none"/>
        </w:rPr>
        <w:t>相关的配套外部接口方案均需取得政府主管部门或规划部门认可。</w:t>
      </w:r>
    </w:p>
    <w:p w14:paraId="6FBA2CE5">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5.5.6</w:t>
      </w:r>
      <w:r>
        <w:rPr>
          <w:rFonts w:hint="eastAsia" w:asciiTheme="minorEastAsia" w:hAnsiTheme="minorEastAsia" w:eastAsiaTheme="minorEastAsia" w:cstheme="minorEastAsia"/>
          <w:color w:val="auto"/>
          <w:sz w:val="24"/>
          <w:szCs w:val="21"/>
          <w:highlight w:val="none"/>
        </w:rPr>
        <w:t>施工图设计文件应考虑交通维护、临时施工便道、危大工程、对周边建筑物的影响等因素，并提供相应的设计方案及计算书（可另册装订），以指导现场施工及过程评审。</w:t>
      </w:r>
    </w:p>
    <w:p w14:paraId="7E95B0DF">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5.6</w:t>
      </w:r>
      <w:r>
        <w:rPr>
          <w:rFonts w:hint="eastAsia" w:asciiTheme="minorEastAsia" w:hAnsiTheme="minorEastAsia" w:eastAsiaTheme="minorEastAsia" w:cstheme="minorEastAsia"/>
          <w:b/>
          <w:bCs/>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rPr>
        <w:t>设计后期配合施工工作</w:t>
      </w:r>
    </w:p>
    <w:p w14:paraId="6C7C6843">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5.6.1</w:t>
      </w:r>
      <w:r>
        <w:rPr>
          <w:rFonts w:hint="eastAsia" w:asciiTheme="minorEastAsia" w:hAnsiTheme="minorEastAsia" w:eastAsiaTheme="minorEastAsia" w:cstheme="minorEastAsia"/>
          <w:b/>
          <w:bCs/>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rPr>
        <w:t>施工图设计完成并经有关单位审查后，才能进入施工阶段，设计单位必须按投标文件的承诺至少派1名参与并熟悉本项目设计、有现场处理经验的设计代表驻现场以配合，建设管理单位不另外支付配合施工费用。</w:t>
      </w:r>
    </w:p>
    <w:p w14:paraId="0A378F69">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5.6.2</w:t>
      </w:r>
      <w:r>
        <w:rPr>
          <w:rFonts w:hint="eastAsia" w:asciiTheme="minorEastAsia" w:hAnsiTheme="minorEastAsia" w:eastAsiaTheme="minorEastAsia" w:cstheme="minorEastAsia"/>
          <w:b/>
          <w:bCs/>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rPr>
        <w:t>设计单位配合施工、监理及业主单位的工作内容如下：</w:t>
      </w:r>
    </w:p>
    <w:p w14:paraId="770C78EE">
      <w:pPr>
        <w:numPr>
          <w:ilvl w:val="0"/>
          <w:numId w:val="1"/>
        </w:numPr>
        <w:tabs>
          <w:tab w:val="left" w:pos="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施工图设计（技术）交底；</w:t>
      </w:r>
    </w:p>
    <w:p w14:paraId="3A0B680E">
      <w:pPr>
        <w:numPr>
          <w:ilvl w:val="0"/>
          <w:numId w:val="1"/>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配合勘察单位现场交桩；</w:t>
      </w:r>
    </w:p>
    <w:p w14:paraId="27CC77FB">
      <w:pPr>
        <w:numPr>
          <w:ilvl w:val="0"/>
          <w:numId w:val="1"/>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变更设计和所有补充设计；</w:t>
      </w:r>
    </w:p>
    <w:p w14:paraId="4FB31ED6">
      <w:pPr>
        <w:numPr>
          <w:ilvl w:val="0"/>
          <w:numId w:val="1"/>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会签设计变更审批表；</w:t>
      </w:r>
    </w:p>
    <w:p w14:paraId="3BE3FD2C">
      <w:pPr>
        <w:numPr>
          <w:ilvl w:val="0"/>
          <w:numId w:val="1"/>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参加处理施工中发生的工程质量和安全事故；</w:t>
      </w:r>
    </w:p>
    <w:p w14:paraId="2260985E">
      <w:pPr>
        <w:numPr>
          <w:ilvl w:val="0"/>
          <w:numId w:val="1"/>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参加隐蔽工程及工程竣工验收；</w:t>
      </w:r>
    </w:p>
    <w:p w14:paraId="2DA6FAAC">
      <w:pPr>
        <w:numPr>
          <w:ilvl w:val="0"/>
          <w:numId w:val="1"/>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解决与设计有关的施工问题；</w:t>
      </w:r>
    </w:p>
    <w:p w14:paraId="7B3E7C72">
      <w:pPr>
        <w:numPr>
          <w:ilvl w:val="0"/>
          <w:numId w:val="1"/>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配合质量检测；</w:t>
      </w:r>
    </w:p>
    <w:p w14:paraId="34DF77B1">
      <w:pPr>
        <w:numPr>
          <w:ilvl w:val="0"/>
          <w:numId w:val="1"/>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参加审查施工单位的施工组织设计和专项施工方案；</w:t>
      </w:r>
    </w:p>
    <w:p w14:paraId="55EFE855">
      <w:pPr>
        <w:numPr>
          <w:ilvl w:val="0"/>
          <w:numId w:val="1"/>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参加本项目建设有关会议。</w:t>
      </w:r>
    </w:p>
    <w:p w14:paraId="7205B2DA">
      <w:pPr>
        <w:numPr>
          <w:ilvl w:val="0"/>
          <w:numId w:val="1"/>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在监理招标期间配合建设及相关单位解释及完善施工图相关内容。</w:t>
      </w:r>
    </w:p>
    <w:p w14:paraId="24DBE0B7">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5.6.3</w:t>
      </w:r>
      <w:r>
        <w:rPr>
          <w:rFonts w:hint="eastAsia" w:asciiTheme="minorEastAsia" w:hAnsiTheme="minorEastAsia" w:eastAsiaTheme="minorEastAsia" w:cstheme="minorEastAsia"/>
          <w:snapToGrid w:val="0"/>
          <w:color w:val="auto"/>
          <w:kern w:val="0"/>
          <w:szCs w:val="24"/>
          <w:highlight w:val="none"/>
        </w:rPr>
        <w:t>设计工作技术总结</w:t>
      </w:r>
    </w:p>
    <w:p w14:paraId="591D4E41">
      <w:pPr>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中标人对设计文件及施工过程中发生的补充设计进行检查，并提出设计文件质量检查报告，在竣工验收前交招标人。工程完工后，中标人应组织设计技术工作人员将全部资料进行整理并撰写工程技术总结，并于竣工后一个月内完成，交招标人。</w:t>
      </w:r>
    </w:p>
    <w:p w14:paraId="3F838593">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5.7</w:t>
      </w:r>
      <w:r>
        <w:rPr>
          <w:rFonts w:hint="eastAsia" w:asciiTheme="minorEastAsia" w:hAnsiTheme="minorEastAsia" w:eastAsiaTheme="minorEastAsia" w:cstheme="minorEastAsia"/>
          <w:snapToGrid w:val="0"/>
          <w:color w:val="auto"/>
          <w:kern w:val="0"/>
          <w:szCs w:val="24"/>
          <w:highlight w:val="none"/>
        </w:rPr>
        <w:t>限额设计要求：</w:t>
      </w:r>
    </w:p>
    <w:p w14:paraId="134AADA0">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5.7.1</w:t>
      </w:r>
      <w:r>
        <w:rPr>
          <w:rFonts w:hint="eastAsia" w:asciiTheme="minorEastAsia" w:hAnsiTheme="minorEastAsia" w:eastAsiaTheme="minorEastAsia" w:cstheme="minorEastAsia"/>
          <w:snapToGrid w:val="0"/>
          <w:color w:val="auto"/>
          <w:kern w:val="0"/>
          <w:szCs w:val="24"/>
          <w:highlight w:val="none"/>
        </w:rPr>
        <w:t>施工图预算中的建安工程费预算价不得超过经发改部门审定的概算建安工程费</w:t>
      </w:r>
      <w:r>
        <w:rPr>
          <w:rFonts w:hint="eastAsia" w:asciiTheme="minorEastAsia" w:hAnsiTheme="minorEastAsia" w:eastAsiaTheme="minorEastAsia" w:cstheme="minorEastAsia"/>
          <w:color w:val="auto"/>
          <w:szCs w:val="24"/>
          <w:highlight w:val="none"/>
        </w:rPr>
        <w:t>且不得超过建安工程费的中标价</w:t>
      </w:r>
      <w:r>
        <w:rPr>
          <w:rFonts w:hint="eastAsia" w:asciiTheme="minorEastAsia" w:hAnsiTheme="minorEastAsia" w:eastAsiaTheme="minorEastAsia" w:cstheme="minorEastAsia"/>
          <w:snapToGrid w:val="0"/>
          <w:color w:val="auto"/>
          <w:kern w:val="0"/>
          <w:szCs w:val="24"/>
          <w:highlight w:val="none"/>
        </w:rPr>
        <w:t>。</w:t>
      </w:r>
    </w:p>
    <w:p w14:paraId="5B242DF6">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5.7.2</w:t>
      </w:r>
      <w:r>
        <w:rPr>
          <w:rFonts w:hint="eastAsia" w:asciiTheme="minorEastAsia" w:hAnsiTheme="minorEastAsia" w:eastAsiaTheme="minorEastAsia" w:cstheme="minorEastAsia"/>
          <w:snapToGrid w:val="0"/>
          <w:color w:val="auto"/>
          <w:kern w:val="0"/>
          <w:szCs w:val="24"/>
          <w:highlight w:val="none"/>
        </w:rPr>
        <w:t>中标人在提交设计施工图时必须同时提交施工图预算。施工图预算作为中标人自我核算是否符合限额设计要求的依据。若造价咨询单位按施工图编制或审核的建安工程费高于5.7.1条规定时，中标人必须无条件对施工图进行修改，直至满足限额设计要求，</w:t>
      </w:r>
      <w:r>
        <w:rPr>
          <w:rFonts w:hint="eastAsia" w:asciiTheme="minorEastAsia" w:hAnsiTheme="minorEastAsia" w:eastAsiaTheme="minorEastAsia" w:cstheme="minorEastAsia"/>
          <w:color w:val="auto"/>
          <w:szCs w:val="24"/>
          <w:highlight w:val="none"/>
        </w:rPr>
        <w:t>不另行增加设计费</w:t>
      </w:r>
      <w:r>
        <w:rPr>
          <w:rFonts w:hint="eastAsia" w:asciiTheme="minorEastAsia" w:hAnsiTheme="minorEastAsia" w:eastAsiaTheme="minorEastAsia" w:cstheme="minorEastAsia"/>
          <w:snapToGrid w:val="0"/>
          <w:color w:val="auto"/>
          <w:kern w:val="0"/>
          <w:szCs w:val="24"/>
          <w:highlight w:val="none"/>
        </w:rPr>
        <w:t>。由此造成造价咨询单位重复编制或审核施工图预算的费用由中标人承担，结算时在设计费中扣除。</w:t>
      </w:r>
    </w:p>
    <w:p w14:paraId="42E91C45">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5.7.3</w:t>
      </w:r>
      <w:r>
        <w:rPr>
          <w:rFonts w:hint="eastAsia" w:asciiTheme="minorEastAsia" w:hAnsiTheme="minorEastAsia" w:eastAsiaTheme="minorEastAsia" w:cstheme="minorEastAsia"/>
          <w:snapToGrid w:val="0"/>
          <w:color w:val="auto"/>
          <w:kern w:val="0"/>
          <w:szCs w:val="24"/>
          <w:highlight w:val="none"/>
        </w:rPr>
        <w:t>中标人在施工图设计前，要充分进行市场调查，主要材料、设备在满足设计规范及建设标准的情况下，尽量采用造价管理机构发布的信息价中有相应型号、规格的标准材料，若必须采用非标准材料的，必须经招标人同意，否则参照信息价中相近且低于其标准的材料信息价作为该项材料的结算价。</w:t>
      </w:r>
    </w:p>
    <w:p w14:paraId="120A0CB2">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5.8</w:t>
      </w:r>
      <w:r>
        <w:rPr>
          <w:rFonts w:hint="eastAsia" w:asciiTheme="minorEastAsia" w:hAnsiTheme="minorEastAsia" w:eastAsiaTheme="minorEastAsia" w:cstheme="minorEastAsia"/>
          <w:snapToGrid w:val="0"/>
          <w:color w:val="auto"/>
          <w:kern w:val="0"/>
          <w:szCs w:val="24"/>
          <w:highlight w:val="none"/>
        </w:rPr>
        <w:t>设计时需要考虑与周边环境相结合。</w:t>
      </w:r>
    </w:p>
    <w:p w14:paraId="167ACD15">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5.9</w:t>
      </w:r>
      <w:r>
        <w:rPr>
          <w:rFonts w:hint="eastAsia" w:asciiTheme="minorEastAsia" w:hAnsiTheme="minorEastAsia" w:eastAsiaTheme="minorEastAsia" w:cstheme="minorEastAsia"/>
          <w:snapToGrid w:val="0"/>
          <w:color w:val="auto"/>
          <w:kern w:val="0"/>
          <w:szCs w:val="24"/>
          <w:highlight w:val="none"/>
        </w:rPr>
        <w:t>凡参加本次招标的投标人被视为已充分认识和理解了任何与本工程有关的影响事项和困难等情况。</w:t>
      </w:r>
    </w:p>
    <w:p w14:paraId="55107AC2">
      <w:pPr>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u w:val="single"/>
        </w:rPr>
      </w:pPr>
      <w:r>
        <w:rPr>
          <w:rFonts w:hint="eastAsia" w:asciiTheme="minorEastAsia" w:hAnsiTheme="minorEastAsia" w:eastAsiaTheme="minorEastAsia" w:cstheme="minorEastAsia"/>
          <w:b/>
          <w:bCs/>
          <w:snapToGrid w:val="0"/>
          <w:color w:val="auto"/>
          <w:kern w:val="0"/>
          <w:szCs w:val="24"/>
          <w:highlight w:val="none"/>
          <w:u w:val="single"/>
        </w:rPr>
        <w:t>（注：上述招标内容具体详见初步设计及概算，</w:t>
      </w:r>
      <w:r>
        <w:rPr>
          <w:rFonts w:hint="eastAsia" w:asciiTheme="minorEastAsia" w:hAnsiTheme="minorEastAsia" w:eastAsiaTheme="minorEastAsia" w:cstheme="minorEastAsia"/>
          <w:b/>
          <w:bCs/>
          <w:color w:val="auto"/>
          <w:szCs w:val="24"/>
          <w:highlight w:val="none"/>
          <w:u w:val="single"/>
        </w:rPr>
        <w:t>同时招标人在实施过程中可根据实际情况对工程规模、任务内容等进行合理、适当调整。</w:t>
      </w:r>
      <w:r>
        <w:rPr>
          <w:rFonts w:hint="eastAsia" w:asciiTheme="minorEastAsia" w:hAnsiTheme="minorEastAsia" w:eastAsiaTheme="minorEastAsia" w:cstheme="minorEastAsia"/>
          <w:b/>
          <w:bCs/>
          <w:snapToGrid w:val="0"/>
          <w:color w:val="auto"/>
          <w:kern w:val="0"/>
          <w:szCs w:val="24"/>
          <w:highlight w:val="none"/>
          <w:u w:val="single"/>
        </w:rPr>
        <w:t>）</w:t>
      </w:r>
    </w:p>
    <w:p w14:paraId="5C230919">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5.10</w:t>
      </w:r>
      <w:r>
        <w:rPr>
          <w:rFonts w:hint="eastAsia" w:asciiTheme="minorEastAsia" w:hAnsiTheme="minorEastAsia" w:eastAsiaTheme="minorEastAsia" w:cstheme="minorEastAsia"/>
          <w:snapToGrid w:val="0"/>
          <w:color w:val="auto"/>
          <w:kern w:val="0"/>
          <w:szCs w:val="24"/>
          <w:highlight w:val="none"/>
        </w:rPr>
        <w:t>工程技术要求：本工程须严格以国家和广东省的有关施工技术规范及现行标准为依据</w:t>
      </w:r>
      <w:bookmarkStart w:id="75" w:name="_Hlt74496021"/>
      <w:bookmarkEnd w:id="75"/>
      <w:r>
        <w:rPr>
          <w:rFonts w:hint="eastAsia" w:asciiTheme="minorEastAsia" w:hAnsiTheme="minorEastAsia" w:eastAsiaTheme="minorEastAsia" w:cstheme="minorEastAsia"/>
          <w:snapToGrid w:val="0"/>
          <w:color w:val="auto"/>
          <w:kern w:val="0"/>
          <w:szCs w:val="24"/>
          <w:highlight w:val="none"/>
        </w:rPr>
        <w:t>，工程必须达到合格标准，如工程未达到合格标准，中标人则按合同价款的1%向招标人缴纳质量违约金，返修费用由中标人承担，同时，招标人有权就因此造成的损失向中标人索赔。招标人有权提请建设行政主管部门对其作不良行为记录，有权给予中标人履约评价为不合格，同时招标人有权拒绝中标人3年内参加招标人其它工程的投标。</w:t>
      </w:r>
    </w:p>
    <w:p w14:paraId="14096E8A">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5.11</w:t>
      </w:r>
      <w:r>
        <w:rPr>
          <w:rFonts w:hint="eastAsia" w:asciiTheme="minorEastAsia" w:hAnsiTheme="minorEastAsia" w:eastAsiaTheme="minorEastAsia" w:cstheme="minorEastAsia"/>
          <w:snapToGrid w:val="0"/>
          <w:color w:val="auto"/>
          <w:kern w:val="0"/>
          <w:szCs w:val="24"/>
          <w:highlight w:val="none"/>
        </w:rPr>
        <w:t xml:space="preserve"> 中标人在施工中如果工程质量不符合设计要求和有关规定，招标人或监理单位要求停工和返工的必须立即执行，并由中标人承担由此产生的各种费用，工期不予顺延。</w:t>
      </w:r>
    </w:p>
    <w:p w14:paraId="27DA6C31">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 xml:space="preserve">5.12 </w:t>
      </w:r>
      <w:r>
        <w:rPr>
          <w:rFonts w:hint="eastAsia" w:asciiTheme="minorEastAsia" w:hAnsiTheme="minorEastAsia" w:eastAsiaTheme="minorEastAsia" w:cstheme="minorEastAsia"/>
          <w:snapToGrid w:val="0"/>
          <w:color w:val="auto"/>
          <w:kern w:val="0"/>
          <w:szCs w:val="24"/>
          <w:highlight w:val="none"/>
        </w:rPr>
        <w:t>保修期限按中华人民共和国国务院令第279号文《建设工程质量管理条例》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14:paraId="674C4623">
      <w:pPr>
        <w:adjustRightInd w:val="0"/>
        <w:snapToGrid w:val="0"/>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snapToGrid w:val="0"/>
          <w:color w:val="auto"/>
          <w:kern w:val="0"/>
          <w:szCs w:val="24"/>
          <w:highlight w:val="none"/>
        </w:rPr>
        <w:t xml:space="preserve">5.13 </w:t>
      </w:r>
      <w:r>
        <w:rPr>
          <w:rFonts w:hint="eastAsia" w:asciiTheme="minorEastAsia" w:hAnsiTheme="minorEastAsia" w:eastAsiaTheme="minorEastAsia" w:cstheme="minorEastAsia"/>
          <w:snapToGrid w:val="0"/>
          <w:color w:val="auto"/>
          <w:kern w:val="0"/>
          <w:szCs w:val="24"/>
          <w:highlight w:val="none"/>
        </w:rPr>
        <w:t>工程使用的主要材料质量要求：不低于国家规范及强制标准所列的要求。主要材料必须先提供样板或相关资料给招标人、业主同意确定其规格、型号、颜色、等级等，</w:t>
      </w:r>
      <w:r>
        <w:rPr>
          <w:rFonts w:hint="eastAsia" w:asciiTheme="minorEastAsia" w:hAnsiTheme="minorEastAsia" w:eastAsiaTheme="minorEastAsia" w:cstheme="minorEastAsia"/>
          <w:snapToGrid w:val="0"/>
          <w:color w:val="auto"/>
          <w:kern w:val="0"/>
          <w:szCs w:val="24"/>
          <w:highlight w:val="none"/>
          <w:lang w:val="zh-CN"/>
        </w:rPr>
        <w:t>并经检测部门检测合格</w:t>
      </w:r>
      <w:r>
        <w:rPr>
          <w:rFonts w:hint="eastAsia" w:asciiTheme="minorEastAsia" w:hAnsiTheme="minorEastAsia" w:eastAsiaTheme="minorEastAsia" w:cstheme="minorEastAsia"/>
          <w:snapToGrid w:val="0"/>
          <w:color w:val="auto"/>
          <w:kern w:val="0"/>
          <w:szCs w:val="24"/>
          <w:highlight w:val="none"/>
        </w:rPr>
        <w:t>方可使用，所有材料必须使用合格产品。</w:t>
      </w:r>
      <w:bookmarkStart w:id="76" w:name="_Hlt69699204"/>
      <w:bookmarkEnd w:id="76"/>
      <w:bookmarkStart w:id="77" w:name="_Hlt69356505"/>
      <w:bookmarkEnd w:id="77"/>
      <w:bookmarkStart w:id="78" w:name="_Hlt88974078"/>
      <w:bookmarkEnd w:id="78"/>
      <w:bookmarkStart w:id="79" w:name="_Hlt111690342"/>
      <w:bookmarkEnd w:id="79"/>
      <w:bookmarkStart w:id="80" w:name="_Hlt121563076"/>
      <w:bookmarkEnd w:id="80"/>
      <w:bookmarkStart w:id="81" w:name="_Hlt74493474"/>
      <w:bookmarkEnd w:id="81"/>
      <w:bookmarkStart w:id="82" w:name="_Hlt120502666"/>
      <w:bookmarkEnd w:id="82"/>
      <w:bookmarkStart w:id="83" w:name="_Hlt74496537"/>
      <w:bookmarkEnd w:id="83"/>
    </w:p>
    <w:p w14:paraId="57DC44F7">
      <w:pPr>
        <w:pStyle w:val="36"/>
        <w:keepNext/>
        <w:keepLines/>
        <w:ind w:firstLine="480"/>
        <w:jc w:val="both"/>
        <w:rPr>
          <w:rFonts w:hint="eastAsia" w:asciiTheme="minorEastAsia" w:hAnsiTheme="minorEastAsia" w:eastAsiaTheme="minorEastAsia" w:cstheme="minorEastAsia"/>
          <w:b/>
          <w:color w:val="auto"/>
          <w:kern w:val="2"/>
          <w:highlight w:val="none"/>
        </w:rPr>
      </w:pPr>
      <w:bookmarkStart w:id="84" w:name="_Toc20827"/>
      <w:bookmarkStart w:id="85" w:name="_Toc19911"/>
      <w:bookmarkStart w:id="86" w:name="_Toc10812"/>
      <w:bookmarkStart w:id="87" w:name="_Toc16432"/>
      <w:bookmarkStart w:id="88" w:name="_Toc17958"/>
      <w:bookmarkStart w:id="89" w:name="_Toc462"/>
      <w:bookmarkStart w:id="90" w:name="_Toc24793"/>
      <w:bookmarkStart w:id="91" w:name="_Toc12891"/>
      <w:bookmarkStart w:id="92" w:name="_Toc3193"/>
      <w:r>
        <w:rPr>
          <w:rFonts w:hint="eastAsia" w:asciiTheme="minorEastAsia" w:hAnsiTheme="minorEastAsia" w:eastAsiaTheme="minorEastAsia" w:cstheme="minorEastAsia"/>
          <w:b/>
          <w:color w:val="auto"/>
          <w:kern w:val="2"/>
          <w:highlight w:val="none"/>
        </w:rPr>
        <w:t>6 、招标工程施工条件及现场踏勘</w:t>
      </w:r>
      <w:bookmarkEnd w:id="84"/>
      <w:bookmarkEnd w:id="85"/>
      <w:bookmarkEnd w:id="86"/>
      <w:bookmarkEnd w:id="87"/>
      <w:bookmarkEnd w:id="88"/>
      <w:bookmarkEnd w:id="89"/>
      <w:bookmarkEnd w:id="90"/>
      <w:bookmarkEnd w:id="91"/>
      <w:bookmarkEnd w:id="92"/>
    </w:p>
    <w:p w14:paraId="202351E2">
      <w:pPr>
        <w:pStyle w:val="43"/>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6.1本工程招标人仅在征地红线范围内提供场地，其他一切场地费用由中标人自行负责（含临时道路）。</w:t>
      </w:r>
    </w:p>
    <w:p w14:paraId="18F9D350">
      <w:pPr>
        <w:wordWrap w:val="0"/>
        <w:adjustRightInd w:val="0"/>
        <w:snapToGrid w:val="0"/>
        <w:spacing w:line="360" w:lineRule="auto"/>
        <w:ind w:firstLine="360" w:firstLineChars="15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color w:val="auto"/>
          <w:highlight w:val="none"/>
        </w:rPr>
        <w:t xml:space="preserve"> 6.2 </w:t>
      </w:r>
      <w:r>
        <w:rPr>
          <w:rFonts w:hint="eastAsia" w:asciiTheme="minorEastAsia" w:hAnsiTheme="minorEastAsia" w:eastAsiaTheme="minorEastAsia" w:cstheme="minorEastAsia"/>
          <w:color w:val="auto"/>
          <w:szCs w:val="24"/>
          <w:highlight w:val="none"/>
        </w:rPr>
        <w:t>施工用水：</w:t>
      </w:r>
      <w:r>
        <w:rPr>
          <w:rFonts w:hint="eastAsia" w:asciiTheme="minorEastAsia" w:hAnsiTheme="minorEastAsia" w:eastAsiaTheme="minorEastAsia" w:cstheme="minorEastAsia"/>
          <w:color w:val="auto"/>
          <w:szCs w:val="24"/>
          <w:highlight w:val="none"/>
          <w:u w:val="single"/>
        </w:rPr>
        <w:t>招标人协调，</w:t>
      </w:r>
      <w:r>
        <w:rPr>
          <w:rFonts w:hint="eastAsia" w:asciiTheme="minorEastAsia" w:hAnsiTheme="minorEastAsia" w:eastAsiaTheme="minorEastAsia" w:cstheme="minorEastAsia"/>
          <w:snapToGrid w:val="0"/>
          <w:color w:val="auto"/>
          <w:kern w:val="0"/>
          <w:szCs w:val="24"/>
          <w:highlight w:val="none"/>
          <w:u w:val="single"/>
        </w:rPr>
        <w:t>施工用水及水源由中标人自行解决，费用含在投标报价中，不另计</w:t>
      </w:r>
      <w:r>
        <w:rPr>
          <w:rFonts w:hint="eastAsia" w:asciiTheme="minorEastAsia" w:hAnsiTheme="minorEastAsia" w:eastAsiaTheme="minorEastAsia" w:cstheme="minorEastAsia"/>
          <w:color w:val="auto"/>
          <w:kern w:val="0"/>
          <w:szCs w:val="24"/>
          <w:highlight w:val="none"/>
          <w:u w:val="single"/>
        </w:rPr>
        <w:t>。</w:t>
      </w:r>
    </w:p>
    <w:p w14:paraId="6CA5EC5F">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color w:val="auto"/>
          <w:highlight w:val="none"/>
        </w:rPr>
        <w:t xml:space="preserve">6.3 </w:t>
      </w:r>
      <w:r>
        <w:rPr>
          <w:rFonts w:hint="eastAsia" w:asciiTheme="minorEastAsia" w:hAnsiTheme="minorEastAsia" w:eastAsiaTheme="minorEastAsia" w:cstheme="minorEastAsia"/>
          <w:color w:val="auto"/>
          <w:szCs w:val="24"/>
          <w:highlight w:val="none"/>
        </w:rPr>
        <w:t>施工用电：</w:t>
      </w:r>
      <w:r>
        <w:rPr>
          <w:rFonts w:hint="eastAsia" w:asciiTheme="minorEastAsia" w:hAnsiTheme="minorEastAsia" w:eastAsiaTheme="minorEastAsia" w:cstheme="minorEastAsia"/>
          <w:color w:val="auto"/>
          <w:szCs w:val="24"/>
          <w:highlight w:val="none"/>
          <w:u w:val="single"/>
        </w:rPr>
        <w:t>招标人协调，</w:t>
      </w:r>
      <w:r>
        <w:rPr>
          <w:rFonts w:hint="eastAsia" w:asciiTheme="minorEastAsia" w:hAnsiTheme="minorEastAsia" w:eastAsiaTheme="minorEastAsia" w:cstheme="minorEastAsia"/>
          <w:snapToGrid w:val="0"/>
          <w:color w:val="auto"/>
          <w:kern w:val="0"/>
          <w:szCs w:val="24"/>
          <w:highlight w:val="none"/>
          <w:u w:val="single"/>
        </w:rPr>
        <w:t>施工用电及电源由中标人自行解决，费用含在投标报价中，不另计</w:t>
      </w:r>
      <w:r>
        <w:rPr>
          <w:rFonts w:hint="eastAsia" w:asciiTheme="minorEastAsia" w:hAnsiTheme="minorEastAsia" w:eastAsiaTheme="minorEastAsia" w:cstheme="minorEastAsia"/>
          <w:color w:val="auto"/>
          <w:kern w:val="0"/>
          <w:szCs w:val="24"/>
          <w:highlight w:val="none"/>
          <w:u w:val="single"/>
        </w:rPr>
        <w:t>。</w:t>
      </w:r>
    </w:p>
    <w:p w14:paraId="186C5294">
      <w:pPr>
        <w:pStyle w:val="3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6.4</w:t>
      </w:r>
      <w:r>
        <w:rPr>
          <w:rFonts w:hint="eastAsia" w:asciiTheme="minorEastAsia" w:hAnsiTheme="minorEastAsia" w:eastAsiaTheme="minorEastAsia" w:cstheme="minorEastAsia"/>
          <w:color w:val="auto"/>
          <w:szCs w:val="22"/>
          <w:highlight w:val="none"/>
        </w:rPr>
        <w:t>施工用水、用电由中标人负责报装并接入施工红线范围，</w:t>
      </w:r>
      <w:r>
        <w:rPr>
          <w:rFonts w:hint="eastAsia" w:asciiTheme="minorEastAsia" w:hAnsiTheme="minorEastAsia" w:eastAsiaTheme="minorEastAsia" w:cstheme="minorEastAsia"/>
          <w:color w:val="auto"/>
          <w:highlight w:val="none"/>
        </w:rPr>
        <w:t>并由中标人负责购置及安装满足施工所需的临时用电变压器、水表、电表，其水、电费按工程所在地</w:t>
      </w:r>
      <w:r>
        <w:rPr>
          <w:rFonts w:hint="eastAsia" w:asciiTheme="minorEastAsia" w:hAnsiTheme="minorEastAsia" w:eastAsiaTheme="minorEastAsia" w:cstheme="minorEastAsia"/>
          <w:color w:val="auto"/>
          <w:highlight w:val="none"/>
          <w:u w:val="single"/>
        </w:rPr>
        <w:t>南雄市</w:t>
      </w:r>
      <w:r>
        <w:rPr>
          <w:rFonts w:hint="eastAsia" w:asciiTheme="minorEastAsia" w:hAnsiTheme="minorEastAsia" w:eastAsiaTheme="minorEastAsia" w:cstheme="minorEastAsia"/>
          <w:color w:val="auto"/>
          <w:highlight w:val="none"/>
        </w:rPr>
        <w:t>基建工程水、电计费标准计算并由中标人缴纳，相关线路、管路费用及安装费用以及购置及安装临时用电变压器的费用由中标人自行承担。</w:t>
      </w:r>
    </w:p>
    <w:p w14:paraId="041B1D09">
      <w:pPr>
        <w:pStyle w:val="3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6.5招标人不集中现场踏勘，但会在招标文件及有关设计文件中明确告知招标工程的具体位置和周边环境，并在现场设置足以识别的标识或提供足以表明工程具体位置的文字或图片。投标人需要了解现场情况的，可自行进行现场踏勘。</w:t>
      </w:r>
    </w:p>
    <w:p w14:paraId="3ECEF1E1">
      <w:pPr>
        <w:pStyle w:val="3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6.6在现场踏勘过程中，投标人应确保自身安全，投标人如果发生人身伤亡、财物或其他损失，法律法规有规定的按有关规定处理，没有规定的由投标人自行负责。</w:t>
      </w:r>
    </w:p>
    <w:p w14:paraId="58859549">
      <w:pPr>
        <w:pStyle w:val="34"/>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6.7现场踏勘期间的交通、食宿由投标人自行安排，费用自理。</w:t>
      </w:r>
    </w:p>
    <w:p w14:paraId="7783B4E9">
      <w:pPr>
        <w:pStyle w:val="36"/>
        <w:keepNext/>
        <w:keepLines/>
        <w:ind w:firstLine="480"/>
        <w:jc w:val="both"/>
        <w:rPr>
          <w:rFonts w:hint="eastAsia" w:asciiTheme="minorEastAsia" w:hAnsiTheme="minorEastAsia" w:eastAsiaTheme="minorEastAsia" w:cstheme="minorEastAsia"/>
          <w:b/>
          <w:bCs/>
          <w:color w:val="auto"/>
          <w:sz w:val="28"/>
          <w:szCs w:val="28"/>
          <w:highlight w:val="none"/>
        </w:rPr>
      </w:pPr>
      <w:bookmarkStart w:id="93" w:name="_Toc5795"/>
      <w:bookmarkStart w:id="94" w:name="_Toc25942"/>
      <w:bookmarkStart w:id="95" w:name="_Toc27595"/>
      <w:bookmarkStart w:id="96" w:name="_Toc17548"/>
      <w:bookmarkStart w:id="97" w:name="_Toc31460"/>
      <w:bookmarkStart w:id="98" w:name="_Toc23962"/>
      <w:bookmarkStart w:id="99" w:name="_Toc22484"/>
      <w:bookmarkStart w:id="100" w:name="_Toc8518"/>
      <w:bookmarkStart w:id="101" w:name="_Toc3294"/>
      <w:r>
        <w:rPr>
          <w:rFonts w:hint="eastAsia" w:asciiTheme="minorEastAsia" w:hAnsiTheme="minorEastAsia" w:eastAsiaTheme="minorEastAsia" w:cstheme="minorEastAsia"/>
          <w:b/>
          <w:color w:val="auto"/>
          <w:kern w:val="2"/>
          <w:highlight w:val="none"/>
        </w:rPr>
        <w:t xml:space="preserve">7 </w:t>
      </w:r>
      <w:bookmarkStart w:id="102" w:name="_Toc488220856"/>
      <w:bookmarkStart w:id="103" w:name="_Toc371968705"/>
      <w:r>
        <w:rPr>
          <w:rFonts w:hint="eastAsia" w:asciiTheme="minorEastAsia" w:hAnsiTheme="minorEastAsia" w:eastAsiaTheme="minorEastAsia" w:cstheme="minorEastAsia"/>
          <w:b/>
          <w:color w:val="auto"/>
          <w:kern w:val="2"/>
          <w:highlight w:val="none"/>
        </w:rPr>
        <w:t>、其他招标说明</w:t>
      </w:r>
      <w:bookmarkEnd w:id="93"/>
      <w:bookmarkEnd w:id="94"/>
      <w:bookmarkEnd w:id="95"/>
      <w:bookmarkEnd w:id="96"/>
      <w:bookmarkEnd w:id="97"/>
      <w:bookmarkEnd w:id="98"/>
      <w:bookmarkEnd w:id="99"/>
      <w:bookmarkEnd w:id="100"/>
      <w:bookmarkEnd w:id="101"/>
      <w:bookmarkEnd w:id="102"/>
    </w:p>
    <w:bookmarkEnd w:id="103"/>
    <w:p w14:paraId="4BF44DE2">
      <w:pPr>
        <w:wordWrap w:val="0"/>
        <w:autoSpaceDE/>
        <w:autoSpaceDN/>
        <w:snapToGrid w:val="0"/>
        <w:spacing w:line="440" w:lineRule="exact"/>
        <w:ind w:firstLine="480"/>
        <w:jc w:val="both"/>
        <w:outlineLvl w:val="9"/>
        <w:rPr>
          <w:rFonts w:hint="eastAsia" w:asciiTheme="minorEastAsia" w:hAnsiTheme="minorEastAsia" w:eastAsiaTheme="minorEastAsia" w:cstheme="minorEastAsia"/>
          <w:b/>
          <w:snapToGrid w:val="0"/>
          <w:color w:val="auto"/>
          <w:szCs w:val="24"/>
          <w:highlight w:val="none"/>
        </w:rPr>
      </w:pPr>
      <w:bookmarkStart w:id="104" w:name="_Toc28014"/>
      <w:bookmarkStart w:id="105" w:name="_Toc10210"/>
      <w:r>
        <w:rPr>
          <w:rFonts w:hint="eastAsia" w:asciiTheme="minorEastAsia" w:hAnsiTheme="minorEastAsia" w:eastAsiaTheme="minorEastAsia" w:cstheme="minorEastAsia"/>
          <w:b/>
          <w:snapToGrid w:val="0"/>
          <w:color w:val="auto"/>
          <w:szCs w:val="24"/>
          <w:highlight w:val="none"/>
        </w:rPr>
        <w:t>7.1．</w:t>
      </w:r>
      <w:r>
        <w:rPr>
          <w:rStyle w:val="23"/>
          <w:rFonts w:hint="eastAsia" w:asciiTheme="minorEastAsia" w:hAnsiTheme="minorEastAsia" w:eastAsiaTheme="minorEastAsia" w:cstheme="minorEastAsia"/>
          <w:color w:val="auto"/>
          <w:szCs w:val="24"/>
          <w:highlight w:val="none"/>
          <w:shd w:val="clear" w:color="auto" w:fill="FFFFFF"/>
        </w:rPr>
        <w:t>获取招标文件</w:t>
      </w:r>
      <w:bookmarkEnd w:id="104"/>
      <w:bookmarkEnd w:id="105"/>
    </w:p>
    <w:p w14:paraId="3D4685FA">
      <w:pPr>
        <w:pStyle w:val="20"/>
        <w:widowControl w:val="0"/>
        <w:wordWrap w:val="0"/>
        <w:adjustRightInd w:val="0"/>
        <w:snapToGrid w:val="0"/>
        <w:spacing w:beforeAutospacing="0" w:afterAutospacing="0" w:line="440" w:lineRule="exact"/>
        <w:ind w:firstLine="482"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b/>
          <w:bCs/>
          <w:snapToGrid w:val="0"/>
          <w:color w:val="auto"/>
          <w:highlight w:val="none"/>
        </w:rPr>
        <w:t>7.1.1</w:t>
      </w:r>
      <w:r>
        <w:rPr>
          <w:rFonts w:hint="eastAsia" w:asciiTheme="minorEastAsia" w:hAnsiTheme="minorEastAsia" w:eastAsiaTheme="minorEastAsia" w:cstheme="minorEastAsia"/>
          <w:snapToGrid w:val="0"/>
          <w:color w:val="auto"/>
          <w:highlight w:val="none"/>
        </w:rPr>
        <w:t>本次招标实行电子投标。</w:t>
      </w:r>
      <w:r>
        <w:rPr>
          <w:rFonts w:hint="eastAsia" w:asciiTheme="minorEastAsia" w:hAnsiTheme="minorEastAsia" w:eastAsiaTheme="minorEastAsia" w:cstheme="minorEastAsia"/>
          <w:color w:val="auto"/>
          <w:highlight w:val="none"/>
          <w:shd w:val="clear" w:color="auto" w:fill="FFFFFF"/>
        </w:rPr>
        <w:t>本项目招标文件随招标公告一并在</w:t>
      </w:r>
      <w:r>
        <w:rPr>
          <w:rFonts w:hint="eastAsia" w:asciiTheme="minorEastAsia" w:hAnsiTheme="minorEastAsia" w:eastAsiaTheme="minorEastAsia" w:cstheme="minorEastAsia"/>
          <w:bCs/>
          <w:snapToGrid w:val="0"/>
          <w:color w:val="auto"/>
          <w:highlight w:val="none"/>
        </w:rPr>
        <w:t>广东省招标投标监管网(https://www.gdzwfw.gov.cn/ztbjg-portal/#/index)、</w:t>
      </w:r>
      <w:r>
        <w:rPr>
          <w:rFonts w:hint="eastAsia" w:asciiTheme="minorEastAsia" w:hAnsiTheme="minorEastAsia" w:eastAsiaTheme="minorEastAsia" w:cstheme="minorEastAsia"/>
          <w:color w:val="auto"/>
          <w:highlight w:val="none"/>
          <w:shd w:val="clear" w:color="auto" w:fill="FFFFFF"/>
        </w:rPr>
        <w:t>全国公共资源交易平台（广东省·韶关市）（https://ygp.gdzwfw.gov.cn/ggzy-portal/#/440200/index）网站发布。招标文件一经在交易平台发布，视为发送投标人，招标文件及相关附件由投标人自行在交易平台网站下载。招标文件获取</w:t>
      </w:r>
      <w:r>
        <w:rPr>
          <w:rFonts w:hint="eastAsia" w:asciiTheme="minorEastAsia" w:hAnsiTheme="minorEastAsia" w:eastAsiaTheme="minorEastAsia" w:cstheme="minorEastAsia"/>
          <w:snapToGrid w:val="0"/>
          <w:color w:val="auto"/>
          <w:highlight w:val="none"/>
        </w:rPr>
        <w:t>期间</w:t>
      </w:r>
      <w:r>
        <w:rPr>
          <w:rFonts w:hint="eastAsia" w:asciiTheme="minorEastAsia" w:hAnsiTheme="minorEastAsia" w:eastAsiaTheme="minorEastAsia" w:cstheme="minorEastAsia"/>
          <w:color w:val="auto"/>
          <w:highlight w:val="none"/>
          <w:shd w:val="clear" w:color="auto" w:fill="FFFFFF"/>
        </w:rPr>
        <w:t>（</w:t>
      </w:r>
      <w:r>
        <w:rPr>
          <w:rFonts w:hint="eastAsia" w:asciiTheme="minorEastAsia" w:hAnsiTheme="minorEastAsia" w:eastAsiaTheme="minorEastAsia" w:cstheme="minorEastAsia"/>
          <w:snapToGrid w:val="0"/>
          <w:color w:val="auto"/>
          <w:highlight w:val="none"/>
        </w:rPr>
        <w:t>见本章第二节“重要事项时间地点一览表”，招标文件获取期间与招标公告发布时间一致</w:t>
      </w:r>
      <w:r>
        <w:rPr>
          <w:rFonts w:hint="eastAsia" w:asciiTheme="minorEastAsia" w:hAnsiTheme="minorEastAsia" w:eastAsiaTheme="minorEastAsia" w:cstheme="minorEastAsia"/>
          <w:color w:val="auto"/>
          <w:highlight w:val="none"/>
          <w:shd w:val="clear" w:color="auto" w:fill="FFFFFF"/>
        </w:rPr>
        <w:t>），投标人须登录全国公共资源交易平台（广东省·韶关市）（https://ygp.gdzwfw.gov.cn/ggzy-portal/#/440200/index）</w:t>
      </w:r>
      <w:r>
        <w:rPr>
          <w:rFonts w:hint="eastAsia" w:asciiTheme="minorEastAsia" w:hAnsiTheme="minorEastAsia" w:eastAsiaTheme="minorEastAsia" w:cstheme="minorEastAsia"/>
          <w:snapToGrid w:val="0"/>
          <w:color w:val="auto"/>
          <w:highlight w:val="none"/>
        </w:rPr>
        <w:t>下载</w:t>
      </w:r>
      <w:r>
        <w:rPr>
          <w:rFonts w:hint="eastAsia" w:asciiTheme="minorEastAsia" w:hAnsiTheme="minorEastAsia" w:eastAsiaTheme="minorEastAsia" w:cstheme="minorEastAsia"/>
          <w:color w:val="auto"/>
          <w:highlight w:val="none"/>
          <w:shd w:val="clear" w:color="auto" w:fill="FFFFFF"/>
        </w:rPr>
        <w:t>招标文件及相关附件，并于电子投标截止时间（</w:t>
      </w:r>
      <w:r>
        <w:rPr>
          <w:rFonts w:hint="eastAsia" w:asciiTheme="minorEastAsia" w:hAnsiTheme="minorEastAsia" w:eastAsiaTheme="minorEastAsia" w:cstheme="minorEastAsia"/>
          <w:snapToGrid w:val="0"/>
          <w:color w:val="auto"/>
          <w:highlight w:val="none"/>
        </w:rPr>
        <w:t>见本章第二节“重要事项时间地点一览表”</w:t>
      </w:r>
      <w:r>
        <w:rPr>
          <w:rFonts w:hint="eastAsia" w:asciiTheme="minorEastAsia" w:hAnsiTheme="minorEastAsia" w:eastAsiaTheme="minorEastAsia" w:cstheme="minorEastAsia"/>
          <w:color w:val="auto"/>
          <w:highlight w:val="none"/>
          <w:shd w:val="clear" w:color="auto" w:fill="FFFFFF"/>
        </w:rPr>
        <w:t>）前完成电子投标。投标人可登录全国公共资源交易平台（广东省·韶关市）（https://ygp.gdzwfw.gov.cn/ggzy-portal/#/440200/index），在【服务指南】栏目中下载《韶关市公共资源建设工程交易系统-投标人操作指南（电子评标）》，了解网上获取招标文件操作流程。技术咨询电话：18819797080/0751-8379671 伍先生，业务咨询电话：0751-8633211、8633071。</w:t>
      </w:r>
    </w:p>
    <w:p w14:paraId="33202C70">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b/>
          <w:bCs/>
          <w:snapToGrid w:val="0"/>
          <w:color w:val="auto"/>
          <w:kern w:val="0"/>
          <w:sz w:val="24"/>
          <w:highlight w:val="none"/>
        </w:rPr>
        <w:t xml:space="preserve">7.1.2 </w:t>
      </w:r>
      <w:r>
        <w:rPr>
          <w:rFonts w:hint="eastAsia" w:asciiTheme="minorEastAsia" w:hAnsiTheme="minorEastAsia" w:eastAsiaTheme="minorEastAsia" w:cstheme="minorEastAsia"/>
          <w:color w:val="auto"/>
          <w:sz w:val="24"/>
          <w:highlight w:val="none"/>
          <w:shd w:val="clear" w:color="auto" w:fill="FFFFFF"/>
        </w:rPr>
        <w:t>只有申领了数字证书（CA）、“粤企签”或GDCA/SZCA/NETCA等符合法律法规规定的电子印章，并在交易平台中完成企业信息数据入库的投标人，方可在交易平台获取招标文件和电子投标。</w:t>
      </w:r>
    </w:p>
    <w:p w14:paraId="5BA934A2">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453E0B96">
      <w:pPr>
        <w:pStyle w:val="37"/>
        <w:wordWrap w:val="0"/>
        <w:adjustRightInd w:val="0"/>
        <w:snapToGrid w:val="0"/>
        <w:spacing w:line="440" w:lineRule="exact"/>
        <w:ind w:firstLine="48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sz w:val="24"/>
          <w:highlight w:val="none"/>
          <w:shd w:val="clear" w:color="auto" w:fill="FFFFFF"/>
        </w:rPr>
        <w:t>已入库企业有关信息（如单位名称、基本账号、资质、人员等）发生变化的，须及时在交易平台进行相应变更。投标人未及时变更信息而造成的损失和后果，由投标人自行承担。</w:t>
      </w:r>
    </w:p>
    <w:p w14:paraId="6AF10B15">
      <w:pPr>
        <w:tabs>
          <w:tab w:val="left" w:pos="7020"/>
        </w:tabs>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shd w:val="clear" w:color="auto" w:fill="FFFFFF"/>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rFonts w:hint="eastAsia" w:asciiTheme="minorEastAsia" w:hAnsiTheme="minorEastAsia" w:eastAsiaTheme="minorEastAsia" w:cstheme="minorEastAsia"/>
          <w:snapToGrid w:val="0"/>
          <w:color w:val="auto"/>
          <w:szCs w:val="24"/>
          <w:highlight w:val="none"/>
        </w:rPr>
        <w:t>。</w:t>
      </w:r>
    </w:p>
    <w:p w14:paraId="1A018E2D">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2"/>
          <w:highlight w:val="none"/>
        </w:rPr>
        <w:t>7.2</w:t>
      </w:r>
      <w:r>
        <w:rPr>
          <w:rFonts w:hint="eastAsia" w:asciiTheme="minorEastAsia" w:hAnsiTheme="minorEastAsia" w:eastAsiaTheme="minorEastAsia" w:cstheme="minorEastAsia"/>
          <w:color w:val="auto"/>
          <w:highlight w:val="none"/>
        </w:rPr>
        <w:t>招标人（或招标代理机构）对投标人的失误不负任何责任，投标人应指定一名投标事务负责人（即授权委托人），专门负责跟踪、签收、阅读和理解招标文件及随后收到的有关资料，向招标人（或招标代理机构）发出疑问，检查投标文件，协助有关人员尽力克服各种投标失误。投标事务负责人（即授权委托人）如有更换，投标人应及时向招标人（或招标代理机构）提交授权委托书。</w:t>
      </w:r>
    </w:p>
    <w:p w14:paraId="2C8B60F2">
      <w:pPr>
        <w:spacing w:line="360"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 xml:space="preserve">7.3 </w:t>
      </w:r>
      <w:r>
        <w:rPr>
          <w:rFonts w:hint="eastAsia" w:asciiTheme="minorEastAsia" w:hAnsiTheme="minorEastAsia" w:eastAsiaTheme="minorEastAsia" w:cstheme="minorEastAsia"/>
          <w:b/>
          <w:bCs/>
          <w:color w:val="auto"/>
          <w:highlight w:val="none"/>
        </w:rPr>
        <w:t>纪律与保密要求：</w:t>
      </w:r>
    </w:p>
    <w:p w14:paraId="62D2B206">
      <w:pPr>
        <w:spacing w:line="360" w:lineRule="auto"/>
        <w:ind w:firstLine="49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7.3.1</w:t>
      </w:r>
      <w:r>
        <w:rPr>
          <w:rFonts w:hint="eastAsia" w:asciiTheme="minorEastAsia" w:hAnsiTheme="minorEastAsia" w:eastAsiaTheme="minorEastAsia" w:cstheme="minorEastAsia"/>
          <w:b/>
          <w:color w:val="auto"/>
          <w:szCs w:val="24"/>
          <w:highlight w:val="none"/>
        </w:rPr>
        <w:t>对招标人的纪律要求</w:t>
      </w:r>
      <w:r>
        <w:rPr>
          <w:rFonts w:hint="eastAsia" w:asciiTheme="minorEastAsia" w:hAnsiTheme="minorEastAsia" w:eastAsiaTheme="minorEastAsia" w:cstheme="minorEastAsia"/>
          <w:color w:val="auto"/>
          <w:szCs w:val="24"/>
          <w:highlight w:val="none"/>
        </w:rPr>
        <w:t>：招标人不得泄露招标投标活动中应当保密的情况和资料，不得与投标人串通损害国家利益、社会公共利益或者他人合法权益。</w:t>
      </w:r>
    </w:p>
    <w:p w14:paraId="27E26F65">
      <w:pPr>
        <w:spacing w:line="360" w:lineRule="auto"/>
        <w:ind w:firstLine="49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7.3.2 </w:t>
      </w:r>
      <w:r>
        <w:rPr>
          <w:rFonts w:hint="eastAsia" w:asciiTheme="minorEastAsia" w:hAnsiTheme="minorEastAsia" w:eastAsiaTheme="minorEastAsia" w:cstheme="minorEastAsia"/>
          <w:b/>
          <w:color w:val="auto"/>
          <w:szCs w:val="24"/>
          <w:highlight w:val="none"/>
        </w:rPr>
        <w:t>对投标人的纪律要求</w:t>
      </w:r>
      <w:r>
        <w:rPr>
          <w:rFonts w:hint="eastAsia" w:asciiTheme="minorEastAsia" w:hAnsiTheme="minorEastAsia" w:eastAsiaTheme="minorEastAsia" w:cstheme="minorEastAsia"/>
          <w:color w:val="auto"/>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B2A5082">
      <w:pPr>
        <w:spacing w:line="360" w:lineRule="auto"/>
        <w:ind w:firstLine="49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7.3.3 </w:t>
      </w:r>
      <w:r>
        <w:rPr>
          <w:rFonts w:hint="eastAsia" w:asciiTheme="minorEastAsia" w:hAnsiTheme="minorEastAsia" w:eastAsiaTheme="minorEastAsia" w:cstheme="minorEastAsia"/>
          <w:color w:val="auto"/>
          <w:spacing w:val="8"/>
          <w:szCs w:val="24"/>
          <w:highlight w:val="none"/>
        </w:rPr>
        <w:t>参与招</w:t>
      </w:r>
      <w:r>
        <w:rPr>
          <w:rFonts w:hint="eastAsia" w:asciiTheme="minorEastAsia" w:hAnsiTheme="minorEastAsia" w:eastAsiaTheme="minorEastAsia" w:cstheme="minorEastAsia"/>
          <w:color w:val="auto"/>
          <w:szCs w:val="24"/>
          <w:highlight w:val="none"/>
        </w:rPr>
        <w:t>标</w:t>
      </w:r>
      <w:r>
        <w:rPr>
          <w:rFonts w:hint="eastAsia" w:asciiTheme="minorEastAsia" w:hAnsiTheme="minorEastAsia" w:eastAsiaTheme="minorEastAsia" w:cstheme="minorEastAsia"/>
          <w:color w:val="auto"/>
          <w:spacing w:val="8"/>
          <w:szCs w:val="24"/>
          <w:highlight w:val="none"/>
        </w:rPr>
        <w:t>投标活</w:t>
      </w:r>
      <w:r>
        <w:rPr>
          <w:rFonts w:hint="eastAsia" w:asciiTheme="minorEastAsia" w:hAnsiTheme="minorEastAsia" w:eastAsiaTheme="minorEastAsia" w:cstheme="minorEastAsia"/>
          <w:color w:val="auto"/>
          <w:szCs w:val="24"/>
          <w:highlight w:val="none"/>
        </w:rPr>
        <w:t>动</w:t>
      </w:r>
      <w:r>
        <w:rPr>
          <w:rFonts w:hint="eastAsia" w:asciiTheme="minorEastAsia" w:hAnsiTheme="minorEastAsia" w:eastAsiaTheme="minorEastAsia" w:cstheme="minorEastAsia"/>
          <w:color w:val="auto"/>
          <w:spacing w:val="8"/>
          <w:szCs w:val="24"/>
          <w:highlight w:val="none"/>
        </w:rPr>
        <w:t>的各方</w:t>
      </w:r>
      <w:r>
        <w:rPr>
          <w:rFonts w:hint="eastAsia" w:asciiTheme="minorEastAsia" w:hAnsiTheme="minorEastAsia" w:eastAsiaTheme="minorEastAsia" w:cstheme="minorEastAsia"/>
          <w:color w:val="auto"/>
          <w:szCs w:val="24"/>
          <w:highlight w:val="none"/>
        </w:rPr>
        <w:t>应</w:t>
      </w:r>
      <w:r>
        <w:rPr>
          <w:rFonts w:hint="eastAsia" w:asciiTheme="minorEastAsia" w:hAnsiTheme="minorEastAsia" w:eastAsiaTheme="minorEastAsia" w:cstheme="minorEastAsia"/>
          <w:color w:val="auto"/>
          <w:spacing w:val="8"/>
          <w:szCs w:val="24"/>
          <w:highlight w:val="none"/>
        </w:rPr>
        <w:t>对招标</w:t>
      </w:r>
      <w:r>
        <w:rPr>
          <w:rFonts w:hint="eastAsia" w:asciiTheme="minorEastAsia" w:hAnsiTheme="minorEastAsia" w:eastAsiaTheme="minorEastAsia" w:cstheme="minorEastAsia"/>
          <w:color w:val="auto"/>
          <w:szCs w:val="24"/>
          <w:highlight w:val="none"/>
        </w:rPr>
        <w:t>文</w:t>
      </w:r>
      <w:r>
        <w:rPr>
          <w:rFonts w:hint="eastAsia" w:asciiTheme="minorEastAsia" w:hAnsiTheme="minorEastAsia" w:eastAsiaTheme="minorEastAsia" w:cstheme="minorEastAsia"/>
          <w:color w:val="auto"/>
          <w:spacing w:val="8"/>
          <w:szCs w:val="24"/>
          <w:highlight w:val="none"/>
        </w:rPr>
        <w:t>件和投</w:t>
      </w:r>
      <w:r>
        <w:rPr>
          <w:rFonts w:hint="eastAsia" w:asciiTheme="minorEastAsia" w:hAnsiTheme="minorEastAsia" w:eastAsiaTheme="minorEastAsia" w:cstheme="minorEastAsia"/>
          <w:color w:val="auto"/>
          <w:szCs w:val="24"/>
          <w:highlight w:val="none"/>
        </w:rPr>
        <w:t>标</w:t>
      </w:r>
      <w:r>
        <w:rPr>
          <w:rFonts w:hint="eastAsia" w:asciiTheme="minorEastAsia" w:hAnsiTheme="minorEastAsia" w:eastAsiaTheme="minorEastAsia" w:cstheme="minorEastAsia"/>
          <w:color w:val="auto"/>
          <w:spacing w:val="8"/>
          <w:szCs w:val="24"/>
          <w:highlight w:val="none"/>
        </w:rPr>
        <w:t>文件中</w:t>
      </w:r>
      <w:r>
        <w:rPr>
          <w:rFonts w:hint="eastAsia" w:asciiTheme="minorEastAsia" w:hAnsiTheme="minorEastAsia" w:eastAsiaTheme="minorEastAsia" w:cstheme="minorEastAsia"/>
          <w:color w:val="auto"/>
          <w:szCs w:val="24"/>
          <w:highlight w:val="none"/>
        </w:rPr>
        <w:t>的</w:t>
      </w:r>
      <w:r>
        <w:rPr>
          <w:rFonts w:hint="eastAsia" w:asciiTheme="minorEastAsia" w:hAnsiTheme="minorEastAsia" w:eastAsiaTheme="minorEastAsia" w:cstheme="minorEastAsia"/>
          <w:color w:val="auto"/>
          <w:spacing w:val="8"/>
          <w:szCs w:val="24"/>
          <w:highlight w:val="none"/>
        </w:rPr>
        <w:t>商业和</w:t>
      </w:r>
      <w:r>
        <w:rPr>
          <w:rFonts w:hint="eastAsia" w:asciiTheme="minorEastAsia" w:hAnsiTheme="minorEastAsia" w:eastAsiaTheme="minorEastAsia" w:cstheme="minorEastAsia"/>
          <w:color w:val="auto"/>
          <w:szCs w:val="24"/>
          <w:highlight w:val="none"/>
        </w:rPr>
        <w:t>技</w:t>
      </w:r>
      <w:r>
        <w:rPr>
          <w:rFonts w:hint="eastAsia" w:asciiTheme="minorEastAsia" w:hAnsiTheme="minorEastAsia" w:eastAsiaTheme="minorEastAsia" w:cstheme="minorEastAsia"/>
          <w:color w:val="auto"/>
          <w:spacing w:val="8"/>
          <w:szCs w:val="24"/>
          <w:highlight w:val="none"/>
        </w:rPr>
        <w:t>术等秘密</w:t>
      </w:r>
      <w:r>
        <w:rPr>
          <w:rFonts w:hint="eastAsia" w:asciiTheme="minorEastAsia" w:hAnsiTheme="minorEastAsia" w:eastAsiaTheme="minorEastAsia" w:cstheme="minorEastAsia"/>
          <w:color w:val="auto"/>
          <w:szCs w:val="24"/>
          <w:highlight w:val="none"/>
        </w:rPr>
        <w:t>保密，违者应对由此造成的后果承担法律责任。</w:t>
      </w:r>
      <w:bookmarkStart w:id="106" w:name="_Toc371968706"/>
    </w:p>
    <w:p w14:paraId="4E686C31">
      <w:pPr>
        <w:spacing w:line="360" w:lineRule="auto"/>
        <w:ind w:firstLine="480"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color w:val="auto"/>
          <w:szCs w:val="24"/>
          <w:highlight w:val="none"/>
        </w:rPr>
        <w:t>7.</w:t>
      </w:r>
      <w:bookmarkStart w:id="107" w:name="_Toc353462191"/>
      <w:bookmarkStart w:id="108" w:name="_Toc353462300"/>
      <w:bookmarkStart w:id="109" w:name="_Toc143766459"/>
      <w:r>
        <w:rPr>
          <w:rFonts w:hint="eastAsia" w:asciiTheme="minorEastAsia" w:hAnsiTheme="minorEastAsia" w:eastAsiaTheme="minorEastAsia" w:cstheme="minorEastAsia"/>
          <w:color w:val="auto"/>
          <w:szCs w:val="24"/>
          <w:highlight w:val="none"/>
        </w:rPr>
        <w:t xml:space="preserve">4 </w:t>
      </w:r>
      <w:r>
        <w:rPr>
          <w:rFonts w:hint="eastAsia" w:asciiTheme="minorEastAsia" w:hAnsiTheme="minorEastAsia" w:eastAsiaTheme="minorEastAsia" w:cstheme="minorEastAsia"/>
          <w:b/>
          <w:bCs/>
          <w:color w:val="auto"/>
          <w:szCs w:val="24"/>
          <w:highlight w:val="none"/>
        </w:rPr>
        <w:t>语言、计量及投标费用</w:t>
      </w:r>
      <w:bookmarkEnd w:id="106"/>
      <w:bookmarkEnd w:id="107"/>
      <w:bookmarkEnd w:id="108"/>
      <w:bookmarkEnd w:id="109"/>
      <w:r>
        <w:rPr>
          <w:rFonts w:hint="eastAsia" w:asciiTheme="minorEastAsia" w:hAnsiTheme="minorEastAsia" w:eastAsiaTheme="minorEastAsia" w:cstheme="minorEastAsia"/>
          <w:b/>
          <w:bCs/>
          <w:color w:val="auto"/>
          <w:szCs w:val="24"/>
          <w:highlight w:val="none"/>
        </w:rPr>
        <w:t>：</w:t>
      </w:r>
    </w:p>
    <w:p w14:paraId="182686D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7.4.1 除专用术语外</w:t>
      </w:r>
      <w:r>
        <w:rPr>
          <w:rFonts w:hint="eastAsia" w:asciiTheme="minorEastAsia" w:hAnsiTheme="minorEastAsia" w:eastAsiaTheme="minorEastAsia" w:cstheme="minorEastAsia"/>
          <w:color w:val="auto"/>
          <w:spacing w:val="-80"/>
          <w:szCs w:val="24"/>
          <w:highlight w:val="none"/>
        </w:rPr>
        <w:t>，</w:t>
      </w:r>
      <w:r>
        <w:rPr>
          <w:rFonts w:hint="eastAsia" w:asciiTheme="minorEastAsia" w:hAnsiTheme="minorEastAsia" w:eastAsiaTheme="minorEastAsia" w:cstheme="minorEastAsia"/>
          <w:color w:val="auto"/>
          <w:szCs w:val="24"/>
          <w:highlight w:val="none"/>
        </w:rPr>
        <w:t>与招标投标有关的语言均使用中文</w:t>
      </w:r>
      <w:r>
        <w:rPr>
          <w:rFonts w:hint="eastAsia" w:asciiTheme="minorEastAsia" w:hAnsiTheme="minorEastAsia" w:eastAsiaTheme="minorEastAsia" w:cstheme="minorEastAsia"/>
          <w:color w:val="auto"/>
          <w:spacing w:val="-80"/>
          <w:szCs w:val="24"/>
          <w:highlight w:val="none"/>
        </w:rPr>
        <w:t>。</w:t>
      </w:r>
    </w:p>
    <w:p w14:paraId="54CD046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7.4.2 所有计量均采用中华人民共和国法定计量单位。</w:t>
      </w:r>
    </w:p>
    <w:p w14:paraId="7AA57E9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7.4.3 招标文件、投标文件中所指的币种均为人民币。</w:t>
      </w:r>
    </w:p>
    <w:p w14:paraId="7058CECE">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7.4.4 投标人准备和参加投标活动发生的所有费用自理。</w:t>
      </w:r>
      <w:bookmarkStart w:id="110" w:name="_Toc371968707"/>
    </w:p>
    <w:p w14:paraId="435A2753">
      <w:pPr>
        <w:spacing w:line="360" w:lineRule="auto"/>
        <w:ind w:firstLine="480"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zCs w:val="24"/>
          <w:highlight w:val="none"/>
        </w:rPr>
        <w:t>7.5</w:t>
      </w:r>
      <w:r>
        <w:rPr>
          <w:rFonts w:hint="eastAsia" w:asciiTheme="minorEastAsia" w:hAnsiTheme="minorEastAsia" w:eastAsiaTheme="minorEastAsia" w:cstheme="minorEastAsia"/>
          <w:b/>
          <w:bCs/>
          <w:color w:val="auto"/>
          <w:highlight w:val="none"/>
        </w:rPr>
        <w:t>知识产权和专利权</w:t>
      </w:r>
      <w:bookmarkEnd w:id="110"/>
      <w:r>
        <w:rPr>
          <w:rFonts w:hint="eastAsia" w:asciiTheme="minorEastAsia" w:hAnsiTheme="minorEastAsia" w:eastAsiaTheme="minorEastAsia" w:cstheme="minorEastAsia"/>
          <w:b/>
          <w:bCs/>
          <w:color w:val="auto"/>
          <w:highlight w:val="none"/>
        </w:rPr>
        <w:t>：</w:t>
      </w:r>
    </w:p>
    <w:p w14:paraId="138F1BCB">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7.5.1 </w:t>
      </w:r>
      <w:r>
        <w:rPr>
          <w:rFonts w:hint="eastAsia" w:asciiTheme="minorEastAsia" w:hAnsiTheme="minorEastAsia" w:eastAsiaTheme="minorEastAsia" w:cstheme="minorEastAsia"/>
          <w:color w:val="auto"/>
          <w:highlight w:val="none"/>
        </w:rPr>
        <w:t>投标人保证投标文件及资料均未侵犯他人的知识产权，否则必须承担全部责任。若投标人使用了他人的专利、专有技术，涉及的费用由投标人负责。</w:t>
      </w:r>
      <w:r>
        <w:rPr>
          <w:rFonts w:hint="eastAsia" w:asciiTheme="minorEastAsia" w:hAnsiTheme="minorEastAsia" w:eastAsiaTheme="minorEastAsia" w:cstheme="minorEastAsia"/>
          <w:color w:val="auto"/>
          <w:szCs w:val="24"/>
          <w:highlight w:val="none"/>
        </w:rPr>
        <w:t>投标价应包括所有应支付的对专利权和版权、设计和其他知识产权而需要向其他方支付的版税。</w:t>
      </w:r>
    </w:p>
    <w:p w14:paraId="793FE2B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7.5.2 中标人应保证招标人在本项目建设过程中使用其设计文件和设计文件的任何一部分时，招标人免受第三方提出侵犯其专利权、商标权或其他知识产权的起诉。</w:t>
      </w:r>
    </w:p>
    <w:p w14:paraId="36C8EEB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7.5.3 中标人提交给招标人的设计文件，其著作权、版权、专利权和使用权归招标人所有（署名权除外）。</w:t>
      </w:r>
    </w:p>
    <w:p w14:paraId="7DBA5819">
      <w:pPr>
        <w:spacing w:line="360" w:lineRule="auto"/>
        <w:ind w:firstLine="480" w:firstLineChars="200"/>
        <w:rPr>
          <w:rFonts w:hint="eastAsia" w:asciiTheme="minorEastAsia" w:hAnsiTheme="minorEastAsia" w:eastAsiaTheme="minorEastAsia" w:cstheme="minorEastAsia"/>
          <w:color w:val="auto"/>
          <w:szCs w:val="24"/>
          <w:highlight w:val="none"/>
        </w:rPr>
      </w:pPr>
      <w:bookmarkStart w:id="111" w:name="_Toc371968708"/>
      <w:r>
        <w:rPr>
          <w:rFonts w:hint="eastAsia" w:asciiTheme="minorEastAsia" w:hAnsiTheme="minorEastAsia" w:eastAsiaTheme="minorEastAsia" w:cstheme="minorEastAsia"/>
          <w:color w:val="auto"/>
          <w:szCs w:val="24"/>
          <w:highlight w:val="none"/>
        </w:rPr>
        <w:t>7.</w:t>
      </w:r>
      <w:bookmarkEnd w:id="111"/>
      <w:r>
        <w:rPr>
          <w:rFonts w:hint="eastAsia" w:asciiTheme="minorEastAsia" w:hAnsiTheme="minorEastAsia" w:eastAsiaTheme="minorEastAsia" w:cstheme="minorEastAsia"/>
          <w:color w:val="auto"/>
          <w:szCs w:val="24"/>
          <w:highlight w:val="none"/>
        </w:rPr>
        <w:t>6 招标文件是招标人发出的要约邀请，投标人参加投标均视为承认招标公告、招标文件及附件的所有条款，并承诺一旦中标将按招标文件、投标文件、合同条款、技术规范要求的质量和进度完成全部委托任务。</w:t>
      </w:r>
    </w:p>
    <w:p w14:paraId="6741AE4D">
      <w:pPr>
        <w:pStyle w:val="36"/>
        <w:keepNext/>
        <w:keepLines/>
        <w:ind w:firstLine="480"/>
        <w:jc w:val="both"/>
        <w:rPr>
          <w:rFonts w:hint="eastAsia" w:asciiTheme="minorEastAsia" w:hAnsiTheme="minorEastAsia" w:eastAsiaTheme="minorEastAsia" w:cstheme="minorEastAsia"/>
          <w:b/>
          <w:color w:val="auto"/>
          <w:kern w:val="2"/>
          <w:highlight w:val="none"/>
        </w:rPr>
      </w:pPr>
      <w:bookmarkStart w:id="112" w:name="_Toc30148"/>
      <w:bookmarkStart w:id="113" w:name="_Toc20514"/>
      <w:r>
        <w:rPr>
          <w:rFonts w:hint="eastAsia" w:asciiTheme="minorEastAsia" w:hAnsiTheme="minorEastAsia" w:eastAsiaTheme="minorEastAsia" w:cstheme="minorEastAsia"/>
          <w:b/>
          <w:color w:val="auto"/>
          <w:kern w:val="2"/>
          <w:highlight w:val="none"/>
        </w:rPr>
        <w:t>8 、招标答疑</w:t>
      </w:r>
      <w:bookmarkEnd w:id="112"/>
      <w:bookmarkEnd w:id="113"/>
      <w:bookmarkStart w:id="114" w:name="_Hlt74496410"/>
      <w:bookmarkEnd w:id="114"/>
    </w:p>
    <w:p w14:paraId="259053D7">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8.1招标人不集中组织答疑，实行网上答疑。</w:t>
      </w:r>
      <w:r>
        <w:rPr>
          <w:rFonts w:hint="eastAsia" w:asciiTheme="minorEastAsia" w:hAnsiTheme="minorEastAsia" w:eastAsiaTheme="minorEastAsia" w:cstheme="minorEastAsia"/>
          <w:snapToGrid w:val="0"/>
          <w:color w:val="auto"/>
          <w:kern w:val="0"/>
          <w:highlight w:val="none"/>
        </w:rPr>
        <w:t>投标人若对招标文件有疑问</w:t>
      </w:r>
      <w:r>
        <w:rPr>
          <w:rFonts w:hint="eastAsia" w:asciiTheme="minorEastAsia" w:hAnsiTheme="minorEastAsia" w:eastAsiaTheme="minorEastAsia" w:cstheme="minorEastAsia"/>
          <w:color w:val="auto"/>
          <w:highlight w:val="none"/>
        </w:rPr>
        <w:t>应在提问截止时间（</w:t>
      </w:r>
      <w:r>
        <w:rPr>
          <w:rFonts w:hint="eastAsia" w:asciiTheme="minorEastAsia" w:hAnsiTheme="minorEastAsia" w:eastAsiaTheme="minorEastAsia" w:cstheme="minorEastAsia"/>
          <w:snapToGrid w:val="0"/>
          <w:color w:val="auto"/>
          <w:kern w:val="0"/>
          <w:szCs w:val="24"/>
          <w:highlight w:val="none"/>
        </w:rPr>
        <w:t>见本章第二节“重要事项时间地点一览表”</w:t>
      </w:r>
      <w:r>
        <w:rPr>
          <w:rFonts w:hint="eastAsia" w:asciiTheme="minorEastAsia" w:hAnsiTheme="minorEastAsia" w:eastAsiaTheme="minorEastAsia" w:cstheme="minorEastAsia"/>
          <w:color w:val="auto"/>
          <w:highlight w:val="none"/>
        </w:rPr>
        <w:t>）前在交易平台提出问题。未在指定时间前、未采用指定方式提出的，招标人不予受理。</w:t>
      </w:r>
    </w:p>
    <w:p w14:paraId="40300F21">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8.2 </w:t>
      </w:r>
      <w:r>
        <w:rPr>
          <w:rFonts w:hint="eastAsia" w:asciiTheme="minorEastAsia" w:hAnsiTheme="minorEastAsia" w:eastAsiaTheme="minorEastAsia" w:cstheme="minorEastAsia"/>
          <w:snapToGrid w:val="0"/>
          <w:color w:val="auto"/>
          <w:kern w:val="0"/>
          <w:highlight w:val="none"/>
        </w:rPr>
        <w:t>招标人在提问截止时间（</w:t>
      </w:r>
      <w:r>
        <w:rPr>
          <w:rFonts w:hint="eastAsia" w:asciiTheme="minorEastAsia" w:hAnsiTheme="minorEastAsia" w:eastAsiaTheme="minorEastAsia" w:cstheme="minorEastAsia"/>
          <w:snapToGrid w:val="0"/>
          <w:color w:val="auto"/>
          <w:kern w:val="0"/>
          <w:szCs w:val="24"/>
          <w:highlight w:val="none"/>
        </w:rPr>
        <w:t>见本章第二节“重要事项时间地点一览表”</w:t>
      </w:r>
      <w:r>
        <w:rPr>
          <w:rFonts w:hint="eastAsia" w:asciiTheme="minorEastAsia" w:hAnsiTheme="minorEastAsia" w:eastAsiaTheme="minorEastAsia" w:cstheme="minorEastAsia"/>
          <w:snapToGrid w:val="0"/>
          <w:color w:val="auto"/>
          <w:kern w:val="0"/>
          <w:highlight w:val="none"/>
        </w:rPr>
        <w:t>）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1C1662DF">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8.3 答疑书（</w:t>
      </w:r>
      <w:r>
        <w:rPr>
          <w:rFonts w:hint="eastAsia" w:asciiTheme="minorEastAsia" w:hAnsiTheme="minorEastAsia" w:eastAsiaTheme="minorEastAsia" w:cstheme="minorEastAsia"/>
          <w:snapToGrid w:val="0"/>
          <w:color w:val="auto"/>
          <w:kern w:val="0"/>
          <w:highlight w:val="none"/>
        </w:rPr>
        <w:t>或修改</w:t>
      </w:r>
      <w:r>
        <w:rPr>
          <w:rFonts w:hint="eastAsia" w:asciiTheme="minorEastAsia" w:hAnsiTheme="minorEastAsia" w:eastAsiaTheme="minorEastAsia" w:cstheme="minorEastAsia"/>
          <w:color w:val="auto"/>
          <w:highlight w:val="none"/>
        </w:rPr>
        <w:t>）对招标文件的修改或补充内容作为招标文件的组成部分，具有约束作用。招标文件的澄清、修改、补充等内容均以答疑书（</w:t>
      </w:r>
      <w:r>
        <w:rPr>
          <w:rFonts w:hint="eastAsia" w:asciiTheme="minorEastAsia" w:hAnsiTheme="minorEastAsia" w:eastAsiaTheme="minorEastAsia" w:cstheme="minorEastAsia"/>
          <w:snapToGrid w:val="0"/>
          <w:color w:val="auto"/>
          <w:kern w:val="0"/>
          <w:highlight w:val="none"/>
        </w:rPr>
        <w:t>或修改</w:t>
      </w:r>
      <w:r>
        <w:rPr>
          <w:rFonts w:hint="eastAsia" w:asciiTheme="minorEastAsia" w:hAnsiTheme="minorEastAsia" w:eastAsiaTheme="minorEastAsia" w:cstheme="minorEastAsia"/>
          <w:color w:val="auto"/>
          <w:highlight w:val="none"/>
        </w:rPr>
        <w:t>）中明确的内容为准。当招标文件、招标文件的澄清、修改、补充等文件在同一内容的表述上不一致时，以最后发出的答疑书（</w:t>
      </w:r>
      <w:r>
        <w:rPr>
          <w:rFonts w:hint="eastAsia" w:asciiTheme="minorEastAsia" w:hAnsiTheme="minorEastAsia" w:eastAsiaTheme="minorEastAsia" w:cstheme="minorEastAsia"/>
          <w:snapToGrid w:val="0"/>
          <w:color w:val="auto"/>
          <w:kern w:val="0"/>
          <w:highlight w:val="none"/>
        </w:rPr>
        <w:t>或修改</w:t>
      </w:r>
      <w:r>
        <w:rPr>
          <w:rFonts w:hint="eastAsia" w:asciiTheme="minorEastAsia" w:hAnsiTheme="minorEastAsia" w:eastAsiaTheme="minorEastAsia" w:cstheme="minorEastAsia"/>
          <w:color w:val="auto"/>
          <w:highlight w:val="none"/>
        </w:rPr>
        <w:t>）为准。</w:t>
      </w:r>
    </w:p>
    <w:p w14:paraId="34382E94">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8.4 投标人在规定的时间内未对招标文件提出澄清或疑问的，招标人将视其为无异议。对招标文件中描述有歧义或前后不一致的地方，评标委员会有权进行评判，但对同一条款的评判应适用于每个投标人。</w:t>
      </w:r>
    </w:p>
    <w:p w14:paraId="530D0F38">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2E4FA8B2">
      <w:pPr>
        <w:pStyle w:val="36"/>
        <w:keepNext/>
        <w:keepLines/>
        <w:ind w:firstLine="480"/>
        <w:jc w:val="both"/>
        <w:rPr>
          <w:rFonts w:hint="eastAsia" w:asciiTheme="minorEastAsia" w:hAnsiTheme="minorEastAsia" w:eastAsiaTheme="minorEastAsia" w:cstheme="minorEastAsia"/>
          <w:b/>
          <w:color w:val="auto"/>
          <w:kern w:val="2"/>
          <w:highlight w:val="none"/>
        </w:rPr>
      </w:pPr>
      <w:bookmarkStart w:id="115" w:name="_Hlt92513711"/>
      <w:bookmarkEnd w:id="115"/>
      <w:bookmarkStart w:id="116" w:name="_Hlt92513715"/>
      <w:bookmarkEnd w:id="116"/>
      <w:bookmarkStart w:id="117" w:name="_Hlt69699188"/>
      <w:bookmarkEnd w:id="117"/>
      <w:bookmarkStart w:id="118" w:name="_Toc20643"/>
      <w:bookmarkStart w:id="119" w:name="_Toc31064"/>
      <w:bookmarkStart w:id="120" w:name="_Toc8032"/>
      <w:bookmarkStart w:id="121" w:name="_Toc30627"/>
      <w:bookmarkStart w:id="122" w:name="_Toc15195"/>
      <w:bookmarkStart w:id="123" w:name="_Toc25532"/>
      <w:bookmarkStart w:id="124" w:name="_Toc11862"/>
      <w:bookmarkStart w:id="125" w:name="_Toc11301"/>
      <w:bookmarkStart w:id="126" w:name="_Toc28777"/>
      <w:r>
        <w:rPr>
          <w:rFonts w:hint="eastAsia" w:asciiTheme="minorEastAsia" w:hAnsiTheme="minorEastAsia" w:eastAsiaTheme="minorEastAsia" w:cstheme="minorEastAsia"/>
          <w:b/>
          <w:color w:val="auto"/>
          <w:kern w:val="2"/>
          <w:highlight w:val="none"/>
        </w:rPr>
        <w:t>9 、投标报价的编制</w:t>
      </w:r>
      <w:bookmarkEnd w:id="118"/>
      <w:bookmarkEnd w:id="119"/>
      <w:bookmarkEnd w:id="120"/>
      <w:bookmarkEnd w:id="121"/>
      <w:bookmarkEnd w:id="122"/>
      <w:bookmarkEnd w:id="123"/>
      <w:bookmarkEnd w:id="124"/>
      <w:bookmarkEnd w:id="125"/>
      <w:bookmarkEnd w:id="126"/>
      <w:bookmarkStart w:id="127" w:name="_Hlt74498519"/>
      <w:bookmarkEnd w:id="127"/>
    </w:p>
    <w:p w14:paraId="5C87CE4D">
      <w:pPr>
        <w:pStyle w:val="34"/>
        <w:ind w:firstLine="560"/>
        <w:rPr>
          <w:rFonts w:hint="eastAsia" w:asciiTheme="minorEastAsia" w:hAnsiTheme="minorEastAsia" w:eastAsiaTheme="minorEastAsia" w:cstheme="minorEastAsia"/>
          <w:color w:val="auto"/>
          <w:spacing w:val="12"/>
          <w:highlight w:val="none"/>
        </w:rPr>
      </w:pPr>
      <w:r>
        <w:rPr>
          <w:rFonts w:hint="eastAsia" w:asciiTheme="minorEastAsia" w:hAnsiTheme="minorEastAsia" w:eastAsiaTheme="minorEastAsia" w:cstheme="minorEastAsia"/>
          <w:color w:val="auto"/>
          <w:spacing w:val="12"/>
          <w:highlight w:val="none"/>
        </w:rPr>
        <w:t>9.1 本工程计价依据为：</w:t>
      </w:r>
    </w:p>
    <w:p w14:paraId="3DDDB697">
      <w:pPr>
        <w:pStyle w:val="34"/>
        <w:ind w:firstLine="560"/>
        <w:rPr>
          <w:rFonts w:hint="eastAsia" w:asciiTheme="minorEastAsia" w:hAnsiTheme="minorEastAsia" w:eastAsiaTheme="minorEastAsia" w:cstheme="minorEastAsia"/>
          <w:color w:val="auto"/>
          <w:highlight w:val="none"/>
        </w:rPr>
      </w:pPr>
      <w:bookmarkStart w:id="128" w:name="_Hlt69335755"/>
      <w:bookmarkEnd w:id="128"/>
      <w:r>
        <w:rPr>
          <w:rFonts w:hint="eastAsia" w:asciiTheme="minorEastAsia" w:hAnsiTheme="minorEastAsia" w:eastAsiaTheme="minorEastAsia" w:cstheme="minorEastAsia"/>
          <w:color w:val="auto"/>
          <w:highlight w:val="none"/>
        </w:rPr>
        <w:t>（1）《工程勘察设计收费管理规定》（计价格[2002]10号）、《工程勘察设计收费导则（第二版）》（粤勘设协〔2021〕2号）；</w:t>
      </w:r>
    </w:p>
    <w:p w14:paraId="68AA67A6">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（2）《建设工程工程量清单计价规范》（GB50500—2013）；</w:t>
      </w:r>
    </w:p>
    <w:p w14:paraId="5038FA5F">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14:paraId="5FC8EB18">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snapToGrid w:val="0"/>
          <w:color w:val="auto"/>
          <w:kern w:val="0"/>
          <w:highlight w:val="none"/>
        </w:rPr>
        <w:t>招标文件及其答疑（或修改）公告</w:t>
      </w:r>
      <w:r>
        <w:rPr>
          <w:rFonts w:hint="eastAsia" w:asciiTheme="minorEastAsia" w:hAnsiTheme="minorEastAsia" w:eastAsiaTheme="minorEastAsia" w:cstheme="minorEastAsia"/>
          <w:color w:val="auto"/>
          <w:highlight w:val="none"/>
        </w:rPr>
        <w:t>；</w:t>
      </w:r>
    </w:p>
    <w:p w14:paraId="3B5D297E">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（5）施工现场情况、工程特点及常规施工方案；</w:t>
      </w:r>
    </w:p>
    <w:p w14:paraId="77396941">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（6）项目所在地工程造价管理机构发布的工程造价信息，工程造价信息缺项的，参照市场价格；</w:t>
      </w:r>
    </w:p>
    <w:p w14:paraId="28B41DCC">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（7）与建设项目相关的标准、规范、技术资料。</w:t>
      </w:r>
    </w:p>
    <w:p w14:paraId="2E1BB4AB">
      <w:pPr>
        <w:pStyle w:val="34"/>
        <w:ind w:firstLine="792"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2"/>
          <w:highlight w:val="none"/>
        </w:rPr>
        <w:t>9.2</w:t>
      </w:r>
      <w:r>
        <w:rPr>
          <w:rFonts w:hint="eastAsia" w:asciiTheme="minorEastAsia" w:hAnsiTheme="minorEastAsia" w:eastAsiaTheme="minorEastAsia" w:cstheme="minorEastAsia"/>
          <w:color w:val="auto"/>
          <w:highlight w:val="none"/>
        </w:rPr>
        <w:t xml:space="preserve"> 本工程投标前，招标人及招标代理机构不集中组织现场踏勘，投标人需要了解现场情况的，可自行进行现场踏勘。各投标人应勘察施工现场及周围环境、地形、地貌、水文、交通等情况，以获得一切可能影响到投标的直</w:t>
      </w:r>
      <w:bookmarkStart w:id="129" w:name="_Hlt66509056"/>
      <w:bookmarkEnd w:id="129"/>
      <w:r>
        <w:rPr>
          <w:rFonts w:hint="eastAsia" w:asciiTheme="minorEastAsia" w:hAnsiTheme="minorEastAsia" w:eastAsiaTheme="minorEastAsia" w:cstheme="minorEastAsia"/>
          <w:color w:val="auto"/>
          <w:highlight w:val="none"/>
        </w:rPr>
        <w:t>接资料。投标人应针对现场情况编制施工组织设计，并在写投标报价时考虑现场情况的影响。</w:t>
      </w:r>
    </w:p>
    <w:p w14:paraId="1D2A4D4D">
      <w:pPr>
        <w:pStyle w:val="4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2"/>
          <w:highlight w:val="none"/>
        </w:rPr>
        <w:t>9.</w:t>
      </w:r>
      <w:bookmarkStart w:id="130" w:name="_Hlt88974322"/>
      <w:r>
        <w:rPr>
          <w:rFonts w:hint="eastAsia" w:asciiTheme="minorEastAsia" w:hAnsiTheme="minorEastAsia" w:eastAsiaTheme="minorEastAsia" w:cstheme="minorEastAsia"/>
          <w:color w:val="auto"/>
          <w:spacing w:val="12"/>
          <w:highlight w:val="none"/>
        </w:rPr>
        <w:t>3</w:t>
      </w:r>
      <w:r>
        <w:rPr>
          <w:rFonts w:hint="eastAsia" w:asciiTheme="minorEastAsia" w:hAnsiTheme="minorEastAsia" w:eastAsiaTheme="minorEastAsia" w:cstheme="minorEastAsia"/>
          <w:color w:val="auto"/>
          <w:highlight w:val="none"/>
        </w:rPr>
        <w:t xml:space="preserve"> 现场踏勘费以及其它施工措施项目费，由投标人在投标报价中综合考虑，</w:t>
      </w:r>
      <w:r>
        <w:rPr>
          <w:rFonts w:hint="eastAsia" w:asciiTheme="minorEastAsia" w:hAnsiTheme="minorEastAsia" w:eastAsiaTheme="minorEastAsia" w:cstheme="minorEastAsia"/>
          <w:color w:val="auto"/>
          <w:szCs w:val="22"/>
          <w:highlight w:val="none"/>
        </w:rPr>
        <w:t>一次包定</w:t>
      </w:r>
      <w:r>
        <w:rPr>
          <w:rFonts w:hint="eastAsia" w:asciiTheme="minorEastAsia" w:hAnsiTheme="minorEastAsia" w:eastAsiaTheme="minorEastAsia" w:cstheme="minorEastAsia"/>
          <w:color w:val="auto"/>
          <w:highlight w:val="none"/>
        </w:rPr>
        <w:t>。无论投标人是否列出费用，招标人将一律视为已确认所有现场条件和可能发生的异常情况。</w:t>
      </w:r>
    </w:p>
    <w:bookmarkEnd w:id="130"/>
    <w:p w14:paraId="1DAD049C">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9.4 招标人向投标人提供的有关现场的数据和资料，是招标人现有的能被投标人利用的资料，招标人对投标人做出的任何推论、理解和结论均不负责任。</w:t>
      </w:r>
    </w:p>
    <w:p w14:paraId="390D5AE0">
      <w:pPr>
        <w:spacing w:line="360" w:lineRule="auto"/>
        <w:ind w:firstLine="6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zh-CN"/>
        </w:rPr>
        <w:t>投标人负责协调处理因项目实施与周边企业和村民等关系并承担相关费用。</w:t>
      </w:r>
    </w:p>
    <w:p w14:paraId="7E6BA5A6">
      <w:pPr>
        <w:spacing w:line="360" w:lineRule="auto"/>
        <w:ind w:firstLine="6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lang w:val="zh-CN"/>
        </w:rPr>
        <w:t>投标人应采取设计优化的方式，通过土方平衡方法解决弃土问题，若仍有弃土，按实结算。</w:t>
      </w:r>
    </w:p>
    <w:p w14:paraId="2C0BB72B">
      <w:pPr>
        <w:spacing w:line="360" w:lineRule="auto"/>
        <w:ind w:firstLine="570"/>
        <w:rPr>
          <w:rFonts w:hint="eastAsia" w:asciiTheme="minorEastAsia" w:hAnsiTheme="minorEastAsia" w:eastAsiaTheme="minorEastAsia" w:cstheme="minorEastAsia"/>
          <w:b/>
          <w:color w:val="auto"/>
          <w:highlight w:val="none"/>
          <w:u w:val="doubl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bookmarkStart w:id="131" w:name="_Toc319917951"/>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b/>
          <w:color w:val="auto"/>
          <w:highlight w:val="none"/>
          <w:u w:val="double"/>
        </w:rPr>
        <w:t>投标人的投标报价不得超过招标人公布的最高投标限价。本项目为限额设计，工程结算总造价不得超过中标价。</w:t>
      </w:r>
    </w:p>
    <w:p w14:paraId="41AC832C">
      <w:pPr>
        <w:spacing w:line="360" w:lineRule="auto"/>
        <w:ind w:firstLine="57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9.8</w:t>
      </w:r>
      <w:r>
        <w:rPr>
          <w:rFonts w:hint="eastAsia" w:asciiTheme="minorEastAsia" w:hAnsiTheme="minorEastAsia" w:eastAsiaTheme="minorEastAsia" w:cstheme="minorEastAsia"/>
          <w:b/>
          <w:color w:val="auto"/>
          <w:highlight w:val="none"/>
          <w:lang w:val="zh-CN"/>
        </w:rPr>
        <w:t>投标单位应充分考虑本招标文件“第二章 拟签订合同的主要条款”所列的结算原则进行投标及报价。</w:t>
      </w:r>
      <w:bookmarkEnd w:id="131"/>
    </w:p>
    <w:p w14:paraId="6087E588">
      <w:pPr>
        <w:spacing w:line="360" w:lineRule="auto"/>
        <w:ind w:firstLine="57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投标人的投标总报价应考虑完成招标文件中招标规模、内容所规定的所有工程及设备的费用，并承担结算原则中规定的一切风险，还应考虑预算编制费、报建和施工时应由施工单位承担的一切费用。各项费用的主要内容及其报价方式：</w:t>
      </w:r>
    </w:p>
    <w:p w14:paraId="3576EE8C">
      <w:pPr>
        <w:spacing w:line="360" w:lineRule="auto"/>
        <w:ind w:firstLine="57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.1设计费投标报价</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highlight w:val="none"/>
          <w:lang w:val="zh-CN"/>
        </w:rPr>
        <w:t>在最高投标限价范围内，投标人自行报总价，结算按设计费的中标价包干不作任何调整。设计费的报价应包含各个不同专业的施工图设计费用、进行优化设计或修改设计所增加的设计费用、各项专家评审的专家费用、预算编制费等</w:t>
      </w:r>
      <w:r>
        <w:rPr>
          <w:rFonts w:hint="eastAsia" w:asciiTheme="minorEastAsia" w:hAnsiTheme="minorEastAsia" w:eastAsiaTheme="minorEastAsia" w:cstheme="minorEastAsia"/>
          <w:color w:val="auto"/>
          <w:szCs w:val="24"/>
          <w:highlight w:val="none"/>
        </w:rPr>
        <w:t>（不含第三方施工图审查费）</w:t>
      </w:r>
      <w:r>
        <w:rPr>
          <w:rFonts w:hint="eastAsia" w:asciiTheme="minorEastAsia" w:hAnsiTheme="minorEastAsia" w:eastAsiaTheme="minorEastAsia" w:cstheme="minorEastAsia"/>
          <w:color w:val="auto"/>
          <w:highlight w:val="none"/>
          <w:lang w:val="zh-CN"/>
        </w:rPr>
        <w:t>，由投标人自行考虑所有设计工作的辅助费用。如其他专业需要分包的，需向招标人报备。另外，中标人需向招标人提供合格施工图一式1</w:t>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份。</w:t>
      </w:r>
    </w:p>
    <w:p w14:paraId="73CAAD60">
      <w:pPr>
        <w:spacing w:line="360" w:lineRule="auto"/>
        <w:ind w:firstLine="57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本项目在实施过程中可能出现设计成果已通过确认，仍需进行设计变更、修改、调整等情况，不另行增加设计费。</w:t>
      </w:r>
    </w:p>
    <w:p w14:paraId="23CC55FB">
      <w:pPr>
        <w:spacing w:line="360" w:lineRule="auto"/>
        <w:ind w:firstLine="588" w:firstLineChars="2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建安</w:t>
      </w:r>
      <w:r>
        <w:rPr>
          <w:rFonts w:hint="eastAsia" w:asciiTheme="minorEastAsia" w:hAnsiTheme="minorEastAsia" w:eastAsiaTheme="minorEastAsia" w:cstheme="minorEastAsia"/>
          <w:color w:val="auto"/>
          <w:szCs w:val="24"/>
          <w:highlight w:val="none"/>
        </w:rPr>
        <w:t>工程费用</w:t>
      </w:r>
      <w:r>
        <w:rPr>
          <w:rFonts w:hint="eastAsia" w:asciiTheme="minorEastAsia" w:hAnsiTheme="minorEastAsia" w:eastAsiaTheme="minorEastAsia" w:cstheme="minorEastAsia"/>
          <w:color w:val="auto"/>
          <w:highlight w:val="none"/>
          <w:lang w:val="zh-CN"/>
        </w:rPr>
        <w:t>：采用下浮率的方式进行报价</w:t>
      </w:r>
      <w:r>
        <w:rPr>
          <w:rFonts w:hint="eastAsia" w:asciiTheme="minorEastAsia" w:hAnsiTheme="minorEastAsia" w:eastAsiaTheme="minorEastAsia" w:cstheme="minorEastAsia"/>
          <w:color w:val="auto"/>
          <w:szCs w:val="24"/>
          <w:highlight w:val="none"/>
        </w:rPr>
        <w:t>，结算时按招标文件有关结算原则计算后再按报价</w:t>
      </w:r>
      <w:r>
        <w:rPr>
          <w:rFonts w:hint="eastAsia" w:asciiTheme="minorEastAsia" w:hAnsiTheme="minorEastAsia" w:eastAsiaTheme="minorEastAsia" w:cstheme="minorEastAsia"/>
          <w:color w:val="auto"/>
          <w:highlight w:val="none"/>
          <w:lang w:val="zh-CN"/>
        </w:rPr>
        <w:t>下浮率</w:t>
      </w:r>
      <w:r>
        <w:rPr>
          <w:rFonts w:hint="eastAsia" w:asciiTheme="minorEastAsia" w:hAnsiTheme="minorEastAsia" w:eastAsiaTheme="minorEastAsia" w:cstheme="minorEastAsia"/>
          <w:color w:val="auto"/>
          <w:szCs w:val="24"/>
          <w:highlight w:val="none"/>
        </w:rPr>
        <w:t>下浮。建安工程费投标报价=计算基数×（1-下浮率）。</w:t>
      </w:r>
    </w:p>
    <w:p w14:paraId="17BC5275">
      <w:pPr>
        <w:spacing w:line="360" w:lineRule="auto"/>
        <w:ind w:firstLine="588" w:firstLineChars="245"/>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color w:val="auto"/>
          <w:szCs w:val="24"/>
          <w:highlight w:val="none"/>
        </w:rPr>
        <w:t>如投标人的建安工程费用投标报价</w:t>
      </w:r>
      <w:r>
        <w:rPr>
          <w:rFonts w:hint="eastAsia" w:asciiTheme="minorEastAsia" w:hAnsiTheme="minorEastAsia" w:eastAsiaTheme="minorEastAsia" w:cstheme="minorEastAsia"/>
          <w:color w:val="auto"/>
          <w:highlight w:val="none"/>
          <w:lang w:val="zh-CN"/>
        </w:rPr>
        <w:t>下浮率</w:t>
      </w:r>
      <w:r>
        <w:rPr>
          <w:rFonts w:hint="eastAsia" w:asciiTheme="minorEastAsia" w:hAnsiTheme="minorEastAsia" w:eastAsiaTheme="minorEastAsia" w:cstheme="minorEastAsia"/>
          <w:color w:val="auto"/>
          <w:szCs w:val="24"/>
          <w:highlight w:val="none"/>
        </w:rPr>
        <w:t>高于15%时，投标人必须在投标报价书中另行作出详细合理的书面说明并提供相关证明材料供评标委员会评审，否则评标委员会将认定该投标人以低于成本报价竞标。</w:t>
      </w:r>
    </w:p>
    <w:p w14:paraId="5E6BD7AE">
      <w:pPr>
        <w:pStyle w:val="30"/>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snapToGrid w:val="0"/>
          <w:color w:val="auto"/>
          <w:kern w:val="0"/>
          <w:sz w:val="24"/>
          <w:highlight w:val="none"/>
        </w:rPr>
        <w:t xml:space="preserve">    建安工程费的报价应考虑完成招标文件中招标规模、内容所规定的所有工程的费用，并承担结算原则中规定的一切风险，还应包含工程报建和施工时应由施工单位承担的一切费用。</w:t>
      </w:r>
    </w:p>
    <w:p w14:paraId="1D5FF0F3">
      <w:pPr>
        <w:spacing w:line="360" w:lineRule="auto"/>
        <w:ind w:firstLine="588" w:firstLineChars="2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9.9.3</w:t>
      </w:r>
      <w:r>
        <w:rPr>
          <w:rFonts w:hint="eastAsia" w:asciiTheme="minorEastAsia" w:hAnsiTheme="minorEastAsia" w:eastAsiaTheme="minorEastAsia" w:cstheme="minorEastAsia"/>
          <w:color w:val="auto"/>
          <w:szCs w:val="24"/>
          <w:highlight w:val="none"/>
        </w:rPr>
        <w:t>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0805520D">
      <w:pPr>
        <w:spacing w:line="360" w:lineRule="auto"/>
        <w:ind w:firstLine="588" w:firstLineChars="2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9.9.4</w:t>
      </w:r>
      <w:r>
        <w:rPr>
          <w:rFonts w:hint="eastAsia" w:asciiTheme="minorEastAsia" w:hAnsiTheme="minorEastAsia" w:eastAsiaTheme="minorEastAsia" w:cstheme="minorEastAsia"/>
          <w:color w:val="auto"/>
          <w:szCs w:val="24"/>
          <w:highlight w:val="none"/>
        </w:rPr>
        <w:t>投标人在投标报价时，自行考虑高温补贴费、施工视频监控系统费用，专业分包的总包服务及配合费，预算（含工程量清单编制费）等，并承担相应风险，结算时不另行计取。</w:t>
      </w:r>
    </w:p>
    <w:p w14:paraId="384FD12F">
      <w:pPr>
        <w:spacing w:line="360" w:lineRule="auto"/>
        <w:ind w:firstLine="588" w:firstLineChars="245"/>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 xml:space="preserve">9.5 </w:t>
      </w:r>
      <w:r>
        <w:rPr>
          <w:rFonts w:hint="eastAsia" w:asciiTheme="minorEastAsia" w:hAnsiTheme="minorEastAsia" w:eastAsiaTheme="minorEastAsia" w:cstheme="minorEastAsia"/>
          <w:bCs/>
          <w:color w:val="auto"/>
          <w:highlight w:val="none"/>
        </w:rPr>
        <w:t>招标人可根据本项目实际情况对规模及内容进行调整</w:t>
      </w:r>
      <w:r>
        <w:rPr>
          <w:rFonts w:hint="eastAsia" w:asciiTheme="minorEastAsia" w:hAnsiTheme="minorEastAsia" w:eastAsiaTheme="minorEastAsia" w:cstheme="minorEastAsia"/>
          <w:color w:val="auto"/>
          <w:highlight w:val="none"/>
        </w:rPr>
        <w:t>或减少，投标人中标后不得因此调整或减少向招标人索赔，并且必须按调整或减少后的规模及内容完成工程建设。投标人在投标报价时需综合考虑该因素并报价</w:t>
      </w:r>
      <w:r>
        <w:rPr>
          <w:rFonts w:hint="eastAsia" w:asciiTheme="minorEastAsia" w:hAnsiTheme="minorEastAsia" w:eastAsiaTheme="minorEastAsia" w:cstheme="minorEastAsia"/>
          <w:bCs/>
          <w:color w:val="auto"/>
          <w:highlight w:val="none"/>
        </w:rPr>
        <w:t>。</w:t>
      </w:r>
    </w:p>
    <w:p w14:paraId="5F1356C9">
      <w:pPr>
        <w:pStyle w:val="36"/>
        <w:keepNext/>
        <w:keepLines/>
        <w:ind w:firstLine="480"/>
        <w:jc w:val="both"/>
        <w:rPr>
          <w:rFonts w:hint="eastAsia" w:asciiTheme="minorEastAsia" w:hAnsiTheme="minorEastAsia" w:eastAsiaTheme="minorEastAsia" w:cstheme="minorEastAsia"/>
          <w:b/>
          <w:color w:val="auto"/>
          <w:szCs w:val="24"/>
          <w:highlight w:val="none"/>
        </w:rPr>
      </w:pPr>
      <w:bookmarkStart w:id="132" w:name="_Toc23458"/>
      <w:r>
        <w:rPr>
          <w:rFonts w:hint="eastAsia" w:asciiTheme="minorEastAsia" w:hAnsiTheme="minorEastAsia" w:eastAsiaTheme="minorEastAsia" w:cstheme="minorEastAsia"/>
          <w:b/>
          <w:color w:val="auto"/>
          <w:szCs w:val="24"/>
          <w:highlight w:val="none"/>
        </w:rPr>
        <w:t>10、 最高</w:t>
      </w:r>
      <w:r>
        <w:rPr>
          <w:rFonts w:hint="eastAsia" w:asciiTheme="minorEastAsia" w:hAnsiTheme="minorEastAsia" w:eastAsiaTheme="minorEastAsia" w:cstheme="minorEastAsia"/>
          <w:b/>
          <w:color w:val="auto"/>
          <w:kern w:val="2"/>
          <w:highlight w:val="none"/>
        </w:rPr>
        <w:t>投标</w:t>
      </w:r>
      <w:r>
        <w:rPr>
          <w:rFonts w:hint="eastAsia" w:asciiTheme="minorEastAsia" w:hAnsiTheme="minorEastAsia" w:eastAsiaTheme="minorEastAsia" w:cstheme="minorEastAsia"/>
          <w:b/>
          <w:color w:val="auto"/>
          <w:szCs w:val="24"/>
          <w:highlight w:val="none"/>
        </w:rPr>
        <w:t>限价的确定</w:t>
      </w:r>
      <w:bookmarkEnd w:id="132"/>
      <w:bookmarkStart w:id="133" w:name="_Hlt69335617"/>
      <w:bookmarkStart w:id="134" w:name="_Hlt121629839"/>
    </w:p>
    <w:p w14:paraId="74F03665">
      <w:pPr>
        <w:pStyle w:val="36"/>
        <w:keepNext/>
        <w:keepLines/>
        <w:ind w:firstLine="480"/>
        <w:jc w:val="both"/>
        <w:rPr>
          <w:rFonts w:hint="eastAsia" w:asciiTheme="minorEastAsia" w:hAnsiTheme="minorEastAsia" w:eastAsiaTheme="minorEastAsia" w:cstheme="minorEastAsia"/>
          <w:color w:val="auto"/>
          <w:szCs w:val="24"/>
          <w:highlight w:val="none"/>
        </w:rPr>
      </w:pPr>
      <w:bookmarkStart w:id="135" w:name="_Toc27370"/>
      <w:bookmarkStart w:id="136" w:name="_Toc2721"/>
      <w:bookmarkStart w:id="137" w:name="_Toc32578"/>
      <w:bookmarkStart w:id="138" w:name="_Toc5483"/>
      <w:bookmarkStart w:id="139" w:name="_Toc15152"/>
      <w:bookmarkStart w:id="140" w:name="_Toc7307"/>
      <w:bookmarkStart w:id="141" w:name="_Toc4604"/>
      <w:bookmarkStart w:id="142" w:name="_Toc24510"/>
      <w:bookmarkStart w:id="143" w:name="_Toc13350"/>
      <w:bookmarkStart w:id="144" w:name="_Toc29734"/>
      <w:r>
        <w:rPr>
          <w:rFonts w:hint="eastAsia" w:asciiTheme="minorEastAsia" w:hAnsiTheme="minorEastAsia" w:eastAsiaTheme="minorEastAsia" w:cstheme="minorEastAsia"/>
          <w:color w:val="auto"/>
          <w:szCs w:val="24"/>
          <w:highlight w:val="none"/>
        </w:rPr>
        <w:t>本项目最高投标限价在投标截止时间15天前以补充通知的形式在广东省招标投标监管网(https://www.gdzwfw.gov.cn/ztbjg-portal/#/index)、全国公共资源交易平台（广东省·韶关市）（https://ygp.gdzwfw.gov.cn/ggzy-portal/#/440200/index）公布。</w:t>
      </w:r>
      <w:bookmarkEnd w:id="135"/>
      <w:bookmarkEnd w:id="136"/>
    </w:p>
    <w:p w14:paraId="6B5404F4">
      <w:pPr>
        <w:pStyle w:val="36"/>
        <w:keepNext/>
        <w:keepLines/>
        <w:ind w:firstLine="480"/>
        <w:jc w:val="both"/>
        <w:rPr>
          <w:rFonts w:hint="eastAsia" w:asciiTheme="minorEastAsia" w:hAnsiTheme="minorEastAsia" w:eastAsiaTheme="minorEastAsia" w:cstheme="minorEastAsia"/>
          <w:b/>
          <w:color w:val="auto"/>
          <w:szCs w:val="22"/>
          <w:highlight w:val="none"/>
        </w:rPr>
      </w:pPr>
      <w:bookmarkStart w:id="145" w:name="_Toc12592"/>
      <w:r>
        <w:rPr>
          <w:rFonts w:hint="eastAsia" w:asciiTheme="minorEastAsia" w:hAnsiTheme="minorEastAsia" w:eastAsiaTheme="minorEastAsia" w:cstheme="minorEastAsia"/>
          <w:b/>
          <w:color w:val="auto"/>
          <w:szCs w:val="22"/>
          <w:highlight w:val="none"/>
        </w:rPr>
        <w:t>11</w:t>
      </w:r>
      <w:r>
        <w:rPr>
          <w:rFonts w:hint="eastAsia" w:asciiTheme="minorEastAsia" w:hAnsiTheme="minorEastAsia" w:eastAsiaTheme="minorEastAsia" w:cstheme="minorEastAsia"/>
          <w:b/>
          <w:color w:val="auto"/>
          <w:szCs w:val="22"/>
          <w:highlight w:val="none"/>
          <w:lang w:eastAsia="zh-CN"/>
        </w:rPr>
        <w:t>、</w:t>
      </w:r>
      <w:r>
        <w:rPr>
          <w:rFonts w:hint="eastAsia" w:asciiTheme="minorEastAsia" w:hAnsiTheme="minorEastAsia" w:eastAsiaTheme="minorEastAsia" w:cstheme="minorEastAsia"/>
          <w:b/>
          <w:color w:val="auto"/>
          <w:kern w:val="2"/>
          <w:highlight w:val="none"/>
        </w:rPr>
        <w:t>投标</w:t>
      </w:r>
      <w:r>
        <w:rPr>
          <w:rFonts w:hint="eastAsia" w:asciiTheme="minorEastAsia" w:hAnsiTheme="minorEastAsia" w:eastAsiaTheme="minorEastAsia" w:cstheme="minorEastAsia"/>
          <w:b/>
          <w:color w:val="auto"/>
          <w:szCs w:val="22"/>
          <w:highlight w:val="none"/>
        </w:rPr>
        <w:t>文件的编制</w:t>
      </w:r>
      <w:bookmarkStart w:id="146" w:name="_Hlt69208262"/>
      <w:bookmarkEnd w:id="146"/>
      <w:bookmarkStart w:id="147" w:name="_Hlt69332370"/>
      <w:bookmarkEnd w:id="147"/>
      <w:r>
        <w:rPr>
          <w:rFonts w:hint="eastAsia" w:asciiTheme="minorEastAsia" w:hAnsiTheme="minorEastAsia" w:eastAsiaTheme="minorEastAsia" w:cstheme="minorEastAsia"/>
          <w:b/>
          <w:color w:val="auto"/>
          <w:szCs w:val="22"/>
          <w:highlight w:val="none"/>
        </w:rPr>
        <w:t>要求</w:t>
      </w:r>
      <w:bookmarkEnd w:id="137"/>
      <w:bookmarkEnd w:id="138"/>
      <w:bookmarkEnd w:id="139"/>
      <w:bookmarkEnd w:id="140"/>
      <w:bookmarkEnd w:id="141"/>
      <w:bookmarkEnd w:id="142"/>
      <w:bookmarkEnd w:id="143"/>
      <w:bookmarkEnd w:id="144"/>
      <w:bookmarkEnd w:id="145"/>
    </w:p>
    <w:p w14:paraId="4733A61A">
      <w:pPr>
        <w:pStyle w:val="45"/>
        <w:spacing w:line="400" w:lineRule="exact"/>
        <w:ind w:firstLine="482" w:firstLineChars="200"/>
        <w:jc w:val="both"/>
        <w:outlineLvl w:val="9"/>
        <w:rPr>
          <w:rFonts w:hint="eastAsia" w:asciiTheme="minorEastAsia" w:hAnsiTheme="minorEastAsia" w:eastAsiaTheme="minorEastAsia" w:cstheme="minorEastAsia"/>
          <w:b/>
          <w:color w:val="auto"/>
          <w:highlight w:val="none"/>
        </w:rPr>
      </w:pPr>
      <w:bookmarkStart w:id="148" w:name="_Hlt78768224"/>
      <w:bookmarkEnd w:id="148"/>
      <w:bookmarkStart w:id="149" w:name="_Hlt74495594"/>
      <w:bookmarkEnd w:id="149"/>
      <w:bookmarkStart w:id="150" w:name="_Hlt74497202"/>
      <w:bookmarkEnd w:id="150"/>
      <w:bookmarkStart w:id="151" w:name="_Toc6695"/>
      <w:bookmarkStart w:id="152" w:name="_Toc20091"/>
      <w:bookmarkStart w:id="153" w:name="_Toc5812"/>
      <w:bookmarkStart w:id="154" w:name="_Toc29847"/>
      <w:bookmarkStart w:id="155" w:name="_Toc17330"/>
      <w:bookmarkStart w:id="156" w:name="_Toc8525"/>
      <w:bookmarkStart w:id="157" w:name="_Toc20541"/>
      <w:bookmarkStart w:id="158" w:name="_Toc31856"/>
      <w:bookmarkStart w:id="159" w:name="_Toc12050"/>
      <w:bookmarkStart w:id="160" w:name="_Toc13462"/>
      <w:bookmarkStart w:id="161" w:name="_Toc2841"/>
      <w:bookmarkStart w:id="162" w:name="_Toc25295"/>
      <w:bookmarkStart w:id="163" w:name="_Toc9696"/>
      <w:bookmarkStart w:id="164" w:name="_Toc32061"/>
      <w:bookmarkStart w:id="165" w:name="_Toc437"/>
      <w:r>
        <w:rPr>
          <w:rFonts w:hint="eastAsia" w:asciiTheme="minorEastAsia" w:hAnsiTheme="minorEastAsia" w:eastAsiaTheme="minorEastAsia" w:cstheme="minorEastAsia"/>
          <w:b/>
          <w:color w:val="auto"/>
          <w:highlight w:val="none"/>
        </w:rPr>
        <w:t>11.1 一般要求</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F7FE17B">
      <w:pPr>
        <w:pStyle w:val="43"/>
        <w:ind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kern w:val="0"/>
          <w:highlight w:val="none"/>
        </w:rPr>
        <w:t>投标文件应按第七章 投标文件格式规定的内容，投标人提交的投标文件应当使用招标文件所提供的投标文件全部格式。</w:t>
      </w:r>
    </w:p>
    <w:p w14:paraId="5C5A60B4">
      <w:pPr>
        <w:pStyle w:val="34"/>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color w:val="auto"/>
          <w:highlight w:val="none"/>
        </w:rPr>
        <w:t>11.1.1</w:t>
      </w:r>
      <w:r>
        <w:rPr>
          <w:rFonts w:hint="eastAsia" w:asciiTheme="minorEastAsia" w:hAnsiTheme="minorEastAsia" w:eastAsiaTheme="minorEastAsia" w:cstheme="minorEastAsia"/>
          <w:snapToGrid w:val="0"/>
          <w:color w:val="auto"/>
          <w:kern w:val="0"/>
          <w:highlight w:val="none"/>
        </w:rPr>
        <w:t>投标人必须响应招标文件，并在充分理解招标人提供的全部文件、设计图纸、资料及现场条件的基础上编制投标文件。因投标文件不符合招标文件的要求而造成的损失和后果，由投标人自行承担。</w:t>
      </w:r>
    </w:p>
    <w:p w14:paraId="1C313306">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11.1.2</w:t>
      </w:r>
      <w:r>
        <w:rPr>
          <w:rFonts w:hint="eastAsia" w:asciiTheme="minorEastAsia" w:hAnsiTheme="minorEastAsia" w:eastAsiaTheme="minorEastAsia" w:cstheme="minorEastAsia"/>
          <w:snapToGrid w:val="0"/>
          <w:color w:val="auto"/>
          <w:kern w:val="0"/>
          <w:szCs w:val="24"/>
          <w:highlight w:val="none"/>
        </w:rPr>
        <w:t>投标文件包含投标标书分为一册。</w:t>
      </w:r>
      <w:r>
        <w:rPr>
          <w:rFonts w:hint="eastAsia" w:asciiTheme="minorEastAsia" w:hAnsiTheme="minorEastAsia" w:eastAsiaTheme="minorEastAsia" w:cstheme="minorEastAsia"/>
          <w:snapToGrid w:val="0"/>
          <w:color w:val="auto"/>
          <w:kern w:val="0"/>
          <w:highlight w:val="none"/>
        </w:rPr>
        <w:t>投标文件在电子投标时全部采用电子文档（中标人自中标通知书发出之日起五个工作日内再提供正本1份、副本壹份的纸质版投标文件给招标人存档），投标文件所附证书证件均为原件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 （广东省 · 韶关市）（https://ygp.gdzwfw.gov.cn/ggzy-portal/#/440200/index）交易指引。</w:t>
      </w:r>
      <w:r>
        <w:rPr>
          <w:rFonts w:hint="eastAsia" w:asciiTheme="minorEastAsia" w:hAnsiTheme="minorEastAsia" w:eastAsiaTheme="minorEastAsia" w:cstheme="minorEastAsia"/>
          <w:color w:val="auto"/>
          <w:highlight w:val="none"/>
        </w:rPr>
        <w:t>（注：组成联合体时，只须加盖联合体牵头人的公章，联合体其它成员可不盖章）。</w:t>
      </w:r>
    </w:p>
    <w:p w14:paraId="6567A5AF">
      <w:pPr>
        <w:pStyle w:val="34"/>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 投标文件需按以下要求签字、盖章：</w:t>
      </w:r>
    </w:p>
    <w:p w14:paraId="0B6E3BC9">
      <w:pPr>
        <w:pStyle w:val="34"/>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电子投标文件：</w:t>
      </w:r>
    </w:p>
    <w:p w14:paraId="2C642CB7">
      <w:pPr>
        <w:pStyle w:val="34"/>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11.1.3.1 投标文件封面、组成内容中凡注明“签字”处由要求的人员签字或电子签章；凡注明“签字或盖章”处由要求的人员签字或盖其私章（电子印章）；凡注明“签字并盖执业印章”处由要求的人员签字并盖其执业印章。</w:t>
      </w:r>
    </w:p>
    <w:p w14:paraId="3A299D90">
      <w:pPr>
        <w:pStyle w:val="34"/>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11.1.3.2 投标文件封套、封面、组成内容中凡要求录入投标人名称且注明“盖单位章”处盖单位法人公章（电子印章）</w:t>
      </w:r>
    </w:p>
    <w:p w14:paraId="154E8AFF">
      <w:pPr>
        <w:pStyle w:val="34"/>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11.1.3.3 投标文件的签字均为签字人本人亲笔署名或签章（电子印章），其余部分的彩色扫描件无须另行签字、盖章。</w:t>
      </w:r>
    </w:p>
    <w:p w14:paraId="194AEBA4">
      <w:pPr>
        <w:pStyle w:val="34"/>
        <w:ind w:firstLine="56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snapToGrid w:val="0"/>
          <w:color w:val="auto"/>
          <w:kern w:val="0"/>
          <w:highlight w:val="none"/>
        </w:rPr>
        <w:t>11.1.3.4 联合体投标的，除《联合体协议书》外，由联合体牵头人按以上要求签字（电子印章）、盖章（电子印章）即可。</w:t>
      </w:r>
      <w:bookmarkStart w:id="166" w:name="_Toc257031159"/>
      <w:bookmarkStart w:id="167" w:name="_Toc274313880"/>
    </w:p>
    <w:p w14:paraId="11FE250F">
      <w:pPr>
        <w:pStyle w:val="45"/>
        <w:spacing w:line="360" w:lineRule="auto"/>
        <w:ind w:firstLine="482" w:firstLineChars="200"/>
        <w:jc w:val="both"/>
        <w:outlineLvl w:val="9"/>
        <w:rPr>
          <w:rFonts w:hint="eastAsia" w:asciiTheme="minorEastAsia" w:hAnsiTheme="minorEastAsia" w:eastAsiaTheme="minorEastAsia" w:cstheme="minorEastAsia"/>
          <w:b/>
          <w:color w:val="auto"/>
          <w:highlight w:val="none"/>
        </w:rPr>
      </w:pPr>
      <w:bookmarkStart w:id="168" w:name="_Toc18076"/>
      <w:bookmarkStart w:id="169" w:name="_Toc26859"/>
      <w:bookmarkStart w:id="170" w:name="_Toc6622"/>
      <w:bookmarkStart w:id="171" w:name="_Toc16107"/>
      <w:bookmarkStart w:id="172" w:name="_Toc38"/>
      <w:bookmarkStart w:id="173" w:name="_Toc27606"/>
      <w:bookmarkStart w:id="174" w:name="_Toc8355"/>
      <w:bookmarkStart w:id="175" w:name="_Toc27670"/>
      <w:bookmarkStart w:id="176" w:name="_Toc26289"/>
      <w:bookmarkStart w:id="177" w:name="_Toc11147"/>
      <w:bookmarkStart w:id="178" w:name="_Toc18670"/>
      <w:bookmarkStart w:id="179" w:name="_Toc4699"/>
      <w:bookmarkStart w:id="180" w:name="_Toc23484"/>
      <w:bookmarkStart w:id="181" w:name="_Toc17946"/>
      <w:bookmarkStart w:id="182" w:name="_Toc29894"/>
      <w:r>
        <w:rPr>
          <w:rFonts w:hint="eastAsia" w:asciiTheme="minorEastAsia" w:hAnsiTheme="minorEastAsia" w:eastAsiaTheme="minorEastAsia" w:cstheme="minorEastAsia"/>
          <w:b/>
          <w:color w:val="auto"/>
          <w:highlight w:val="none"/>
        </w:rPr>
        <w:t xml:space="preserve">11.2 </w:t>
      </w:r>
      <w:bookmarkEnd w:id="166"/>
      <w:bookmarkEnd w:id="167"/>
      <w:bookmarkEnd w:id="168"/>
      <w:bookmarkEnd w:id="169"/>
      <w:bookmarkEnd w:id="170"/>
      <w:bookmarkEnd w:id="171"/>
      <w:bookmarkEnd w:id="172"/>
      <w:bookmarkEnd w:id="173"/>
      <w:bookmarkEnd w:id="174"/>
      <w:bookmarkEnd w:id="175"/>
      <w:r>
        <w:rPr>
          <w:rFonts w:hint="eastAsia" w:asciiTheme="minorEastAsia" w:hAnsiTheme="minorEastAsia" w:eastAsiaTheme="minorEastAsia" w:cstheme="minorEastAsia"/>
          <w:b/>
          <w:color w:val="auto"/>
          <w:highlight w:val="none"/>
        </w:rPr>
        <w:t>投标标书的编制要求</w:t>
      </w:r>
      <w:bookmarkEnd w:id="176"/>
      <w:bookmarkEnd w:id="177"/>
      <w:bookmarkEnd w:id="178"/>
      <w:bookmarkEnd w:id="179"/>
      <w:bookmarkEnd w:id="180"/>
      <w:bookmarkEnd w:id="181"/>
      <w:bookmarkEnd w:id="182"/>
    </w:p>
    <w:p w14:paraId="5516FD77">
      <w:pPr>
        <w:pStyle w:val="34"/>
        <w:ind w:firstLine="561"/>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11.2.1 投标标书包括但不限于以下内容：</w:t>
      </w:r>
    </w:p>
    <w:p w14:paraId="16F4BF3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（1）封面（格式一）；</w:t>
      </w:r>
    </w:p>
    <w:p w14:paraId="3D59625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（2）目录； </w:t>
      </w:r>
    </w:p>
    <w:p w14:paraId="72457639">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（3）《投标函》及《工程项目总价表》（格式二）；</w:t>
      </w:r>
    </w:p>
    <w:p w14:paraId="42DD483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（4）《各项承诺一览表》（格式三）；</w:t>
      </w:r>
    </w:p>
    <w:p w14:paraId="30E6580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（5）《授权委托书》（格式四）；</w:t>
      </w:r>
    </w:p>
    <w:p w14:paraId="051A315E">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（6）《法定代表人身份证明》（格式五）；</w:t>
      </w:r>
    </w:p>
    <w:p w14:paraId="0581DFB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（7）《联合体协议书》（格式六）及所附资料；</w:t>
      </w:r>
    </w:p>
    <w:p w14:paraId="11BECBF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（8）投标保证缴纳证明（</w:t>
      </w:r>
      <w:r>
        <w:rPr>
          <w:rFonts w:hint="eastAsia" w:asciiTheme="minorEastAsia" w:hAnsiTheme="minorEastAsia" w:eastAsiaTheme="minorEastAsia" w:cstheme="minorEastAsia"/>
          <w:snapToGrid w:val="0"/>
          <w:color w:val="auto"/>
          <w:kern w:val="0"/>
          <w:szCs w:val="18"/>
          <w:highlight w:val="none"/>
        </w:rPr>
        <w:t>投标人采用投标保证金的，附建设工程交易系统《缴纳投标保证金通知书》页面截图和银行转账单</w:t>
      </w:r>
      <w:r>
        <w:rPr>
          <w:rFonts w:hint="eastAsia" w:asciiTheme="minorEastAsia" w:hAnsiTheme="minorEastAsia" w:eastAsiaTheme="minorEastAsia" w:cstheme="minorEastAsia"/>
          <w:snapToGrid w:val="0"/>
          <w:color w:val="auto"/>
          <w:kern w:val="0"/>
          <w:szCs w:val="18"/>
          <w:highlight w:val="none"/>
          <w:lang w:val="en-US" w:eastAsia="zh-CN"/>
        </w:rPr>
        <w:t>彩色扫描</w:t>
      </w:r>
      <w:r>
        <w:rPr>
          <w:rFonts w:hint="eastAsia" w:asciiTheme="minorEastAsia" w:hAnsiTheme="minorEastAsia" w:eastAsiaTheme="minorEastAsia" w:cstheme="minorEastAsia"/>
          <w:snapToGrid w:val="0"/>
          <w:color w:val="auto"/>
          <w:kern w:val="0"/>
          <w:szCs w:val="18"/>
          <w:highlight w:val="none"/>
        </w:rPr>
        <w:t>件；采用投标保证担保的，附银行保函</w:t>
      </w:r>
      <w:r>
        <w:rPr>
          <w:rFonts w:hint="eastAsia" w:asciiTheme="minorEastAsia" w:hAnsiTheme="minorEastAsia" w:eastAsiaTheme="minorEastAsia" w:cstheme="minorEastAsia"/>
          <w:snapToGrid w:val="0"/>
          <w:color w:val="auto"/>
          <w:kern w:val="0"/>
          <w:szCs w:val="18"/>
          <w:highlight w:val="none"/>
          <w:lang w:val="en-US" w:eastAsia="zh-CN"/>
        </w:rPr>
        <w:t>彩色扫描件</w:t>
      </w:r>
      <w:r>
        <w:rPr>
          <w:rFonts w:hint="eastAsia" w:asciiTheme="minorEastAsia" w:hAnsiTheme="minorEastAsia" w:eastAsiaTheme="minorEastAsia" w:cstheme="minorEastAsia"/>
          <w:snapToGrid w:val="0"/>
          <w:color w:val="auto"/>
          <w:kern w:val="0"/>
          <w:szCs w:val="18"/>
          <w:highlight w:val="none"/>
        </w:rPr>
        <w:t>；采用投标保证保险的，附电子保单和</w:t>
      </w:r>
      <w:r>
        <w:rPr>
          <w:rFonts w:hint="eastAsia" w:asciiTheme="minorEastAsia" w:hAnsiTheme="minorEastAsia" w:eastAsiaTheme="minorEastAsia" w:cstheme="minorEastAsia"/>
          <w:b/>
          <w:bCs/>
          <w:color w:val="auto"/>
          <w:szCs w:val="24"/>
          <w:highlight w:val="none"/>
        </w:rPr>
        <w:t>《韶关市公共资源交易一体化平台保证金缴纳信息》</w:t>
      </w:r>
      <w:r>
        <w:rPr>
          <w:rFonts w:hint="eastAsia" w:asciiTheme="minorEastAsia" w:hAnsiTheme="minorEastAsia" w:eastAsiaTheme="minorEastAsia" w:cstheme="minorEastAsia"/>
          <w:b/>
          <w:bCs/>
          <w:snapToGrid w:val="0"/>
          <w:color w:val="auto"/>
          <w:kern w:val="0"/>
          <w:szCs w:val="18"/>
          <w:highlight w:val="none"/>
        </w:rPr>
        <w:t>页面截图</w:t>
      </w:r>
      <w:r>
        <w:rPr>
          <w:rFonts w:hint="eastAsia" w:asciiTheme="minorEastAsia" w:hAnsiTheme="minorEastAsia" w:eastAsiaTheme="minorEastAsia" w:cstheme="minorEastAsia"/>
          <w:snapToGrid w:val="0"/>
          <w:color w:val="auto"/>
          <w:kern w:val="0"/>
          <w:szCs w:val="24"/>
          <w:highlight w:val="none"/>
        </w:rPr>
        <w:t>）。</w:t>
      </w:r>
    </w:p>
    <w:p w14:paraId="209ACE12">
      <w:pPr>
        <w:wordWrap w:val="0"/>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kern w:val="0"/>
          <w:szCs w:val="24"/>
          <w:highlight w:val="none"/>
        </w:rPr>
        <w:t>（9）《投标人基本情况表》（格式七）及所附资料；</w:t>
      </w:r>
    </w:p>
    <w:p w14:paraId="46EE9D72">
      <w:pPr>
        <w:wordWrap w:val="0"/>
        <w:adjustRightInd w:val="0"/>
        <w:snapToGrid w:val="0"/>
        <w:spacing w:line="360" w:lineRule="auto"/>
        <w:ind w:firstLine="480" w:firstLineChars="200"/>
        <w:rPr>
          <w:rFonts w:hint="eastAsia" w:asciiTheme="minorEastAsia" w:hAnsiTheme="minorEastAsia" w:eastAsiaTheme="minorEastAsia" w:cstheme="minorEastAsia"/>
          <w:strike/>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（10）《项目经理简历表》（格式八）及所附资料；</w:t>
      </w:r>
    </w:p>
    <w:p w14:paraId="5BA3EC6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（11）《项目经理任职声明》（格式九）；</w:t>
      </w:r>
    </w:p>
    <w:p w14:paraId="6BAD79D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（12）《项目技术负责人简历表》（格式十）及所附资料；</w:t>
      </w:r>
    </w:p>
    <w:p w14:paraId="798E521F">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（13）《项目设计负责人简历表》（格式十一）及所附资料；</w:t>
      </w:r>
    </w:p>
    <w:p w14:paraId="13704F8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（14）《项目管理机构组成表》（格式十二）及所附资料；</w:t>
      </w:r>
    </w:p>
    <w:p w14:paraId="14453957">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（15）本章第14.2目“评标方法”要求提供的评审资料（如有）；</w:t>
      </w:r>
    </w:p>
    <w:p w14:paraId="0FE86B70">
      <w:pPr>
        <w:pStyle w:val="34"/>
        <w:ind w:firstLine="480" w:firstLineChars="200"/>
        <w:rPr>
          <w:rFonts w:hint="eastAsia" w:asciiTheme="minorEastAsia" w:hAnsiTheme="minorEastAsia" w:eastAsiaTheme="minorEastAsia" w:cstheme="minorEastAsia"/>
          <w:color w:val="auto"/>
          <w:szCs w:val="18"/>
          <w:highlight w:val="none"/>
        </w:rPr>
      </w:pPr>
      <w:r>
        <w:rPr>
          <w:rFonts w:hint="eastAsia" w:asciiTheme="minorEastAsia" w:hAnsiTheme="minorEastAsia" w:eastAsiaTheme="minorEastAsia" w:cstheme="minorEastAsia"/>
          <w:snapToGrid w:val="0"/>
          <w:color w:val="auto"/>
          <w:kern w:val="0"/>
          <w:szCs w:val="24"/>
          <w:highlight w:val="none"/>
        </w:rPr>
        <w:t>（16）投标人认为有必要补充的其他资料。（例如投标人已经工商变更，但其企业资质证书、安全生产许可证或其员工执业资格注册证书上的企业名称未能在投标期间完成变更的书面说明和佐证材料；外省企业所在省、地级市住建部门或其授权的组织（机构）关于企业资质、人员资格有效期自动顺延或延期办理的相关文件等；关于投标总价下浮率超过15%的书面说明和佐证材料）。</w:t>
      </w:r>
    </w:p>
    <w:p w14:paraId="2091977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rPr>
        <w:t>11.2.</w:t>
      </w:r>
      <w:r>
        <w:rPr>
          <w:rFonts w:hint="eastAsia" w:asciiTheme="minorEastAsia" w:hAnsiTheme="minorEastAsia" w:eastAsiaTheme="minorEastAsia" w:cstheme="minorEastAsia"/>
          <w:snapToGrid w:val="0"/>
          <w:color w:val="auto"/>
          <w:kern w:val="0"/>
          <w:szCs w:val="24"/>
          <w:highlight w:val="none"/>
        </w:rPr>
        <w:t>2 本章第</w:t>
      </w:r>
      <w:r>
        <w:rPr>
          <w:rFonts w:hint="eastAsia" w:asciiTheme="minorEastAsia" w:hAnsiTheme="minorEastAsia" w:eastAsiaTheme="minorEastAsia" w:cstheme="minorEastAsia"/>
          <w:b/>
          <w:bCs/>
          <w:snapToGrid w:val="0"/>
          <w:color w:val="auto"/>
          <w:kern w:val="0"/>
          <w:szCs w:val="24"/>
          <w:highlight w:val="none"/>
        </w:rPr>
        <w:t>11.2.1</w:t>
      </w:r>
      <w:r>
        <w:rPr>
          <w:rFonts w:hint="eastAsia" w:asciiTheme="minorEastAsia" w:hAnsiTheme="minorEastAsia" w:eastAsiaTheme="minorEastAsia" w:cstheme="minorEastAsia"/>
          <w:snapToGrid w:val="0"/>
          <w:color w:val="auto"/>
          <w:kern w:val="0"/>
          <w:szCs w:val="24"/>
          <w:highlight w:val="none"/>
        </w:rPr>
        <w:t>目中所列出的投标标书组成内容中，第（1）至第（15）项所有投标人均应提供，</w:t>
      </w:r>
      <w:r>
        <w:rPr>
          <w:rFonts w:hint="eastAsia" w:asciiTheme="minorEastAsia" w:hAnsiTheme="minorEastAsia" w:eastAsiaTheme="minorEastAsia" w:cstheme="minorEastAsia"/>
          <w:b/>
          <w:bCs/>
          <w:snapToGrid w:val="0"/>
          <w:color w:val="auto"/>
          <w:kern w:val="0"/>
          <w:szCs w:val="24"/>
          <w:highlight w:val="none"/>
        </w:rPr>
        <w:t>但非联合体投标的，无需提供第（7）项内容。</w:t>
      </w:r>
    </w:p>
    <w:p w14:paraId="7154588F">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color w:val="auto"/>
          <w:szCs w:val="24"/>
          <w:highlight w:val="none"/>
        </w:rPr>
        <w:t>11.2.</w:t>
      </w:r>
      <w:r>
        <w:rPr>
          <w:rFonts w:hint="eastAsia" w:asciiTheme="minorEastAsia" w:hAnsiTheme="minorEastAsia" w:eastAsiaTheme="minorEastAsia" w:cstheme="minorEastAsia"/>
          <w:snapToGrid w:val="0"/>
          <w:color w:val="auto"/>
          <w:kern w:val="0"/>
          <w:szCs w:val="24"/>
          <w:highlight w:val="none"/>
        </w:rPr>
        <w:t>3 投标标书的组成内容按本章第</w:t>
      </w:r>
      <w:r>
        <w:rPr>
          <w:rFonts w:hint="eastAsia" w:asciiTheme="minorEastAsia" w:hAnsiTheme="minorEastAsia" w:eastAsiaTheme="minorEastAsia" w:cstheme="minorEastAsia"/>
          <w:b/>
          <w:bCs/>
          <w:snapToGrid w:val="0"/>
          <w:color w:val="auto"/>
          <w:kern w:val="0"/>
          <w:szCs w:val="24"/>
          <w:highlight w:val="none"/>
        </w:rPr>
        <w:t>11.2.1</w:t>
      </w:r>
      <w:r>
        <w:rPr>
          <w:rFonts w:hint="eastAsia" w:asciiTheme="minorEastAsia" w:hAnsiTheme="minorEastAsia" w:eastAsiaTheme="minorEastAsia" w:cstheme="minorEastAsia"/>
          <w:snapToGrid w:val="0"/>
          <w:color w:val="auto"/>
          <w:kern w:val="0"/>
          <w:szCs w:val="24"/>
          <w:highlight w:val="none"/>
        </w:rPr>
        <w:t>目规定的顺序整理、编排后，逐页连续标记页码。</w:t>
      </w:r>
    </w:p>
    <w:p w14:paraId="587FF5A5">
      <w:pPr>
        <w:pStyle w:val="48"/>
        <w:ind w:firstLine="482" w:firstLineChars="200"/>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特别说明：</w:t>
      </w:r>
    </w:p>
    <w:p w14:paraId="61BE12F5">
      <w:pPr>
        <w:pStyle w:val="48"/>
        <w:ind w:firstLine="482" w:firstLineChars="200"/>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1、本次招标投标时不要求编制施工组织设计。中标人中标后先按有关规定及要求提供设计成果文件，中标人设计成果确认经有关部门的审查及经有资质的审图机构审查合格通过，中标人还应编制施工组织设计及专项施工方案报监理及招标人审批，然后依据审图合格后的设计施工图编写施工组织设计，报有关部门审查批准后方可实施；中标人须向招标人提供经批准的施工组织设计一式五份。</w:t>
      </w:r>
    </w:p>
    <w:p w14:paraId="69A0DA65">
      <w:pPr>
        <w:pStyle w:val="48"/>
        <w:ind w:firstLine="482" w:firstLineChars="200"/>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 xml:space="preserve">2、本次招标投标时不要求按编制工程量清单计价模式进行投标报价。投标人若中标后依据经审图合格后的设计施工图编制施工图预算，该施工图预算必须达到办理合同备案及开工手续的要求；中标人须向招标人提供一式伍份完整的预算资料（含工程量计算表、施工图预算书及电子版）。 </w:t>
      </w:r>
      <w:bookmarkStart w:id="183" w:name="_Toc11313"/>
      <w:bookmarkStart w:id="184" w:name="_Toc17812"/>
      <w:bookmarkStart w:id="185" w:name="_Toc14130"/>
      <w:bookmarkStart w:id="186" w:name="_Toc27175"/>
      <w:bookmarkStart w:id="187" w:name="_Toc13003"/>
      <w:bookmarkStart w:id="188" w:name="_Toc17459"/>
      <w:bookmarkStart w:id="189" w:name="_Toc11926"/>
      <w:bookmarkStart w:id="190" w:name="_Toc1583"/>
    </w:p>
    <w:p w14:paraId="078C7FCC">
      <w:pPr>
        <w:pStyle w:val="48"/>
        <w:ind w:firstLine="482" w:firstLineChars="200"/>
        <w:rPr>
          <w:rFonts w:hint="eastAsia" w:asciiTheme="minorEastAsia" w:hAnsiTheme="minorEastAsia" w:eastAsiaTheme="minorEastAsia" w:cstheme="minorEastAsia"/>
          <w:b/>
          <w:snapToGrid w:val="0"/>
          <w:color w:val="auto"/>
          <w:highlight w:val="none"/>
        </w:rPr>
      </w:pPr>
      <w:r>
        <w:rPr>
          <w:rFonts w:hint="eastAsia" w:asciiTheme="minorEastAsia" w:hAnsiTheme="minorEastAsia" w:eastAsiaTheme="minorEastAsia" w:cstheme="minorEastAsia"/>
          <w:b/>
          <w:color w:val="auto"/>
          <w:highlight w:val="none"/>
        </w:rPr>
        <w:t>11.3</w:t>
      </w:r>
      <w:bookmarkEnd w:id="183"/>
      <w:bookmarkEnd w:id="184"/>
      <w:bookmarkEnd w:id="185"/>
      <w:bookmarkEnd w:id="186"/>
      <w:bookmarkEnd w:id="187"/>
      <w:bookmarkEnd w:id="188"/>
      <w:bookmarkEnd w:id="189"/>
      <w:bookmarkEnd w:id="190"/>
      <w:r>
        <w:rPr>
          <w:rFonts w:hint="eastAsia" w:asciiTheme="minorEastAsia" w:hAnsiTheme="minorEastAsia" w:eastAsiaTheme="minorEastAsia" w:cstheme="minorEastAsia"/>
          <w:b/>
          <w:snapToGrid w:val="0"/>
          <w:color w:val="auto"/>
          <w:highlight w:val="none"/>
        </w:rPr>
        <w:t>电子投标</w:t>
      </w:r>
      <w:bookmarkStart w:id="191" w:name="_Hlt66200498"/>
      <w:bookmarkEnd w:id="191"/>
      <w:bookmarkStart w:id="192" w:name="_Hlt66511038"/>
      <w:bookmarkEnd w:id="192"/>
      <w:bookmarkStart w:id="193" w:name="_Hlt88627590"/>
      <w:bookmarkEnd w:id="193"/>
      <w:bookmarkStart w:id="194" w:name="_Toc27961"/>
    </w:p>
    <w:p w14:paraId="57F688F3">
      <w:pPr>
        <w:pStyle w:val="48"/>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11.3.1、在交易平台上传加盖了电子印章的投标文件、录入相关信息及标书页码信息，并提交投标标书（页码起始从封面开始）。提交标书为已加密投标文件。具体操作参照《韶关市公共资源建设工程交易系统-投标人操作指南（电子评标）》。</w:t>
      </w:r>
    </w:p>
    <w:p w14:paraId="77A4A8F3">
      <w:pPr>
        <w:pStyle w:val="48"/>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本项目评标采用全流程电子化进行招标投标（投标人应在交易平台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5E5D50F7">
      <w:pPr>
        <w:pStyle w:val="48"/>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投标文件完成上传后，投标人应使用 CA 数字证书对投标文件进行文件加密，形成加密的投标文件并提交标书。</w:t>
      </w:r>
    </w:p>
    <w:p w14:paraId="230FCD87">
      <w:pPr>
        <w:pStyle w:val="48"/>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11.3.2电子投标文件的修改、撤回：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p w14:paraId="0CE1FF3D">
      <w:pPr>
        <w:pStyle w:val="48"/>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11.3.3电子投标及投标解密失败及突发情况的补救方案</w:t>
      </w:r>
    </w:p>
    <w:p w14:paraId="585877D1">
      <w:pPr>
        <w:pStyle w:val="48"/>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11.3.3.1按照交易平台关于全流程电子化项目的相关指南进行操作。详见：全国公共资源交易平台（广东省·韶关市）发布的最新版操作指南。</w:t>
      </w:r>
    </w:p>
    <w:p w14:paraId="42F09261">
      <w:pPr>
        <w:pStyle w:val="48"/>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11.3.3.2补救方案</w:t>
      </w:r>
    </w:p>
    <w:p w14:paraId="2E9342F6">
      <w:pPr>
        <w:pStyle w:val="48"/>
        <w:numPr>
          <w:ilvl w:val="0"/>
          <w:numId w:val="2"/>
        </w:numPr>
        <w:ind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highlight w:val="none"/>
        </w:rPr>
        <w:t>投标文件解密失败的补救方案：</w:t>
      </w:r>
      <w:bookmarkStart w:id="195" w:name="_Toc28927"/>
    </w:p>
    <w:p w14:paraId="5CD5D936">
      <w:pPr>
        <w:pStyle w:val="48"/>
        <w:numPr>
          <w:ilvl w:val="0"/>
          <w:numId w:val="0"/>
        </w:numPr>
        <w:ind w:firstLine="720" w:firstLineChars="3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电子投标文件解密失败且未在规定的时限内按要求成功上传未加密的备用投标文件的，视为无效投标。</w:t>
      </w:r>
      <w:bookmarkEnd w:id="195"/>
      <w:bookmarkStart w:id="196" w:name="_Toc9612"/>
    </w:p>
    <w:p w14:paraId="4A9AE2A5">
      <w:pPr>
        <w:pStyle w:val="48"/>
        <w:numPr>
          <w:ilvl w:val="0"/>
          <w:numId w:val="2"/>
        </w:numPr>
        <w:ind w:left="0" w:leftChars="0"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评标时突发情况的补救方案</w:t>
      </w:r>
      <w:bookmarkEnd w:id="196"/>
      <w:bookmarkStart w:id="197" w:name="_Toc6314"/>
      <w:r>
        <w:rPr>
          <w:rFonts w:hint="eastAsia" w:asciiTheme="minorEastAsia" w:hAnsiTheme="minorEastAsia" w:eastAsiaTheme="minorEastAsia" w:cstheme="minorEastAsia"/>
          <w:bCs/>
          <w:color w:val="auto"/>
          <w:kern w:val="2"/>
          <w:highlight w:val="none"/>
          <w:lang w:eastAsia="zh-CN"/>
        </w:rPr>
        <w:t>：</w:t>
      </w:r>
    </w:p>
    <w:p w14:paraId="370AF792">
      <w:pPr>
        <w:pStyle w:val="48"/>
        <w:numPr>
          <w:ilvl w:val="0"/>
          <w:numId w:val="0"/>
        </w:numPr>
        <w:ind w:firstLine="960" w:firstLineChars="4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197"/>
      <w:bookmarkStart w:id="198" w:name="_Toc10157"/>
    </w:p>
    <w:p w14:paraId="1A3A30C4">
      <w:pPr>
        <w:pStyle w:val="48"/>
        <w:numPr>
          <w:ilvl w:val="0"/>
          <w:numId w:val="2"/>
        </w:numPr>
        <w:ind w:left="0" w:leftChars="0"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除发生上述情况外，开标评标均以投标人通过交易平台网上递交的电子投标文件为准。</w:t>
      </w:r>
      <w:bookmarkEnd w:id="198"/>
      <w:bookmarkStart w:id="199" w:name="_Toc12675"/>
    </w:p>
    <w:p w14:paraId="1B7B6ECD">
      <w:pPr>
        <w:pStyle w:val="48"/>
        <w:numPr>
          <w:ilvl w:val="0"/>
          <w:numId w:val="0"/>
        </w:numPr>
        <w:ind w:leftChars="200"/>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11.4 投标文件的提交、修改和撤回</w:t>
      </w:r>
      <w:bookmarkEnd w:id="194"/>
      <w:bookmarkEnd w:id="199"/>
      <w:bookmarkStart w:id="200" w:name="_Hlt92512875"/>
      <w:bookmarkEnd w:id="200"/>
      <w:bookmarkStart w:id="201" w:name="_Hlt66608380"/>
      <w:bookmarkEnd w:id="201"/>
      <w:bookmarkStart w:id="202" w:name="_Hlt69699424"/>
      <w:bookmarkEnd w:id="202"/>
      <w:bookmarkStart w:id="203" w:name="_Hlt74494779"/>
      <w:bookmarkEnd w:id="203"/>
      <w:bookmarkStart w:id="204" w:name="_Hlt75685366"/>
      <w:bookmarkEnd w:id="204"/>
      <w:bookmarkStart w:id="205" w:name="_Toc24469"/>
      <w:bookmarkStart w:id="206" w:name="_Toc104711075"/>
      <w:bookmarkStart w:id="207" w:name="_Toc30635"/>
      <w:bookmarkStart w:id="208" w:name="_Toc4483"/>
      <w:bookmarkStart w:id="209" w:name="_Toc28454"/>
      <w:bookmarkStart w:id="210" w:name="_Toc106418820"/>
      <w:bookmarkStart w:id="211" w:name="_Toc7631"/>
      <w:bookmarkStart w:id="212" w:name="_Toc3050"/>
      <w:bookmarkStart w:id="213" w:name="_Toc24322"/>
      <w:bookmarkStart w:id="214" w:name="_Toc9838"/>
      <w:bookmarkStart w:id="215" w:name="_Toc22741"/>
    </w:p>
    <w:p w14:paraId="012D5A77">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11.4.1在投标文件提交截止时间前，投标人通过交易平台提交已加密投标文件。逾期提交的电子投标文件，交易平台将予以拒收。</w:t>
      </w:r>
      <w:bookmarkEnd w:id="205"/>
      <w:bookmarkStart w:id="216" w:name="_Toc25103"/>
    </w:p>
    <w:p w14:paraId="19A13F2B">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11.4.2提交时间：见本章第二节“重要事项时间地点一览表”。</w:t>
      </w:r>
      <w:bookmarkEnd w:id="216"/>
      <w:bookmarkStart w:id="217" w:name="_Toc9791"/>
    </w:p>
    <w:p w14:paraId="5D5E2591">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11.4.3投标人无须进行现场签到，如有招标文件要求提交的用于评审的证书、证件、证明原件等投标相关资料，投标人可在规定的地点、时间内递交至开标现场（附一式两份清单），无原件的不作要求。</w:t>
      </w:r>
      <w:bookmarkEnd w:id="217"/>
      <w:bookmarkStart w:id="218" w:name="_Toc25029"/>
    </w:p>
    <w:p w14:paraId="66D42C80">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11.4.4 递交时间和地点：见本章第二节“重要事项时间地点一览表”。</w:t>
      </w:r>
      <w:bookmarkEnd w:id="218"/>
      <w:bookmarkStart w:id="219" w:name="_Toc5665"/>
    </w:p>
    <w:p w14:paraId="0B2460FC">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11.4.5 投标人代表到达现场后，应出示以下身份证明材料：</w:t>
      </w:r>
      <w:bookmarkEnd w:id="219"/>
      <w:bookmarkStart w:id="220" w:name="_Toc1714"/>
    </w:p>
    <w:p w14:paraId="1D0EAFB6">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（1）本人有效的第二代居民身份证；</w:t>
      </w:r>
      <w:bookmarkEnd w:id="220"/>
      <w:bookmarkStart w:id="221" w:name="_Toc22519"/>
      <w:bookmarkStart w:id="222" w:name="_Toc30210"/>
      <w:bookmarkStart w:id="223" w:name="_Toc1212"/>
    </w:p>
    <w:p w14:paraId="7D6D8C0E">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（2）法定代表人到场的，出示《法定代表人身份证明》（格式五）；委托代理人到场的，应同时出示《授权委托书》（格式四）和《法定代表人身份证明》。</w:t>
      </w:r>
      <w:bookmarkEnd w:id="221"/>
      <w:bookmarkEnd w:id="222"/>
      <w:bookmarkEnd w:id="223"/>
      <w:bookmarkStart w:id="224" w:name="_Toc3014"/>
      <w:bookmarkStart w:id="225" w:name="_Toc29016"/>
      <w:bookmarkStart w:id="226" w:name="_Toc8927"/>
    </w:p>
    <w:p w14:paraId="31CA0B38">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11.4.6联合体投标的，由联合体牵头人按以上要求递交投标相关资料。</w:t>
      </w:r>
      <w:bookmarkEnd w:id="224"/>
      <w:bookmarkEnd w:id="225"/>
      <w:bookmarkEnd w:id="226"/>
      <w:bookmarkStart w:id="227" w:name="_Toc13697"/>
      <w:bookmarkStart w:id="228" w:name="_Toc13703"/>
      <w:bookmarkStart w:id="229" w:name="_Toc16539"/>
    </w:p>
    <w:p w14:paraId="3B5C6ACD">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11.4.7招标人或其授权的招标代理机构核对、接收投标人递交的投标相关资料后，应并妥善保管。</w:t>
      </w:r>
      <w:bookmarkEnd w:id="227"/>
      <w:bookmarkEnd w:id="228"/>
      <w:bookmarkEnd w:id="229"/>
      <w:bookmarkStart w:id="230" w:name="_Toc5287"/>
      <w:bookmarkStart w:id="231" w:name="_Toc6708"/>
      <w:bookmarkStart w:id="232" w:name="_Toc20579"/>
    </w:p>
    <w:p w14:paraId="2B4D9868">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11.4.8 投标人发生以下情形的，其投标相关资料招标人不予接收：</w:t>
      </w:r>
      <w:bookmarkEnd w:id="230"/>
      <w:bookmarkEnd w:id="231"/>
      <w:bookmarkEnd w:id="232"/>
      <w:bookmarkStart w:id="233" w:name="_Toc31045"/>
      <w:bookmarkStart w:id="234" w:name="_Toc32603"/>
      <w:bookmarkStart w:id="235" w:name="_Toc18916"/>
    </w:p>
    <w:p w14:paraId="67FFA51A">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（1）未在指定的时间和地点递交的；</w:t>
      </w:r>
      <w:bookmarkEnd w:id="233"/>
      <w:bookmarkEnd w:id="234"/>
      <w:bookmarkEnd w:id="235"/>
      <w:bookmarkStart w:id="236" w:name="_Toc15823"/>
      <w:bookmarkStart w:id="237" w:name="_Toc17194"/>
      <w:bookmarkStart w:id="238" w:name="_Toc15124"/>
    </w:p>
    <w:p w14:paraId="4CB70762">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（2）到场人员未出示身份证明材料的。</w:t>
      </w:r>
      <w:bookmarkEnd w:id="236"/>
      <w:bookmarkEnd w:id="237"/>
      <w:bookmarkEnd w:id="238"/>
      <w:bookmarkStart w:id="239" w:name="_Toc17679"/>
      <w:bookmarkStart w:id="240" w:name="_Toc2022"/>
      <w:bookmarkStart w:id="241" w:name="_Toc23037"/>
    </w:p>
    <w:p w14:paraId="6966CCDE">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11.4..9出现下述情形之一，属于未成功提交投标文件，按无效投标处理：</w:t>
      </w:r>
      <w:bookmarkEnd w:id="239"/>
      <w:bookmarkEnd w:id="240"/>
      <w:bookmarkEnd w:id="241"/>
      <w:bookmarkStart w:id="242" w:name="_Toc30279"/>
      <w:bookmarkStart w:id="243" w:name="_Toc27579"/>
      <w:bookmarkStart w:id="244" w:name="_Toc22805"/>
    </w:p>
    <w:p w14:paraId="3AA61B1E">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（1）至提交投标文件截止时，投标文件未完整上传或未提交投标；</w:t>
      </w:r>
      <w:bookmarkEnd w:id="242"/>
      <w:bookmarkEnd w:id="243"/>
      <w:bookmarkEnd w:id="244"/>
      <w:bookmarkStart w:id="245" w:name="_Toc1293"/>
      <w:bookmarkStart w:id="246" w:name="_Toc26257"/>
      <w:bookmarkStart w:id="247" w:name="_Toc17052"/>
    </w:p>
    <w:p w14:paraId="453F948A">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（2）投标文件未按投标格式中注明需签字盖章的要求进行签名（含电子签名）和加盖电子印章，或签名（含电子签名）或电子印章不完整的；</w:t>
      </w:r>
      <w:bookmarkEnd w:id="245"/>
      <w:bookmarkEnd w:id="246"/>
      <w:bookmarkEnd w:id="247"/>
    </w:p>
    <w:p w14:paraId="3B470C9B">
      <w:pPr>
        <w:pStyle w:val="36"/>
        <w:keepNext/>
        <w:keepLines/>
        <w:ind w:firstLine="480"/>
        <w:jc w:val="both"/>
        <w:outlineLvl w:val="9"/>
        <w:rPr>
          <w:rFonts w:hint="eastAsia" w:asciiTheme="minorEastAsia" w:hAnsiTheme="minorEastAsia" w:eastAsiaTheme="minorEastAsia" w:cstheme="minorEastAsia"/>
          <w:bCs/>
          <w:color w:val="auto"/>
          <w:kern w:val="2"/>
          <w:highlight w:val="none"/>
        </w:rPr>
      </w:pPr>
      <w:bookmarkStart w:id="248" w:name="_Toc7367"/>
      <w:bookmarkStart w:id="249" w:name="_Toc23907"/>
      <w:bookmarkStart w:id="250" w:name="_Toc444"/>
      <w:bookmarkStart w:id="251" w:name="_Toc11071"/>
      <w:r>
        <w:rPr>
          <w:rFonts w:hint="eastAsia" w:asciiTheme="minorEastAsia" w:hAnsiTheme="minorEastAsia" w:eastAsiaTheme="minorEastAsia" w:cstheme="minorEastAsia"/>
          <w:bCs/>
          <w:color w:val="auto"/>
          <w:kern w:val="2"/>
          <w:highlight w:val="none"/>
        </w:rPr>
        <w:t>（3）解密失败且在规定时间内未重新提交投标文件的；</w:t>
      </w:r>
      <w:bookmarkEnd w:id="248"/>
      <w:bookmarkEnd w:id="249"/>
      <w:bookmarkEnd w:id="250"/>
      <w:bookmarkEnd w:id="251"/>
    </w:p>
    <w:p w14:paraId="1B20CC6E">
      <w:pPr>
        <w:pStyle w:val="36"/>
        <w:keepNext/>
        <w:keepLines/>
        <w:ind w:firstLine="480"/>
        <w:jc w:val="both"/>
        <w:outlineLvl w:val="9"/>
        <w:rPr>
          <w:rFonts w:hint="eastAsia" w:asciiTheme="minorEastAsia" w:hAnsiTheme="minorEastAsia" w:eastAsiaTheme="minorEastAsia" w:cstheme="minorEastAsia"/>
          <w:bCs/>
          <w:color w:val="auto"/>
          <w:kern w:val="2"/>
          <w:highlight w:val="none"/>
        </w:rPr>
      </w:pPr>
      <w:bookmarkStart w:id="252" w:name="_Toc26444"/>
      <w:bookmarkStart w:id="253" w:name="_Toc21719"/>
      <w:bookmarkStart w:id="254" w:name="_Toc1607"/>
      <w:bookmarkStart w:id="255" w:name="_Toc13"/>
      <w:r>
        <w:rPr>
          <w:rFonts w:hint="eastAsia" w:asciiTheme="minorEastAsia" w:hAnsiTheme="minorEastAsia" w:eastAsiaTheme="minorEastAsia" w:cstheme="minorEastAsia"/>
          <w:bCs/>
          <w:color w:val="auto"/>
          <w:kern w:val="2"/>
          <w:highlight w:val="none"/>
        </w:rPr>
        <w:t>（4）投标文件损坏或格式不正确的。</w:t>
      </w:r>
      <w:bookmarkEnd w:id="252"/>
      <w:bookmarkEnd w:id="253"/>
      <w:bookmarkEnd w:id="254"/>
      <w:bookmarkEnd w:id="255"/>
    </w:p>
    <w:p w14:paraId="67B53C5C">
      <w:pPr>
        <w:pStyle w:val="36"/>
        <w:keepNext/>
        <w:keepLines/>
        <w:ind w:firstLine="480"/>
        <w:jc w:val="both"/>
        <w:rPr>
          <w:rFonts w:hint="eastAsia" w:asciiTheme="minorEastAsia" w:hAnsiTheme="minorEastAsia" w:eastAsiaTheme="minorEastAsia" w:cstheme="minorEastAsia"/>
          <w:b/>
          <w:color w:val="auto"/>
          <w:kern w:val="2"/>
          <w:highlight w:val="none"/>
        </w:rPr>
      </w:pPr>
      <w:bookmarkStart w:id="256" w:name="_Toc23010"/>
      <w:bookmarkStart w:id="257" w:name="_Toc1650"/>
      <w:r>
        <w:rPr>
          <w:rFonts w:hint="eastAsia" w:asciiTheme="minorEastAsia" w:hAnsiTheme="minorEastAsia" w:eastAsiaTheme="minorEastAsia" w:cstheme="minorEastAsia"/>
          <w:b/>
          <w:color w:val="auto"/>
          <w:kern w:val="2"/>
          <w:highlight w:val="none"/>
        </w:rPr>
        <w:t>12、 投标有效期及对投标人的其他要求</w:t>
      </w:r>
      <w:bookmarkEnd w:id="206"/>
      <w:bookmarkEnd w:id="207"/>
      <w:bookmarkEnd w:id="208"/>
      <w:bookmarkEnd w:id="209"/>
      <w:bookmarkEnd w:id="210"/>
      <w:bookmarkEnd w:id="211"/>
      <w:bookmarkEnd w:id="212"/>
      <w:bookmarkEnd w:id="213"/>
      <w:bookmarkEnd w:id="214"/>
      <w:bookmarkEnd w:id="215"/>
      <w:bookmarkEnd w:id="256"/>
      <w:bookmarkEnd w:id="257"/>
    </w:p>
    <w:p w14:paraId="22E1045D">
      <w:pPr>
        <w:pStyle w:val="34"/>
        <w:ind w:firstLine="48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snapToGrid w:val="0"/>
          <w:color w:val="auto"/>
          <w:kern w:val="0"/>
          <w:szCs w:val="24"/>
          <w:highlight w:val="none"/>
        </w:rPr>
        <w:t>本次招标投标有效期为</w:t>
      </w:r>
      <w:r>
        <w:rPr>
          <w:rFonts w:hint="eastAsia" w:asciiTheme="minorEastAsia" w:hAnsiTheme="minorEastAsia" w:eastAsiaTheme="minorEastAsia" w:cstheme="minorEastAsia"/>
          <w:snapToGrid w:val="0"/>
          <w:color w:val="auto"/>
          <w:kern w:val="0"/>
          <w:szCs w:val="24"/>
          <w:highlight w:val="none"/>
          <w:u w:val="single"/>
        </w:rPr>
        <w:t xml:space="preserve"> 120 </w:t>
      </w:r>
      <w:r>
        <w:rPr>
          <w:rFonts w:hint="eastAsia" w:asciiTheme="minorEastAsia" w:hAnsiTheme="minorEastAsia" w:eastAsiaTheme="minorEastAsia" w:cstheme="minorEastAsia"/>
          <w:snapToGrid w:val="0"/>
          <w:color w:val="auto"/>
          <w:kern w:val="0"/>
          <w:szCs w:val="24"/>
          <w:highlight w:val="none"/>
        </w:rPr>
        <w:t>个日历天，投标有效期从提交投标文件的截止之日起计算。在此期间，投标人不得撤销或修改其投标文件，否则其投标保证不予退还。</w:t>
      </w:r>
    </w:p>
    <w:bookmarkEnd w:id="133"/>
    <w:p w14:paraId="74CE96D9">
      <w:pPr>
        <w:pStyle w:val="34"/>
        <w:autoSpaceDE w:val="0"/>
        <w:autoSpaceDN w:val="0"/>
        <w:adjustRightInd w:val="0"/>
        <w:ind w:firstLine="482" w:firstLineChars="200"/>
        <w:outlineLvl w:val="1"/>
        <w:rPr>
          <w:rFonts w:hint="eastAsia" w:asciiTheme="minorEastAsia" w:hAnsiTheme="minorEastAsia" w:eastAsiaTheme="minorEastAsia" w:cstheme="minorEastAsia"/>
          <w:b/>
          <w:color w:val="auto"/>
          <w:highlight w:val="none"/>
        </w:rPr>
      </w:pPr>
      <w:bookmarkStart w:id="258" w:name="_Hlt111081624"/>
      <w:bookmarkEnd w:id="258"/>
      <w:r>
        <w:rPr>
          <w:rFonts w:hint="eastAsia" w:asciiTheme="minorEastAsia" w:hAnsiTheme="minorEastAsia" w:eastAsiaTheme="minorEastAsia" w:cstheme="minorEastAsia"/>
          <w:b/>
          <w:color w:val="auto"/>
          <w:highlight w:val="none"/>
        </w:rPr>
        <w:t>13</w:t>
      </w: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rPr>
        <w:t>开标</w:t>
      </w:r>
    </w:p>
    <w:p w14:paraId="2802C55F">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 招标人邀请所有正确完成了网上获取招标文件、电子投标、缴纳投标保证、递交投标文件的投标人参加开标，投标人可自主决定是否参加。投标人不参加开标的，视其默认开标结果，以及放弃在开标期间见证、监督、投诉、申辩的权利。</w:t>
      </w:r>
    </w:p>
    <w:p w14:paraId="779F69ED">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13.1.1 开标时间和地点：见本章第二节“重要事项时间地点一览表”。</w:t>
      </w:r>
    </w:p>
    <w:p w14:paraId="207269D7">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13.1.2 开标前24小时，若交易平台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14:paraId="61F07286">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363FEF86">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13.2 开标程序</w:t>
      </w:r>
    </w:p>
    <w:p w14:paraId="0B856965">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（1）主持人（招标人代表或招标人授权的招标代理机构人员）宣读开标纪律。</w:t>
      </w:r>
    </w:p>
    <w:p w14:paraId="4ADB381C">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（2）主持人宣布唱标人、记录人、见证人、监督人等有关人员姓名。</w:t>
      </w:r>
    </w:p>
    <w:p w14:paraId="7CD8EBDF">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（3）唱标人公布在投标截止时间前进行投标文件的投标人数量和名称</w:t>
      </w:r>
    </w:p>
    <w:p w14:paraId="2ECE91B0">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（4）招标代理机构会同交易场所工作人员对投标人的电子投标信息进行解密，建设工程交易系统自动生成《投标保证缴纳情况表》和《开标一览表》。</w:t>
      </w:r>
    </w:p>
    <w:p w14:paraId="47B6CFEB">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温馨提示：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76C7969B">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14:paraId="778C59D1">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13.3 投标人对开标相关事项（如开标程序等）有异议的，必须在开标期间及时提出，招标人或其授权的招标代理机构应当场作出答复，并记录在案。对开标事项的异议未在开标期间及时提出的，招标人不予受理。</w:t>
      </w:r>
    </w:p>
    <w:p w14:paraId="3EF6B83F">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13.4 招标代理机构将资料原件（若有）、《开标一览表》以及其他有关资料移交评标委员会。</w:t>
      </w:r>
    </w:p>
    <w:p w14:paraId="1B0DB037">
      <w:pPr>
        <w:pStyle w:val="34"/>
        <w:autoSpaceDE w:val="0"/>
        <w:autoSpaceDN w:val="0"/>
        <w:adjustRightInd w:val="0"/>
        <w:ind w:firstLine="482" w:firstLineChars="200"/>
        <w:outlineLvl w:val="1"/>
        <w:rPr>
          <w:rFonts w:hint="eastAsia" w:asciiTheme="minorEastAsia" w:hAnsiTheme="minorEastAsia" w:eastAsiaTheme="minorEastAsia" w:cstheme="minorEastAsia"/>
          <w:bCs/>
          <w:color w:val="auto"/>
          <w:highlight w:val="none"/>
        </w:rPr>
      </w:pPr>
      <w:bookmarkStart w:id="259" w:name="_Toc21041"/>
      <w:r>
        <w:rPr>
          <w:rFonts w:hint="eastAsia" w:asciiTheme="minorEastAsia" w:hAnsiTheme="minorEastAsia" w:eastAsiaTheme="minorEastAsia" w:cstheme="minorEastAsia"/>
          <w:b/>
          <w:color w:val="auto"/>
          <w:highlight w:val="none"/>
        </w:rPr>
        <w:t>14</w:t>
      </w:r>
      <w:bookmarkStart w:id="260" w:name="_Hlt127093805"/>
      <w:bookmarkEnd w:id="260"/>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rPr>
        <w:t>评标的方法和标准</w:t>
      </w:r>
      <w:bookmarkEnd w:id="259"/>
    </w:p>
    <w:p w14:paraId="354F25F3">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评标分为初步评审和详细评审两个阶段，由评标委员会在有关部门的监督下，严格按照本招标文件指定的评标方法，对投标人的投标文件进行审查、评审。评标委员会完成评标后，向招标人推荐 3 个中标候选人，并向招标人提交由全体评标委员会成员签字的评标报告。</w:t>
      </w:r>
    </w:p>
    <w:p w14:paraId="1B3E43C8">
      <w:pPr>
        <w:pStyle w:val="34"/>
        <w:autoSpaceDE w:val="0"/>
        <w:autoSpaceDN w:val="0"/>
        <w:adjustRightInd w:val="0"/>
        <w:ind w:firstLine="482" w:firstLineChars="200"/>
        <w:rPr>
          <w:rFonts w:hint="eastAsia" w:asciiTheme="minorEastAsia" w:hAnsiTheme="minorEastAsia" w:eastAsiaTheme="minorEastAsia" w:cstheme="minorEastAsia"/>
          <w:bCs/>
          <w:color w:val="auto"/>
          <w:highlight w:val="none"/>
        </w:rPr>
      </w:pPr>
      <w:bookmarkStart w:id="261" w:name="_Toc32313"/>
      <w:r>
        <w:rPr>
          <w:rFonts w:hint="eastAsia" w:asciiTheme="minorEastAsia" w:hAnsiTheme="minorEastAsia" w:eastAsiaTheme="minorEastAsia" w:cstheme="minorEastAsia"/>
          <w:b/>
          <w:color w:val="auto"/>
          <w:highlight w:val="none"/>
        </w:rPr>
        <w:t>14.1 评标</w:t>
      </w:r>
      <w:bookmarkStart w:id="262" w:name="_Hlt69208274"/>
      <w:bookmarkEnd w:id="262"/>
      <w:r>
        <w:rPr>
          <w:rFonts w:hint="eastAsia" w:asciiTheme="minorEastAsia" w:hAnsiTheme="minorEastAsia" w:eastAsiaTheme="minorEastAsia" w:cstheme="minorEastAsia"/>
          <w:b/>
          <w:color w:val="auto"/>
          <w:highlight w:val="none"/>
        </w:rPr>
        <w:t>委员会</w:t>
      </w:r>
      <w:bookmarkEnd w:id="261"/>
      <w:bookmarkStart w:id="263" w:name="_Hlt69338169"/>
      <w:bookmarkEnd w:id="263"/>
    </w:p>
    <w:p w14:paraId="0F5EF10D">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14.1.1 评标委员会由</w:t>
      </w:r>
      <w:r>
        <w:rPr>
          <w:rFonts w:hint="eastAsia" w:asciiTheme="minorEastAsia" w:hAnsiTheme="minorEastAsia" w:eastAsiaTheme="minorEastAsia" w:cstheme="minorEastAsia"/>
          <w:bCs/>
          <w:color w:val="auto"/>
          <w:highlight w:val="none"/>
          <w:lang w:val="en-US" w:eastAsia="zh-CN"/>
        </w:rPr>
        <w:t>5</w:t>
      </w:r>
      <w:r>
        <w:rPr>
          <w:rFonts w:hint="eastAsia" w:asciiTheme="minorEastAsia" w:hAnsiTheme="minorEastAsia" w:eastAsiaTheme="minorEastAsia" w:cstheme="minorEastAsia"/>
          <w:bCs/>
          <w:color w:val="auto"/>
          <w:highlight w:val="none"/>
        </w:rPr>
        <w:t>人组成。专家从广东省综合评标评审专家库-韶关区域中随机抽取，其中技术类专家</w:t>
      </w:r>
      <w:r>
        <w:rPr>
          <w:rFonts w:hint="eastAsia" w:asciiTheme="minorEastAsia" w:hAnsiTheme="minorEastAsia" w:eastAsiaTheme="minorEastAsia" w:cstheme="minorEastAsia"/>
          <w:bCs/>
          <w:color w:val="auto"/>
          <w:highlight w:val="none"/>
          <w:lang w:val="en-US" w:eastAsia="zh-CN"/>
        </w:rPr>
        <w:t>3</w:t>
      </w:r>
      <w:r>
        <w:rPr>
          <w:rFonts w:hint="eastAsia" w:asciiTheme="minorEastAsia" w:hAnsiTheme="minorEastAsia" w:eastAsiaTheme="minorEastAsia" w:cstheme="minorEastAsia"/>
          <w:bCs/>
          <w:color w:val="auto"/>
          <w:highlight w:val="none"/>
        </w:rPr>
        <w:t>人，经济类专家2人。评标委员会的负责人在评委中民主选出，负责人的权力与评委成员相等。</w:t>
      </w:r>
    </w:p>
    <w:p w14:paraId="246730F3">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 评标委员会应认真、公正、诚实、廉洁地履行职责。有下列情形之一的，不得担任评标委员会成员：</w:t>
      </w:r>
    </w:p>
    <w:p w14:paraId="08194B7F">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14.1.2.1 投标人或者投标人主要负责人的近亲属；</w:t>
      </w:r>
    </w:p>
    <w:p w14:paraId="361CDB8D">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14.1.2.2 项目主管部门或者行政监督部门的人员；</w:t>
      </w:r>
    </w:p>
    <w:p w14:paraId="2724129D">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14.1.2.3 与投标人有经济利益关系，可能影响对投标公正评审的；</w:t>
      </w:r>
    </w:p>
    <w:p w14:paraId="4A670AE9">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14.1.2.4 曾因在</w:t>
      </w:r>
      <w:bookmarkStart w:id="264" w:name="_Hlt69700387"/>
      <w:bookmarkEnd w:id="264"/>
      <w:r>
        <w:rPr>
          <w:rFonts w:hint="eastAsia" w:asciiTheme="minorEastAsia" w:hAnsiTheme="minorEastAsia" w:eastAsiaTheme="minorEastAsia" w:cstheme="minorEastAsia"/>
          <w:bCs/>
          <w:color w:val="auto"/>
          <w:highlight w:val="none"/>
        </w:rPr>
        <w:t>招标、评标以及其他与招标投标有关活动中从事违法行为而受过行政处罚或刑事处罚的。</w:t>
      </w:r>
    </w:p>
    <w:p w14:paraId="48BBEE64">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14.1.3 评标委员会成员有前款规定情形之一的，应主动提出回避。</w:t>
      </w:r>
    </w:p>
    <w:p w14:paraId="37A18F78">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14.1.4 评标全过程实行封闭式管理，在中标结果公布前，禁止评标委员会成员以任何方式私下接触投标人。</w:t>
      </w:r>
    </w:p>
    <w:p w14:paraId="36DE5152">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14.1.5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248EF759">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14.1.6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285C75E0">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p>
    <w:p w14:paraId="17BE0C71">
      <w:pPr>
        <w:pStyle w:val="34"/>
        <w:autoSpaceDE w:val="0"/>
        <w:autoSpaceDN w:val="0"/>
        <w:adjustRightInd w:val="0"/>
        <w:ind w:firstLine="482" w:firstLineChars="200"/>
        <w:rPr>
          <w:rFonts w:hint="eastAsia" w:asciiTheme="minorEastAsia" w:hAnsiTheme="minorEastAsia" w:eastAsiaTheme="minorEastAsia" w:cstheme="minorEastAsia"/>
          <w:b/>
          <w:color w:val="auto"/>
          <w:highlight w:val="none"/>
        </w:rPr>
      </w:pPr>
      <w:bookmarkStart w:id="265" w:name="_Toc104711078"/>
      <w:bookmarkStart w:id="266" w:name="_Toc106418823"/>
      <w:bookmarkStart w:id="267" w:name="_Toc17385"/>
      <w:r>
        <w:rPr>
          <w:rFonts w:hint="eastAsia" w:asciiTheme="minorEastAsia" w:hAnsiTheme="minorEastAsia" w:eastAsiaTheme="minorEastAsia" w:cstheme="minorEastAsia"/>
          <w:b/>
          <w:color w:val="auto"/>
          <w:highlight w:val="none"/>
        </w:rPr>
        <w:t>14.2</w:t>
      </w:r>
      <w:bookmarkEnd w:id="265"/>
      <w:bookmarkEnd w:id="266"/>
      <w:r>
        <w:rPr>
          <w:rFonts w:hint="eastAsia" w:asciiTheme="minorEastAsia" w:hAnsiTheme="minorEastAsia" w:eastAsiaTheme="minorEastAsia" w:cstheme="minorEastAsia"/>
          <w:b/>
          <w:color w:val="auto"/>
          <w:highlight w:val="none"/>
        </w:rPr>
        <w:t>评标方法</w:t>
      </w:r>
      <w:bookmarkEnd w:id="267"/>
    </w:p>
    <w:p w14:paraId="46B94855">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bookmarkStart w:id="268" w:name="_Hlt66591657"/>
      <w:bookmarkEnd w:id="268"/>
      <w:r>
        <w:rPr>
          <w:rFonts w:hint="eastAsia" w:asciiTheme="minorEastAsia" w:hAnsiTheme="minorEastAsia" w:eastAsiaTheme="minorEastAsia" w:cstheme="minorEastAsia"/>
          <w:bCs/>
          <w:color w:val="auto"/>
          <w:highlight w:val="none"/>
        </w:rPr>
        <w:t>根据有关法律、法规的相关规定，结合本招标项目资金来源和规模特点，本次招标采用综合评估法进行评标。</w:t>
      </w:r>
    </w:p>
    <w:p w14:paraId="336B55D1">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14.2.1评审范围：评标委员会应对所有投标人的投标文件进行评审。</w:t>
      </w:r>
    </w:p>
    <w:p w14:paraId="33F2CCB7">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14.2.2 初步评审阶段</w:t>
      </w:r>
    </w:p>
    <w:p w14:paraId="7A48C448">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初步评审阶段分为资格评审、形式评审和响应性评审三个环节。</w:t>
      </w:r>
    </w:p>
    <w:p w14:paraId="64ADCB47">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14.2.3资格评审环节</w:t>
      </w:r>
    </w:p>
    <w:p w14:paraId="19A97792">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资格评审事项包括：</w:t>
      </w:r>
    </w:p>
    <w:p w14:paraId="7E7F5972">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（1）投标人是否符合本章第三节第 4.4条“禁止投标条款”规定。</w:t>
      </w:r>
    </w:p>
    <w:p w14:paraId="40095529">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（2）投标人名称是否与营业执照、资质证书、安全生产许可证一致。</w:t>
      </w:r>
    </w:p>
    <w:p w14:paraId="3EB53AA3">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（3）投标人的资质是否符合招标文件规定；其营业执照、资质证书、安全生产许可证是否合法、有效、准确。</w:t>
      </w:r>
    </w:p>
    <w:p w14:paraId="1854720B">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（4）《项目经理简历表》中拟派项目经理是否与《开标一览表》一致。</w:t>
      </w:r>
    </w:p>
    <w:p w14:paraId="2B305B71">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拟派项目经理、项目技术负责人、专职安全员、设计负责人的条件是否符合招标文件规定；项目管理机构组成人员的各类证书、证件、证明是否合法、有效、准确；是否擅自修改、遗漏《项目经理任职声明》的实质性内容。</w:t>
      </w:r>
    </w:p>
    <w:p w14:paraId="0D85F41D">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联合体投标的，是否提交《联合体协议书》；是否擅自修改、遗漏《联合体协议书》的实质性内容；联合体成员的数量、资质是否符合招标文件规定；联合体成员是否以自己名义单独或者参加其他联合体参与本招标工程投标。</w:t>
      </w:r>
    </w:p>
    <w:p w14:paraId="6CAE2E4E">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（7）投标人为外省建筑企业的，是否按规定在“进粤企业和人员诚信信息登记平台”录入企业及其拟派人员有关信息并通过数据规范检查。</w:t>
      </w:r>
    </w:p>
    <w:p w14:paraId="1CD4D761">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注：如果“禁止投标条款”包括失信惩戒的，投标人信用信息的获取采用现场实时查询的方式实施。由招标代理机构工作人员在评标委员会成员、交易场所工作人员共同见证下，登录信用中国网站（https://www.creditchina.gov.cn），在企业查询界面下载和打印《法人和非法人组织公共信用信息报告》，作为评审依据移交评标委员会。</w:t>
      </w:r>
    </w:p>
    <w:p w14:paraId="75B20E25">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14.2.4 形式评审环节</w:t>
      </w:r>
    </w:p>
    <w:p w14:paraId="056BB61C">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形式评审事项包括：</w:t>
      </w:r>
    </w:p>
    <w:p w14:paraId="15DF92F8">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1</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rPr>
        <w:t>投标文件是否按招标文件规定加盖电子印章。</w:t>
      </w:r>
    </w:p>
    <w:p w14:paraId="2080954B">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2</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rPr>
        <w:t>本节第11.2.2目中规定的“所有投标人均应提供”的组成内容（包括该组成内容的所附资料）是否完整、齐全。</w:t>
      </w:r>
    </w:p>
    <w:p w14:paraId="3FD1877A">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14.2.5 响应性评审环节</w:t>
      </w:r>
    </w:p>
    <w:p w14:paraId="6771CE76">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响应性评审事项包括：</w:t>
      </w:r>
    </w:p>
    <w:p w14:paraId="04FB26F9">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（1）投标有效期、质量标准、工期等是否响应招标文件实质性要求；是否擅自修改、遗漏《投标函》《各项承诺一览表》的实质性内容。</w:t>
      </w:r>
    </w:p>
    <w:p w14:paraId="42C032E1">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（2）编投标总价是否唯一；投标总价是否超出最高投标限价；投标人是否以低于成本的价格竞标。</w:t>
      </w:r>
    </w:p>
    <w:p w14:paraId="601591BE">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注：如果某投标人的投标总价下浮率（投标总价下浮率＝100%－投标总价÷招标控制价×100%）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4EA572DE">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14.2.6 否决投标说明</w:t>
      </w:r>
    </w:p>
    <w:p w14:paraId="09CB7FDB">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初步评审阶段各个环节否决投标的全部条件，在本章第四节“否决投标条件”第1条至第4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14:paraId="47761881">
      <w:pPr>
        <w:pStyle w:val="34"/>
        <w:autoSpaceDE w:val="0"/>
        <w:autoSpaceDN w:val="0"/>
        <w:adjustRightInd w:val="0"/>
        <w:ind w:firstLine="482" w:firstLineChars="200"/>
        <w:rPr>
          <w:rFonts w:hint="eastAsia" w:asciiTheme="minorEastAsia" w:hAnsiTheme="minorEastAsia" w:eastAsiaTheme="minorEastAsia" w:cstheme="minorEastAsia"/>
          <w:bCs/>
          <w:color w:val="auto"/>
          <w:highlight w:val="none"/>
        </w:rPr>
      </w:pPr>
      <w:bookmarkStart w:id="269" w:name="_Toc18413"/>
      <w:r>
        <w:rPr>
          <w:rFonts w:hint="eastAsia" w:asciiTheme="minorEastAsia" w:hAnsiTheme="minorEastAsia" w:eastAsiaTheme="minorEastAsia" w:cstheme="minorEastAsia"/>
          <w:b/>
          <w:color w:val="auto"/>
          <w:highlight w:val="none"/>
        </w:rPr>
        <w:t>14.3 详细评审阶段</w:t>
      </w:r>
      <w:bookmarkEnd w:id="269"/>
    </w:p>
    <w:p w14:paraId="1BF2C010">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14.3.1 “综合评估法”评审程序</w:t>
      </w:r>
    </w:p>
    <w:p w14:paraId="5EB98105">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评审内容分为商务部分和经济部分两大部分，实行分项计分，以100分为满分。具体分值详见《综合评分表》。</w:t>
      </w:r>
    </w:p>
    <w:p w14:paraId="2B222D1E">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除特别注明外，综合得分以及商务部分得分、经济部分得分的中间过程计算值和最终值，均按“四舍五入”原则精确到两位小数。</w:t>
      </w:r>
    </w:p>
    <w:p w14:paraId="6677DFA1">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（1）商务部分得分</w:t>
      </w:r>
    </w:p>
    <w:p w14:paraId="63B59F20">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①评标委员会各成员独立按照《综合评分表》商务部分指定的评分标准对各评分因素进行打分。各评分因素得分之和即为某投标人的商务部分得分。</w:t>
      </w:r>
    </w:p>
    <w:p w14:paraId="4209B01D">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②全体评委对该投标人的商务部分总评分取平均值，按“四舍五入”原则精确到两位小数即为该投标人商务部分的最终得分。</w:t>
      </w:r>
    </w:p>
    <w:p w14:paraId="0794734A">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（2）经济部分得分</w:t>
      </w:r>
    </w:p>
    <w:p w14:paraId="1B6DD527">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经济部分评分方法详见《综合评分表》。</w:t>
      </w:r>
    </w:p>
    <w:p w14:paraId="11ADE137">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（3）综合得分</w:t>
      </w:r>
    </w:p>
    <w:p w14:paraId="232BC4DF">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综合得分=商务部分得分+经济部分得分</w:t>
      </w:r>
    </w:p>
    <w:p w14:paraId="169A5B0D">
      <w:pPr>
        <w:spacing w:line="440" w:lineRule="exact"/>
        <w:rPr>
          <w:rFonts w:hint="eastAsia" w:asciiTheme="minorEastAsia" w:hAnsiTheme="minorEastAsia" w:eastAsiaTheme="minorEastAsia" w:cstheme="minorEastAsia"/>
          <w:bCs/>
          <w:color w:val="auto"/>
          <w:highlight w:val="none"/>
          <w:lang w:eastAsia="zh-CN"/>
        </w:rPr>
      </w:pPr>
      <w:r>
        <w:rPr>
          <w:rFonts w:hint="eastAsia" w:asciiTheme="minorEastAsia" w:hAnsiTheme="minorEastAsia" w:eastAsiaTheme="minorEastAsia" w:cstheme="minorEastAsia"/>
          <w:bCs/>
          <w:color w:val="auto"/>
          <w:highlight w:val="none"/>
        </w:rPr>
        <w:t>（4）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bookmarkEnd w:id="134"/>
    </w:p>
    <w:p w14:paraId="3DBCE0E5">
      <w:pP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3882E6B2">
      <w:pPr>
        <w:widowControl w:val="0"/>
        <w:autoSpaceDE w:val="0"/>
        <w:autoSpaceDN w:val="0"/>
        <w:adjustRightInd w:val="0"/>
        <w:spacing w:line="360" w:lineRule="auto"/>
        <w:ind w:firstLine="562" w:firstLineChars="200"/>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综合评分表</w:t>
      </w:r>
    </w:p>
    <w:tbl>
      <w:tblPr>
        <w:tblStyle w:val="21"/>
        <w:tblW w:w="10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705"/>
        <w:gridCol w:w="898"/>
        <w:gridCol w:w="3716"/>
        <w:gridCol w:w="4372"/>
      </w:tblGrid>
      <w:tr w14:paraId="58DC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821" w:type="dxa"/>
            <w:gridSpan w:val="2"/>
            <w:tcBorders>
              <w:top w:val="single" w:color="auto" w:sz="4" w:space="0"/>
              <w:left w:val="single" w:color="auto" w:sz="4" w:space="0"/>
              <w:bottom w:val="single" w:color="auto" w:sz="4" w:space="0"/>
              <w:right w:val="single" w:color="auto" w:sz="4" w:space="0"/>
            </w:tcBorders>
            <w:noWrap/>
            <w:vAlign w:val="center"/>
          </w:tcPr>
          <w:p w14:paraId="32E71639">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评标内容</w:t>
            </w:r>
          </w:p>
        </w:tc>
        <w:tc>
          <w:tcPr>
            <w:tcW w:w="4614" w:type="dxa"/>
            <w:gridSpan w:val="2"/>
            <w:tcBorders>
              <w:top w:val="single" w:color="auto" w:sz="4" w:space="0"/>
              <w:left w:val="single" w:color="auto" w:sz="4" w:space="0"/>
              <w:bottom w:val="single" w:color="auto" w:sz="4" w:space="0"/>
              <w:right w:val="single" w:color="auto" w:sz="4" w:space="0"/>
            </w:tcBorders>
            <w:noWrap/>
            <w:vAlign w:val="center"/>
          </w:tcPr>
          <w:p w14:paraId="38CFDFF2">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    明</w:t>
            </w:r>
          </w:p>
        </w:tc>
        <w:tc>
          <w:tcPr>
            <w:tcW w:w="4372" w:type="dxa"/>
            <w:tcBorders>
              <w:top w:val="single" w:color="auto" w:sz="4" w:space="0"/>
              <w:left w:val="single" w:color="auto" w:sz="4" w:space="0"/>
              <w:bottom w:val="single" w:color="auto" w:sz="4" w:space="0"/>
              <w:right w:val="single" w:color="auto" w:sz="4" w:space="0"/>
            </w:tcBorders>
            <w:noWrap/>
            <w:vAlign w:val="center"/>
          </w:tcPr>
          <w:p w14:paraId="709376D9">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113C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vMerge w:val="restart"/>
            <w:tcBorders>
              <w:top w:val="single" w:color="auto" w:sz="4" w:space="0"/>
              <w:left w:val="single" w:color="auto" w:sz="4" w:space="0"/>
              <w:right w:val="single" w:color="auto" w:sz="4" w:space="0"/>
            </w:tcBorders>
            <w:noWrap/>
            <w:vAlign w:val="center"/>
          </w:tcPr>
          <w:p w14:paraId="4AFBD214">
            <w:pPr>
              <w:widowControl/>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商务部分得分</w:t>
            </w:r>
          </w:p>
          <w:p w14:paraId="3995F2CE">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（50分）</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14:paraId="376CA603">
            <w:pPr>
              <w:keepNext w:val="0"/>
              <w:keepLines w:val="0"/>
              <w:pageBreakBefore w:val="0"/>
              <w:widowControl/>
              <w:kinsoku/>
              <w:overflowPunct/>
              <w:topLinePunct w:val="0"/>
              <w:bidi w:val="0"/>
              <w:spacing w:line="400" w:lineRule="exact"/>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施工</w:t>
            </w:r>
          </w:p>
          <w:p w14:paraId="198A3395">
            <w:pPr>
              <w:keepNext w:val="0"/>
              <w:keepLines w:val="0"/>
              <w:pageBreakBefore w:val="0"/>
              <w:widowControl/>
              <w:kinsoku/>
              <w:overflowPunct/>
              <w:topLinePunct w:val="0"/>
              <w:bidi w:val="0"/>
              <w:spacing w:line="400" w:lineRule="exact"/>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企业</w:t>
            </w:r>
          </w:p>
          <w:p w14:paraId="00CFBAA0">
            <w:pPr>
              <w:keepNext w:val="0"/>
              <w:keepLines w:val="0"/>
              <w:pageBreakBefore w:val="0"/>
              <w:widowControl/>
              <w:kinsoku/>
              <w:overflowPunct/>
              <w:topLinePunct w:val="0"/>
              <w:bidi w:val="0"/>
              <w:spacing w:line="400" w:lineRule="exact"/>
              <w:jc w:val="center"/>
              <w:rPr>
                <w:rFonts w:hint="eastAsia" w:ascii="宋体" w:hAnsi="宋体" w:eastAsia="宋体" w:cs="宋体"/>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（30分）</w:t>
            </w:r>
          </w:p>
        </w:tc>
        <w:tc>
          <w:tcPr>
            <w:tcW w:w="898" w:type="dxa"/>
            <w:tcBorders>
              <w:top w:val="single" w:color="auto" w:sz="4" w:space="0"/>
              <w:left w:val="single" w:color="auto" w:sz="4" w:space="0"/>
              <w:bottom w:val="single" w:color="auto" w:sz="4" w:space="0"/>
              <w:right w:val="single" w:color="auto" w:sz="4" w:space="0"/>
            </w:tcBorders>
            <w:noWrap/>
            <w:vAlign w:val="center"/>
          </w:tcPr>
          <w:p w14:paraId="33EA0C76">
            <w:pPr>
              <w:pStyle w:val="8"/>
              <w:keepNext w:val="0"/>
              <w:keepLines w:val="0"/>
              <w:pageBreakBefore w:val="0"/>
              <w:kinsoku/>
              <w:overflowPunct/>
              <w:topLinePunct w:val="0"/>
              <w:bidi w:val="0"/>
              <w:spacing w:after="0" w:afterLines="0"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企业获奖</w:t>
            </w:r>
          </w:p>
          <w:p w14:paraId="3FB258B5">
            <w:pPr>
              <w:keepNext w:val="0"/>
              <w:keepLines w:val="0"/>
              <w:pageBreakBefore w:val="0"/>
              <w:widowControl/>
              <w:tabs>
                <w:tab w:val="left" w:pos="7020"/>
              </w:tabs>
              <w:kinsoku/>
              <w:overflowPunct/>
              <w:topLinePunct w:val="0"/>
              <w:bidi w:val="0"/>
              <w:spacing w:line="400" w:lineRule="exact"/>
              <w:jc w:val="center"/>
              <w:textAlignment w:val="baseline"/>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1"/>
                <w:szCs w:val="21"/>
                <w:highlight w:val="none"/>
              </w:rPr>
              <w:t>（5分）</w:t>
            </w:r>
          </w:p>
        </w:tc>
        <w:tc>
          <w:tcPr>
            <w:tcW w:w="3716" w:type="dxa"/>
            <w:tcBorders>
              <w:top w:val="single" w:color="auto" w:sz="4" w:space="0"/>
              <w:left w:val="single" w:color="auto" w:sz="4" w:space="0"/>
              <w:bottom w:val="single" w:color="auto" w:sz="4" w:space="0"/>
              <w:right w:val="single" w:color="auto" w:sz="4" w:space="0"/>
            </w:tcBorders>
            <w:noWrap/>
            <w:vAlign w:val="center"/>
          </w:tcPr>
          <w:p w14:paraId="72B05B9C">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近年来（201</w:t>
            </w:r>
            <w:r>
              <w:rPr>
                <w:rFonts w:hint="eastAsia" w:asciiTheme="minorEastAsia" w:hAnsiTheme="minorEastAsia" w:eastAsiaTheme="minorEastAsia" w:cstheme="minorEastAsia"/>
                <w:b w:val="0"/>
                <w:bCs w:val="0"/>
                <w:color w:val="auto"/>
                <w:sz w:val="21"/>
                <w:szCs w:val="21"/>
                <w:highlight w:val="none"/>
                <w:lang w:val="en-US" w:eastAsia="zh-CN"/>
              </w:rPr>
              <w:t>9</w:t>
            </w:r>
            <w:r>
              <w:rPr>
                <w:rFonts w:hint="eastAsia" w:asciiTheme="minorEastAsia" w:hAnsiTheme="minorEastAsia" w:eastAsiaTheme="minorEastAsia" w:cstheme="minorEastAsia"/>
                <w:b w:val="0"/>
                <w:bCs w:val="0"/>
                <w:color w:val="auto"/>
                <w:sz w:val="21"/>
                <w:szCs w:val="21"/>
                <w:highlight w:val="none"/>
              </w:rPr>
              <w:t>年1月1日至今）</w:t>
            </w:r>
            <w:r>
              <w:rPr>
                <w:rFonts w:hint="eastAsia" w:asciiTheme="minorEastAsia" w:hAnsiTheme="minorEastAsia" w:eastAsiaTheme="minorEastAsia" w:cstheme="minorEastAsia"/>
                <w:b w:val="0"/>
                <w:bCs w:val="0"/>
                <w:color w:val="auto"/>
                <w:sz w:val="21"/>
                <w:szCs w:val="21"/>
                <w:highlight w:val="none"/>
                <w:lang w:val="en-US" w:eastAsia="zh-CN"/>
              </w:rPr>
              <w:t>获得</w:t>
            </w:r>
            <w:r>
              <w:rPr>
                <w:rFonts w:hint="eastAsia" w:asciiTheme="minorEastAsia" w:hAnsiTheme="minorEastAsia" w:eastAsiaTheme="minorEastAsia" w:cstheme="minorEastAsia"/>
                <w:b w:val="0"/>
                <w:bCs w:val="0"/>
                <w:color w:val="auto"/>
                <w:sz w:val="21"/>
                <w:szCs w:val="21"/>
                <w:highlight w:val="none"/>
                <w:u w:val="single"/>
              </w:rPr>
              <w:t>市政工程或房屋建筑</w:t>
            </w:r>
            <w:r>
              <w:rPr>
                <w:rFonts w:hint="eastAsia" w:asciiTheme="minorEastAsia" w:hAnsiTheme="minorEastAsia" w:eastAsiaTheme="minorEastAsia" w:cstheme="minorEastAsia"/>
                <w:b w:val="0"/>
                <w:bCs w:val="0"/>
                <w:color w:val="auto"/>
                <w:sz w:val="21"/>
                <w:szCs w:val="21"/>
                <w:highlight w:val="none"/>
                <w:u w:val="none"/>
                <w:lang w:val="en-US" w:eastAsia="zh-CN"/>
              </w:rPr>
              <w:t>工程类奖项情况</w:t>
            </w:r>
            <w:r>
              <w:rPr>
                <w:rFonts w:hint="eastAsia" w:asciiTheme="minorEastAsia" w:hAnsiTheme="minorEastAsia" w:eastAsiaTheme="minorEastAsia" w:cstheme="minorEastAsia"/>
                <w:b w:val="0"/>
                <w:bCs w:val="0"/>
                <w:color w:val="auto"/>
                <w:sz w:val="21"/>
                <w:szCs w:val="21"/>
                <w:highlight w:val="none"/>
              </w:rPr>
              <w:t>（不含参建项目）：</w:t>
            </w:r>
          </w:p>
          <w:p w14:paraId="0C48DBE7">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t>1、获得国家级</w:t>
            </w:r>
            <w:r>
              <w:rPr>
                <w:rFonts w:hint="eastAsia" w:asciiTheme="minorEastAsia" w:hAnsiTheme="minorEastAsia" w:eastAsiaTheme="minorEastAsia" w:cstheme="minorEastAsia"/>
                <w:b w:val="0"/>
                <w:bCs w:val="0"/>
                <w:color w:val="auto"/>
                <w:sz w:val="21"/>
                <w:szCs w:val="21"/>
                <w:highlight w:val="none"/>
                <w:lang w:val="en-US" w:eastAsia="zh-CN"/>
              </w:rPr>
              <w:t>奖项</w:t>
            </w:r>
            <w:r>
              <w:rPr>
                <w:rFonts w:hint="eastAsia" w:asciiTheme="minorEastAsia" w:hAnsiTheme="minorEastAsia" w:eastAsiaTheme="minorEastAsia" w:cstheme="minorEastAsia"/>
                <w:b w:val="0"/>
                <w:bCs w:val="0"/>
                <w:color w:val="auto"/>
                <w:sz w:val="21"/>
                <w:szCs w:val="21"/>
                <w:highlight w:val="none"/>
              </w:rPr>
              <w:t>的</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每个得5分</w:t>
            </w:r>
            <w:r>
              <w:rPr>
                <w:rFonts w:hint="eastAsia" w:asciiTheme="minorEastAsia" w:hAnsiTheme="minorEastAsia" w:eastAsiaTheme="minorEastAsia" w:cstheme="minorEastAsia"/>
                <w:b w:val="0"/>
                <w:bCs w:val="0"/>
                <w:color w:val="auto"/>
                <w:sz w:val="21"/>
                <w:szCs w:val="21"/>
                <w:highlight w:val="none"/>
                <w:lang w:eastAsia="zh-CN"/>
              </w:rPr>
              <w:t>；</w:t>
            </w:r>
          </w:p>
          <w:p w14:paraId="7F623685">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2、获得省级奖项的</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每个得3分；</w:t>
            </w:r>
          </w:p>
          <w:p w14:paraId="3DB373A2">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3、获得地市级奖项的</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每个得1分；</w:t>
            </w:r>
          </w:p>
          <w:p w14:paraId="21FD8ED0">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4、以上奖项均未获得的，不予计分。</w:t>
            </w:r>
          </w:p>
          <w:p w14:paraId="07582D79">
            <w:pPr>
              <w:keepNext w:val="0"/>
              <w:keepLines w:val="0"/>
              <w:pageBreakBefore w:val="0"/>
              <w:widowControl/>
              <w:kinsoku/>
              <w:overflowPunct/>
              <w:topLinePunct w:val="0"/>
              <w:bidi w:val="0"/>
              <w:snapToGrid w:val="0"/>
              <w:spacing w:line="400" w:lineRule="exact"/>
              <w:textAlignment w:val="baseline"/>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本项最高得5分。</w:t>
            </w:r>
          </w:p>
        </w:tc>
        <w:tc>
          <w:tcPr>
            <w:tcW w:w="4372" w:type="dxa"/>
            <w:tcBorders>
              <w:top w:val="single" w:color="auto" w:sz="4" w:space="0"/>
              <w:left w:val="single" w:color="auto" w:sz="4" w:space="0"/>
              <w:bottom w:val="single" w:color="auto" w:sz="4" w:space="0"/>
              <w:right w:val="single" w:color="auto" w:sz="4" w:space="0"/>
            </w:tcBorders>
            <w:noWrap/>
            <w:vAlign w:val="center"/>
          </w:tcPr>
          <w:p w14:paraId="65EA3271">
            <w:pPr>
              <w:keepNext w:val="0"/>
              <w:keepLines w:val="0"/>
              <w:pageBreakBefore w:val="0"/>
              <w:widowControl/>
              <w:kinsoku/>
              <w:overflowPunct/>
              <w:topLinePunct w:val="0"/>
              <w:bidi w:val="0"/>
              <w:snapToGrid w:val="0"/>
              <w:spacing w:line="400" w:lineRule="exact"/>
              <w:textAlignment w:val="baseline"/>
              <w:rPr>
                <w:rFonts w:hint="eastAsia"/>
                <w:color w:val="auto"/>
                <w:sz w:val="21"/>
                <w:szCs w:val="21"/>
              </w:rPr>
            </w:pPr>
            <w:r>
              <w:rPr>
                <w:rFonts w:hint="eastAsia"/>
                <w:color w:val="auto"/>
                <w:sz w:val="21"/>
                <w:szCs w:val="21"/>
              </w:rPr>
              <w:t>1</w:t>
            </w:r>
            <w:r>
              <w:rPr>
                <w:rFonts w:hint="eastAsia"/>
                <w:color w:val="auto"/>
                <w:sz w:val="21"/>
                <w:szCs w:val="21"/>
                <w:lang w:val="en-US" w:eastAsia="zh-CN"/>
              </w:rPr>
              <w:t>.</w:t>
            </w:r>
            <w:r>
              <w:rPr>
                <w:rFonts w:hint="eastAsia"/>
                <w:color w:val="auto"/>
                <w:sz w:val="21"/>
                <w:szCs w:val="21"/>
              </w:rPr>
              <w:t>允许投标人提交多个业绩，但同一业绩只按最高级别奖项计分一次</w:t>
            </w:r>
            <w:r>
              <w:rPr>
                <w:rFonts w:hint="eastAsia"/>
                <w:color w:val="auto"/>
                <w:sz w:val="21"/>
                <w:szCs w:val="21"/>
                <w:lang w:eastAsia="zh-CN"/>
              </w:rPr>
              <w:t>。</w:t>
            </w:r>
          </w:p>
          <w:p w14:paraId="079084B3">
            <w:pPr>
              <w:keepNext w:val="0"/>
              <w:keepLines w:val="0"/>
              <w:pageBreakBefore w:val="0"/>
              <w:widowControl/>
              <w:kinsoku/>
              <w:overflowPunct/>
              <w:topLinePunct w:val="0"/>
              <w:bidi w:val="0"/>
              <w:snapToGrid w:val="0"/>
              <w:spacing w:line="400" w:lineRule="exact"/>
              <w:textAlignment w:val="baseline"/>
              <w:rPr>
                <w:rFonts w:hint="eastAsia"/>
                <w:color w:val="auto"/>
                <w:sz w:val="21"/>
                <w:szCs w:val="21"/>
              </w:rPr>
            </w:pPr>
            <w:r>
              <w:rPr>
                <w:rFonts w:hint="eastAsia"/>
                <w:color w:val="auto"/>
                <w:sz w:val="21"/>
                <w:szCs w:val="21"/>
              </w:rPr>
              <w:t>2</w:t>
            </w:r>
            <w:r>
              <w:rPr>
                <w:rFonts w:hint="eastAsia"/>
                <w:color w:val="auto"/>
                <w:sz w:val="21"/>
                <w:szCs w:val="21"/>
                <w:lang w:val="en-US" w:eastAsia="zh-CN"/>
              </w:rPr>
              <w:t>.</w:t>
            </w:r>
            <w:r>
              <w:rPr>
                <w:rFonts w:hint="eastAsia"/>
                <w:color w:val="auto"/>
                <w:sz w:val="21"/>
                <w:szCs w:val="21"/>
              </w:rPr>
              <w:t>需附有关奖项证明</w:t>
            </w:r>
            <w:r>
              <w:rPr>
                <w:rFonts w:hint="eastAsia"/>
                <w:color w:val="auto"/>
                <w:sz w:val="21"/>
                <w:szCs w:val="21"/>
                <w:lang w:val="en-US" w:eastAsia="zh-CN"/>
              </w:rPr>
              <w:t>彩色扫描件</w:t>
            </w:r>
            <w:r>
              <w:rPr>
                <w:rFonts w:hint="eastAsia"/>
                <w:color w:val="auto"/>
                <w:sz w:val="21"/>
                <w:szCs w:val="21"/>
              </w:rPr>
              <w:t>，同时提供原件供核对。</w:t>
            </w:r>
          </w:p>
          <w:p w14:paraId="032BB260">
            <w:pPr>
              <w:keepNext w:val="0"/>
              <w:keepLines w:val="0"/>
              <w:pageBreakBefore w:val="0"/>
              <w:widowControl/>
              <w:kinsoku/>
              <w:overflowPunct/>
              <w:topLinePunct w:val="0"/>
              <w:bidi w:val="0"/>
              <w:snapToGrid w:val="0"/>
              <w:spacing w:line="400" w:lineRule="exact"/>
              <w:textAlignment w:val="baseline"/>
              <w:rPr>
                <w:rFonts w:hint="eastAsia"/>
                <w:color w:val="auto"/>
                <w:sz w:val="21"/>
                <w:szCs w:val="21"/>
              </w:rPr>
            </w:pPr>
            <w:r>
              <w:rPr>
                <w:rFonts w:hint="eastAsia"/>
                <w:color w:val="auto"/>
                <w:sz w:val="21"/>
                <w:szCs w:val="21"/>
                <w:lang w:val="en-US" w:eastAsia="zh-CN"/>
              </w:rPr>
              <w:t>3.</w:t>
            </w:r>
            <w:r>
              <w:rPr>
                <w:rFonts w:hint="eastAsia"/>
                <w:color w:val="auto"/>
                <w:sz w:val="21"/>
                <w:szCs w:val="21"/>
              </w:rPr>
              <w:t>获奖时间以奖项证明的落款日期为准。</w:t>
            </w:r>
          </w:p>
          <w:p w14:paraId="53E16DEF">
            <w:pPr>
              <w:pStyle w:val="2"/>
              <w:rPr>
                <w:rFonts w:hint="eastAsia" w:ascii="宋体" w:hAnsi="宋体" w:eastAsia="宋体" w:cs="宋体"/>
                <w:b/>
                <w:bCs/>
                <w:color w:val="auto"/>
                <w:sz w:val="21"/>
                <w:szCs w:val="21"/>
                <w:highlight w:val="none"/>
              </w:rPr>
            </w:pPr>
            <w:bookmarkStart w:id="270" w:name="_Toc13079"/>
            <w:r>
              <w:rPr>
                <w:rFonts w:hint="eastAsia" w:ascii="宋体" w:hAnsi="宋体" w:eastAsia="宋体" w:cs="宋体"/>
                <w:b/>
                <w:bCs/>
                <w:color w:val="auto"/>
                <w:kern w:val="0"/>
                <w:sz w:val="21"/>
                <w:szCs w:val="21"/>
                <w:highlight w:val="none"/>
                <w:lang w:val="en-US" w:eastAsia="zh-CN"/>
              </w:rPr>
              <w:t>4.组成联合体的,由牵头人提供。</w:t>
            </w:r>
            <w:bookmarkEnd w:id="270"/>
          </w:p>
        </w:tc>
      </w:tr>
      <w:tr w14:paraId="094D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8" w:hRule="atLeast"/>
          <w:jc w:val="center"/>
        </w:trPr>
        <w:tc>
          <w:tcPr>
            <w:tcW w:w="1116" w:type="dxa"/>
            <w:vMerge w:val="continue"/>
            <w:tcBorders>
              <w:left w:val="single" w:color="auto" w:sz="4" w:space="0"/>
              <w:right w:val="single" w:color="auto" w:sz="4" w:space="0"/>
            </w:tcBorders>
            <w:noWrap/>
            <w:vAlign w:val="center"/>
          </w:tcPr>
          <w:p w14:paraId="6F0B503D">
            <w:pPr>
              <w:widowControl/>
              <w:spacing w:line="400" w:lineRule="exact"/>
              <w:jc w:val="left"/>
              <w:rPr>
                <w:rFonts w:hint="eastAsia" w:ascii="宋体" w:hAnsi="宋体" w:eastAsia="宋体" w:cs="宋体"/>
                <w:color w:val="auto"/>
                <w:kern w:val="0"/>
                <w:sz w:val="21"/>
                <w:szCs w:val="21"/>
                <w:highlight w:val="none"/>
              </w:rPr>
            </w:p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14:paraId="47DCB936">
            <w:pPr>
              <w:keepNext w:val="0"/>
              <w:keepLines w:val="0"/>
              <w:pageBreakBefore w:val="0"/>
              <w:widowControl/>
              <w:kinsoku/>
              <w:overflowPunct/>
              <w:topLinePunct w:val="0"/>
              <w:bidi w:val="0"/>
              <w:spacing w:line="400" w:lineRule="exact"/>
              <w:jc w:val="left"/>
              <w:rPr>
                <w:rFonts w:hint="eastAsia" w:ascii="宋体" w:hAnsi="宋体" w:eastAsia="宋体" w:cs="宋体"/>
                <w:color w:val="auto"/>
                <w:kern w:val="0"/>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6810781C">
            <w:pPr>
              <w:pStyle w:val="8"/>
              <w:keepNext w:val="0"/>
              <w:keepLines w:val="0"/>
              <w:pageBreakBefore w:val="0"/>
              <w:kinsoku/>
              <w:overflowPunct/>
              <w:topLinePunct w:val="0"/>
              <w:bidi w:val="0"/>
              <w:spacing w:after="0" w:afterLines="0"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企业履约信誉</w:t>
            </w:r>
          </w:p>
          <w:p w14:paraId="4C1C22EE">
            <w:pPr>
              <w:keepNext w:val="0"/>
              <w:keepLines w:val="0"/>
              <w:pageBreakBefore w:val="0"/>
              <w:widowControl/>
              <w:tabs>
                <w:tab w:val="left" w:pos="7020"/>
              </w:tabs>
              <w:kinsoku/>
              <w:overflowPunct/>
              <w:topLinePunct w:val="0"/>
              <w:bidi w:val="0"/>
              <w:spacing w:line="400" w:lineRule="exact"/>
              <w:jc w:val="center"/>
              <w:textAlignment w:val="baseline"/>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（5分）</w:t>
            </w:r>
          </w:p>
        </w:tc>
        <w:tc>
          <w:tcPr>
            <w:tcW w:w="3716" w:type="dxa"/>
            <w:tcBorders>
              <w:top w:val="single" w:color="auto" w:sz="4" w:space="0"/>
              <w:left w:val="single" w:color="auto" w:sz="4" w:space="0"/>
              <w:bottom w:val="single" w:color="auto" w:sz="4" w:space="0"/>
              <w:right w:val="single" w:color="auto" w:sz="4" w:space="0"/>
            </w:tcBorders>
            <w:noWrap/>
            <w:vAlign w:val="center"/>
          </w:tcPr>
          <w:p w14:paraId="1CB826C0">
            <w:pPr>
              <w:keepNext w:val="0"/>
              <w:keepLines w:val="0"/>
              <w:pageBreakBefore w:val="0"/>
              <w:widowControl/>
              <w:kinsoku/>
              <w:overflowPunct/>
              <w:topLinePunct w:val="0"/>
              <w:bidi w:val="0"/>
              <w:snapToGrid w:val="0"/>
              <w:spacing w:line="400" w:lineRule="exac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企业获得“守合同重信用企业”（以下简称“守重”）荣誉情况：</w:t>
            </w:r>
          </w:p>
          <w:p w14:paraId="6CDC4423">
            <w:pPr>
              <w:keepNext w:val="0"/>
              <w:keepLines w:val="0"/>
              <w:pageBreakBefore w:val="0"/>
              <w:widowControl/>
              <w:kinsoku/>
              <w:overflowPunct/>
              <w:topLinePunct w:val="0"/>
              <w:bidi w:val="0"/>
              <w:snapToGrid w:val="0"/>
              <w:spacing w:line="400" w:lineRule="exac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1、“守重”连续</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年及以上（其中必须有2020年度）的，得5分；</w:t>
            </w:r>
          </w:p>
          <w:p w14:paraId="0704E776">
            <w:pPr>
              <w:keepNext w:val="0"/>
              <w:keepLines w:val="0"/>
              <w:pageBreakBefore w:val="0"/>
              <w:widowControl/>
              <w:kinsoku/>
              <w:overflowPunct/>
              <w:topLinePunct w:val="0"/>
              <w:bidi w:val="0"/>
              <w:snapToGrid w:val="0"/>
              <w:spacing w:line="400" w:lineRule="exac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2、“守重”连续</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年的，得3分；</w:t>
            </w:r>
          </w:p>
          <w:p w14:paraId="58DBA9AE">
            <w:pPr>
              <w:keepNext w:val="0"/>
              <w:keepLines w:val="0"/>
              <w:pageBreakBefore w:val="0"/>
              <w:widowControl/>
              <w:kinsoku/>
              <w:overflowPunct/>
              <w:topLinePunct w:val="0"/>
              <w:bidi w:val="0"/>
              <w:snapToGrid w:val="0"/>
              <w:spacing w:line="400" w:lineRule="exac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3、“守重”连续</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年的，得2分；</w:t>
            </w:r>
          </w:p>
          <w:p w14:paraId="6DE10B31">
            <w:pPr>
              <w:keepNext w:val="0"/>
              <w:keepLines w:val="0"/>
              <w:pageBreakBefore w:val="0"/>
              <w:widowControl/>
              <w:kinsoku/>
              <w:overflowPunct/>
              <w:topLinePunct w:val="0"/>
              <w:bidi w:val="0"/>
              <w:snapToGrid w:val="0"/>
              <w:spacing w:line="400" w:lineRule="exac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、“守重”连续1～2年的，得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14:paraId="639E6D63">
            <w:pPr>
              <w:keepNext w:val="0"/>
              <w:keepLines w:val="0"/>
              <w:pageBreakBefore w:val="0"/>
              <w:widowControl/>
              <w:kinsoku/>
              <w:overflowPunct/>
              <w:topLinePunct w:val="0"/>
              <w:bidi w:val="0"/>
              <w:snapToGrid w:val="0"/>
              <w:spacing w:line="400" w:lineRule="exac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、未获得过“守重”评定的，不予计分。</w:t>
            </w:r>
          </w:p>
          <w:p w14:paraId="5B1E7445">
            <w:pPr>
              <w:keepNext w:val="0"/>
              <w:keepLines w:val="0"/>
              <w:pageBreakBefore w:val="0"/>
              <w:widowControl/>
              <w:kinsoku/>
              <w:overflowPunct/>
              <w:topLinePunct w:val="0"/>
              <w:bidi w:val="0"/>
              <w:snapToGrid w:val="0"/>
              <w:spacing w:line="40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本项最高得5分。</w:t>
            </w:r>
          </w:p>
        </w:tc>
        <w:tc>
          <w:tcPr>
            <w:tcW w:w="4372" w:type="dxa"/>
            <w:tcBorders>
              <w:top w:val="single" w:color="auto" w:sz="4" w:space="0"/>
              <w:left w:val="single" w:color="auto" w:sz="4" w:space="0"/>
              <w:bottom w:val="single" w:color="auto" w:sz="4" w:space="0"/>
              <w:right w:val="single" w:color="auto" w:sz="4" w:space="0"/>
            </w:tcBorders>
            <w:noWrap/>
            <w:vAlign w:val="center"/>
          </w:tcPr>
          <w:p w14:paraId="52704F58">
            <w:pPr>
              <w:keepNext w:val="0"/>
              <w:keepLines w:val="0"/>
              <w:pageBreakBefore w:val="0"/>
              <w:widowControl/>
              <w:kinsoku/>
              <w:overflowPunct/>
              <w:topLinePunct w:val="0"/>
              <w:bidi w:val="0"/>
              <w:snapToGrid w:val="0"/>
              <w:spacing w:line="400" w:lineRule="exact"/>
              <w:textAlignment w:val="baseline"/>
              <w:rPr>
                <w:rFonts w:hint="eastAsia"/>
                <w:color w:val="auto"/>
                <w:sz w:val="21"/>
                <w:szCs w:val="21"/>
              </w:rPr>
            </w:pPr>
            <w:r>
              <w:rPr>
                <w:rFonts w:hint="eastAsia"/>
                <w:color w:val="auto"/>
                <w:sz w:val="21"/>
                <w:szCs w:val="21"/>
              </w:rPr>
              <w:t>1、</w:t>
            </w:r>
            <w:r>
              <w:rPr>
                <w:rFonts w:hint="eastAsia"/>
                <w:color w:val="auto"/>
                <w:sz w:val="21"/>
                <w:szCs w:val="21"/>
                <w:lang w:val="en-US" w:eastAsia="zh-CN"/>
              </w:rPr>
              <w:t>(</w:t>
            </w:r>
            <w:r>
              <w:rPr>
                <w:rFonts w:hint="eastAsia"/>
                <w:color w:val="auto"/>
                <w:sz w:val="21"/>
                <w:szCs w:val="21"/>
              </w:rPr>
              <w:t>“守重”</w:t>
            </w:r>
            <w:r>
              <w:rPr>
                <w:rFonts w:hint="eastAsia"/>
                <w:color w:val="auto"/>
                <w:sz w:val="21"/>
                <w:szCs w:val="21"/>
                <w:lang w:val="en-US" w:eastAsia="zh-CN"/>
              </w:rPr>
              <w:t>年度</w:t>
            </w:r>
            <w:r>
              <w:rPr>
                <w:rFonts w:hint="eastAsia"/>
                <w:color w:val="auto"/>
                <w:sz w:val="21"/>
                <w:szCs w:val="21"/>
              </w:rPr>
              <w:t>必须</w:t>
            </w:r>
            <w:r>
              <w:rPr>
                <w:rFonts w:hint="eastAsia"/>
                <w:color w:val="auto"/>
                <w:sz w:val="21"/>
                <w:szCs w:val="21"/>
                <w:lang w:val="en-US" w:eastAsia="zh-CN"/>
              </w:rPr>
              <w:t>含</w:t>
            </w:r>
            <w:r>
              <w:rPr>
                <w:rFonts w:hint="eastAsia"/>
                <w:color w:val="auto"/>
                <w:sz w:val="21"/>
                <w:szCs w:val="21"/>
              </w:rPr>
              <w:t>2020年度</w:t>
            </w:r>
            <w:r>
              <w:rPr>
                <w:rFonts w:hint="eastAsia"/>
                <w:color w:val="auto"/>
                <w:sz w:val="21"/>
                <w:szCs w:val="21"/>
                <w:lang w:eastAsia="zh-CN"/>
              </w:rPr>
              <w:t>），</w:t>
            </w:r>
            <w:r>
              <w:rPr>
                <w:rFonts w:hint="eastAsia"/>
                <w:color w:val="auto"/>
                <w:sz w:val="21"/>
                <w:szCs w:val="21"/>
              </w:rPr>
              <w:t>须附“守重”证书彩色扫描件，同时提供原件供核对。（证书为电子证书的除外）</w:t>
            </w:r>
          </w:p>
          <w:p w14:paraId="300F689E">
            <w:pPr>
              <w:keepNext w:val="0"/>
              <w:keepLines w:val="0"/>
              <w:pageBreakBefore w:val="0"/>
              <w:widowControl/>
              <w:kinsoku/>
              <w:overflowPunct/>
              <w:topLinePunct w:val="0"/>
              <w:bidi w:val="0"/>
              <w:snapToGrid w:val="0"/>
              <w:spacing w:line="400" w:lineRule="exact"/>
              <w:textAlignment w:val="baseline"/>
              <w:rPr>
                <w:rFonts w:hint="eastAsia"/>
                <w:color w:val="auto"/>
                <w:sz w:val="21"/>
                <w:szCs w:val="21"/>
              </w:rPr>
            </w:pPr>
            <w:r>
              <w:rPr>
                <w:rFonts w:hint="eastAsia"/>
                <w:color w:val="auto"/>
                <w:sz w:val="21"/>
                <w:szCs w:val="21"/>
              </w:rPr>
              <w:t>2、““守重”证书须由 市场监督行政主管部门（原工商行政主管部门） 颁发。</w:t>
            </w:r>
          </w:p>
          <w:p w14:paraId="71FB9BF1">
            <w:pPr>
              <w:keepNext w:val="0"/>
              <w:keepLines w:val="0"/>
              <w:pageBreakBefore w:val="0"/>
              <w:widowControl/>
              <w:kinsoku/>
              <w:wordWrap/>
              <w:overflowPunct/>
              <w:topLinePunct w:val="0"/>
              <w:autoSpaceDE/>
              <w:autoSpaceDN/>
              <w:bidi w:val="0"/>
              <w:adjustRightInd/>
              <w:snapToGrid w:val="0"/>
              <w:spacing w:line="400" w:lineRule="exact"/>
              <w:textAlignment w:val="baseline"/>
              <w:rPr>
                <w:rFonts w:hint="eastAsia"/>
                <w:color w:val="auto"/>
                <w:sz w:val="21"/>
                <w:szCs w:val="21"/>
              </w:rPr>
            </w:pPr>
            <w:r>
              <w:rPr>
                <w:rFonts w:hint="eastAsia"/>
                <w:color w:val="auto"/>
                <w:sz w:val="21"/>
                <w:szCs w:val="21"/>
              </w:rPr>
              <w:t>3、未提供“守重”证书原件的；颁发机构不符合要求的，该项不予计分。</w:t>
            </w:r>
          </w:p>
          <w:p w14:paraId="2AD7E5FB">
            <w:pPr>
              <w:pStyle w:val="2"/>
              <w:rPr>
                <w:rFonts w:hint="eastAsia" w:ascii="宋体" w:hAnsi="宋体" w:eastAsia="宋体" w:cs="宋体"/>
                <w:color w:val="auto"/>
                <w:kern w:val="2"/>
                <w:sz w:val="21"/>
                <w:szCs w:val="21"/>
                <w:highlight w:val="none"/>
                <w:lang w:val="en-US" w:eastAsia="zh-CN" w:bidi="ar-SA"/>
              </w:rPr>
            </w:pPr>
            <w:bookmarkStart w:id="271" w:name="_Toc17129"/>
            <w:r>
              <w:rPr>
                <w:rFonts w:hint="eastAsia" w:ascii="宋体" w:hAnsi="宋体" w:eastAsia="宋体" w:cs="宋体"/>
                <w:b/>
                <w:bCs/>
                <w:color w:val="auto"/>
                <w:kern w:val="0"/>
                <w:sz w:val="21"/>
                <w:szCs w:val="21"/>
                <w:highlight w:val="none"/>
                <w:lang w:val="en-US" w:eastAsia="zh-CN"/>
              </w:rPr>
              <w:t>4.组成联合体的,由牵头人提供。</w:t>
            </w:r>
            <w:bookmarkEnd w:id="271"/>
          </w:p>
        </w:tc>
      </w:tr>
      <w:tr w14:paraId="75C9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vMerge w:val="continue"/>
            <w:tcBorders>
              <w:left w:val="single" w:color="auto" w:sz="4" w:space="0"/>
              <w:right w:val="single" w:color="auto" w:sz="4" w:space="0"/>
            </w:tcBorders>
            <w:noWrap/>
            <w:vAlign w:val="center"/>
          </w:tcPr>
          <w:p w14:paraId="630FB82D">
            <w:pPr>
              <w:widowControl/>
              <w:spacing w:line="400" w:lineRule="exact"/>
              <w:jc w:val="left"/>
              <w:rPr>
                <w:rFonts w:hint="eastAsia" w:ascii="宋体" w:hAnsi="宋体" w:eastAsia="宋体" w:cs="宋体"/>
                <w:color w:val="auto"/>
                <w:kern w:val="0"/>
                <w:sz w:val="21"/>
                <w:szCs w:val="21"/>
                <w:highlight w:val="none"/>
              </w:rPr>
            </w:p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14:paraId="55A0EF25">
            <w:pPr>
              <w:keepNext w:val="0"/>
              <w:keepLines w:val="0"/>
              <w:pageBreakBefore w:val="0"/>
              <w:widowControl/>
              <w:kinsoku/>
              <w:overflowPunct/>
              <w:topLinePunct w:val="0"/>
              <w:bidi w:val="0"/>
              <w:spacing w:line="400" w:lineRule="exact"/>
              <w:jc w:val="left"/>
              <w:rPr>
                <w:rFonts w:hint="eastAsia" w:ascii="宋体" w:hAnsi="宋体" w:eastAsia="宋体" w:cs="宋体"/>
                <w:color w:val="auto"/>
                <w:kern w:val="0"/>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4EC2C9CB">
            <w:pPr>
              <w:pStyle w:val="8"/>
              <w:wordWrap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企业银行</w:t>
            </w:r>
          </w:p>
          <w:p w14:paraId="78675349">
            <w:pPr>
              <w:pStyle w:val="8"/>
              <w:wordWrap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资信评级</w:t>
            </w:r>
          </w:p>
          <w:p w14:paraId="437EF8F0">
            <w:pPr>
              <w:pStyle w:val="8"/>
              <w:wordWrap w:val="0"/>
              <w:adjustRightInd w:val="0"/>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（5分）</w:t>
            </w:r>
          </w:p>
        </w:tc>
        <w:tc>
          <w:tcPr>
            <w:tcW w:w="3716" w:type="dxa"/>
            <w:tcBorders>
              <w:top w:val="single" w:color="auto" w:sz="4" w:space="0"/>
              <w:left w:val="single" w:color="auto" w:sz="4" w:space="0"/>
              <w:bottom w:val="single" w:color="auto" w:sz="4" w:space="0"/>
              <w:right w:val="single" w:color="auto" w:sz="4" w:space="0"/>
            </w:tcBorders>
            <w:noWrap/>
            <w:vAlign w:val="center"/>
          </w:tcPr>
          <w:p w14:paraId="7A2C5D5D">
            <w:pPr>
              <w:pStyle w:val="52"/>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1．银行资信评级AAA得5分；</w:t>
            </w:r>
          </w:p>
          <w:p w14:paraId="69B622C8">
            <w:pPr>
              <w:pStyle w:val="52"/>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2．银行资信评级AA（含AA＋、AA－）得3分；</w:t>
            </w:r>
          </w:p>
          <w:p w14:paraId="178A7BBD">
            <w:pPr>
              <w:pStyle w:val="52"/>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3．银行资信评级A（含A＋、A－）得1分；</w:t>
            </w:r>
          </w:p>
          <w:p w14:paraId="35D6519F">
            <w:pPr>
              <w:pStyle w:val="52"/>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4．未获得过以上评级的，或评级证书无效的，不予计分。</w:t>
            </w:r>
          </w:p>
        </w:tc>
        <w:tc>
          <w:tcPr>
            <w:tcW w:w="4372" w:type="dxa"/>
            <w:tcBorders>
              <w:top w:val="single" w:color="auto" w:sz="4" w:space="0"/>
              <w:left w:val="single" w:color="auto" w:sz="4" w:space="0"/>
              <w:bottom w:val="single" w:color="auto" w:sz="4" w:space="0"/>
              <w:right w:val="single" w:color="auto" w:sz="4" w:space="0"/>
            </w:tcBorders>
            <w:noWrap/>
            <w:vAlign w:val="center"/>
          </w:tcPr>
          <w:p w14:paraId="217B72C0">
            <w:pPr>
              <w:pStyle w:val="8"/>
              <w:wordWrap w:val="0"/>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1．需附在有效期内的资信评级证书（证明）</w:t>
            </w:r>
            <w:r>
              <w:rPr>
                <w:rFonts w:hint="eastAsia" w:ascii="宋体" w:hAnsi="宋体" w:eastAsia="宋体" w:cs="宋体"/>
                <w:color w:val="auto"/>
                <w:kern w:val="0"/>
                <w:sz w:val="21"/>
                <w:szCs w:val="21"/>
                <w:highlight w:val="none"/>
                <w:lang w:eastAsia="zh-CN"/>
              </w:rPr>
              <w:t>彩色扫描件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同时提供原件供核对</w:t>
            </w:r>
            <w:r>
              <w:rPr>
                <w:rFonts w:hint="eastAsia" w:ascii="宋体" w:hAnsi="宋体" w:eastAsia="宋体" w:cs="宋体"/>
                <w:color w:val="auto"/>
                <w:sz w:val="21"/>
                <w:szCs w:val="21"/>
                <w:highlight w:val="none"/>
              </w:rPr>
              <w:t>。</w:t>
            </w:r>
          </w:p>
          <w:p w14:paraId="32576C5F">
            <w:pPr>
              <w:pStyle w:val="8"/>
              <w:wordWrap w:val="0"/>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2．资信评级证书</w:t>
            </w:r>
            <w:r>
              <w:rPr>
                <w:rFonts w:hint="eastAsia" w:ascii="宋体" w:hAnsi="宋体" w:eastAsia="宋体" w:cs="宋体"/>
                <w:color w:val="auto"/>
                <w:sz w:val="21"/>
                <w:szCs w:val="21"/>
                <w:highlight w:val="none"/>
                <w:lang w:eastAsia="zh-CN"/>
              </w:rPr>
              <w:t>（证明）</w:t>
            </w:r>
            <w:r>
              <w:rPr>
                <w:rFonts w:hint="eastAsia" w:ascii="宋体" w:hAnsi="宋体" w:eastAsia="宋体" w:cs="宋体"/>
                <w:color w:val="auto"/>
                <w:sz w:val="21"/>
                <w:szCs w:val="21"/>
                <w:highlight w:val="none"/>
              </w:rPr>
              <w:t>须由</w:t>
            </w:r>
            <w:r>
              <w:rPr>
                <w:rFonts w:hint="eastAsia" w:ascii="宋体" w:hAnsi="宋体" w:eastAsia="宋体" w:cs="宋体"/>
                <w:color w:val="auto"/>
                <w:sz w:val="21"/>
                <w:szCs w:val="21"/>
                <w:highlight w:val="none"/>
                <w:u w:val="single"/>
              </w:rPr>
              <w:t>金融机构</w:t>
            </w:r>
            <w:r>
              <w:rPr>
                <w:rFonts w:hint="eastAsia" w:ascii="宋体" w:hAnsi="宋体" w:eastAsia="宋体" w:cs="宋体"/>
                <w:color w:val="auto"/>
                <w:sz w:val="21"/>
                <w:szCs w:val="21"/>
                <w:highlight w:val="none"/>
              </w:rPr>
              <w:t>出具。</w:t>
            </w:r>
          </w:p>
          <w:p w14:paraId="6F622118">
            <w:pPr>
              <w:pStyle w:val="8"/>
              <w:wordWrap w:val="0"/>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3．评级证书（证明）有以下情形之一的，视为无效：</w:t>
            </w:r>
          </w:p>
          <w:p w14:paraId="1FC20B3E">
            <w:pPr>
              <w:pStyle w:val="74"/>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①未提供评级证书（证明）原件的；</w:t>
            </w:r>
          </w:p>
          <w:p w14:paraId="79E547C4">
            <w:pPr>
              <w:pStyle w:val="74"/>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②评级证书（证明）不在有效期内的；</w:t>
            </w:r>
          </w:p>
          <w:p w14:paraId="60BDFC92">
            <w:pPr>
              <w:pStyle w:val="74"/>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③出具机构不符合要求的。</w:t>
            </w:r>
          </w:p>
          <w:p w14:paraId="44DEE954">
            <w:pPr>
              <w:pStyle w:val="74"/>
              <w:spacing w:line="24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4.组成联合体的,由牵头人提供。</w:t>
            </w:r>
          </w:p>
        </w:tc>
      </w:tr>
      <w:tr w14:paraId="5814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vMerge w:val="continue"/>
            <w:tcBorders>
              <w:left w:val="single" w:color="auto" w:sz="4" w:space="0"/>
              <w:right w:val="single" w:color="auto" w:sz="4" w:space="0"/>
            </w:tcBorders>
            <w:noWrap/>
            <w:vAlign w:val="center"/>
          </w:tcPr>
          <w:p w14:paraId="7AD01EE9">
            <w:pPr>
              <w:widowControl/>
              <w:spacing w:line="400" w:lineRule="exact"/>
              <w:jc w:val="left"/>
              <w:rPr>
                <w:rFonts w:hint="eastAsia" w:ascii="宋体" w:hAnsi="宋体" w:eastAsia="宋体" w:cs="宋体"/>
                <w:color w:val="auto"/>
                <w:kern w:val="0"/>
                <w:sz w:val="21"/>
                <w:szCs w:val="21"/>
                <w:highlight w:val="none"/>
              </w:rPr>
            </w:p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14:paraId="4F24B504">
            <w:pPr>
              <w:keepNext w:val="0"/>
              <w:keepLines w:val="0"/>
              <w:pageBreakBefore w:val="0"/>
              <w:widowControl/>
              <w:kinsoku/>
              <w:overflowPunct/>
              <w:topLinePunct w:val="0"/>
              <w:bidi w:val="0"/>
              <w:spacing w:line="400" w:lineRule="exact"/>
              <w:jc w:val="left"/>
              <w:rPr>
                <w:rFonts w:hint="eastAsia" w:ascii="宋体" w:hAnsi="宋体" w:eastAsia="宋体" w:cs="宋体"/>
                <w:color w:val="auto"/>
                <w:kern w:val="0"/>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6404C91E">
            <w:pPr>
              <w:pStyle w:val="8"/>
              <w:keepNext w:val="0"/>
              <w:keepLines w:val="0"/>
              <w:pageBreakBefore w:val="0"/>
              <w:kinsoku/>
              <w:wordWrap w:val="0"/>
              <w:overflowPunct/>
              <w:topLinePunct w:val="0"/>
              <w:bidi w:val="0"/>
              <w:adjustRightInd w:val="0"/>
              <w:snapToGrid w:val="0"/>
              <w:spacing w:after="0" w:afterLines="0" w:line="40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企业</w:t>
            </w:r>
          </w:p>
          <w:p w14:paraId="0423BC2D">
            <w:pPr>
              <w:pStyle w:val="8"/>
              <w:keepNext w:val="0"/>
              <w:keepLines w:val="0"/>
              <w:pageBreakBefore w:val="0"/>
              <w:kinsoku/>
              <w:wordWrap w:val="0"/>
              <w:overflowPunct/>
              <w:topLinePunct w:val="0"/>
              <w:bidi w:val="0"/>
              <w:adjustRightInd w:val="0"/>
              <w:snapToGrid w:val="0"/>
              <w:spacing w:after="0" w:afterLines="0" w:line="400" w:lineRule="exact"/>
              <w:jc w:val="center"/>
              <w:rPr>
                <w:rFonts w:hint="eastAsia" w:asciiTheme="minorEastAsia" w:hAnsiTheme="minorEastAsia" w:eastAsiaTheme="minorEastAsia" w:cstheme="minorEastAsia"/>
                <w:strike/>
                <w:color w:val="auto"/>
                <w:sz w:val="21"/>
                <w:szCs w:val="21"/>
                <w:highlight w:val="none"/>
              </w:rPr>
            </w:pPr>
            <w:r>
              <w:rPr>
                <w:rFonts w:hint="eastAsia" w:asciiTheme="minorEastAsia" w:hAnsiTheme="minorEastAsia" w:eastAsiaTheme="minorEastAsia" w:cstheme="minorEastAsia"/>
                <w:color w:val="auto"/>
                <w:sz w:val="21"/>
                <w:szCs w:val="21"/>
                <w:highlight w:val="none"/>
              </w:rPr>
              <w:t>财务状况</w:t>
            </w:r>
          </w:p>
          <w:p w14:paraId="5D3C777E">
            <w:pPr>
              <w:pStyle w:val="8"/>
              <w:keepNext w:val="0"/>
              <w:keepLines w:val="0"/>
              <w:pageBreakBefore w:val="0"/>
              <w:kinsoku/>
              <w:wordWrap w:val="0"/>
              <w:overflowPunct/>
              <w:topLinePunct w:val="0"/>
              <w:bidi w:val="0"/>
              <w:adjustRightInd w:val="0"/>
              <w:snapToGrid w:val="0"/>
              <w:spacing w:after="0" w:afterLines="0" w:line="400" w:lineRule="exact"/>
              <w:jc w:val="center"/>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（4分）</w:t>
            </w:r>
          </w:p>
        </w:tc>
        <w:tc>
          <w:tcPr>
            <w:tcW w:w="3716" w:type="dxa"/>
            <w:tcBorders>
              <w:top w:val="single" w:color="auto" w:sz="4" w:space="0"/>
              <w:left w:val="single" w:color="auto" w:sz="4" w:space="0"/>
              <w:bottom w:val="single" w:color="auto" w:sz="4" w:space="0"/>
              <w:right w:val="single" w:color="auto" w:sz="4" w:space="0"/>
            </w:tcBorders>
            <w:noWrap/>
            <w:vAlign w:val="center"/>
          </w:tcPr>
          <w:p w14:paraId="2FE773DB">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1．提供</w:t>
            </w:r>
            <w:r>
              <w:rPr>
                <w:rFonts w:hint="eastAsia" w:asciiTheme="minorEastAsia" w:hAnsiTheme="minorEastAsia" w:eastAsiaTheme="minorEastAsia" w:cstheme="minorEastAsia"/>
                <w:color w:val="auto"/>
                <w:kern w:val="0"/>
                <w:sz w:val="21"/>
                <w:szCs w:val="21"/>
                <w:highlight w:val="none"/>
                <w:lang w:val="en-US" w:eastAsia="zh-CN"/>
              </w:rPr>
              <w:t>不少于</w:t>
            </w:r>
            <w:r>
              <w:rPr>
                <w:rFonts w:hint="eastAsia" w:asciiTheme="minorEastAsia" w:hAnsiTheme="minorEastAsia" w:eastAsiaTheme="minorEastAsia" w:cstheme="minorEastAsia"/>
                <w:color w:val="auto"/>
                <w:kern w:val="0"/>
                <w:sz w:val="21"/>
                <w:szCs w:val="21"/>
                <w:highlight w:val="none"/>
                <w:u w:val="single"/>
                <w:lang w:val="en-US" w:eastAsia="zh-CN"/>
              </w:rPr>
              <w:t>350</w:t>
            </w:r>
            <w:r>
              <w:rPr>
                <w:rFonts w:hint="eastAsia" w:asciiTheme="minorEastAsia" w:hAnsiTheme="minorEastAsia" w:eastAsiaTheme="minorEastAsia" w:cstheme="minorEastAsia"/>
                <w:color w:val="auto"/>
                <w:kern w:val="0"/>
                <w:sz w:val="21"/>
                <w:szCs w:val="21"/>
                <w:highlight w:val="none"/>
              </w:rPr>
              <w:t>万元银行授信证明的，得4分；</w:t>
            </w:r>
          </w:p>
          <w:p w14:paraId="23B12F7B">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snapToGrid w:val="0"/>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2．以上证明均未提供的，不予计分。</w:t>
            </w:r>
          </w:p>
        </w:tc>
        <w:tc>
          <w:tcPr>
            <w:tcW w:w="4372" w:type="dxa"/>
            <w:tcBorders>
              <w:top w:val="single" w:color="auto" w:sz="4" w:space="0"/>
              <w:left w:val="single" w:color="auto" w:sz="4" w:space="0"/>
              <w:bottom w:val="single" w:color="auto" w:sz="4" w:space="0"/>
              <w:right w:val="single" w:color="auto" w:sz="4" w:space="0"/>
            </w:tcBorders>
            <w:noWrap/>
            <w:vAlign w:val="center"/>
          </w:tcPr>
          <w:p w14:paraId="65E5DAF7">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1.须附在有效期内的有关证明彩色扫描件，</w:t>
            </w:r>
            <w:r>
              <w:rPr>
                <w:rFonts w:hint="eastAsia" w:asciiTheme="minorEastAsia" w:hAnsiTheme="minorEastAsia" w:eastAsiaTheme="minorEastAsia" w:cstheme="minorEastAsia"/>
                <w:b/>
                <w:bCs/>
                <w:color w:val="auto"/>
                <w:kern w:val="0"/>
                <w:sz w:val="21"/>
                <w:szCs w:val="21"/>
                <w:highlight w:val="none"/>
              </w:rPr>
              <w:t>同时提供原件供核对</w:t>
            </w:r>
            <w:r>
              <w:rPr>
                <w:rFonts w:hint="eastAsia" w:asciiTheme="minorEastAsia" w:hAnsiTheme="minorEastAsia" w:eastAsiaTheme="minorEastAsia" w:cstheme="minorEastAsia"/>
                <w:color w:val="auto"/>
                <w:kern w:val="0"/>
                <w:sz w:val="21"/>
                <w:szCs w:val="21"/>
                <w:highlight w:val="none"/>
              </w:rPr>
              <w:t>。</w:t>
            </w:r>
          </w:p>
          <w:p w14:paraId="4CD8F7A3">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2．银行授信证明有以下情形之一的，视为无效，不予计分：</w:t>
            </w:r>
          </w:p>
          <w:p w14:paraId="6E7FA29F">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①未提供授信证明原件的；</w:t>
            </w:r>
          </w:p>
          <w:p w14:paraId="1FF81A31">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②授信证明不在有效期内的；</w:t>
            </w:r>
          </w:p>
          <w:p w14:paraId="0DD10067">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③授信额度不符合要求的</w:t>
            </w:r>
            <w:r>
              <w:rPr>
                <w:rFonts w:hint="eastAsia" w:asciiTheme="minorEastAsia" w:hAnsiTheme="minorEastAsia" w:eastAsiaTheme="minorEastAsia" w:cstheme="minorEastAsia"/>
                <w:color w:val="auto"/>
                <w:kern w:val="0"/>
                <w:sz w:val="21"/>
                <w:szCs w:val="21"/>
                <w:highlight w:val="none"/>
                <w:lang w:eastAsia="zh-CN"/>
              </w:rPr>
              <w:t>。</w:t>
            </w:r>
          </w:p>
          <w:p w14:paraId="4B05586E">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snapToGrid w:val="0"/>
                <w:color w:val="auto"/>
                <w:kern w:val="0"/>
                <w:sz w:val="21"/>
                <w:szCs w:val="21"/>
                <w:highlight w:val="none"/>
                <w:lang w:val="en-US" w:eastAsia="zh-CN" w:bidi="ar-SA"/>
              </w:rPr>
            </w:pPr>
            <w:r>
              <w:rPr>
                <w:rFonts w:hint="eastAsia"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.组成联合体的,由牵头人提供。</w:t>
            </w:r>
          </w:p>
        </w:tc>
      </w:tr>
      <w:tr w14:paraId="49AB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16" w:type="dxa"/>
            <w:vMerge w:val="continue"/>
            <w:tcBorders>
              <w:left w:val="single" w:color="auto" w:sz="4" w:space="0"/>
              <w:right w:val="single" w:color="auto" w:sz="4" w:space="0"/>
            </w:tcBorders>
            <w:noWrap/>
            <w:vAlign w:val="center"/>
          </w:tcPr>
          <w:p w14:paraId="05F55880">
            <w:pPr>
              <w:widowControl/>
              <w:spacing w:line="400" w:lineRule="exact"/>
              <w:jc w:val="left"/>
              <w:rPr>
                <w:rFonts w:hint="eastAsia" w:ascii="宋体" w:hAnsi="宋体" w:eastAsia="宋体" w:cs="宋体"/>
                <w:color w:val="auto"/>
                <w:kern w:val="0"/>
                <w:sz w:val="21"/>
                <w:szCs w:val="21"/>
                <w:highlight w:val="none"/>
              </w:rPr>
            </w:p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14:paraId="6CFC68F6">
            <w:pPr>
              <w:keepNext w:val="0"/>
              <w:keepLines w:val="0"/>
              <w:pageBreakBefore w:val="0"/>
              <w:widowControl/>
              <w:kinsoku/>
              <w:overflowPunct/>
              <w:topLinePunct w:val="0"/>
              <w:bidi w:val="0"/>
              <w:spacing w:line="400" w:lineRule="exact"/>
              <w:jc w:val="left"/>
              <w:rPr>
                <w:rFonts w:hint="eastAsia" w:ascii="宋体" w:hAnsi="宋体" w:eastAsia="宋体" w:cs="宋体"/>
                <w:color w:val="auto"/>
                <w:kern w:val="0"/>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43C4B4AC">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企业纳税信用</w:t>
            </w:r>
          </w:p>
          <w:p w14:paraId="50DDC696">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（5分）</w:t>
            </w:r>
          </w:p>
        </w:tc>
        <w:tc>
          <w:tcPr>
            <w:tcW w:w="3716" w:type="dxa"/>
            <w:tcBorders>
              <w:top w:val="single" w:color="auto" w:sz="4" w:space="0"/>
              <w:left w:val="single" w:color="auto" w:sz="4" w:space="0"/>
              <w:bottom w:val="single" w:color="auto" w:sz="4" w:space="0"/>
              <w:right w:val="single" w:color="auto" w:sz="4" w:space="0"/>
            </w:tcBorders>
            <w:noWrap/>
            <w:vAlign w:val="center"/>
          </w:tcPr>
          <w:p w14:paraId="21EAB423">
            <w:pPr>
              <w:pStyle w:val="8"/>
              <w:wordWrap w:val="0"/>
              <w:adjustRightInd w:val="0"/>
              <w:snapToGrid w:val="0"/>
              <w:spacing w:line="360" w:lineRule="auto"/>
              <w:rPr>
                <w:rFonts w:hint="eastAsia" w:ascii="宋体" w:hAnsi="宋体" w:eastAsia="宋体" w:cs="宋体"/>
                <w:snapToGrid w:val="0"/>
                <w:color w:val="auto"/>
                <w:kern w:val="0"/>
                <w:sz w:val="21"/>
                <w:szCs w:val="21"/>
                <w:highlight w:val="none"/>
                <w:u w:val="none"/>
                <w:lang w:val="en-US" w:eastAsia="zh-CN"/>
              </w:rPr>
            </w:pPr>
            <w:r>
              <w:rPr>
                <w:rFonts w:hint="eastAsia" w:ascii="宋体" w:hAnsi="宋体" w:eastAsia="宋体" w:cs="宋体"/>
                <w:snapToGrid w:val="0"/>
                <w:color w:val="auto"/>
                <w:kern w:val="0"/>
                <w:sz w:val="21"/>
                <w:szCs w:val="21"/>
                <w:highlight w:val="none"/>
                <w:u w:val="none"/>
              </w:rPr>
              <w:t>企业连续</w:t>
            </w:r>
            <w:r>
              <w:rPr>
                <w:rFonts w:hint="eastAsia" w:hAnsi="宋体" w:eastAsia="宋体" w:cs="宋体"/>
                <w:snapToGrid w:val="0"/>
                <w:color w:val="auto"/>
                <w:kern w:val="0"/>
                <w:sz w:val="21"/>
                <w:szCs w:val="21"/>
                <w:highlight w:val="none"/>
                <w:u w:val="none"/>
                <w:lang w:val="en-US" w:eastAsia="zh-CN"/>
              </w:rPr>
              <w:t>6</w:t>
            </w:r>
            <w:r>
              <w:rPr>
                <w:rFonts w:hint="eastAsia" w:ascii="宋体" w:hAnsi="宋体" w:eastAsia="宋体" w:cs="宋体"/>
                <w:snapToGrid w:val="0"/>
                <w:color w:val="auto"/>
                <w:kern w:val="0"/>
                <w:sz w:val="21"/>
                <w:szCs w:val="21"/>
                <w:highlight w:val="none"/>
                <w:u w:val="none"/>
              </w:rPr>
              <w:t>年或</w:t>
            </w:r>
            <w:r>
              <w:rPr>
                <w:rFonts w:hint="eastAsia" w:hAnsi="宋体" w:eastAsia="宋体" w:cs="宋体"/>
                <w:snapToGrid w:val="0"/>
                <w:color w:val="auto"/>
                <w:kern w:val="0"/>
                <w:sz w:val="21"/>
                <w:szCs w:val="21"/>
                <w:highlight w:val="none"/>
                <w:u w:val="none"/>
                <w:lang w:val="en-US" w:eastAsia="zh-CN"/>
              </w:rPr>
              <w:t>6</w:t>
            </w:r>
            <w:r>
              <w:rPr>
                <w:rFonts w:hint="eastAsia" w:ascii="宋体" w:hAnsi="宋体" w:eastAsia="宋体" w:cs="宋体"/>
                <w:snapToGrid w:val="0"/>
                <w:color w:val="auto"/>
                <w:kern w:val="0"/>
                <w:sz w:val="21"/>
                <w:szCs w:val="21"/>
                <w:highlight w:val="none"/>
                <w:u w:val="none"/>
              </w:rPr>
              <w:t>年以上（含</w:t>
            </w:r>
            <w:r>
              <w:rPr>
                <w:rFonts w:hint="eastAsia" w:hAnsi="宋体" w:eastAsia="宋体" w:cs="宋体"/>
                <w:snapToGrid w:val="0"/>
                <w:color w:val="auto"/>
                <w:kern w:val="0"/>
                <w:sz w:val="21"/>
                <w:szCs w:val="21"/>
                <w:highlight w:val="none"/>
                <w:u w:val="none"/>
                <w:lang w:val="en-US" w:eastAsia="zh-CN"/>
              </w:rPr>
              <w:t>6</w:t>
            </w:r>
            <w:r>
              <w:rPr>
                <w:rFonts w:hint="eastAsia" w:ascii="宋体" w:hAnsi="宋体" w:eastAsia="宋体" w:cs="宋体"/>
                <w:snapToGrid w:val="0"/>
                <w:color w:val="auto"/>
                <w:kern w:val="0"/>
                <w:sz w:val="21"/>
                <w:szCs w:val="21"/>
                <w:highlight w:val="none"/>
                <w:u w:val="none"/>
              </w:rPr>
              <w:t>年）获得纳税信用A级纳税人的，得5分(其中必须有</w:t>
            </w:r>
            <w:r>
              <w:rPr>
                <w:rFonts w:hint="eastAsia" w:ascii="宋体" w:hAnsi="宋体" w:eastAsia="宋体" w:cs="宋体"/>
                <w:snapToGrid w:val="0"/>
                <w:color w:val="auto"/>
                <w:kern w:val="0"/>
                <w:sz w:val="21"/>
                <w:szCs w:val="21"/>
                <w:highlight w:val="none"/>
                <w:u w:val="single"/>
                <w:lang w:val="en-US" w:eastAsia="zh-CN"/>
              </w:rPr>
              <w:t>2023</w:t>
            </w:r>
            <w:r>
              <w:rPr>
                <w:rFonts w:hint="eastAsia" w:ascii="宋体" w:hAnsi="宋体" w:eastAsia="宋体" w:cs="宋体"/>
                <w:snapToGrid w:val="0"/>
                <w:color w:val="auto"/>
                <w:kern w:val="0"/>
                <w:sz w:val="21"/>
                <w:szCs w:val="21"/>
                <w:highlight w:val="none"/>
                <w:u w:val="single"/>
              </w:rPr>
              <w:t>年度</w:t>
            </w:r>
            <w:r>
              <w:rPr>
                <w:rFonts w:hint="eastAsia" w:ascii="宋体" w:hAnsi="宋体" w:eastAsia="宋体" w:cs="宋体"/>
                <w:snapToGrid w:val="0"/>
                <w:color w:val="auto"/>
                <w:kern w:val="0"/>
                <w:sz w:val="21"/>
                <w:szCs w:val="21"/>
                <w:highlight w:val="none"/>
                <w:u w:val="none"/>
              </w:rPr>
              <w:t>)；</w:t>
            </w:r>
            <w:r>
              <w:rPr>
                <w:rFonts w:hint="eastAsia" w:ascii="宋体" w:hAnsi="宋体" w:eastAsia="宋体" w:cs="宋体"/>
                <w:snapToGrid w:val="0"/>
                <w:color w:val="auto"/>
                <w:kern w:val="0"/>
                <w:sz w:val="21"/>
                <w:szCs w:val="21"/>
                <w:highlight w:val="none"/>
                <w:u w:val="none"/>
                <w:lang w:val="en-US" w:eastAsia="zh-CN"/>
              </w:rPr>
              <w:t>未提供或其他不予计分。</w:t>
            </w:r>
          </w:p>
          <w:p w14:paraId="6DC034F0">
            <w:pPr>
              <w:pStyle w:val="8"/>
              <w:wordWrap w:val="0"/>
              <w:adjustRightInd w:val="0"/>
              <w:snapToGrid w:val="0"/>
              <w:spacing w:line="276" w:lineRule="auto"/>
              <w:rPr>
                <w:rFonts w:hint="eastAsia" w:ascii="宋体" w:hAnsi="宋体" w:eastAsia="宋体" w:cs="宋体"/>
                <w:snapToGrid w:val="0"/>
                <w:color w:val="auto"/>
                <w:kern w:val="0"/>
                <w:sz w:val="21"/>
                <w:szCs w:val="21"/>
                <w:highlight w:val="none"/>
                <w:lang w:val="en-US" w:eastAsia="zh-CN" w:bidi="ar-SA"/>
              </w:rPr>
            </w:pPr>
          </w:p>
        </w:tc>
        <w:tc>
          <w:tcPr>
            <w:tcW w:w="4372" w:type="dxa"/>
            <w:tcBorders>
              <w:top w:val="single" w:color="auto" w:sz="4" w:space="0"/>
              <w:left w:val="single" w:color="auto" w:sz="4" w:space="0"/>
              <w:bottom w:val="single" w:color="auto" w:sz="4" w:space="0"/>
              <w:right w:val="single" w:color="auto" w:sz="4" w:space="0"/>
            </w:tcBorders>
            <w:noWrap/>
            <w:vAlign w:val="center"/>
          </w:tcPr>
          <w:p w14:paraId="0E1D2BBB">
            <w:pPr>
              <w:pStyle w:val="8"/>
              <w:numPr>
                <w:ilvl w:val="0"/>
                <w:numId w:val="3"/>
              </w:numPr>
              <w:wordWrap w:val="0"/>
              <w:adjustRightInd w:val="0"/>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必须提供国家税务总局网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或省级电子税务网）网页查询截图，并提供相关证书（或证明材料）扫描件（或打印件），否则不得分。</w:t>
            </w:r>
          </w:p>
          <w:p w14:paraId="482ACB73">
            <w:pPr>
              <w:pStyle w:val="8"/>
              <w:numPr>
                <w:ilvl w:val="0"/>
                <w:numId w:val="3"/>
              </w:numPr>
              <w:wordWrap w:val="0"/>
              <w:adjustRightInd w:val="0"/>
              <w:snapToGrid w:val="0"/>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只计算投标人自身（不计算投标人的分公司、子公司及分支机构）</w:t>
            </w:r>
            <w:r>
              <w:rPr>
                <w:rFonts w:hint="eastAsia" w:ascii="宋体" w:hAnsi="宋体" w:eastAsia="宋体" w:cs="宋体"/>
                <w:color w:val="auto"/>
                <w:kern w:val="0"/>
                <w:sz w:val="21"/>
                <w:szCs w:val="21"/>
                <w:highlight w:val="none"/>
                <w:lang w:eastAsia="zh-CN"/>
              </w:rPr>
              <w:t>。</w:t>
            </w:r>
          </w:p>
          <w:p w14:paraId="6CAC4505">
            <w:pPr>
              <w:pStyle w:val="8"/>
              <w:numPr>
                <w:ilvl w:val="0"/>
                <w:numId w:val="0"/>
              </w:numPr>
              <w:wordWrap w:val="0"/>
              <w:adjustRightInd w:val="0"/>
              <w:snapToGrid w:val="0"/>
              <w:spacing w:line="400" w:lineRule="exact"/>
              <w:ind w:left="0" w:leftChars="0" w:firstLine="0" w:firstLineChars="0"/>
              <w:rPr>
                <w:rFonts w:hint="eastAsia" w:ascii="宋体" w:hAnsi="宋体" w:eastAsia="宋体" w:cs="宋体"/>
                <w:snapToGrid w:val="0"/>
                <w:color w:val="auto"/>
                <w:kern w:val="0"/>
                <w:sz w:val="21"/>
                <w:szCs w:val="21"/>
                <w:highlight w:val="none"/>
                <w:lang w:val="en-US" w:eastAsia="zh-CN" w:bidi="ar-SA"/>
              </w:rPr>
            </w:pPr>
            <w:r>
              <w:rPr>
                <w:rFonts w:hint="eastAsia"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.组成联合体的,由牵头人提供。</w:t>
            </w:r>
          </w:p>
        </w:tc>
      </w:tr>
      <w:tr w14:paraId="7C8C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16" w:type="dxa"/>
            <w:vMerge w:val="continue"/>
            <w:tcBorders>
              <w:left w:val="single" w:color="auto" w:sz="4" w:space="0"/>
              <w:right w:val="single" w:color="auto" w:sz="4" w:space="0"/>
            </w:tcBorders>
            <w:noWrap/>
            <w:vAlign w:val="center"/>
          </w:tcPr>
          <w:p w14:paraId="5A6CB158">
            <w:pPr>
              <w:widowControl/>
              <w:spacing w:line="400" w:lineRule="exact"/>
              <w:jc w:val="left"/>
              <w:rPr>
                <w:rFonts w:hint="eastAsia" w:ascii="宋体" w:hAnsi="宋体" w:eastAsia="宋体" w:cs="宋体"/>
                <w:color w:val="auto"/>
                <w:kern w:val="0"/>
                <w:sz w:val="21"/>
                <w:szCs w:val="21"/>
                <w:highlight w:val="none"/>
              </w:rPr>
            </w:p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14:paraId="316C201C">
            <w:pPr>
              <w:keepNext w:val="0"/>
              <w:keepLines w:val="0"/>
              <w:pageBreakBefore w:val="0"/>
              <w:widowControl/>
              <w:kinsoku/>
              <w:overflowPunct/>
              <w:topLinePunct w:val="0"/>
              <w:bidi w:val="0"/>
              <w:spacing w:line="400" w:lineRule="exact"/>
              <w:jc w:val="left"/>
              <w:rPr>
                <w:rFonts w:hint="eastAsia" w:ascii="宋体" w:hAnsi="宋体" w:eastAsia="宋体" w:cs="宋体"/>
                <w:color w:val="auto"/>
                <w:kern w:val="0"/>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0C6E3CB4">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快速服务保障能力（6分）</w:t>
            </w:r>
          </w:p>
        </w:tc>
        <w:tc>
          <w:tcPr>
            <w:tcW w:w="3716" w:type="dxa"/>
            <w:tcBorders>
              <w:top w:val="single" w:color="auto" w:sz="4" w:space="0"/>
              <w:left w:val="single" w:color="auto" w:sz="4" w:space="0"/>
              <w:bottom w:val="single" w:color="auto" w:sz="4" w:space="0"/>
              <w:right w:val="single" w:color="auto" w:sz="4" w:space="0"/>
            </w:tcBorders>
            <w:noWrap/>
            <w:vAlign w:val="center"/>
          </w:tcPr>
          <w:p w14:paraId="75C8A195">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对所有投标人的快速服务保障能力（包括保修期快速服务保障能力）进行综合评审：</w:t>
            </w:r>
          </w:p>
          <w:p w14:paraId="6ADB2AF2">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1、快速服务保障能力（包括保修期快速服务保障能力）能快速响应并到位服务优的，得6分；</w:t>
            </w:r>
          </w:p>
          <w:p w14:paraId="38966F60">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2、快速服务保障能力（包括保修期快速服务保障能力）能快速响应并到位服务良的，得2分；</w:t>
            </w:r>
          </w:p>
          <w:p w14:paraId="0E108E7E">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snapToGrid w:val="0"/>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3．快速服务保障能力（包括保修期快速服务保障能力）能快速响应并到位服务一般的，得1分。</w:t>
            </w:r>
          </w:p>
        </w:tc>
        <w:tc>
          <w:tcPr>
            <w:tcW w:w="4372" w:type="dxa"/>
            <w:tcBorders>
              <w:top w:val="single" w:color="auto" w:sz="4" w:space="0"/>
              <w:left w:val="single" w:color="auto" w:sz="4" w:space="0"/>
              <w:bottom w:val="single" w:color="auto" w:sz="4" w:space="0"/>
              <w:right w:val="single" w:color="auto" w:sz="4" w:space="0"/>
            </w:tcBorders>
            <w:noWrap/>
            <w:vAlign w:val="center"/>
          </w:tcPr>
          <w:p w14:paraId="7D7E6CFF">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1、以投标单位注册地</w:t>
            </w:r>
            <w:r>
              <w:rPr>
                <w:rFonts w:hint="eastAsia" w:asciiTheme="minorEastAsia" w:hAnsiTheme="minorEastAsia" w:eastAsiaTheme="minorEastAsia" w:cstheme="minorEastAsia"/>
                <w:color w:val="auto"/>
                <w:kern w:val="0"/>
                <w:sz w:val="21"/>
                <w:szCs w:val="21"/>
                <w:highlight w:val="none"/>
                <w:lang w:val="en-US" w:eastAsia="zh-CN"/>
              </w:rPr>
              <w:t>(不含其分支机构)</w:t>
            </w:r>
            <w:r>
              <w:rPr>
                <w:rFonts w:hint="eastAsia" w:asciiTheme="minorEastAsia" w:hAnsiTheme="minorEastAsia" w:eastAsiaTheme="minorEastAsia" w:cstheme="minorEastAsia"/>
                <w:color w:val="auto"/>
                <w:kern w:val="0"/>
                <w:sz w:val="21"/>
                <w:szCs w:val="21"/>
                <w:highlight w:val="none"/>
              </w:rPr>
              <w:t>距离项目所在地</w:t>
            </w:r>
            <w:r>
              <w:rPr>
                <w:rFonts w:hint="eastAsia" w:asciiTheme="minorEastAsia" w:hAnsiTheme="minorEastAsia" w:eastAsiaTheme="minorEastAsia" w:cstheme="minorEastAsia"/>
                <w:color w:val="auto"/>
                <w:kern w:val="0"/>
                <w:sz w:val="21"/>
                <w:szCs w:val="21"/>
                <w:highlight w:val="none"/>
                <w:u w:val="single"/>
              </w:rPr>
              <w:t>南雄市人民政府</w:t>
            </w:r>
            <w:r>
              <w:rPr>
                <w:rFonts w:hint="eastAsia" w:asciiTheme="minorEastAsia" w:hAnsiTheme="minorEastAsia" w:eastAsiaTheme="minorEastAsia" w:cstheme="minorEastAsia"/>
                <w:color w:val="auto"/>
                <w:kern w:val="0"/>
                <w:sz w:val="21"/>
                <w:szCs w:val="21"/>
                <w:highlight w:val="none"/>
              </w:rPr>
              <w:t>为准横向综合评价，距离越短则快速服务能力越强，同城视为快速服务能力相同，得分一致。</w:t>
            </w:r>
          </w:p>
          <w:p w14:paraId="271D4CD7">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2、投标单位须提供快速服务保障能力的承诺函，承诺函中必须包含响应时间的承诺并提供相关佐证材料，承诺函格式自拟。</w:t>
            </w:r>
          </w:p>
          <w:p w14:paraId="79B4A9DC">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3、须附营业执照扫描件、百度地图路线网上截图、拟投入本项目的项目部主要施工管理人员在投标单位</w:t>
            </w:r>
            <w:r>
              <w:rPr>
                <w:rFonts w:hint="eastAsia" w:asciiTheme="minorEastAsia" w:hAnsiTheme="minorEastAsia" w:eastAsiaTheme="minorEastAsia" w:cstheme="minorEastAsia"/>
                <w:color w:val="auto"/>
                <w:kern w:val="0"/>
                <w:sz w:val="21"/>
                <w:szCs w:val="21"/>
                <w:highlight w:val="none"/>
                <w:lang w:val="en-US" w:eastAsia="zh-CN"/>
              </w:rPr>
              <w:t>(不含其分支机构)</w:t>
            </w:r>
            <w:r>
              <w:rPr>
                <w:rFonts w:hint="eastAsia" w:asciiTheme="minorEastAsia" w:hAnsiTheme="minorEastAsia" w:eastAsiaTheme="minorEastAsia" w:cstheme="minorEastAsia"/>
                <w:color w:val="auto"/>
                <w:kern w:val="0"/>
                <w:sz w:val="21"/>
                <w:szCs w:val="21"/>
                <w:highlight w:val="none"/>
              </w:rPr>
              <w:t>办理的近</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个月社保证明文件（其中必须有202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月）扫描件，并加盖单位公章，同时提供投标人营业执照和管理人员社保证明文件</w:t>
            </w:r>
            <w:r>
              <w:rPr>
                <w:rFonts w:hint="eastAsia" w:asciiTheme="minorEastAsia" w:hAnsiTheme="minorEastAsia" w:eastAsiaTheme="minorEastAsia" w:cstheme="minorEastAsia"/>
                <w:b/>
                <w:bCs/>
                <w:color w:val="auto"/>
                <w:kern w:val="0"/>
                <w:sz w:val="21"/>
                <w:szCs w:val="21"/>
                <w:highlight w:val="none"/>
              </w:rPr>
              <w:t>原件供核对</w:t>
            </w:r>
            <w:r>
              <w:rPr>
                <w:rFonts w:hint="eastAsia" w:asciiTheme="minorEastAsia" w:hAnsiTheme="minorEastAsia" w:eastAsiaTheme="minorEastAsia" w:cstheme="minorEastAsia"/>
                <w:color w:val="auto"/>
                <w:kern w:val="0"/>
                <w:sz w:val="21"/>
                <w:szCs w:val="21"/>
                <w:highlight w:val="none"/>
              </w:rPr>
              <w:t>，否则不得分。</w:t>
            </w:r>
          </w:p>
          <w:p w14:paraId="19FC72B2">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4.组成联合体的,由牵头人提供。</w:t>
            </w:r>
          </w:p>
        </w:tc>
      </w:tr>
      <w:tr w14:paraId="656E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116" w:type="dxa"/>
            <w:vMerge w:val="continue"/>
            <w:tcBorders>
              <w:left w:val="single" w:color="auto" w:sz="4" w:space="0"/>
              <w:right w:val="single" w:color="auto" w:sz="4" w:space="0"/>
            </w:tcBorders>
            <w:noWrap/>
            <w:vAlign w:val="center"/>
          </w:tcPr>
          <w:p w14:paraId="386E0F57">
            <w:pPr>
              <w:widowControl/>
              <w:spacing w:line="400" w:lineRule="exact"/>
              <w:jc w:val="left"/>
              <w:rPr>
                <w:rFonts w:hint="eastAsia" w:ascii="宋体" w:hAnsi="宋体" w:eastAsia="宋体" w:cs="宋体"/>
                <w:color w:val="auto"/>
                <w:kern w:val="0"/>
                <w:sz w:val="21"/>
                <w:szCs w:val="21"/>
                <w:highlight w:val="none"/>
              </w:rPr>
            </w:pPr>
          </w:p>
        </w:tc>
        <w:tc>
          <w:tcPr>
            <w:tcW w:w="705" w:type="dxa"/>
            <w:vMerge w:val="restart"/>
            <w:tcBorders>
              <w:top w:val="single" w:color="auto" w:sz="4" w:space="0"/>
              <w:left w:val="single" w:color="auto" w:sz="4" w:space="0"/>
              <w:right w:val="single" w:color="auto" w:sz="4" w:space="0"/>
            </w:tcBorders>
            <w:noWrap/>
            <w:vAlign w:val="center"/>
          </w:tcPr>
          <w:p w14:paraId="785A0AF8">
            <w:pPr>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设计企业</w:t>
            </w:r>
          </w:p>
          <w:p w14:paraId="02AE3F40">
            <w:pPr>
              <w:spacing w:line="40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898" w:type="dxa"/>
            <w:tcBorders>
              <w:top w:val="single" w:color="auto" w:sz="4" w:space="0"/>
              <w:left w:val="single" w:color="auto" w:sz="4" w:space="0"/>
              <w:right w:val="single" w:color="auto" w:sz="4" w:space="0"/>
            </w:tcBorders>
            <w:noWrap/>
            <w:vAlign w:val="center"/>
          </w:tcPr>
          <w:p w14:paraId="4916AB35">
            <w:pPr>
              <w:pStyle w:val="8"/>
              <w:wordWrap w:val="0"/>
              <w:adjustRightInd w:val="0"/>
              <w:snapToGrid w:val="0"/>
              <w:spacing w:line="360" w:lineRule="auto"/>
              <w:jc w:val="center"/>
              <w:rPr>
                <w:rFonts w:hint="eastAsia" w:hAnsi="宋体" w:eastAsia="宋体" w:cs="宋体"/>
                <w:snapToGrid w:val="0"/>
                <w:color w:val="auto"/>
                <w:kern w:val="0"/>
                <w:sz w:val="21"/>
                <w:szCs w:val="21"/>
              </w:rPr>
            </w:pPr>
            <w:r>
              <w:rPr>
                <w:rFonts w:hint="eastAsia" w:hAnsi="宋体" w:eastAsia="宋体" w:cs="宋体"/>
                <w:snapToGrid w:val="0"/>
                <w:color w:val="auto"/>
                <w:kern w:val="0"/>
                <w:sz w:val="21"/>
                <w:szCs w:val="21"/>
              </w:rPr>
              <w:t>企业奖项</w:t>
            </w:r>
          </w:p>
          <w:p w14:paraId="452FBCED">
            <w:pPr>
              <w:pStyle w:val="8"/>
              <w:wordWrap w:val="0"/>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hAnsi="宋体" w:eastAsia="宋体" w:cs="宋体"/>
                <w:snapToGrid w:val="0"/>
                <w:color w:val="auto"/>
                <w:kern w:val="0"/>
                <w:sz w:val="21"/>
                <w:szCs w:val="21"/>
              </w:rPr>
              <w:t>(</w:t>
            </w:r>
            <w:r>
              <w:rPr>
                <w:rFonts w:hint="eastAsia" w:hAnsi="宋体" w:eastAsia="宋体" w:cs="宋体"/>
                <w:snapToGrid w:val="0"/>
                <w:color w:val="auto"/>
                <w:kern w:val="0"/>
                <w:sz w:val="21"/>
                <w:szCs w:val="21"/>
                <w:lang w:val="en-US" w:eastAsia="zh-CN"/>
              </w:rPr>
              <w:t>2</w:t>
            </w:r>
            <w:r>
              <w:rPr>
                <w:rFonts w:hint="eastAsia" w:hAnsi="宋体" w:eastAsia="宋体" w:cs="宋体"/>
                <w:snapToGrid w:val="0"/>
                <w:color w:val="auto"/>
                <w:kern w:val="0"/>
                <w:sz w:val="21"/>
                <w:szCs w:val="21"/>
              </w:rPr>
              <w:t>分）</w:t>
            </w:r>
          </w:p>
        </w:tc>
        <w:tc>
          <w:tcPr>
            <w:tcW w:w="3716" w:type="dxa"/>
            <w:tcBorders>
              <w:top w:val="single" w:color="auto" w:sz="4" w:space="0"/>
              <w:left w:val="single" w:color="auto" w:sz="4" w:space="0"/>
              <w:bottom w:val="single" w:color="auto" w:sz="4" w:space="0"/>
              <w:right w:val="single" w:color="auto" w:sz="4" w:space="0"/>
            </w:tcBorders>
            <w:noWrap/>
            <w:vAlign w:val="center"/>
          </w:tcPr>
          <w:p w14:paraId="04C5D88D">
            <w:pPr>
              <w:pStyle w:val="8"/>
              <w:wordWrap w:val="0"/>
              <w:adjustRightInd w:val="0"/>
              <w:snapToGrid w:val="0"/>
              <w:spacing w:line="360" w:lineRule="auto"/>
              <w:rPr>
                <w:rFonts w:hint="eastAsia" w:ascii="宋体" w:hAnsi="宋体" w:eastAsia="宋体" w:cs="宋体"/>
                <w:b w:val="0"/>
                <w:bCs w:val="0"/>
                <w:color w:val="auto"/>
                <w:kern w:val="0"/>
                <w:sz w:val="21"/>
                <w:szCs w:val="21"/>
                <w:highlight w:val="none"/>
              </w:rPr>
            </w:pPr>
            <w:r>
              <w:rPr>
                <w:rFonts w:hint="eastAsia" w:hAnsi="宋体" w:eastAsia="宋体" w:cs="宋体"/>
                <w:snapToGrid w:val="0"/>
                <w:color w:val="auto"/>
                <w:kern w:val="0"/>
                <w:sz w:val="21"/>
                <w:szCs w:val="21"/>
              </w:rPr>
              <w:t>1.2019年1月1日至今，承接过的市政工程类设计项目</w:t>
            </w:r>
            <w:r>
              <w:rPr>
                <w:rFonts w:hint="eastAsia" w:hAnsi="宋体" w:eastAsia="宋体" w:cs="宋体"/>
                <w:snapToGrid w:val="0"/>
                <w:color w:val="auto"/>
                <w:kern w:val="0"/>
                <w:sz w:val="21"/>
                <w:szCs w:val="21"/>
                <w:lang w:eastAsia="zh-CN"/>
              </w:rPr>
              <w:t>，</w:t>
            </w:r>
            <w:r>
              <w:rPr>
                <w:rFonts w:hint="eastAsia" w:hAnsi="宋体" w:eastAsia="宋体" w:cs="宋体"/>
                <w:snapToGrid w:val="0"/>
                <w:color w:val="auto"/>
                <w:kern w:val="0"/>
                <w:sz w:val="21"/>
                <w:szCs w:val="21"/>
              </w:rPr>
              <w:t>①获国家级奖项的，每项得1分，最高得</w:t>
            </w:r>
            <w:r>
              <w:rPr>
                <w:rFonts w:hint="eastAsia" w:hAnsi="宋体" w:eastAsia="宋体" w:cs="宋体"/>
                <w:snapToGrid w:val="0"/>
                <w:color w:val="auto"/>
                <w:kern w:val="0"/>
                <w:sz w:val="21"/>
                <w:szCs w:val="21"/>
                <w:lang w:val="en-US" w:eastAsia="zh-CN"/>
              </w:rPr>
              <w:t>2</w:t>
            </w:r>
            <w:r>
              <w:rPr>
                <w:rFonts w:hint="eastAsia" w:hAnsi="宋体" w:eastAsia="宋体" w:cs="宋体"/>
                <w:snapToGrid w:val="0"/>
                <w:color w:val="auto"/>
                <w:kern w:val="0"/>
                <w:sz w:val="21"/>
                <w:szCs w:val="21"/>
              </w:rPr>
              <w:t>分；②获省级奖项的，每项得0.5分；最高得</w:t>
            </w:r>
            <w:r>
              <w:rPr>
                <w:rFonts w:hint="eastAsia" w:hAnsi="宋体" w:eastAsia="宋体" w:cs="宋体"/>
                <w:snapToGrid w:val="0"/>
                <w:color w:val="auto"/>
                <w:kern w:val="0"/>
                <w:sz w:val="21"/>
                <w:szCs w:val="21"/>
                <w:lang w:val="en-US" w:eastAsia="zh-CN"/>
              </w:rPr>
              <w:t>1</w:t>
            </w:r>
            <w:r>
              <w:rPr>
                <w:rFonts w:hint="eastAsia" w:hAnsi="宋体" w:eastAsia="宋体" w:cs="宋体"/>
                <w:snapToGrid w:val="0"/>
                <w:color w:val="auto"/>
                <w:kern w:val="0"/>
                <w:sz w:val="21"/>
                <w:szCs w:val="21"/>
              </w:rPr>
              <w:t>分。</w:t>
            </w:r>
          </w:p>
        </w:tc>
        <w:tc>
          <w:tcPr>
            <w:tcW w:w="4372" w:type="dxa"/>
            <w:tcBorders>
              <w:top w:val="single" w:color="auto" w:sz="4" w:space="0"/>
              <w:left w:val="single" w:color="auto" w:sz="4" w:space="0"/>
              <w:bottom w:val="single" w:color="auto" w:sz="4" w:space="0"/>
              <w:right w:val="single" w:color="auto" w:sz="4" w:space="0"/>
            </w:tcBorders>
            <w:noWrap/>
            <w:vAlign w:val="center"/>
          </w:tcPr>
          <w:p w14:paraId="6A67A1A6">
            <w:pPr>
              <w:pStyle w:val="8"/>
              <w:wordWrap w:val="0"/>
              <w:adjustRightInd w:val="0"/>
              <w:snapToGrid w:val="0"/>
              <w:spacing w:line="360" w:lineRule="auto"/>
              <w:rPr>
                <w:rFonts w:hint="eastAsia" w:hAnsi="宋体" w:eastAsia="宋体" w:cs="宋体"/>
                <w:snapToGrid w:val="0"/>
                <w:color w:val="auto"/>
                <w:kern w:val="0"/>
                <w:sz w:val="21"/>
                <w:szCs w:val="21"/>
              </w:rPr>
            </w:pPr>
            <w:r>
              <w:rPr>
                <w:rFonts w:hint="eastAsia" w:hAnsi="宋体" w:eastAsia="宋体" w:cs="宋体"/>
                <w:snapToGrid w:val="0"/>
                <w:color w:val="auto"/>
                <w:kern w:val="0"/>
                <w:sz w:val="21"/>
                <w:szCs w:val="21"/>
              </w:rPr>
              <w:t>1.需附有</w:t>
            </w:r>
            <w:r>
              <w:rPr>
                <w:rFonts w:hint="eastAsia" w:hAnsi="宋体" w:eastAsia="宋体" w:cs="宋体"/>
                <w:snapToGrid w:val="0"/>
                <w:color w:val="auto"/>
                <w:kern w:val="0"/>
                <w:sz w:val="21"/>
                <w:szCs w:val="21"/>
                <w:lang w:val="en-US" w:eastAsia="zh-CN"/>
              </w:rPr>
              <w:t>获奖证书</w:t>
            </w:r>
            <w:r>
              <w:rPr>
                <w:rFonts w:hint="eastAsia" w:hAnsi="宋体" w:eastAsia="宋体" w:cs="宋体"/>
                <w:snapToGrid w:val="0"/>
                <w:color w:val="auto"/>
                <w:kern w:val="0"/>
                <w:sz w:val="21"/>
                <w:szCs w:val="21"/>
              </w:rPr>
              <w:t>扫描件。</w:t>
            </w:r>
          </w:p>
          <w:p w14:paraId="004D3DA0">
            <w:pPr>
              <w:pStyle w:val="8"/>
              <w:wordWrap w:val="0"/>
              <w:adjustRightInd w:val="0"/>
              <w:snapToGrid w:val="0"/>
              <w:spacing w:line="360" w:lineRule="auto"/>
              <w:rPr>
                <w:rFonts w:hint="eastAsia" w:hAnsi="宋体" w:eastAsia="宋体" w:cs="宋体"/>
                <w:snapToGrid w:val="0"/>
                <w:color w:val="auto"/>
                <w:kern w:val="0"/>
                <w:sz w:val="21"/>
                <w:szCs w:val="21"/>
              </w:rPr>
            </w:pPr>
            <w:r>
              <w:rPr>
                <w:rFonts w:hint="eastAsia" w:hAnsi="宋体" w:eastAsia="宋体" w:cs="宋体"/>
                <w:snapToGrid w:val="0"/>
                <w:color w:val="auto"/>
                <w:kern w:val="0"/>
                <w:sz w:val="21"/>
                <w:szCs w:val="21"/>
                <w:lang w:val="en-US" w:eastAsia="zh-CN"/>
              </w:rPr>
              <w:t>2</w:t>
            </w:r>
            <w:r>
              <w:rPr>
                <w:rFonts w:hint="eastAsia" w:hAnsi="宋体" w:eastAsia="宋体" w:cs="宋体"/>
                <w:snapToGrid w:val="0"/>
                <w:color w:val="auto"/>
                <w:kern w:val="0"/>
                <w:sz w:val="21"/>
                <w:szCs w:val="21"/>
              </w:rPr>
              <w:t>.获奖时间以奖项证明的落款日期为准。</w:t>
            </w:r>
          </w:p>
          <w:p w14:paraId="4B19F1C8">
            <w:pPr>
              <w:pStyle w:val="8"/>
              <w:wordWrap w:val="0"/>
              <w:adjustRightInd w:val="0"/>
              <w:snapToGrid w:val="0"/>
              <w:spacing w:line="360" w:lineRule="auto"/>
              <w:rPr>
                <w:rFonts w:hint="eastAsia" w:ascii="宋体" w:hAnsi="宋体" w:eastAsia="宋体" w:cs="宋体"/>
                <w:b w:val="0"/>
                <w:bCs w:val="0"/>
                <w:color w:val="auto"/>
                <w:kern w:val="0"/>
                <w:sz w:val="21"/>
                <w:szCs w:val="21"/>
                <w:highlight w:val="none"/>
                <w:lang w:val="en-US" w:eastAsia="zh-CN" w:bidi="ar-SA"/>
              </w:rPr>
            </w:pPr>
            <w:r>
              <w:rPr>
                <w:rFonts w:hint="eastAsia" w:hAnsi="宋体" w:eastAsia="宋体" w:cs="宋体"/>
                <w:snapToGrid w:val="0"/>
                <w:color w:val="auto"/>
                <w:kern w:val="0"/>
                <w:sz w:val="21"/>
                <w:szCs w:val="21"/>
                <w:lang w:val="en-US" w:eastAsia="zh-CN"/>
              </w:rPr>
              <w:t>3</w:t>
            </w:r>
            <w:r>
              <w:rPr>
                <w:rFonts w:hint="eastAsia" w:hAnsi="宋体" w:eastAsia="宋体" w:cs="宋体"/>
                <w:snapToGrid w:val="0"/>
                <w:color w:val="auto"/>
                <w:kern w:val="0"/>
                <w:sz w:val="21"/>
                <w:szCs w:val="21"/>
              </w:rPr>
              <w:t>.不符合评分标准和备注要求的不予计分。</w:t>
            </w:r>
          </w:p>
        </w:tc>
      </w:tr>
      <w:tr w14:paraId="68FB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16" w:type="dxa"/>
            <w:vMerge w:val="continue"/>
            <w:tcBorders>
              <w:left w:val="single" w:color="auto" w:sz="4" w:space="0"/>
              <w:right w:val="single" w:color="auto" w:sz="4" w:space="0"/>
            </w:tcBorders>
            <w:noWrap/>
            <w:vAlign w:val="center"/>
          </w:tcPr>
          <w:p w14:paraId="310C6BF9">
            <w:pPr>
              <w:widowControl/>
              <w:spacing w:line="400" w:lineRule="exact"/>
              <w:jc w:val="left"/>
              <w:rPr>
                <w:rFonts w:hint="eastAsia" w:ascii="宋体" w:hAnsi="宋体" w:eastAsia="宋体" w:cs="宋体"/>
                <w:color w:val="auto"/>
                <w:kern w:val="0"/>
                <w:sz w:val="21"/>
                <w:szCs w:val="21"/>
                <w:highlight w:val="none"/>
              </w:rPr>
            </w:pPr>
          </w:p>
        </w:tc>
        <w:tc>
          <w:tcPr>
            <w:tcW w:w="705" w:type="dxa"/>
            <w:vMerge w:val="continue"/>
            <w:tcBorders>
              <w:left w:val="single" w:color="auto" w:sz="4" w:space="0"/>
              <w:right w:val="single" w:color="auto" w:sz="4" w:space="0"/>
            </w:tcBorders>
            <w:noWrap/>
            <w:vAlign w:val="center"/>
          </w:tcPr>
          <w:p w14:paraId="219BF3D6">
            <w:pPr>
              <w:spacing w:line="400" w:lineRule="exact"/>
              <w:jc w:val="center"/>
              <w:textAlignment w:val="baseline"/>
              <w:rPr>
                <w:rFonts w:hint="eastAsia" w:ascii="宋体" w:hAnsi="宋体" w:eastAsia="宋体" w:cs="宋体"/>
                <w:color w:val="auto"/>
                <w:sz w:val="21"/>
                <w:szCs w:val="21"/>
                <w:highlight w:val="none"/>
              </w:rPr>
            </w:pPr>
          </w:p>
        </w:tc>
        <w:tc>
          <w:tcPr>
            <w:tcW w:w="898" w:type="dxa"/>
            <w:tcBorders>
              <w:top w:val="single" w:color="auto" w:sz="4" w:space="0"/>
              <w:left w:val="single" w:color="auto" w:sz="4" w:space="0"/>
              <w:right w:val="single" w:color="auto" w:sz="4" w:space="0"/>
            </w:tcBorders>
            <w:noWrap/>
            <w:vAlign w:val="center"/>
          </w:tcPr>
          <w:p w14:paraId="3743B87D">
            <w:pPr>
              <w:pStyle w:val="8"/>
              <w:wordWrap w:val="0"/>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hAnsi="宋体" w:eastAsia="宋体" w:cs="宋体"/>
                <w:snapToGrid w:val="0"/>
                <w:color w:val="auto"/>
                <w:kern w:val="0"/>
                <w:sz w:val="21"/>
                <w:szCs w:val="21"/>
                <w:lang w:val="en-US" w:eastAsia="zh-CN"/>
              </w:rPr>
              <w:t>企业荣誉（10分）</w:t>
            </w:r>
          </w:p>
        </w:tc>
        <w:tc>
          <w:tcPr>
            <w:tcW w:w="3716" w:type="dxa"/>
            <w:tcBorders>
              <w:top w:val="single" w:color="auto" w:sz="4" w:space="0"/>
              <w:left w:val="single" w:color="auto" w:sz="4" w:space="0"/>
              <w:bottom w:val="single" w:color="auto" w:sz="4" w:space="0"/>
              <w:right w:val="single" w:color="auto" w:sz="4" w:space="0"/>
            </w:tcBorders>
            <w:noWrap/>
            <w:vAlign w:val="center"/>
          </w:tcPr>
          <w:p w14:paraId="4A7B9583">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napToGrid w:val="0"/>
                <w:color w:val="auto"/>
                <w:kern w:val="0"/>
                <w:sz w:val="21"/>
                <w:szCs w:val="21"/>
                <w:lang w:val="en-US" w:eastAsia="zh-CN" w:bidi="ar-SA"/>
              </w:rPr>
              <w:t>投标人获得省级或以上市政行业协会颁发的勘察设计企业信用等级评价证书（需在有效期内）AAAAA级的，得</w:t>
            </w:r>
            <w:r>
              <w:rPr>
                <w:rFonts w:hint="eastAsia" w:hAnsi="宋体" w:eastAsia="宋体" w:cs="宋体"/>
                <w:snapToGrid w:val="0"/>
                <w:color w:val="auto"/>
                <w:kern w:val="0"/>
                <w:sz w:val="21"/>
                <w:szCs w:val="21"/>
                <w:lang w:val="en-US" w:eastAsia="zh-CN" w:bidi="ar-SA"/>
              </w:rPr>
              <w:t>10</w:t>
            </w:r>
            <w:r>
              <w:rPr>
                <w:rFonts w:hint="eastAsia" w:ascii="宋体" w:hAnsi="宋体" w:eastAsia="宋体" w:cs="宋体"/>
                <w:snapToGrid w:val="0"/>
                <w:color w:val="auto"/>
                <w:kern w:val="0"/>
                <w:sz w:val="21"/>
                <w:szCs w:val="21"/>
                <w:lang w:val="en-US" w:eastAsia="zh-CN" w:bidi="ar-SA"/>
              </w:rPr>
              <w:t>分；AAAA级的，得</w:t>
            </w:r>
            <w:r>
              <w:rPr>
                <w:rFonts w:hint="eastAsia" w:hAnsi="宋体" w:eastAsia="宋体" w:cs="宋体"/>
                <w:snapToGrid w:val="0"/>
                <w:color w:val="auto"/>
                <w:kern w:val="0"/>
                <w:sz w:val="21"/>
                <w:szCs w:val="21"/>
                <w:lang w:val="en-US" w:eastAsia="zh-CN" w:bidi="ar-SA"/>
              </w:rPr>
              <w:t>6</w:t>
            </w:r>
            <w:r>
              <w:rPr>
                <w:rFonts w:hint="eastAsia" w:ascii="宋体" w:hAnsi="宋体" w:eastAsia="宋体" w:cs="宋体"/>
                <w:snapToGrid w:val="0"/>
                <w:color w:val="auto"/>
                <w:kern w:val="0"/>
                <w:sz w:val="21"/>
                <w:szCs w:val="21"/>
                <w:lang w:val="en-US" w:eastAsia="zh-CN" w:bidi="ar-SA"/>
              </w:rPr>
              <w:t>分；AAA级的，得</w:t>
            </w:r>
            <w:r>
              <w:rPr>
                <w:rFonts w:hint="eastAsia" w:hAnsi="宋体" w:eastAsia="宋体" w:cs="宋体"/>
                <w:snapToGrid w:val="0"/>
                <w:color w:val="auto"/>
                <w:kern w:val="0"/>
                <w:sz w:val="21"/>
                <w:szCs w:val="21"/>
                <w:lang w:val="en-US" w:eastAsia="zh-CN" w:bidi="ar-SA"/>
              </w:rPr>
              <w:t>3</w:t>
            </w:r>
            <w:r>
              <w:rPr>
                <w:rFonts w:hint="eastAsia" w:ascii="宋体" w:hAnsi="宋体" w:eastAsia="宋体" w:cs="宋体"/>
                <w:snapToGrid w:val="0"/>
                <w:color w:val="auto"/>
                <w:kern w:val="0"/>
                <w:sz w:val="21"/>
                <w:szCs w:val="21"/>
                <w:lang w:val="en-US" w:eastAsia="zh-CN" w:bidi="ar-SA"/>
              </w:rPr>
              <w:t>分。其他不得分。</w:t>
            </w:r>
          </w:p>
        </w:tc>
        <w:tc>
          <w:tcPr>
            <w:tcW w:w="4372" w:type="dxa"/>
            <w:tcBorders>
              <w:top w:val="single" w:color="auto" w:sz="4" w:space="0"/>
              <w:left w:val="single" w:color="auto" w:sz="4" w:space="0"/>
              <w:bottom w:val="single" w:color="auto" w:sz="4" w:space="0"/>
              <w:right w:val="single" w:color="auto" w:sz="4" w:space="0"/>
            </w:tcBorders>
            <w:noWrap/>
            <w:vAlign w:val="center"/>
          </w:tcPr>
          <w:p w14:paraId="2FF13D2D">
            <w:pPr>
              <w:pStyle w:val="8"/>
              <w:wordWrap w:val="0"/>
              <w:adjustRightInd w:val="0"/>
              <w:snapToGrid w:val="0"/>
              <w:spacing w:line="360" w:lineRule="auto"/>
              <w:rPr>
                <w:rFonts w:hint="eastAsia" w:ascii="宋体" w:hAnsi="宋体" w:eastAsia="宋体" w:cs="宋体"/>
                <w:color w:val="auto"/>
                <w:kern w:val="0"/>
                <w:sz w:val="21"/>
                <w:szCs w:val="21"/>
                <w:highlight w:val="none"/>
              </w:rPr>
            </w:pPr>
            <w:r>
              <w:rPr>
                <w:rFonts w:hint="eastAsia" w:hAnsi="宋体" w:eastAsia="宋体" w:cs="宋体"/>
                <w:snapToGrid w:val="0"/>
                <w:color w:val="auto"/>
                <w:kern w:val="0"/>
                <w:sz w:val="21"/>
                <w:szCs w:val="21"/>
              </w:rPr>
              <w:t>注：须提供相关证书或证明材料扫描件。</w:t>
            </w:r>
          </w:p>
        </w:tc>
      </w:tr>
      <w:tr w14:paraId="6477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16" w:type="dxa"/>
            <w:vMerge w:val="continue"/>
            <w:tcBorders>
              <w:left w:val="single" w:color="auto" w:sz="4" w:space="0"/>
              <w:right w:val="single" w:color="auto" w:sz="4" w:space="0"/>
            </w:tcBorders>
            <w:noWrap/>
            <w:vAlign w:val="center"/>
          </w:tcPr>
          <w:p w14:paraId="74E34817">
            <w:pPr>
              <w:widowControl/>
              <w:spacing w:line="400" w:lineRule="exact"/>
              <w:jc w:val="left"/>
              <w:rPr>
                <w:rFonts w:hint="eastAsia" w:ascii="宋体" w:hAnsi="宋体" w:eastAsia="宋体" w:cs="宋体"/>
                <w:color w:val="auto"/>
                <w:kern w:val="0"/>
                <w:sz w:val="21"/>
                <w:szCs w:val="21"/>
                <w:highlight w:val="none"/>
              </w:rPr>
            </w:pPr>
          </w:p>
        </w:tc>
        <w:tc>
          <w:tcPr>
            <w:tcW w:w="705" w:type="dxa"/>
            <w:vMerge w:val="continue"/>
            <w:tcBorders>
              <w:left w:val="single" w:color="auto" w:sz="4" w:space="0"/>
              <w:right w:val="single" w:color="auto" w:sz="4" w:space="0"/>
            </w:tcBorders>
            <w:noWrap/>
            <w:vAlign w:val="center"/>
          </w:tcPr>
          <w:p w14:paraId="345B6F0B">
            <w:pPr>
              <w:spacing w:line="400" w:lineRule="exact"/>
              <w:jc w:val="center"/>
              <w:textAlignment w:val="baseline"/>
              <w:rPr>
                <w:rFonts w:hint="eastAsia" w:ascii="宋体" w:hAnsi="宋体" w:eastAsia="宋体" w:cs="宋体"/>
                <w:color w:val="auto"/>
                <w:sz w:val="21"/>
                <w:szCs w:val="21"/>
                <w:highlight w:val="none"/>
              </w:rPr>
            </w:pPr>
          </w:p>
        </w:tc>
        <w:tc>
          <w:tcPr>
            <w:tcW w:w="898" w:type="dxa"/>
            <w:tcBorders>
              <w:top w:val="single" w:color="auto" w:sz="4" w:space="0"/>
              <w:left w:val="single" w:color="auto" w:sz="4" w:space="0"/>
              <w:right w:val="single" w:color="auto" w:sz="4" w:space="0"/>
            </w:tcBorders>
            <w:noWrap/>
            <w:vAlign w:val="center"/>
          </w:tcPr>
          <w:p w14:paraId="0EF15DC9">
            <w:pPr>
              <w:pStyle w:val="8"/>
              <w:wordWrap w:val="0"/>
              <w:adjustRightInd w:val="0"/>
              <w:snapToGrid w:val="0"/>
              <w:spacing w:line="360" w:lineRule="auto"/>
              <w:jc w:val="center"/>
              <w:rPr>
                <w:rFonts w:hint="eastAsia" w:hAnsi="宋体" w:eastAsia="宋体" w:cs="宋体"/>
                <w:snapToGrid w:val="0"/>
                <w:color w:val="auto"/>
                <w:kern w:val="0"/>
                <w:sz w:val="21"/>
                <w:szCs w:val="21"/>
              </w:rPr>
            </w:pPr>
            <w:r>
              <w:rPr>
                <w:rFonts w:hint="eastAsia" w:hAnsi="宋体" w:eastAsia="宋体" w:cs="宋体"/>
                <w:snapToGrid w:val="0"/>
                <w:color w:val="auto"/>
                <w:kern w:val="0"/>
                <w:sz w:val="21"/>
                <w:szCs w:val="21"/>
              </w:rPr>
              <w:t>企业业绩</w:t>
            </w:r>
          </w:p>
          <w:p w14:paraId="2103B132">
            <w:pPr>
              <w:pStyle w:val="8"/>
              <w:wordWrap w:val="0"/>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hAnsi="宋体" w:eastAsia="宋体" w:cs="宋体"/>
                <w:snapToGrid w:val="0"/>
                <w:color w:val="auto"/>
                <w:kern w:val="0"/>
                <w:sz w:val="21"/>
                <w:szCs w:val="21"/>
              </w:rPr>
              <w:t>（</w:t>
            </w:r>
            <w:r>
              <w:rPr>
                <w:rFonts w:hint="eastAsia" w:hAnsi="宋体" w:eastAsia="宋体" w:cs="宋体"/>
                <w:snapToGrid w:val="0"/>
                <w:color w:val="auto"/>
                <w:kern w:val="0"/>
                <w:sz w:val="21"/>
                <w:szCs w:val="21"/>
                <w:lang w:val="en-US" w:eastAsia="zh-CN"/>
              </w:rPr>
              <w:t>2</w:t>
            </w:r>
            <w:r>
              <w:rPr>
                <w:rFonts w:hint="eastAsia" w:hAnsi="宋体" w:eastAsia="宋体" w:cs="宋体"/>
                <w:snapToGrid w:val="0"/>
                <w:color w:val="auto"/>
                <w:kern w:val="0"/>
                <w:sz w:val="21"/>
                <w:szCs w:val="21"/>
              </w:rPr>
              <w:t>分）</w:t>
            </w:r>
          </w:p>
        </w:tc>
        <w:tc>
          <w:tcPr>
            <w:tcW w:w="3716" w:type="dxa"/>
            <w:tcBorders>
              <w:top w:val="single" w:color="auto" w:sz="4" w:space="0"/>
              <w:left w:val="single" w:color="auto" w:sz="4" w:space="0"/>
              <w:bottom w:val="single" w:color="auto" w:sz="4" w:space="0"/>
              <w:right w:val="single" w:color="auto" w:sz="4" w:space="0"/>
            </w:tcBorders>
            <w:noWrap/>
            <w:vAlign w:val="center"/>
          </w:tcPr>
          <w:p w14:paraId="3D71F5D6">
            <w:pPr>
              <w:pStyle w:val="8"/>
              <w:wordWrap w:val="0"/>
              <w:adjustRightInd w:val="0"/>
              <w:snapToGrid w:val="0"/>
              <w:spacing w:line="360" w:lineRule="auto"/>
              <w:rPr>
                <w:rFonts w:hint="eastAsia" w:hAnsi="宋体" w:eastAsia="宋体" w:cs="宋体"/>
                <w:snapToGrid w:val="0"/>
                <w:color w:val="auto"/>
                <w:kern w:val="0"/>
                <w:sz w:val="21"/>
                <w:szCs w:val="21"/>
              </w:rPr>
            </w:pPr>
            <w:r>
              <w:rPr>
                <w:rFonts w:hint="eastAsia" w:hAnsi="宋体" w:eastAsia="宋体" w:cs="宋体"/>
                <w:snapToGrid w:val="0"/>
                <w:color w:val="auto"/>
                <w:kern w:val="0"/>
                <w:sz w:val="21"/>
                <w:szCs w:val="21"/>
                <w:lang w:val="en-US" w:eastAsia="zh-CN"/>
              </w:rPr>
              <w:t>企业</w:t>
            </w:r>
            <w:r>
              <w:rPr>
                <w:rFonts w:hint="eastAsia" w:hAnsi="宋体" w:eastAsia="宋体" w:cs="宋体"/>
                <w:snapToGrid w:val="0"/>
                <w:color w:val="auto"/>
                <w:kern w:val="0"/>
                <w:sz w:val="21"/>
                <w:szCs w:val="21"/>
              </w:rPr>
              <w:t>201</w:t>
            </w:r>
            <w:r>
              <w:rPr>
                <w:rFonts w:hint="eastAsia" w:hAnsi="宋体" w:eastAsia="宋体" w:cs="宋体"/>
                <w:snapToGrid w:val="0"/>
                <w:color w:val="auto"/>
                <w:kern w:val="0"/>
                <w:sz w:val="21"/>
                <w:szCs w:val="21"/>
                <w:lang w:val="en-US" w:eastAsia="zh-CN"/>
              </w:rPr>
              <w:t>9</w:t>
            </w:r>
            <w:r>
              <w:rPr>
                <w:rFonts w:hint="eastAsia" w:hAnsi="宋体" w:eastAsia="宋体" w:cs="宋体"/>
                <w:snapToGrid w:val="0"/>
                <w:color w:val="auto"/>
                <w:kern w:val="0"/>
                <w:sz w:val="21"/>
                <w:szCs w:val="21"/>
              </w:rPr>
              <w:t>年1月1日至今业绩情况：</w:t>
            </w:r>
          </w:p>
          <w:p w14:paraId="7457A614">
            <w:pPr>
              <w:pStyle w:val="8"/>
              <w:wordWrap w:val="0"/>
              <w:adjustRightInd w:val="0"/>
              <w:snapToGrid w:val="0"/>
              <w:spacing w:line="360" w:lineRule="auto"/>
              <w:rPr>
                <w:rFonts w:hint="eastAsia" w:ascii="宋体" w:hAnsi="宋体" w:eastAsia="宋体" w:cs="宋体"/>
                <w:color w:val="auto"/>
                <w:kern w:val="0"/>
                <w:sz w:val="21"/>
                <w:szCs w:val="21"/>
                <w:highlight w:val="none"/>
                <w:lang w:val="en-US" w:eastAsia="zh-CN" w:bidi="ar-SA"/>
              </w:rPr>
            </w:pPr>
            <w:r>
              <w:rPr>
                <w:rFonts w:hint="eastAsia" w:hAnsi="宋体" w:eastAsia="宋体" w:cs="宋体"/>
                <w:snapToGrid w:val="0"/>
                <w:color w:val="auto"/>
                <w:kern w:val="0"/>
                <w:sz w:val="21"/>
                <w:szCs w:val="21"/>
              </w:rPr>
              <w:t>1.承接过总投资</w:t>
            </w:r>
            <w:r>
              <w:rPr>
                <w:rFonts w:hint="eastAsia" w:hAnsi="宋体" w:eastAsia="宋体" w:cs="宋体"/>
                <w:snapToGrid w:val="0"/>
                <w:color w:val="auto"/>
                <w:kern w:val="0"/>
                <w:sz w:val="21"/>
                <w:szCs w:val="21"/>
                <w:lang w:val="en-US" w:eastAsia="zh-CN"/>
              </w:rPr>
              <w:t>3</w:t>
            </w:r>
            <w:r>
              <w:rPr>
                <w:rFonts w:hint="eastAsia" w:hAnsi="宋体" w:eastAsia="宋体" w:cs="宋体"/>
                <w:snapToGrid w:val="0"/>
                <w:color w:val="auto"/>
                <w:kern w:val="0"/>
                <w:sz w:val="21"/>
                <w:szCs w:val="21"/>
              </w:rPr>
              <w:t>000万（或以上）市政工程类设计业绩</w:t>
            </w:r>
            <w:r>
              <w:rPr>
                <w:rFonts w:hint="eastAsia" w:hAnsi="宋体" w:eastAsia="宋体" w:cs="宋体"/>
                <w:snapToGrid w:val="0"/>
                <w:color w:val="auto"/>
                <w:kern w:val="0"/>
                <w:sz w:val="21"/>
                <w:szCs w:val="21"/>
                <w:lang w:val="en-US" w:eastAsia="zh-CN"/>
              </w:rPr>
              <w:t>的</w:t>
            </w:r>
            <w:r>
              <w:rPr>
                <w:rFonts w:hint="eastAsia" w:hAnsi="宋体" w:eastAsia="宋体" w:cs="宋体"/>
                <w:snapToGrid w:val="0"/>
                <w:color w:val="auto"/>
                <w:kern w:val="0"/>
                <w:sz w:val="21"/>
                <w:szCs w:val="21"/>
              </w:rPr>
              <w:t>的</w:t>
            </w:r>
            <w:r>
              <w:rPr>
                <w:rFonts w:hint="eastAsia" w:hAnsi="宋体" w:eastAsia="宋体" w:cs="宋体"/>
                <w:snapToGrid w:val="0"/>
                <w:color w:val="auto"/>
                <w:kern w:val="0"/>
                <w:sz w:val="21"/>
                <w:szCs w:val="21"/>
                <w:lang w:eastAsia="zh-CN"/>
              </w:rPr>
              <w:t>，</w:t>
            </w:r>
            <w:r>
              <w:rPr>
                <w:rFonts w:hint="eastAsia" w:hAnsi="宋体" w:eastAsia="宋体" w:cs="宋体"/>
                <w:snapToGrid w:val="0"/>
                <w:color w:val="auto"/>
                <w:kern w:val="0"/>
                <w:sz w:val="21"/>
                <w:szCs w:val="21"/>
                <w:lang w:val="en-US" w:eastAsia="zh-CN"/>
              </w:rPr>
              <w:t>每项</w:t>
            </w:r>
            <w:r>
              <w:rPr>
                <w:rFonts w:hint="eastAsia" w:hAnsi="宋体" w:eastAsia="宋体" w:cs="宋体"/>
                <w:snapToGrid w:val="0"/>
                <w:color w:val="auto"/>
                <w:kern w:val="0"/>
                <w:sz w:val="21"/>
                <w:szCs w:val="21"/>
              </w:rPr>
              <w:t>得</w:t>
            </w:r>
            <w:r>
              <w:rPr>
                <w:rFonts w:hint="eastAsia" w:hAnsi="宋体" w:eastAsia="宋体" w:cs="宋体"/>
                <w:snapToGrid w:val="0"/>
                <w:color w:val="auto"/>
                <w:kern w:val="0"/>
                <w:sz w:val="21"/>
                <w:szCs w:val="21"/>
                <w:lang w:val="en-US" w:eastAsia="zh-CN"/>
              </w:rPr>
              <w:t>1</w:t>
            </w:r>
            <w:r>
              <w:rPr>
                <w:rFonts w:hint="eastAsia" w:hAnsi="宋体" w:eastAsia="宋体" w:cs="宋体"/>
                <w:snapToGrid w:val="0"/>
                <w:color w:val="auto"/>
                <w:kern w:val="0"/>
                <w:sz w:val="21"/>
                <w:szCs w:val="21"/>
              </w:rPr>
              <w:t>分。</w:t>
            </w:r>
            <w:r>
              <w:rPr>
                <w:rFonts w:hint="eastAsia" w:hAnsi="宋体" w:eastAsia="宋体" w:cs="宋体"/>
                <w:snapToGrid w:val="0"/>
                <w:color w:val="auto"/>
                <w:kern w:val="0"/>
                <w:sz w:val="21"/>
                <w:szCs w:val="21"/>
                <w:lang w:val="en-US" w:eastAsia="zh-CN"/>
              </w:rPr>
              <w:t>最多得2分。</w:t>
            </w:r>
          </w:p>
        </w:tc>
        <w:tc>
          <w:tcPr>
            <w:tcW w:w="4372" w:type="dxa"/>
            <w:tcBorders>
              <w:top w:val="single" w:color="auto" w:sz="4" w:space="0"/>
              <w:left w:val="single" w:color="auto" w:sz="4" w:space="0"/>
              <w:bottom w:val="single" w:color="auto" w:sz="4" w:space="0"/>
              <w:right w:val="single" w:color="auto" w:sz="4" w:space="0"/>
            </w:tcBorders>
            <w:noWrap/>
            <w:vAlign w:val="center"/>
          </w:tcPr>
          <w:p w14:paraId="7BA29317">
            <w:pPr>
              <w:pStyle w:val="8"/>
              <w:wordWrap w:val="0"/>
              <w:adjustRightInd w:val="0"/>
              <w:snapToGrid w:val="0"/>
              <w:spacing w:line="360" w:lineRule="auto"/>
              <w:rPr>
                <w:rFonts w:hint="default" w:hAnsi="宋体" w:eastAsia="宋体" w:cs="宋体"/>
                <w:snapToGrid w:val="0"/>
                <w:color w:val="auto"/>
                <w:kern w:val="0"/>
                <w:sz w:val="21"/>
                <w:szCs w:val="21"/>
              </w:rPr>
            </w:pPr>
            <w:r>
              <w:rPr>
                <w:rFonts w:hint="eastAsia" w:hAnsi="宋体" w:eastAsia="宋体" w:cs="宋体"/>
                <w:snapToGrid w:val="0"/>
                <w:color w:val="auto"/>
                <w:kern w:val="0"/>
                <w:sz w:val="21"/>
                <w:szCs w:val="21"/>
              </w:rPr>
              <w:t>1．需附有关业绩合同协议书</w:t>
            </w:r>
            <w:r>
              <w:rPr>
                <w:rFonts w:hint="eastAsia" w:hAnsi="宋体" w:eastAsia="宋体" w:cs="宋体"/>
                <w:snapToGrid w:val="0"/>
                <w:color w:val="auto"/>
                <w:kern w:val="0"/>
                <w:sz w:val="21"/>
                <w:szCs w:val="21"/>
                <w:lang w:val="en-US" w:eastAsia="zh-CN"/>
              </w:rPr>
              <w:t>扫描</w:t>
            </w:r>
            <w:r>
              <w:rPr>
                <w:rFonts w:hint="eastAsia" w:hAnsi="宋体" w:eastAsia="宋体" w:cs="宋体"/>
                <w:snapToGrid w:val="0"/>
                <w:color w:val="auto"/>
                <w:kern w:val="0"/>
                <w:sz w:val="21"/>
                <w:szCs w:val="21"/>
              </w:rPr>
              <w:t>件（或打印件）或中标通知书</w:t>
            </w:r>
            <w:r>
              <w:rPr>
                <w:rFonts w:hint="eastAsia" w:hAnsi="宋体" w:eastAsia="宋体" w:cs="宋体"/>
                <w:snapToGrid w:val="0"/>
                <w:color w:val="auto"/>
                <w:kern w:val="0"/>
                <w:sz w:val="21"/>
                <w:szCs w:val="21"/>
                <w:lang w:val="en-US" w:eastAsia="zh-CN"/>
              </w:rPr>
              <w:t>扫描</w:t>
            </w:r>
            <w:r>
              <w:rPr>
                <w:rFonts w:hint="eastAsia" w:hAnsi="宋体" w:eastAsia="宋体" w:cs="宋体"/>
                <w:snapToGrid w:val="0"/>
                <w:color w:val="auto"/>
                <w:kern w:val="0"/>
                <w:sz w:val="21"/>
                <w:szCs w:val="21"/>
              </w:rPr>
              <w:t>件（或打印件）并加盖公章，不提供不得分。</w:t>
            </w:r>
          </w:p>
          <w:p w14:paraId="4DF4FD07">
            <w:pPr>
              <w:pStyle w:val="8"/>
              <w:wordWrap w:val="0"/>
              <w:adjustRightInd w:val="0"/>
              <w:snapToGrid w:val="0"/>
              <w:spacing w:line="360" w:lineRule="auto"/>
              <w:rPr>
                <w:rFonts w:hint="eastAsia" w:ascii="宋体" w:hAnsi="宋体" w:eastAsia="宋体" w:cs="宋体"/>
                <w:color w:val="auto"/>
                <w:kern w:val="0"/>
                <w:sz w:val="21"/>
                <w:szCs w:val="21"/>
                <w:highlight w:val="none"/>
                <w:lang w:val="en-US" w:eastAsia="zh-CN"/>
              </w:rPr>
            </w:pPr>
            <w:r>
              <w:rPr>
                <w:rFonts w:hint="eastAsia" w:hAnsi="宋体" w:eastAsia="宋体" w:cs="宋体"/>
                <w:snapToGrid w:val="0"/>
                <w:color w:val="auto"/>
                <w:kern w:val="0"/>
                <w:sz w:val="21"/>
                <w:szCs w:val="21"/>
                <w:lang w:val="en-US" w:eastAsia="zh-CN"/>
              </w:rPr>
              <w:t>2</w:t>
            </w:r>
            <w:r>
              <w:rPr>
                <w:rFonts w:hint="eastAsia" w:hAnsi="宋体" w:eastAsia="宋体" w:cs="宋体"/>
                <w:snapToGrid w:val="0"/>
                <w:color w:val="auto"/>
                <w:kern w:val="0"/>
                <w:sz w:val="21"/>
                <w:szCs w:val="21"/>
              </w:rPr>
              <w:t>．业绩时间以合同协议书日期或中标通知书时间为准。</w:t>
            </w:r>
          </w:p>
        </w:tc>
      </w:tr>
      <w:tr w14:paraId="4703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6" w:type="dxa"/>
            <w:vMerge w:val="continue"/>
            <w:tcBorders>
              <w:left w:val="single" w:color="auto" w:sz="4" w:space="0"/>
              <w:right w:val="single" w:color="auto" w:sz="4" w:space="0"/>
            </w:tcBorders>
            <w:noWrap/>
            <w:vAlign w:val="center"/>
          </w:tcPr>
          <w:p w14:paraId="392F32C8">
            <w:pPr>
              <w:widowControl/>
              <w:spacing w:line="400" w:lineRule="exact"/>
              <w:jc w:val="left"/>
              <w:rPr>
                <w:rFonts w:hint="eastAsia" w:ascii="宋体" w:hAnsi="宋体" w:eastAsia="宋体" w:cs="宋体"/>
                <w:color w:val="auto"/>
                <w:kern w:val="0"/>
                <w:sz w:val="21"/>
                <w:szCs w:val="21"/>
                <w:highlight w:val="none"/>
              </w:rPr>
            </w:pPr>
          </w:p>
        </w:tc>
        <w:tc>
          <w:tcPr>
            <w:tcW w:w="705" w:type="dxa"/>
            <w:vMerge w:val="continue"/>
            <w:tcBorders>
              <w:left w:val="single" w:color="auto" w:sz="4" w:space="0"/>
              <w:right w:val="single" w:color="auto" w:sz="4" w:space="0"/>
            </w:tcBorders>
            <w:noWrap/>
            <w:vAlign w:val="center"/>
          </w:tcPr>
          <w:p w14:paraId="3039396E">
            <w:pPr>
              <w:spacing w:line="400" w:lineRule="exact"/>
              <w:jc w:val="center"/>
              <w:textAlignment w:val="baseline"/>
              <w:rPr>
                <w:rFonts w:hint="eastAsia" w:ascii="宋体" w:hAnsi="宋体" w:eastAsia="宋体" w:cs="宋体"/>
                <w:color w:val="auto"/>
                <w:sz w:val="21"/>
                <w:szCs w:val="21"/>
                <w:highlight w:val="none"/>
              </w:rPr>
            </w:pPr>
          </w:p>
        </w:tc>
        <w:tc>
          <w:tcPr>
            <w:tcW w:w="898" w:type="dxa"/>
            <w:tcBorders>
              <w:top w:val="single" w:color="auto" w:sz="4" w:space="0"/>
              <w:left w:val="single" w:color="auto" w:sz="4" w:space="0"/>
              <w:right w:val="single" w:color="auto" w:sz="4" w:space="0"/>
            </w:tcBorders>
            <w:noWrap/>
            <w:vAlign w:val="center"/>
          </w:tcPr>
          <w:p w14:paraId="00F125E4">
            <w:pPr>
              <w:pStyle w:val="8"/>
              <w:wordWrap w:val="0"/>
              <w:adjustRightInd w:val="0"/>
              <w:snapToGrid w:val="0"/>
              <w:spacing w:line="360" w:lineRule="auto"/>
              <w:jc w:val="center"/>
              <w:rPr>
                <w:rFonts w:hint="eastAsia" w:hAnsi="宋体" w:eastAsia="宋体" w:cs="宋体"/>
                <w:snapToGrid w:val="0"/>
                <w:color w:val="auto"/>
                <w:kern w:val="0"/>
                <w:sz w:val="21"/>
                <w:szCs w:val="21"/>
              </w:rPr>
            </w:pPr>
            <w:r>
              <w:rPr>
                <w:rFonts w:hint="eastAsia" w:hAnsi="宋体" w:eastAsia="宋体" w:cs="宋体"/>
                <w:snapToGrid w:val="0"/>
                <w:color w:val="auto"/>
                <w:kern w:val="0"/>
                <w:sz w:val="21"/>
                <w:szCs w:val="21"/>
              </w:rPr>
              <w:t>企业获得体系认证证书</w:t>
            </w:r>
          </w:p>
          <w:p w14:paraId="20007AE8">
            <w:pPr>
              <w:pStyle w:val="8"/>
              <w:wordWrap w:val="0"/>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hAnsi="宋体" w:eastAsia="宋体" w:cs="宋体"/>
                <w:snapToGrid w:val="0"/>
                <w:color w:val="auto"/>
                <w:kern w:val="0"/>
                <w:sz w:val="21"/>
                <w:szCs w:val="21"/>
              </w:rPr>
              <w:t>（</w:t>
            </w:r>
            <w:r>
              <w:rPr>
                <w:rFonts w:hint="eastAsia" w:hAnsi="宋体" w:eastAsia="宋体" w:cs="宋体"/>
                <w:snapToGrid w:val="0"/>
                <w:color w:val="auto"/>
                <w:kern w:val="0"/>
                <w:sz w:val="21"/>
                <w:szCs w:val="21"/>
                <w:lang w:val="en-US" w:eastAsia="zh-CN"/>
              </w:rPr>
              <w:t>6</w:t>
            </w:r>
            <w:r>
              <w:rPr>
                <w:rFonts w:hint="eastAsia" w:hAnsi="宋体" w:eastAsia="宋体" w:cs="宋体"/>
                <w:snapToGrid w:val="0"/>
                <w:color w:val="auto"/>
                <w:kern w:val="0"/>
                <w:sz w:val="21"/>
                <w:szCs w:val="21"/>
              </w:rPr>
              <w:t>分）</w:t>
            </w:r>
          </w:p>
        </w:tc>
        <w:tc>
          <w:tcPr>
            <w:tcW w:w="3716" w:type="dxa"/>
            <w:tcBorders>
              <w:top w:val="single" w:color="auto" w:sz="4" w:space="0"/>
              <w:left w:val="single" w:color="auto" w:sz="4" w:space="0"/>
              <w:bottom w:val="single" w:color="auto" w:sz="4" w:space="0"/>
              <w:right w:val="single" w:color="auto" w:sz="4" w:space="0"/>
            </w:tcBorders>
            <w:noWrap/>
            <w:vAlign w:val="center"/>
          </w:tcPr>
          <w:p w14:paraId="40350348">
            <w:pPr>
              <w:pStyle w:val="8"/>
              <w:wordWrap w:val="0"/>
              <w:adjustRightInd w:val="0"/>
              <w:snapToGrid w:val="0"/>
              <w:spacing w:line="360" w:lineRule="auto"/>
              <w:rPr>
                <w:rFonts w:hint="default" w:hAnsi="宋体" w:eastAsia="宋体" w:cs="宋体"/>
                <w:snapToGrid w:val="0"/>
                <w:color w:val="auto"/>
                <w:kern w:val="0"/>
                <w:sz w:val="21"/>
                <w:szCs w:val="21"/>
              </w:rPr>
            </w:pPr>
            <w:r>
              <w:rPr>
                <w:rFonts w:hint="default" w:hAnsi="宋体" w:eastAsia="宋体" w:cs="宋体"/>
                <w:snapToGrid w:val="0"/>
                <w:color w:val="auto"/>
                <w:kern w:val="0"/>
                <w:sz w:val="21"/>
                <w:szCs w:val="21"/>
              </w:rPr>
              <w:t>(1)具有有效期内的工程勘察设计行业质量管理体系升级版AAA+</w:t>
            </w:r>
            <w:r>
              <w:rPr>
                <w:rFonts w:hint="eastAsia" w:hAnsi="宋体" w:eastAsia="宋体" w:cs="宋体"/>
                <w:snapToGrid w:val="0"/>
                <w:color w:val="auto"/>
                <w:kern w:val="0"/>
                <w:sz w:val="21"/>
                <w:szCs w:val="21"/>
                <w:lang w:val="en-US" w:eastAsia="zh-CN"/>
              </w:rPr>
              <w:t>+</w:t>
            </w:r>
            <w:r>
              <w:rPr>
                <w:rFonts w:hint="default" w:hAnsi="宋体" w:eastAsia="宋体" w:cs="宋体"/>
                <w:snapToGrid w:val="0"/>
                <w:color w:val="auto"/>
                <w:kern w:val="0"/>
                <w:sz w:val="21"/>
                <w:szCs w:val="21"/>
              </w:rPr>
              <w:t>或以上认证证书的得</w:t>
            </w:r>
            <w:r>
              <w:rPr>
                <w:rFonts w:hint="eastAsia" w:hAnsi="宋体" w:eastAsia="宋体" w:cs="宋体"/>
                <w:snapToGrid w:val="0"/>
                <w:color w:val="auto"/>
                <w:kern w:val="0"/>
                <w:sz w:val="21"/>
                <w:szCs w:val="21"/>
                <w:lang w:val="en-US" w:eastAsia="zh-CN"/>
              </w:rPr>
              <w:t>6</w:t>
            </w:r>
            <w:r>
              <w:rPr>
                <w:rFonts w:hint="default" w:hAnsi="宋体" w:eastAsia="宋体" w:cs="宋体"/>
                <w:snapToGrid w:val="0"/>
                <w:color w:val="auto"/>
                <w:kern w:val="0"/>
                <w:sz w:val="21"/>
                <w:szCs w:val="21"/>
              </w:rPr>
              <w:t>分:</w:t>
            </w:r>
          </w:p>
          <w:p w14:paraId="4F73080B">
            <w:pPr>
              <w:pStyle w:val="8"/>
              <w:wordWrap w:val="0"/>
              <w:adjustRightInd w:val="0"/>
              <w:snapToGrid w:val="0"/>
              <w:spacing w:line="360" w:lineRule="auto"/>
              <w:rPr>
                <w:rFonts w:hint="default" w:hAnsi="宋体" w:eastAsia="宋体" w:cs="宋体"/>
                <w:snapToGrid w:val="0"/>
                <w:color w:val="auto"/>
                <w:kern w:val="0"/>
                <w:sz w:val="21"/>
                <w:szCs w:val="21"/>
              </w:rPr>
            </w:pPr>
            <w:r>
              <w:rPr>
                <w:rFonts w:hint="default" w:hAnsi="宋体" w:eastAsia="宋体" w:cs="宋体"/>
                <w:snapToGrid w:val="0"/>
                <w:color w:val="auto"/>
                <w:kern w:val="0"/>
                <w:sz w:val="21"/>
                <w:szCs w:val="21"/>
              </w:rPr>
              <w:t>(2)具有有效期内的工程勘察设计行业质量管理体系升级版AAA</w:t>
            </w:r>
            <w:r>
              <w:rPr>
                <w:rFonts w:hint="eastAsia" w:hAnsi="宋体" w:eastAsia="宋体" w:cs="宋体"/>
                <w:snapToGrid w:val="0"/>
                <w:color w:val="auto"/>
                <w:kern w:val="0"/>
                <w:sz w:val="21"/>
                <w:szCs w:val="21"/>
                <w:lang w:val="en-US" w:eastAsia="zh-CN"/>
              </w:rPr>
              <w:t>+</w:t>
            </w:r>
            <w:r>
              <w:rPr>
                <w:rFonts w:hint="default" w:hAnsi="宋体" w:eastAsia="宋体" w:cs="宋体"/>
                <w:snapToGrid w:val="0"/>
                <w:color w:val="auto"/>
                <w:kern w:val="0"/>
                <w:sz w:val="21"/>
                <w:szCs w:val="21"/>
              </w:rPr>
              <w:t>认证证书的得</w:t>
            </w:r>
            <w:r>
              <w:rPr>
                <w:rFonts w:hint="eastAsia" w:hAnsi="宋体" w:eastAsia="宋体" w:cs="宋体"/>
                <w:snapToGrid w:val="0"/>
                <w:color w:val="auto"/>
                <w:kern w:val="0"/>
                <w:sz w:val="21"/>
                <w:szCs w:val="21"/>
                <w:lang w:val="en-US" w:eastAsia="zh-CN"/>
              </w:rPr>
              <w:t>2</w:t>
            </w:r>
            <w:r>
              <w:rPr>
                <w:rFonts w:hint="default" w:hAnsi="宋体" w:eastAsia="宋体" w:cs="宋体"/>
                <w:snapToGrid w:val="0"/>
                <w:color w:val="auto"/>
                <w:kern w:val="0"/>
                <w:sz w:val="21"/>
                <w:szCs w:val="21"/>
              </w:rPr>
              <w:t>分:</w:t>
            </w:r>
          </w:p>
          <w:p w14:paraId="3E135F8A">
            <w:pPr>
              <w:pStyle w:val="8"/>
              <w:wordWrap w:val="0"/>
              <w:adjustRightInd w:val="0"/>
              <w:snapToGrid w:val="0"/>
              <w:spacing w:line="360" w:lineRule="auto"/>
              <w:rPr>
                <w:rFonts w:hint="eastAsia" w:ascii="宋体" w:hAnsi="宋体" w:eastAsia="宋体" w:cs="宋体"/>
                <w:color w:val="auto"/>
                <w:kern w:val="0"/>
                <w:sz w:val="21"/>
                <w:szCs w:val="21"/>
                <w:highlight w:val="none"/>
                <w:lang w:val="en-US" w:eastAsia="zh-CN" w:bidi="ar-SA"/>
              </w:rPr>
            </w:pPr>
            <w:r>
              <w:rPr>
                <w:rFonts w:hint="default" w:hAnsi="宋体" w:eastAsia="宋体" w:cs="宋体"/>
                <w:snapToGrid w:val="0"/>
                <w:color w:val="auto"/>
                <w:kern w:val="0"/>
                <w:sz w:val="21"/>
                <w:szCs w:val="21"/>
              </w:rPr>
              <w:t>(3)具有有效期内的工程勘察设计行业质量管理体系升级版AA</w:t>
            </w:r>
            <w:r>
              <w:rPr>
                <w:rFonts w:hint="eastAsia" w:hAnsi="宋体" w:eastAsia="宋体" w:cs="宋体"/>
                <w:snapToGrid w:val="0"/>
                <w:color w:val="auto"/>
                <w:kern w:val="0"/>
                <w:sz w:val="21"/>
                <w:szCs w:val="21"/>
                <w:lang w:val="en-US" w:eastAsia="zh-CN"/>
              </w:rPr>
              <w:t>A</w:t>
            </w:r>
            <w:r>
              <w:rPr>
                <w:rFonts w:hint="default" w:hAnsi="宋体" w:eastAsia="宋体" w:cs="宋体"/>
                <w:snapToGrid w:val="0"/>
                <w:color w:val="auto"/>
                <w:kern w:val="0"/>
                <w:sz w:val="21"/>
                <w:szCs w:val="21"/>
              </w:rPr>
              <w:t>认证证书的得</w:t>
            </w:r>
            <w:r>
              <w:rPr>
                <w:rFonts w:hint="eastAsia" w:hAnsi="宋体" w:eastAsia="宋体" w:cs="宋体"/>
                <w:snapToGrid w:val="0"/>
                <w:color w:val="auto"/>
                <w:kern w:val="0"/>
                <w:sz w:val="21"/>
                <w:szCs w:val="21"/>
                <w:lang w:val="en-US" w:eastAsia="zh-CN"/>
              </w:rPr>
              <w:t>1</w:t>
            </w:r>
            <w:r>
              <w:rPr>
                <w:rFonts w:hint="default" w:hAnsi="宋体" w:eastAsia="宋体" w:cs="宋体"/>
                <w:snapToGrid w:val="0"/>
                <w:color w:val="auto"/>
                <w:kern w:val="0"/>
                <w:sz w:val="21"/>
                <w:szCs w:val="21"/>
              </w:rPr>
              <w:t>分:</w:t>
            </w:r>
          </w:p>
        </w:tc>
        <w:tc>
          <w:tcPr>
            <w:tcW w:w="4372" w:type="dxa"/>
            <w:tcBorders>
              <w:top w:val="single" w:color="auto" w:sz="4" w:space="0"/>
              <w:left w:val="single" w:color="auto" w:sz="4" w:space="0"/>
              <w:bottom w:val="single" w:color="auto" w:sz="4" w:space="0"/>
              <w:right w:val="single" w:color="auto" w:sz="4" w:space="0"/>
            </w:tcBorders>
            <w:noWrap/>
            <w:vAlign w:val="center"/>
          </w:tcPr>
          <w:p w14:paraId="437DDDFF">
            <w:pPr>
              <w:pStyle w:val="8"/>
              <w:wordWrap w:val="0"/>
              <w:adjustRightInd w:val="0"/>
              <w:snapToGrid w:val="0"/>
              <w:spacing w:line="360" w:lineRule="auto"/>
              <w:rPr>
                <w:rFonts w:hint="default" w:hAnsi="宋体" w:eastAsia="宋体" w:cs="宋体"/>
                <w:snapToGrid w:val="0"/>
                <w:color w:val="auto"/>
                <w:kern w:val="0"/>
                <w:sz w:val="21"/>
                <w:szCs w:val="21"/>
              </w:rPr>
            </w:pPr>
            <w:r>
              <w:rPr>
                <w:rFonts w:hint="eastAsia" w:hAnsi="宋体" w:eastAsia="宋体" w:cs="宋体"/>
                <w:snapToGrid w:val="0"/>
                <w:color w:val="auto"/>
                <w:kern w:val="0"/>
                <w:sz w:val="21"/>
                <w:szCs w:val="21"/>
              </w:rPr>
              <w:t>1．需附在有效期内的认证证书</w:t>
            </w:r>
            <w:r>
              <w:rPr>
                <w:rFonts w:hint="eastAsia" w:hAnsi="宋体" w:eastAsia="宋体" w:cs="宋体"/>
                <w:snapToGrid w:val="0"/>
                <w:color w:val="auto"/>
                <w:kern w:val="0"/>
                <w:sz w:val="21"/>
                <w:szCs w:val="21"/>
                <w:lang w:val="en-US"/>
              </w:rPr>
              <w:t>扫描</w:t>
            </w:r>
            <w:r>
              <w:rPr>
                <w:rFonts w:hint="eastAsia" w:hAnsi="宋体" w:eastAsia="宋体" w:cs="宋体"/>
                <w:snapToGrid w:val="0"/>
                <w:color w:val="auto"/>
                <w:kern w:val="0"/>
                <w:sz w:val="21"/>
                <w:szCs w:val="21"/>
              </w:rPr>
              <w:t>件（或打印件）。</w:t>
            </w:r>
          </w:p>
          <w:p w14:paraId="017911D0">
            <w:pPr>
              <w:pStyle w:val="8"/>
              <w:wordWrap w:val="0"/>
              <w:adjustRightInd w:val="0"/>
              <w:snapToGrid w:val="0"/>
              <w:spacing w:line="360" w:lineRule="auto"/>
              <w:rPr>
                <w:rFonts w:hint="default" w:hAnsi="宋体" w:eastAsia="宋体" w:cs="宋体"/>
                <w:snapToGrid w:val="0"/>
                <w:color w:val="auto"/>
                <w:kern w:val="0"/>
                <w:sz w:val="21"/>
                <w:szCs w:val="21"/>
              </w:rPr>
            </w:pPr>
            <w:r>
              <w:rPr>
                <w:rFonts w:hint="eastAsia" w:hAnsi="宋体" w:eastAsia="宋体" w:cs="宋体"/>
                <w:snapToGrid w:val="0"/>
                <w:color w:val="auto"/>
                <w:kern w:val="0"/>
                <w:sz w:val="21"/>
                <w:szCs w:val="21"/>
              </w:rPr>
              <w:t>2．任一认证证书有以下情形之一的，该认证证书视为无效，不予计分：</w:t>
            </w:r>
          </w:p>
          <w:p w14:paraId="12F94AF6">
            <w:pPr>
              <w:pStyle w:val="8"/>
              <w:wordWrap w:val="0"/>
              <w:adjustRightInd w:val="0"/>
              <w:snapToGrid w:val="0"/>
              <w:spacing w:line="360" w:lineRule="auto"/>
              <w:rPr>
                <w:rFonts w:hint="default" w:hAnsi="宋体" w:eastAsia="宋体" w:cs="宋体"/>
                <w:snapToGrid w:val="0"/>
                <w:color w:val="auto"/>
                <w:kern w:val="0"/>
                <w:sz w:val="21"/>
                <w:szCs w:val="21"/>
              </w:rPr>
            </w:pPr>
            <w:r>
              <w:rPr>
                <w:rFonts w:hint="eastAsia" w:hAnsi="宋体" w:eastAsia="宋体" w:cs="宋体"/>
                <w:snapToGrid w:val="0"/>
                <w:color w:val="auto"/>
                <w:kern w:val="0"/>
                <w:sz w:val="21"/>
                <w:szCs w:val="21"/>
              </w:rPr>
              <w:t>①未提供认证证书</w:t>
            </w:r>
            <w:r>
              <w:rPr>
                <w:rFonts w:hint="eastAsia" w:hAnsi="宋体" w:eastAsia="宋体" w:cs="宋体"/>
                <w:snapToGrid w:val="0"/>
                <w:color w:val="auto"/>
                <w:kern w:val="0"/>
                <w:sz w:val="21"/>
                <w:szCs w:val="21"/>
                <w:lang w:val="en-US"/>
              </w:rPr>
              <w:t>扫描</w:t>
            </w:r>
            <w:r>
              <w:rPr>
                <w:rFonts w:hint="eastAsia" w:hAnsi="宋体" w:eastAsia="宋体" w:cs="宋体"/>
                <w:snapToGrid w:val="0"/>
                <w:color w:val="auto"/>
                <w:kern w:val="0"/>
                <w:sz w:val="21"/>
                <w:szCs w:val="21"/>
              </w:rPr>
              <w:t>件的；</w:t>
            </w:r>
          </w:p>
          <w:p w14:paraId="50D24874">
            <w:pPr>
              <w:pStyle w:val="8"/>
              <w:wordWrap w:val="0"/>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hAnsi="宋体" w:eastAsia="宋体" w:cs="宋体"/>
                <w:snapToGrid w:val="0"/>
                <w:color w:val="auto"/>
                <w:kern w:val="0"/>
                <w:sz w:val="21"/>
                <w:szCs w:val="21"/>
              </w:rPr>
              <w:t>②认证证书不在有效期内的。</w:t>
            </w:r>
          </w:p>
        </w:tc>
      </w:tr>
      <w:tr w14:paraId="6C97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6" w:type="dxa"/>
            <w:vMerge w:val="restart"/>
            <w:tcBorders>
              <w:top w:val="single" w:color="auto" w:sz="4" w:space="0"/>
              <w:left w:val="single" w:color="auto" w:sz="4" w:space="0"/>
              <w:right w:val="single" w:color="auto" w:sz="4" w:space="0"/>
            </w:tcBorders>
            <w:noWrap/>
            <w:vAlign w:val="center"/>
          </w:tcPr>
          <w:p w14:paraId="1B5B1C3A">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经济</w:t>
            </w:r>
          </w:p>
          <w:p w14:paraId="77030109">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0386740E">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p w14:paraId="5898595D">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（50分）</w:t>
            </w:r>
          </w:p>
        </w:tc>
        <w:tc>
          <w:tcPr>
            <w:tcW w:w="705" w:type="dxa"/>
            <w:tcBorders>
              <w:top w:val="single" w:color="auto" w:sz="4" w:space="0"/>
              <w:left w:val="single" w:color="auto" w:sz="4" w:space="0"/>
              <w:bottom w:val="single" w:color="auto" w:sz="4" w:space="0"/>
              <w:right w:val="single" w:color="auto" w:sz="4" w:space="0"/>
            </w:tcBorders>
            <w:noWrap/>
            <w:vAlign w:val="center"/>
          </w:tcPr>
          <w:p w14:paraId="75154144">
            <w:pPr>
              <w:keepNext w:val="0"/>
              <w:keepLines w:val="0"/>
              <w:pageBreakBefore w:val="0"/>
              <w:kinsoku/>
              <w:overflowPunct/>
              <w:topLinePunct w:val="0"/>
              <w:bidi w:val="0"/>
              <w:spacing w:line="400" w:lineRule="exact"/>
              <w:jc w:val="center"/>
              <w:rPr>
                <w:rFonts w:hint="eastAsia" w:ascii="宋体" w:hAnsi="宋体" w:eastAsia="宋体" w:cs="宋体"/>
                <w:color w:val="auto"/>
                <w:kern w:val="0"/>
                <w:sz w:val="21"/>
                <w:szCs w:val="21"/>
                <w:highlight w:val="none"/>
              </w:rPr>
            </w:pPr>
            <w:r>
              <w:rPr>
                <w:rFonts w:hint="eastAsia" w:asciiTheme="minorEastAsia" w:hAnsiTheme="minorEastAsia" w:eastAsiaTheme="minorEastAsia" w:cstheme="minorEastAsia"/>
                <w:color w:val="auto"/>
                <w:sz w:val="24"/>
                <w:szCs w:val="24"/>
                <w:highlight w:val="none"/>
              </w:rPr>
              <w:t>评标基准价D</w:t>
            </w:r>
          </w:p>
        </w:tc>
        <w:tc>
          <w:tcPr>
            <w:tcW w:w="8986" w:type="dxa"/>
            <w:gridSpan w:val="3"/>
            <w:tcBorders>
              <w:top w:val="single" w:color="auto" w:sz="4" w:space="0"/>
              <w:left w:val="single" w:color="auto" w:sz="4" w:space="0"/>
              <w:bottom w:val="single" w:color="auto" w:sz="4" w:space="0"/>
              <w:right w:val="single" w:color="auto" w:sz="4" w:space="0"/>
            </w:tcBorders>
            <w:noWrap/>
            <w:vAlign w:val="center"/>
          </w:tcPr>
          <w:p w14:paraId="0161A4A8">
            <w:pPr>
              <w:keepNext w:val="0"/>
              <w:keepLines w:val="0"/>
              <w:pageBreakBefore w:val="0"/>
              <w:numPr>
                <w:ilvl w:val="0"/>
                <w:numId w:val="0"/>
              </w:numPr>
              <w:kinsoku/>
              <w:overflowPunct/>
              <w:topLinePunct w:val="0"/>
              <w:bidi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确定</w:t>
            </w:r>
            <w:r>
              <w:rPr>
                <w:rFonts w:hint="eastAsia" w:asciiTheme="minorEastAsia" w:hAnsiTheme="minorEastAsia" w:eastAsiaTheme="minorEastAsia" w:cstheme="minorEastAsia"/>
                <w:color w:val="auto"/>
                <w:sz w:val="24"/>
                <w:szCs w:val="24"/>
                <w:highlight w:val="none"/>
                <w:lang w:eastAsia="zh-CN"/>
              </w:rPr>
              <w:t>最高投标限价</w:t>
            </w:r>
            <w:r>
              <w:rPr>
                <w:rFonts w:hint="eastAsia" w:asciiTheme="minorEastAsia" w:hAnsiTheme="minorEastAsia" w:eastAsiaTheme="minorEastAsia" w:cstheme="minorEastAsia"/>
                <w:color w:val="auto"/>
                <w:sz w:val="24"/>
                <w:szCs w:val="24"/>
                <w:highlight w:val="none"/>
              </w:rPr>
              <w:t>下浮系数n：用1～21号球分别代表一个下浮系数，由评委代表从这21个号码中随机抽取3次，每次抽取1个号码，抽出的号球不参与下次抽取。所抽取的3个号码对应下浮系数的算术平均值作为</w:t>
            </w:r>
            <w:r>
              <w:rPr>
                <w:rFonts w:hint="eastAsia" w:asciiTheme="minorEastAsia" w:hAnsiTheme="minorEastAsia" w:eastAsiaTheme="minorEastAsia" w:cstheme="minorEastAsia"/>
                <w:color w:val="auto"/>
                <w:sz w:val="24"/>
                <w:szCs w:val="24"/>
                <w:highlight w:val="none"/>
                <w:lang w:eastAsia="zh-CN"/>
              </w:rPr>
              <w:t>最高投标限价</w:t>
            </w:r>
            <w:r>
              <w:rPr>
                <w:rFonts w:hint="eastAsia" w:asciiTheme="minorEastAsia" w:hAnsiTheme="minorEastAsia" w:eastAsiaTheme="minorEastAsia" w:cstheme="minorEastAsia"/>
                <w:color w:val="auto"/>
                <w:sz w:val="24"/>
                <w:szCs w:val="24"/>
                <w:highlight w:val="none"/>
              </w:rPr>
              <w:t>下浮系数n。具体号码对应的下浮系数可参考下表。</w:t>
            </w:r>
          </w:p>
          <w:p w14:paraId="1EDD2F80">
            <w:pPr>
              <w:pStyle w:val="7"/>
              <w:rPr>
                <w:rFonts w:hint="eastAsia"/>
                <w:color w:val="auto"/>
                <w:highlight w:val="none"/>
              </w:rPr>
            </w:pPr>
          </w:p>
          <w:tbl>
            <w:tblPr>
              <w:tblStyle w:val="21"/>
              <w:tblW w:w="0" w:type="auto"/>
              <w:tblInd w:w="113" w:type="dxa"/>
              <w:shd w:val="clear" w:color="auto" w:fill="FFFFFF"/>
              <w:tblLayout w:type="fixed"/>
              <w:tblCellMar>
                <w:top w:w="0" w:type="dxa"/>
                <w:left w:w="108" w:type="dxa"/>
                <w:bottom w:w="0" w:type="dxa"/>
                <w:right w:w="108" w:type="dxa"/>
              </w:tblCellMar>
            </w:tblPr>
            <w:tblGrid>
              <w:gridCol w:w="1583"/>
              <w:gridCol w:w="1024"/>
              <w:gridCol w:w="933"/>
              <w:gridCol w:w="819"/>
              <w:gridCol w:w="998"/>
              <w:gridCol w:w="916"/>
              <w:gridCol w:w="982"/>
              <w:gridCol w:w="982"/>
            </w:tblGrid>
            <w:tr w14:paraId="7BEFFDC0">
              <w:tblPrEx>
                <w:shd w:val="clear" w:color="auto" w:fill="FFFFFF"/>
                <w:tblCellMar>
                  <w:top w:w="0" w:type="dxa"/>
                  <w:left w:w="108" w:type="dxa"/>
                  <w:bottom w:w="0" w:type="dxa"/>
                  <w:right w:w="108" w:type="dxa"/>
                </w:tblCellMar>
              </w:tblPrEx>
              <w:trPr>
                <w:trHeight w:val="337"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A8716">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号球</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CB146">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ACE01">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A306D">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CE850B">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04000">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56621">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F1BF1">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r>
            <w:tr w14:paraId="08726A86">
              <w:tblPrEx>
                <w:tblCellMar>
                  <w:top w:w="0" w:type="dxa"/>
                  <w:left w:w="108" w:type="dxa"/>
                  <w:bottom w:w="0" w:type="dxa"/>
                  <w:right w:w="108" w:type="dxa"/>
                </w:tblCellMar>
              </w:tblPrEx>
              <w:trPr>
                <w:trHeight w:val="66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C0A64">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下浮系数（%）</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0766B">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.0</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D1B5F">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.1</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AD812">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.2</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9E4F4">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.3</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528E7">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.4</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F5DD3">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745EF">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.6</w:t>
                  </w:r>
                </w:p>
              </w:tc>
            </w:tr>
            <w:tr w14:paraId="2B849049">
              <w:tblPrEx>
                <w:tblCellMar>
                  <w:top w:w="0" w:type="dxa"/>
                  <w:left w:w="108" w:type="dxa"/>
                  <w:bottom w:w="0" w:type="dxa"/>
                  <w:right w:w="108" w:type="dxa"/>
                </w:tblCellMar>
              </w:tblPrEx>
              <w:trPr>
                <w:trHeight w:val="337"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8ACB1">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号球</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B8DEA">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5C3B8">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E0771">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6D21D">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5285F6">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08120">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1CC82">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r>
            <w:tr w14:paraId="54E3C56C">
              <w:tblPrEx>
                <w:tblCellMar>
                  <w:top w:w="0" w:type="dxa"/>
                  <w:left w:w="108" w:type="dxa"/>
                  <w:bottom w:w="0" w:type="dxa"/>
                  <w:right w:w="108" w:type="dxa"/>
                </w:tblCellMar>
              </w:tblPrEx>
              <w:trPr>
                <w:trHeight w:val="66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F4217">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下浮系数（%）</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3D501">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.7</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1E5A6">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.8</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8DD6D">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.9</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B118B">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.0</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D5C4E">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.1</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DA79E">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6CCBD">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.3</w:t>
                  </w:r>
                </w:p>
              </w:tc>
            </w:tr>
            <w:tr w14:paraId="2EF38454">
              <w:tblPrEx>
                <w:tblCellMar>
                  <w:top w:w="0" w:type="dxa"/>
                  <w:left w:w="108" w:type="dxa"/>
                  <w:bottom w:w="0" w:type="dxa"/>
                  <w:right w:w="108" w:type="dxa"/>
                </w:tblCellMar>
              </w:tblPrEx>
              <w:trPr>
                <w:trHeight w:val="337"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3AE0E">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号球</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4D67D">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AD9E8">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F7051">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EB521">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A8CF6">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77805">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692E5">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r>
            <w:tr w14:paraId="105E36FF">
              <w:tblPrEx>
                <w:tblCellMar>
                  <w:top w:w="0" w:type="dxa"/>
                  <w:left w:w="108" w:type="dxa"/>
                  <w:bottom w:w="0" w:type="dxa"/>
                  <w:right w:w="108" w:type="dxa"/>
                </w:tblCellMar>
              </w:tblPrEx>
              <w:trPr>
                <w:trHeight w:val="674"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AA514">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下浮系数（%）</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771B5">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.4</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7F4E3">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.5</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0D422">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.6</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4CB19">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.7</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68220">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.8</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01FA1">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.9</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A0E07">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.0</w:t>
                  </w:r>
                </w:p>
              </w:tc>
            </w:tr>
          </w:tbl>
          <w:p w14:paraId="6047CD85">
            <w:pPr>
              <w:keepNext w:val="0"/>
              <w:keepLines w:val="0"/>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4"/>
                <w:szCs w:val="24"/>
                <w:highlight w:val="none"/>
              </w:rPr>
              <w:t>（2）评标基准价D＝</w:t>
            </w:r>
            <w:r>
              <w:rPr>
                <w:rFonts w:hint="eastAsia" w:asciiTheme="minorEastAsia" w:hAnsiTheme="minorEastAsia" w:eastAsiaTheme="minorEastAsia" w:cstheme="minorEastAsia"/>
                <w:color w:val="auto"/>
                <w:sz w:val="24"/>
                <w:szCs w:val="24"/>
                <w:highlight w:val="none"/>
                <w:lang w:eastAsia="zh-CN"/>
              </w:rPr>
              <w:t>最高投标限价</w:t>
            </w:r>
            <w:r>
              <w:rPr>
                <w:rFonts w:hint="eastAsia" w:asciiTheme="minorEastAsia" w:hAnsiTheme="minorEastAsia" w:eastAsiaTheme="minorEastAsia" w:cstheme="minorEastAsia"/>
                <w:color w:val="auto"/>
                <w:sz w:val="24"/>
                <w:szCs w:val="24"/>
                <w:highlight w:val="none"/>
              </w:rPr>
              <w:t>×（1－n）</w:t>
            </w:r>
          </w:p>
        </w:tc>
      </w:tr>
      <w:tr w14:paraId="2CF8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6" w:type="dxa"/>
            <w:vMerge w:val="continue"/>
            <w:tcBorders>
              <w:left w:val="single" w:color="auto" w:sz="4" w:space="0"/>
              <w:bottom w:val="single" w:color="auto" w:sz="4" w:space="0"/>
              <w:right w:val="single" w:color="auto" w:sz="4" w:space="0"/>
            </w:tcBorders>
            <w:noWrap/>
            <w:vAlign w:val="center"/>
          </w:tcPr>
          <w:p w14:paraId="6B9BE16E">
            <w:pPr>
              <w:widowControl/>
              <w:spacing w:line="400" w:lineRule="exact"/>
              <w:jc w:val="center"/>
              <w:rPr>
                <w:rFonts w:hint="eastAsia" w:ascii="宋体" w:hAnsi="宋体" w:eastAsia="宋体" w:cs="宋体"/>
                <w:color w:val="auto"/>
                <w:sz w:val="21"/>
                <w:szCs w:val="21"/>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5FEC95FF">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p w14:paraId="219D499B">
            <w:pPr>
              <w:keepNext w:val="0"/>
              <w:keepLines w:val="0"/>
              <w:pageBreakBefore w:val="0"/>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4"/>
                <w:szCs w:val="24"/>
                <w:highlight w:val="none"/>
              </w:rPr>
              <w:t>得分</w:t>
            </w:r>
            <w:r>
              <w:rPr>
                <w:rFonts w:hint="eastAsia" w:asciiTheme="minorEastAsia" w:hAnsiTheme="minorEastAsia" w:eastAsiaTheme="minorEastAsia" w:cstheme="minorEastAsia"/>
                <w:color w:val="auto"/>
                <w:sz w:val="24"/>
                <w:szCs w:val="24"/>
                <w:highlight w:val="none"/>
                <w:lang w:val="en-US" w:eastAsia="zh-CN"/>
              </w:rPr>
              <w:t>F</w:t>
            </w:r>
          </w:p>
        </w:tc>
        <w:tc>
          <w:tcPr>
            <w:tcW w:w="8986" w:type="dxa"/>
            <w:gridSpan w:val="3"/>
            <w:tcBorders>
              <w:top w:val="single" w:color="auto" w:sz="4" w:space="0"/>
              <w:left w:val="single" w:color="auto" w:sz="4" w:space="0"/>
              <w:bottom w:val="single" w:color="auto" w:sz="4" w:space="0"/>
              <w:right w:val="single" w:color="auto" w:sz="4" w:space="0"/>
            </w:tcBorders>
            <w:noWrap/>
            <w:vAlign w:val="center"/>
          </w:tcPr>
          <w:p w14:paraId="370B6ADE">
            <w:pPr>
              <w:keepNext w:val="0"/>
              <w:keepLines w:val="0"/>
              <w:pageBreakBefore w:val="0"/>
              <w:kinsoku/>
              <w:overflowPunct/>
              <w:topLinePunct w:val="0"/>
              <w:bidi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采用内插法计算某投标人的投标报价得分F，即当投标人的投标总价等于评标基准价时得50分，每高于评标基准价一个百分点扣1分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每低于评标基准价一个百分点扣0.5分，扣完为止。公式如下：</w:t>
            </w:r>
          </w:p>
          <w:p w14:paraId="3EF84F8F">
            <w:pPr>
              <w:keepNext w:val="0"/>
              <w:keepLines w:val="0"/>
              <w:pageBreakBefore w:val="0"/>
              <w:kinsoku/>
              <w:overflowPunct/>
              <w:topLinePunct w:val="0"/>
              <w:bidi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F＝50－（| Di－D | ÷D）×100×E</w:t>
            </w:r>
          </w:p>
          <w:p w14:paraId="4210044A">
            <w:pPr>
              <w:keepNext w:val="0"/>
              <w:keepLines w:val="0"/>
              <w:pageBreakBefore w:val="0"/>
              <w:kinsoku/>
              <w:overflowPunct/>
              <w:topLinePunct w:val="0"/>
              <w:bidi w:val="0"/>
              <w:spacing w:line="400" w:lineRule="exact"/>
              <w:ind w:firstLine="480" w:firstLineChars="200"/>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4"/>
                <w:szCs w:val="24"/>
                <w:highlight w:val="none"/>
              </w:rPr>
              <w:t>式中：D为评标基准价；Di为某投标人的投标总价；E为扣分因子，当Di＞D时，E＝</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 ；当Di＜D时，E＝0.</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p>
        </w:tc>
      </w:tr>
      <w:tr w14:paraId="5ED0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6" w:type="dxa"/>
            <w:tcBorders>
              <w:top w:val="single" w:color="auto" w:sz="4" w:space="0"/>
              <w:left w:val="single" w:color="auto" w:sz="4" w:space="0"/>
              <w:bottom w:val="single" w:color="auto" w:sz="4" w:space="0"/>
              <w:right w:val="single" w:color="auto" w:sz="4" w:space="0"/>
            </w:tcBorders>
            <w:noWrap/>
            <w:vAlign w:val="center"/>
          </w:tcPr>
          <w:p w14:paraId="2B32DF3A">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合计100分</w:t>
            </w:r>
          </w:p>
        </w:tc>
        <w:tc>
          <w:tcPr>
            <w:tcW w:w="9691" w:type="dxa"/>
            <w:gridSpan w:val="4"/>
            <w:tcBorders>
              <w:top w:val="single" w:color="auto" w:sz="4" w:space="0"/>
              <w:left w:val="single" w:color="auto" w:sz="4" w:space="0"/>
              <w:bottom w:val="single" w:color="auto" w:sz="4" w:space="0"/>
              <w:right w:val="single" w:color="auto" w:sz="4" w:space="0"/>
            </w:tcBorders>
            <w:noWrap/>
            <w:vAlign w:val="center"/>
          </w:tcPr>
          <w:p w14:paraId="23872A7C">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总计得分=商务部分得分+经济部分得分</w:t>
            </w:r>
          </w:p>
        </w:tc>
      </w:tr>
    </w:tbl>
    <w:p w14:paraId="516DF201">
      <w:pPr>
        <w:spacing w:line="440" w:lineRule="exact"/>
        <w:rPr>
          <w:rFonts w:hint="eastAsia" w:asciiTheme="minorEastAsia" w:hAnsiTheme="minorEastAsia" w:eastAsiaTheme="minorEastAsia" w:cstheme="minorEastAsia"/>
          <w:color w:val="auto"/>
          <w:spacing w:val="10"/>
          <w:kern w:val="0"/>
          <w:szCs w:val="24"/>
          <w:highlight w:val="none"/>
          <w:lang w:eastAsia="zh-CN"/>
        </w:rPr>
      </w:pPr>
    </w:p>
    <w:p w14:paraId="652B4D38">
      <w:pPr>
        <w:spacing w:line="440" w:lineRule="exact"/>
        <w:rPr>
          <w:rFonts w:hint="eastAsia" w:asciiTheme="minorEastAsia" w:hAnsiTheme="minorEastAsia" w:eastAsiaTheme="minorEastAsia" w:cstheme="minorEastAsia"/>
          <w:color w:val="auto"/>
          <w:spacing w:val="10"/>
          <w:kern w:val="0"/>
          <w:szCs w:val="24"/>
          <w:highlight w:val="none"/>
        </w:rPr>
      </w:pPr>
      <w:r>
        <w:rPr>
          <w:rFonts w:hint="eastAsia" w:asciiTheme="minorEastAsia" w:hAnsiTheme="minorEastAsia" w:eastAsiaTheme="minorEastAsia" w:cstheme="minorEastAsia"/>
          <w:color w:val="auto"/>
          <w:spacing w:val="10"/>
          <w:kern w:val="0"/>
          <w:szCs w:val="24"/>
          <w:highlight w:val="none"/>
        </w:rPr>
        <w:t>备注：</w:t>
      </w:r>
    </w:p>
    <w:p w14:paraId="4203939C">
      <w:pPr>
        <w:spacing w:line="440" w:lineRule="exact"/>
        <w:ind w:firstLine="482" w:firstLineChars="200"/>
        <w:rPr>
          <w:rFonts w:hint="eastAsia" w:asciiTheme="minorEastAsia" w:hAnsiTheme="minorEastAsia" w:eastAsiaTheme="minorEastAsia" w:cstheme="minorEastAsia"/>
          <w:b/>
          <w:bCs/>
          <w:color w:val="auto"/>
          <w:szCs w:val="24"/>
          <w:highlight w:val="none"/>
          <w:u w:val="double"/>
        </w:rPr>
      </w:pPr>
      <w:r>
        <w:rPr>
          <w:rFonts w:hint="eastAsia" w:asciiTheme="minorEastAsia" w:hAnsiTheme="minorEastAsia" w:eastAsiaTheme="minorEastAsia" w:cstheme="minorEastAsia"/>
          <w:b/>
          <w:bCs/>
          <w:color w:val="auto"/>
          <w:szCs w:val="24"/>
          <w:highlight w:val="none"/>
        </w:rPr>
        <w:t>1、</w:t>
      </w:r>
      <w:r>
        <w:rPr>
          <w:rFonts w:hint="eastAsia" w:asciiTheme="minorEastAsia" w:hAnsiTheme="minorEastAsia" w:eastAsiaTheme="minorEastAsia" w:cstheme="minorEastAsia"/>
          <w:b/>
          <w:bCs/>
          <w:color w:val="auto"/>
          <w:szCs w:val="24"/>
          <w:highlight w:val="none"/>
          <w:u w:val="double"/>
        </w:rPr>
        <w:t>综合评分表中注明“扫描件”为原件扫描件，“原件核对”的证书、证明材料，如未能提供原件的，相应部分不能计分。</w:t>
      </w:r>
    </w:p>
    <w:p w14:paraId="4C82F864">
      <w:pPr>
        <w:spacing w:line="440" w:lineRule="exact"/>
        <w:ind w:firstLine="482" w:firstLineChars="200"/>
        <w:rPr>
          <w:rFonts w:hint="eastAsia" w:asciiTheme="minorEastAsia" w:hAnsiTheme="minorEastAsia" w:eastAsiaTheme="minorEastAsia" w:cstheme="minorEastAsia"/>
          <w:b/>
          <w:bCs/>
          <w:color w:val="auto"/>
          <w:szCs w:val="24"/>
          <w:highlight w:val="none"/>
          <w:u w:val="double"/>
        </w:rPr>
      </w:pPr>
      <w:r>
        <w:rPr>
          <w:rFonts w:hint="eastAsia" w:asciiTheme="minorEastAsia" w:hAnsiTheme="minorEastAsia" w:eastAsiaTheme="minorEastAsia" w:cstheme="minorEastAsia"/>
          <w:b/>
          <w:bCs/>
          <w:color w:val="auto"/>
          <w:szCs w:val="24"/>
          <w:highlight w:val="none"/>
        </w:rPr>
        <w:t>2、</w:t>
      </w:r>
      <w:r>
        <w:rPr>
          <w:rFonts w:hint="eastAsia" w:asciiTheme="minorEastAsia" w:hAnsiTheme="minorEastAsia" w:eastAsiaTheme="minorEastAsia" w:cstheme="minorEastAsia"/>
          <w:b/>
          <w:bCs/>
          <w:color w:val="auto"/>
          <w:szCs w:val="24"/>
          <w:highlight w:val="none"/>
          <w:u w:val="double"/>
        </w:rPr>
        <w:t>评分如出现小数点，则保留小数点后两位，第三位四舍五入。</w:t>
      </w:r>
    </w:p>
    <w:p w14:paraId="60FF2AA3">
      <w:pPr>
        <w:spacing w:line="440" w:lineRule="exact"/>
        <w:ind w:firstLine="482" w:firstLineChars="200"/>
        <w:rPr>
          <w:rFonts w:hint="eastAsia" w:asciiTheme="minorEastAsia" w:hAnsiTheme="minorEastAsia" w:eastAsiaTheme="minorEastAsia" w:cstheme="minorEastAsia"/>
          <w:b/>
          <w:color w:val="auto"/>
          <w:kern w:val="1"/>
          <w:highlight w:val="none"/>
          <w:u w:val="single"/>
        </w:rPr>
      </w:pPr>
      <w:r>
        <w:rPr>
          <w:rFonts w:hint="eastAsia" w:asciiTheme="minorEastAsia" w:hAnsiTheme="minorEastAsia" w:eastAsiaTheme="minorEastAsia" w:cstheme="minorEastAsia"/>
          <w:b/>
          <w:bCs/>
          <w:color w:val="auto"/>
          <w:szCs w:val="24"/>
          <w:highlight w:val="none"/>
        </w:rPr>
        <w:t>3、</w:t>
      </w:r>
      <w:r>
        <w:rPr>
          <w:rFonts w:hint="eastAsia" w:asciiTheme="minorEastAsia" w:hAnsiTheme="minorEastAsia" w:eastAsiaTheme="minorEastAsia" w:cstheme="minorEastAsia"/>
          <w:b/>
          <w:bCs/>
          <w:color w:val="auto"/>
          <w:szCs w:val="24"/>
          <w:highlight w:val="none"/>
          <w:u w:val="double"/>
        </w:rPr>
        <w:t>如果某投标人的建安工程费下浮率高于15%时，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124DC73F">
      <w:pPr>
        <w:wordWrap w:val="0"/>
        <w:adjustRightInd w:val="0"/>
        <w:snapToGrid w:val="0"/>
        <w:spacing w:line="440" w:lineRule="exact"/>
        <w:ind w:firstLine="52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Cs/>
          <w:color w:val="auto"/>
          <w:spacing w:val="10"/>
          <w:kern w:val="0"/>
          <w:szCs w:val="24"/>
          <w:highlight w:val="none"/>
        </w:rPr>
        <w:t>14.3.2</w:t>
      </w:r>
      <w:r>
        <w:rPr>
          <w:rFonts w:hint="eastAsia" w:asciiTheme="minorEastAsia" w:hAnsiTheme="minorEastAsia" w:eastAsiaTheme="minorEastAsia" w:cstheme="minorEastAsia"/>
          <w:snapToGrid w:val="0"/>
          <w:color w:val="auto"/>
          <w:kern w:val="0"/>
          <w:szCs w:val="24"/>
          <w:highlight w:val="none"/>
        </w:rPr>
        <w:t>否决投标说明</w:t>
      </w:r>
    </w:p>
    <w:p w14:paraId="2F46DD7E">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详细评审阶段否决投标的全部条件，在本章第</w:t>
      </w:r>
      <w:r>
        <w:rPr>
          <w:rFonts w:hint="eastAsia" w:asciiTheme="minorEastAsia" w:hAnsiTheme="minorEastAsia" w:eastAsiaTheme="minorEastAsia" w:cstheme="minorEastAsia"/>
          <w:b/>
          <w:snapToGrid w:val="0"/>
          <w:color w:val="auto"/>
          <w:kern w:val="0"/>
          <w:szCs w:val="24"/>
          <w:highlight w:val="none"/>
        </w:rPr>
        <w:t>15.6条</w:t>
      </w:r>
      <w:r>
        <w:rPr>
          <w:rFonts w:hint="eastAsia" w:asciiTheme="minorEastAsia" w:hAnsiTheme="minorEastAsia" w:eastAsiaTheme="minorEastAsia" w:cstheme="minorEastAsia"/>
          <w:snapToGrid w:val="0"/>
          <w:color w:val="auto"/>
          <w:kern w:val="0"/>
          <w:szCs w:val="24"/>
          <w:highlight w:val="none"/>
        </w:rPr>
        <w:t>“否决投标条件”第4条中集中列示。投标人有其中所列任何一种情形的，由评标委员会否决其投标。经详细评审后，有效投标人数量不足3个时，招标人应依法重新组织招标。</w:t>
      </w:r>
    </w:p>
    <w:p w14:paraId="524E4F43">
      <w:pPr>
        <w:pStyle w:val="34"/>
        <w:spacing w:line="40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snapToGrid w:val="0"/>
          <w:color w:val="auto"/>
          <w:kern w:val="0"/>
          <w:szCs w:val="24"/>
          <w:highlight w:val="none"/>
        </w:rPr>
        <w:t>注：投标人在详细评审阶段根据评分方法提供的佐证材料，其合法性、有效性和准确性不符合要求的，有关量化因素（或评分因素）的折算、调整（或评分）按相应量化标准（或评分标准）处理，但不否决投标。</w:t>
      </w:r>
    </w:p>
    <w:p w14:paraId="70091841">
      <w:pPr>
        <w:pStyle w:val="45"/>
        <w:ind w:firstLine="482" w:firstLineChars="200"/>
        <w:jc w:val="both"/>
        <w:outlineLvl w:val="9"/>
        <w:rPr>
          <w:rFonts w:hint="eastAsia" w:asciiTheme="minorEastAsia" w:hAnsiTheme="minorEastAsia" w:eastAsiaTheme="minorEastAsia" w:cstheme="minorEastAsia"/>
          <w:b/>
          <w:color w:val="auto"/>
          <w:highlight w:val="none"/>
        </w:rPr>
      </w:pPr>
    </w:p>
    <w:p w14:paraId="13A69B6E">
      <w:pPr>
        <w:pStyle w:val="45"/>
        <w:jc w:val="both"/>
        <w:outlineLvl w:val="1"/>
        <w:rPr>
          <w:rFonts w:hint="eastAsia" w:asciiTheme="minorEastAsia" w:hAnsiTheme="minorEastAsia" w:eastAsiaTheme="minorEastAsia" w:cstheme="minorEastAsia"/>
          <w:b/>
          <w:color w:val="auto"/>
          <w:highlight w:val="none"/>
        </w:rPr>
      </w:pPr>
      <w:bookmarkStart w:id="272" w:name="_Toc32481"/>
      <w:bookmarkStart w:id="273" w:name="_Toc25742"/>
      <w:r>
        <w:rPr>
          <w:rFonts w:hint="eastAsia" w:asciiTheme="minorEastAsia" w:hAnsiTheme="minorEastAsia" w:eastAsiaTheme="minorEastAsia" w:cstheme="minorEastAsia"/>
          <w:b/>
          <w:color w:val="auto"/>
          <w:highlight w:val="none"/>
        </w:rPr>
        <w:t>15</w:t>
      </w:r>
      <w:r>
        <w:rPr>
          <w:rFonts w:hint="eastAsia" w:asciiTheme="minorEastAsia" w:hAnsiTheme="minorEastAsia" w:eastAsiaTheme="minorEastAsia" w:cstheme="minorEastAsia"/>
          <w:b/>
          <w:color w:val="auto"/>
          <w:highlight w:val="none"/>
          <w:lang w:val="en-US" w:eastAsia="zh-CN"/>
        </w:rPr>
        <w:t>、</w:t>
      </w:r>
      <w:r>
        <w:rPr>
          <w:rFonts w:hint="eastAsia" w:asciiTheme="minorEastAsia" w:hAnsiTheme="minorEastAsia" w:eastAsiaTheme="minorEastAsia" w:cstheme="minorEastAsia"/>
          <w:b/>
          <w:snapToGrid w:val="0"/>
          <w:color w:val="auto"/>
          <w:highlight w:val="none"/>
        </w:rPr>
        <w:t>中标</w:t>
      </w:r>
      <w:r>
        <w:rPr>
          <w:rFonts w:hint="eastAsia" w:asciiTheme="minorEastAsia" w:hAnsiTheme="minorEastAsia" w:eastAsiaTheme="minorEastAsia" w:cstheme="minorEastAsia"/>
          <w:b/>
          <w:color w:val="auto"/>
          <w:highlight w:val="none"/>
        </w:rPr>
        <w:t>候选人公示</w:t>
      </w:r>
      <w:bookmarkEnd w:id="272"/>
      <w:bookmarkEnd w:id="273"/>
    </w:p>
    <w:p w14:paraId="472398B4">
      <w:pPr>
        <w:pStyle w:val="34"/>
        <w:spacing w:line="400" w:lineRule="exact"/>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bCs/>
          <w:color w:val="auto"/>
          <w:highlight w:val="none"/>
        </w:rPr>
        <w:t>15.1</w:t>
      </w:r>
      <w:r>
        <w:rPr>
          <w:rFonts w:hint="eastAsia" w:asciiTheme="minorEastAsia" w:hAnsiTheme="minorEastAsia" w:eastAsiaTheme="minorEastAsia" w:cstheme="minorEastAsia"/>
          <w:bCs/>
          <w:snapToGrid w:val="0"/>
          <w:color w:val="auto"/>
          <w:kern w:val="0"/>
          <w:highlight w:val="none"/>
        </w:rPr>
        <w:t>招标人自收到评标委员会提交的书面评标报告和中标候选人名单之日起3日内，将评标结果（即中标候选人名单）、中标候选人投标文件、评标过程（评标专家姓名用代码标记）一并在广东省招标投标监管网（http://zbtb.gd.gov.cn）、全国公共资源交易平台（广东省·韶关市）（https://ygp.gdzwfw.gov.cn/ggzy-portal/#/440200/index）进行公示，公示期不得少于3天。</w:t>
      </w:r>
    </w:p>
    <w:p w14:paraId="698089A6">
      <w:pPr>
        <w:pStyle w:val="34"/>
        <w:spacing w:line="400" w:lineRule="exact"/>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15.2</w:t>
      </w:r>
      <w:r>
        <w:rPr>
          <w:rFonts w:hint="eastAsia" w:asciiTheme="minorEastAsia" w:hAnsiTheme="minorEastAsia" w:eastAsiaTheme="minorEastAsia" w:cstheme="minorEastAsia"/>
          <w:bCs/>
          <w:snapToGrid w:val="0"/>
          <w:color w:val="auto"/>
          <w:kern w:val="0"/>
          <w:highlight w:val="none"/>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号）执行。</w:t>
      </w:r>
    </w:p>
    <w:p w14:paraId="76AC70F7">
      <w:pPr>
        <w:pStyle w:val="34"/>
        <w:spacing w:line="400" w:lineRule="exact"/>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bCs/>
          <w:snapToGrid w:val="0"/>
          <w:color w:val="auto"/>
          <w:kern w:val="0"/>
          <w:highlight w:val="none"/>
        </w:rPr>
        <w:t>15.3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419DA419">
      <w:pPr>
        <w:wordWrap w:val="0"/>
        <w:adjustRightInd w:val="0"/>
        <w:snapToGrid w:val="0"/>
        <w:spacing w:line="440" w:lineRule="exact"/>
        <w:outlineLvl w:val="1"/>
        <w:rPr>
          <w:rFonts w:hint="eastAsia" w:asciiTheme="minorEastAsia" w:hAnsiTheme="minorEastAsia" w:eastAsiaTheme="minorEastAsia" w:cstheme="minorEastAsia"/>
          <w:snapToGrid w:val="0"/>
          <w:color w:val="auto"/>
          <w:kern w:val="0"/>
          <w:szCs w:val="24"/>
          <w:highlight w:val="none"/>
        </w:rPr>
      </w:pPr>
      <w:bookmarkStart w:id="274" w:name="_Hlt69669771"/>
      <w:bookmarkEnd w:id="274"/>
      <w:bookmarkStart w:id="275" w:name="_Hlt112206772"/>
      <w:bookmarkEnd w:id="275"/>
      <w:bookmarkStart w:id="276" w:name="_Toc13416"/>
      <w:bookmarkStart w:id="277" w:name="_Toc16300"/>
      <w:bookmarkStart w:id="278" w:name="_Toc16649"/>
      <w:bookmarkStart w:id="279" w:name="_Toc11519"/>
      <w:bookmarkStart w:id="280" w:name="_Toc21045"/>
      <w:bookmarkStart w:id="281" w:name="_Toc9083"/>
      <w:bookmarkStart w:id="282" w:name="_Toc16203"/>
      <w:bookmarkStart w:id="283" w:name="_Toc24184"/>
      <w:bookmarkStart w:id="284" w:name="_Hlt69698765"/>
      <w:bookmarkStart w:id="285" w:name="_Hlt69698713"/>
      <w:r>
        <w:rPr>
          <w:rFonts w:hint="eastAsia" w:asciiTheme="minorEastAsia" w:hAnsiTheme="minorEastAsia" w:eastAsiaTheme="minorEastAsia" w:cstheme="minorEastAsia"/>
          <w:b/>
          <w:bCs/>
          <w:snapToGrid w:val="0"/>
          <w:color w:val="auto"/>
          <w:kern w:val="0"/>
          <w:szCs w:val="24"/>
          <w:highlight w:val="none"/>
        </w:rPr>
        <w:t>第四节 否决投标条件</w:t>
      </w:r>
    </w:p>
    <w:p w14:paraId="37D31EA2">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highlight w:val="none"/>
        </w:rPr>
        <w:t>　　</w:t>
      </w:r>
      <w:r>
        <w:rPr>
          <w:rFonts w:hint="eastAsia" w:asciiTheme="minorEastAsia" w:hAnsiTheme="minorEastAsia" w:eastAsiaTheme="minorEastAsia" w:cstheme="minorEastAsia"/>
          <w:snapToGrid w:val="0"/>
          <w:color w:val="auto"/>
          <w:kern w:val="0"/>
          <w:szCs w:val="24"/>
          <w:highlight w:val="none"/>
        </w:rPr>
        <w:t xml:space="preserve">  本节所集中列示的否决投标条件，是本章第三节“投标人须知正文”的组成部分，是对本章第三节所规定的否决投标条件的总结和补充。投标人未有列入本节情形的，评标时一律不得否决其投标。本节所称“规定”均指招标文件的规定。</w:t>
      </w:r>
    </w:p>
    <w:p w14:paraId="057A333B">
      <w:pPr>
        <w:wordWrap w:val="0"/>
        <w:adjustRightInd w:val="0"/>
        <w:snapToGrid w:val="0"/>
        <w:spacing w:line="440" w:lineRule="exact"/>
        <w:outlineLvl w:val="1"/>
        <w:rPr>
          <w:rFonts w:hint="eastAsia" w:asciiTheme="minorEastAsia" w:hAnsiTheme="minorEastAsia" w:eastAsiaTheme="minorEastAsia" w:cstheme="minorEastAsia"/>
          <w:b/>
          <w:bCs/>
          <w:snapToGrid w:val="0"/>
          <w:color w:val="auto"/>
          <w:kern w:val="0"/>
          <w:szCs w:val="24"/>
          <w:highlight w:val="none"/>
        </w:rPr>
      </w:pPr>
      <w:bookmarkStart w:id="286" w:name="_Toc25868"/>
      <w:r>
        <w:rPr>
          <w:rFonts w:hint="eastAsia" w:asciiTheme="minorEastAsia" w:hAnsiTheme="minorEastAsia" w:eastAsiaTheme="minorEastAsia" w:cstheme="minorEastAsia"/>
          <w:b/>
          <w:bCs/>
          <w:snapToGrid w:val="0"/>
          <w:color w:val="auto"/>
          <w:kern w:val="0"/>
          <w:szCs w:val="24"/>
          <w:highlight w:val="none"/>
        </w:rPr>
        <w:t>1．资格评审环节</w:t>
      </w:r>
      <w:bookmarkEnd w:id="286"/>
    </w:p>
    <w:p w14:paraId="5EBB77B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投标人有下列情形之一的，评标委员会应否决其投标。被否决的投标人，不进入形式评审环节。</w:t>
      </w:r>
    </w:p>
    <w:p w14:paraId="42BF76F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（1）有本章第三节第4.4条“禁止投标条款”规定的任何一种情形；</w:t>
      </w:r>
    </w:p>
    <w:p w14:paraId="303439CA">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（2）投标人资质不符合规定的；</w:t>
      </w:r>
    </w:p>
    <w:p w14:paraId="6772FD0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投标人名称与营业执照、资质证书、安全生产许可证上的企业名称相互不一致的；其资质证书、安全生产许可证不是由住房城乡建设主管部门颁发的；营业执照、资质证书、安全生产许可证被吊销、暂扣或不在有效期内的；</w:t>
      </w:r>
    </w:p>
    <w:p w14:paraId="0CA531CE">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14:paraId="7523EE7F">
      <w:pPr>
        <w:wordWrap w:val="0"/>
        <w:adjustRightInd w:val="0"/>
        <w:snapToGrid w:val="0"/>
        <w:spacing w:line="440" w:lineRule="exact"/>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根据有关文件精神，投标人的企业相关证书到期的，均按该证书的发证机构相关行政主管部门最新文件执行（如自动顺延或推迟办理延期业务的通知等）投标人须提供相关证明材料附在该证书后面，证明在开标日继续有效的。</w:t>
      </w:r>
    </w:p>
    <w:p w14:paraId="11CA74C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（4）拟派项目经理、项目技术负责人、专职安全员、设计负责人的条件不符合规定的；拟派专职安全员数量不符合规定的；</w:t>
      </w:r>
    </w:p>
    <w:p w14:paraId="3A8BE00D">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项目经理简历表》中拟派项目经理与《开标一览表》不一致的；建造师的注册证书不是住建部门颁发的；建造师的注册单位与投标人不一致的；项目管理班子组成人员的各类证书、证件、证明不在有效期内的（建造师注册证书不在使用有效期内的）；擅自修改、遗漏《项目经理任职声明》实质性内容的；</w:t>
      </w:r>
    </w:p>
    <w:p w14:paraId="5C290081">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注：投标人已经工商变更，但其员工执业资格注册证书的注册单位名称未完成变更的，不得否决其投标。</w:t>
      </w:r>
    </w:p>
    <w:p w14:paraId="3E6E6AC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（6）联合体投标，未提交《联合体协议书》的；擅自修改、遗漏《联合体协议书》实质性内容的；联合体成员的数量、资质不符合规定的；联合体成员同时以自己名义单独投标或者参加其他联合体投标的；</w:t>
      </w:r>
    </w:p>
    <w:p w14:paraId="37BB7948">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（7）投标人为外省建筑企业，但未提供“进粤企业和人员诚信信息登记平台”企业和拟派人员信息情况打印页或网页截图的。</w:t>
      </w:r>
    </w:p>
    <w:p w14:paraId="41D23B3A">
      <w:pPr>
        <w:wordWrap w:val="0"/>
        <w:adjustRightInd w:val="0"/>
        <w:snapToGrid w:val="0"/>
        <w:spacing w:line="440" w:lineRule="exact"/>
        <w:outlineLvl w:val="1"/>
        <w:rPr>
          <w:rFonts w:hint="eastAsia" w:asciiTheme="minorEastAsia" w:hAnsiTheme="minorEastAsia" w:eastAsiaTheme="minorEastAsia" w:cstheme="minorEastAsia"/>
          <w:b/>
          <w:bCs/>
          <w:snapToGrid w:val="0"/>
          <w:color w:val="auto"/>
          <w:kern w:val="0"/>
          <w:szCs w:val="24"/>
          <w:highlight w:val="none"/>
        </w:rPr>
      </w:pPr>
      <w:bookmarkStart w:id="287" w:name="_Toc16862"/>
      <w:r>
        <w:rPr>
          <w:rFonts w:hint="eastAsia" w:asciiTheme="minorEastAsia" w:hAnsiTheme="minorEastAsia" w:eastAsiaTheme="minorEastAsia" w:cstheme="minorEastAsia"/>
          <w:b/>
          <w:bCs/>
          <w:snapToGrid w:val="0"/>
          <w:color w:val="auto"/>
          <w:kern w:val="0"/>
          <w:szCs w:val="24"/>
          <w:highlight w:val="none"/>
        </w:rPr>
        <w:t>2．形式评审环节</w:t>
      </w:r>
      <w:bookmarkEnd w:id="287"/>
    </w:p>
    <w:p w14:paraId="5BD3436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投标人有下列情形之一的，评标委员会应否决其投标。被否决的投标人，不进入响应性评审环节。</w:t>
      </w:r>
    </w:p>
    <w:p w14:paraId="2208CC0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8</w:t>
      </w:r>
      <w:r>
        <w:rPr>
          <w:rFonts w:hint="eastAsia" w:asciiTheme="minorEastAsia" w:hAnsiTheme="minorEastAsia" w:eastAsiaTheme="minorEastAsia" w:cstheme="minorEastAsia"/>
          <w:snapToGrid w:val="0"/>
          <w:color w:val="auto"/>
          <w:kern w:val="0"/>
          <w:szCs w:val="24"/>
          <w:highlight w:val="none"/>
        </w:rPr>
        <w:t>）本章第三节第11.2.2目中规定的“所有投标人均应提供”的组成内容（包括该组成内容的所附资料）中，任何一项有缺漏的；</w:t>
      </w:r>
    </w:p>
    <w:p w14:paraId="3D21ACF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9</w:t>
      </w:r>
      <w:r>
        <w:rPr>
          <w:rFonts w:hint="eastAsia" w:asciiTheme="minorEastAsia" w:hAnsiTheme="minorEastAsia" w:eastAsiaTheme="minorEastAsia" w:cstheme="minorEastAsia"/>
          <w:snapToGrid w:val="0"/>
          <w:color w:val="auto"/>
          <w:kern w:val="0"/>
          <w:szCs w:val="24"/>
          <w:highlight w:val="none"/>
        </w:rPr>
        <w:t>）关键字迹模糊、无法辨认，且该种过错将导致评标委员会无法判断投标文件是否响应招标文件实质性要求的；出现手工涂改、行间插字或删除，但未加盖单位章或由投标人的法定代表人或其委托代理人签字确认的；</w:t>
      </w:r>
    </w:p>
    <w:p w14:paraId="7414069F">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0</w:t>
      </w:r>
      <w:r>
        <w:rPr>
          <w:rFonts w:hint="eastAsia" w:asciiTheme="minorEastAsia" w:hAnsiTheme="minorEastAsia" w:eastAsiaTheme="minorEastAsia" w:cstheme="minorEastAsia"/>
          <w:snapToGrid w:val="0"/>
          <w:color w:val="auto"/>
          <w:kern w:val="0"/>
          <w:szCs w:val="24"/>
          <w:highlight w:val="none"/>
        </w:rPr>
        <w:t>）投标文件未按规定签字、盖章的；</w:t>
      </w:r>
    </w:p>
    <w:p w14:paraId="290C357F">
      <w:pPr>
        <w:wordWrap w:val="0"/>
        <w:adjustRightInd w:val="0"/>
        <w:snapToGrid w:val="0"/>
        <w:spacing w:line="440" w:lineRule="exact"/>
        <w:outlineLvl w:val="1"/>
        <w:rPr>
          <w:rFonts w:hint="eastAsia" w:asciiTheme="minorEastAsia" w:hAnsiTheme="minorEastAsia" w:eastAsiaTheme="minorEastAsia" w:cstheme="minorEastAsia"/>
          <w:b/>
          <w:bCs/>
          <w:snapToGrid w:val="0"/>
          <w:color w:val="auto"/>
          <w:kern w:val="0"/>
          <w:szCs w:val="24"/>
          <w:highlight w:val="none"/>
        </w:rPr>
      </w:pPr>
      <w:bookmarkStart w:id="288" w:name="_Toc11607"/>
      <w:r>
        <w:rPr>
          <w:rFonts w:hint="eastAsia" w:asciiTheme="minorEastAsia" w:hAnsiTheme="minorEastAsia" w:eastAsiaTheme="minorEastAsia" w:cstheme="minorEastAsia"/>
          <w:b/>
          <w:bCs/>
          <w:snapToGrid w:val="0"/>
          <w:color w:val="auto"/>
          <w:kern w:val="0"/>
          <w:szCs w:val="24"/>
          <w:highlight w:val="none"/>
        </w:rPr>
        <w:t>3．响应性评审环节</w:t>
      </w:r>
      <w:bookmarkEnd w:id="288"/>
    </w:p>
    <w:p w14:paraId="7F5913C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投标人有下列情形之一的，评标委员会应否决其投标。被否决的投标人，不进入详细评审阶段。</w:t>
      </w:r>
    </w:p>
    <w:p w14:paraId="6D3A250A">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1</w:t>
      </w:r>
      <w:r>
        <w:rPr>
          <w:rFonts w:hint="eastAsia" w:asciiTheme="minorEastAsia" w:hAnsiTheme="minorEastAsia" w:eastAsiaTheme="minorEastAsia" w:cstheme="minorEastAsia"/>
          <w:snapToGrid w:val="0"/>
          <w:color w:val="auto"/>
          <w:kern w:val="0"/>
          <w:szCs w:val="24"/>
          <w:highlight w:val="none"/>
        </w:rPr>
        <w:t>）承诺的投标有效期短于规定的；工期超出规定的；擅自修改、遗漏《投标函》《各项承诺一览表》实质性内容的；</w:t>
      </w:r>
    </w:p>
    <w:p w14:paraId="6AF21AAC">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2</w:t>
      </w:r>
      <w:r>
        <w:rPr>
          <w:rFonts w:hint="eastAsia" w:asciiTheme="minorEastAsia" w:hAnsiTheme="minorEastAsia" w:eastAsiaTheme="minorEastAsia" w:cstheme="minorEastAsia"/>
          <w:snapToGrid w:val="0"/>
          <w:color w:val="auto"/>
          <w:kern w:val="0"/>
          <w:szCs w:val="24"/>
          <w:highlight w:val="none"/>
        </w:rPr>
        <w:t>）两个或两个以上投标总价的（同一个投标总价大、小写不一致的除外）；投标总价超出出现最高投标限价的；投标总价下浮率超过15%，又未提供相应书面说明和佐证材料或提供的书面说明和佐证材料不能令人信服，被评标委员会认定以低于成本报价竞标的；</w:t>
      </w:r>
    </w:p>
    <w:p w14:paraId="6118D55F">
      <w:pPr>
        <w:wordWrap w:val="0"/>
        <w:adjustRightInd w:val="0"/>
        <w:snapToGrid w:val="0"/>
        <w:spacing w:line="440" w:lineRule="exact"/>
        <w:outlineLvl w:val="1"/>
        <w:rPr>
          <w:rFonts w:hint="eastAsia" w:asciiTheme="minorEastAsia" w:hAnsiTheme="minorEastAsia" w:eastAsiaTheme="minorEastAsia" w:cstheme="minorEastAsia"/>
          <w:b/>
          <w:bCs/>
          <w:snapToGrid w:val="0"/>
          <w:color w:val="auto"/>
          <w:kern w:val="0"/>
          <w:szCs w:val="24"/>
          <w:highlight w:val="none"/>
        </w:rPr>
      </w:pPr>
      <w:bookmarkStart w:id="289" w:name="_Toc29578"/>
      <w:r>
        <w:rPr>
          <w:rFonts w:hint="eastAsia" w:asciiTheme="minorEastAsia" w:hAnsiTheme="minorEastAsia" w:eastAsiaTheme="minorEastAsia" w:cstheme="minorEastAsia"/>
          <w:b/>
          <w:bCs/>
          <w:snapToGrid w:val="0"/>
          <w:color w:val="auto"/>
          <w:kern w:val="0"/>
          <w:szCs w:val="24"/>
          <w:highlight w:val="none"/>
        </w:rPr>
        <w:t>4．其他</w:t>
      </w:r>
      <w:bookmarkEnd w:id="289"/>
    </w:p>
    <w:p w14:paraId="29E5663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在任何评标环节（或阶段），投标人有下列情形之一的，评标委员会应否决其投标。被否决的投标人，不进入下一环节（或阶段）。</w:t>
      </w:r>
    </w:p>
    <w:p w14:paraId="3A2D1E1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（14）不按评标委员会要求澄清、说明或补正的；</w:t>
      </w:r>
    </w:p>
    <w:p w14:paraId="3E049FB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（15）有下列情形之一，被评标委员会认定属于串通投标的：</w:t>
      </w:r>
    </w:p>
    <w:p w14:paraId="7D30B0F8">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①不同投标人的投标文件两处以上（含两处）错、漏一致；</w:t>
      </w:r>
    </w:p>
    <w:p w14:paraId="572F1E6B">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②不同投标人的投标总价相近且各分项报价、综合单价分析表内容混乱不能相互对应、乱调乱压或乱抬的，而在询标时没有合理的解释或者不能提供计算依据和报价依据；</w:t>
      </w:r>
    </w:p>
    <w:p w14:paraId="2D72A87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③不同投标人的投标各项报价存在异常一致或者呈规律性变化；</w:t>
      </w:r>
    </w:p>
    <w:p w14:paraId="5FBCB26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④不同投标人的投标文件由同一单位或者同一个人编制；</w:t>
      </w:r>
    </w:p>
    <w:p w14:paraId="2C8B44E2">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⑤不同投标人的投标文件中投标资料（包括电子资料）相互混装或项目班子成员出现同一人；</w:t>
      </w:r>
    </w:p>
    <w:p w14:paraId="530885B0">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⑥不同投标人的投标文件由同一电脑编制或同一台附属设备打印，或投标报价用同一个预算编制软件密码锁制作或出自同一电子文档；</w:t>
      </w:r>
    </w:p>
    <w:p w14:paraId="6A9CD7D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⑦不同投标人的投标保证由同一企业或同一账户资金缴纳；</w:t>
      </w:r>
    </w:p>
    <w:p w14:paraId="69D505B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⑧不同投标人委托同一个人或注册在同一家企业的注册人员或同一家企业为其投标提供投标咨询、商务报价、技术咨询（招标工程本身要求采用专有技术的除外）等服务。</w:t>
      </w:r>
    </w:p>
    <w:p w14:paraId="313C831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sectPr>
          <w:footerReference r:id="rId5" w:type="default"/>
          <w:endnotePr>
            <w:numFmt w:val="decimal"/>
          </w:endnotePr>
          <w:pgSz w:w="11906" w:h="16838"/>
          <w:pgMar w:top="1701" w:right="1531" w:bottom="1417" w:left="1531" w:header="850" w:footer="992" w:gutter="0"/>
          <w:pgNumType w:fmt="decimal" w:start="1"/>
          <w:cols w:space="720" w:num="1"/>
          <w:docGrid w:linePitch="327" w:charSpace="0"/>
        </w:sectPr>
      </w:pPr>
    </w:p>
    <w:p w14:paraId="2680555D">
      <w:pPr>
        <w:pStyle w:val="35"/>
        <w:keepNext/>
        <w:keepLines/>
        <w:tabs>
          <w:tab w:val="left" w:pos="885"/>
        </w:tabs>
        <w:spacing w:line="400" w:lineRule="exact"/>
        <w:jc w:val="center"/>
        <w:rPr>
          <w:rFonts w:hint="eastAsia" w:asciiTheme="minorEastAsia" w:hAnsiTheme="minorEastAsia" w:eastAsiaTheme="minorEastAsia" w:cstheme="minorEastAsia"/>
          <w:b/>
          <w:color w:val="auto"/>
          <w:kern w:val="44"/>
          <w:sz w:val="36"/>
          <w:szCs w:val="36"/>
          <w:highlight w:val="none"/>
        </w:rPr>
      </w:pPr>
      <w:bookmarkStart w:id="290" w:name="_Toc24433"/>
      <w:r>
        <w:rPr>
          <w:rFonts w:hint="eastAsia" w:asciiTheme="minorEastAsia" w:hAnsiTheme="minorEastAsia" w:eastAsiaTheme="minorEastAsia" w:cstheme="minorEastAsia"/>
          <w:b/>
          <w:color w:val="auto"/>
          <w:kern w:val="44"/>
          <w:sz w:val="36"/>
          <w:szCs w:val="36"/>
          <w:highlight w:val="none"/>
        </w:rPr>
        <w:t>第二章</w:t>
      </w:r>
      <w:bookmarkStart w:id="291" w:name="_Hlt87793831"/>
      <w:bookmarkEnd w:id="291"/>
      <w:r>
        <w:rPr>
          <w:rFonts w:hint="eastAsia" w:asciiTheme="minorEastAsia" w:hAnsiTheme="minorEastAsia" w:eastAsiaTheme="minorEastAsia" w:cstheme="minorEastAsia"/>
          <w:b/>
          <w:color w:val="auto"/>
          <w:kern w:val="44"/>
          <w:sz w:val="36"/>
          <w:szCs w:val="36"/>
          <w:highlight w:val="none"/>
        </w:rPr>
        <w:t xml:space="preserve"> 拟签订合同的主要条款</w:t>
      </w:r>
      <w:bookmarkEnd w:id="276"/>
      <w:bookmarkEnd w:id="277"/>
      <w:bookmarkEnd w:id="278"/>
      <w:bookmarkEnd w:id="279"/>
      <w:bookmarkEnd w:id="280"/>
      <w:bookmarkEnd w:id="281"/>
      <w:bookmarkEnd w:id="282"/>
      <w:bookmarkEnd w:id="283"/>
      <w:bookmarkEnd w:id="290"/>
    </w:p>
    <w:p w14:paraId="028A984B">
      <w:pPr>
        <w:pStyle w:val="34"/>
        <w:rPr>
          <w:rFonts w:hint="eastAsia" w:asciiTheme="minorEastAsia" w:hAnsiTheme="minorEastAsia" w:eastAsiaTheme="minorEastAsia" w:cstheme="minorEastAsia"/>
          <w:color w:val="auto"/>
          <w:highlight w:val="none"/>
        </w:rPr>
      </w:pPr>
    </w:p>
    <w:bookmarkEnd w:id="284"/>
    <w:bookmarkEnd w:id="285"/>
    <w:p w14:paraId="5B0BC685">
      <w:pPr>
        <w:pStyle w:val="36"/>
        <w:keepNext/>
        <w:keepLines/>
        <w:ind w:firstLine="480"/>
        <w:jc w:val="both"/>
        <w:rPr>
          <w:rFonts w:hint="eastAsia" w:asciiTheme="minorEastAsia" w:hAnsiTheme="minorEastAsia" w:eastAsiaTheme="minorEastAsia" w:cstheme="minorEastAsia"/>
          <w:b/>
          <w:color w:val="auto"/>
          <w:kern w:val="2"/>
          <w:highlight w:val="none"/>
        </w:rPr>
      </w:pPr>
      <w:bookmarkStart w:id="292" w:name="_Toc22879"/>
      <w:bookmarkStart w:id="293" w:name="_Toc326916629"/>
      <w:bookmarkStart w:id="294" w:name="_Toc28378"/>
      <w:bookmarkStart w:id="295" w:name="_Toc322793288"/>
      <w:bookmarkStart w:id="296" w:name="_Toc8407"/>
      <w:bookmarkStart w:id="297" w:name="_Toc19931"/>
      <w:bookmarkStart w:id="298" w:name="_Toc7347"/>
      <w:bookmarkStart w:id="299" w:name="_Toc18454"/>
      <w:bookmarkStart w:id="300" w:name="_Toc21667"/>
      <w:bookmarkStart w:id="301" w:name="_Toc12651"/>
      <w:bookmarkStart w:id="302" w:name="_Toc26552"/>
      <w:bookmarkStart w:id="303" w:name="_Toc16661"/>
      <w:bookmarkStart w:id="304" w:name="_Hlt69698741"/>
      <w:bookmarkStart w:id="305" w:name="_Hlt69698722"/>
      <w:bookmarkStart w:id="306" w:name="_Hlt69698769"/>
      <w:r>
        <w:rPr>
          <w:rFonts w:hint="eastAsia" w:asciiTheme="minorEastAsia" w:hAnsiTheme="minorEastAsia" w:eastAsiaTheme="minorEastAsia" w:cstheme="minorEastAsia"/>
          <w:b/>
          <w:color w:val="auto"/>
          <w:kern w:val="2"/>
          <w:highlight w:val="none"/>
        </w:rPr>
        <w:t>1 工程承包方式</w:t>
      </w:r>
      <w:bookmarkEnd w:id="292"/>
      <w:bookmarkEnd w:id="293"/>
      <w:bookmarkEnd w:id="294"/>
      <w:bookmarkEnd w:id="295"/>
      <w:bookmarkEnd w:id="296"/>
      <w:bookmarkEnd w:id="297"/>
      <w:bookmarkEnd w:id="298"/>
      <w:bookmarkEnd w:id="299"/>
      <w:bookmarkEnd w:id="300"/>
      <w:bookmarkEnd w:id="301"/>
      <w:bookmarkEnd w:id="302"/>
      <w:bookmarkEnd w:id="303"/>
    </w:p>
    <w:p w14:paraId="127D77C7">
      <w:pPr>
        <w:pStyle w:val="34"/>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1.1承包人按中标价以总承包方式在规定的期限内对设计、施工（包工</w:t>
      </w:r>
      <w:bookmarkStart w:id="307" w:name="_Hlt87948212"/>
      <w:bookmarkEnd w:id="307"/>
      <w:r>
        <w:rPr>
          <w:rFonts w:hint="eastAsia" w:asciiTheme="minorEastAsia" w:hAnsiTheme="minorEastAsia" w:eastAsiaTheme="minorEastAsia" w:cstheme="minorEastAsia"/>
          <w:color w:val="auto"/>
          <w:highlight w:val="none"/>
        </w:rPr>
        <w:t>包料、包质量、包机械、包绿色安全文明施工、包工期等）进行总承包，不允许转包和违法分包，如承包人无相应专业资质，确需分包须与发包人协商并得到发包人和监理人同意并报工程主管部门备案。</w:t>
      </w:r>
    </w:p>
    <w:p w14:paraId="610509CE">
      <w:pPr>
        <w:pStyle w:val="34"/>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 包工包料：材料符合招标文件要求</w:t>
      </w:r>
      <w:r>
        <w:rPr>
          <w:rFonts w:hint="eastAsia" w:asciiTheme="minorEastAsia" w:hAnsiTheme="minorEastAsia" w:eastAsiaTheme="minorEastAsia" w:cstheme="minorEastAsia"/>
          <w:snapToGrid w:val="0"/>
          <w:color w:val="auto"/>
          <w:kern w:val="0"/>
          <w:highlight w:val="none"/>
        </w:rPr>
        <w:t>及合同的相关约定</w:t>
      </w:r>
      <w:r>
        <w:rPr>
          <w:rFonts w:hint="eastAsia" w:asciiTheme="minorEastAsia" w:hAnsiTheme="minorEastAsia" w:eastAsiaTheme="minorEastAsia" w:cstheme="minorEastAsia"/>
          <w:color w:val="auto"/>
          <w:highlight w:val="none"/>
        </w:rPr>
        <w:t>，报验使用；办理用工保险。</w:t>
      </w:r>
    </w:p>
    <w:p w14:paraId="6F1A281D">
      <w:pPr>
        <w:pStyle w:val="34"/>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1.1.2 包质量：符合招标文件要求</w:t>
      </w:r>
      <w:r>
        <w:rPr>
          <w:rFonts w:hint="eastAsia" w:asciiTheme="minorEastAsia" w:hAnsiTheme="minorEastAsia" w:eastAsiaTheme="minorEastAsia" w:cstheme="minorEastAsia"/>
          <w:color w:val="auto"/>
          <w:szCs w:val="24"/>
          <w:highlight w:val="none"/>
        </w:rPr>
        <w:t>及合同有关质量的相关约定</w:t>
      </w:r>
      <w:r>
        <w:rPr>
          <w:rFonts w:hint="eastAsia" w:asciiTheme="minorEastAsia" w:hAnsiTheme="minorEastAsia" w:eastAsiaTheme="minorEastAsia" w:cstheme="minorEastAsia"/>
          <w:color w:val="auto"/>
          <w:highlight w:val="none"/>
        </w:rPr>
        <w:t>。</w:t>
      </w:r>
    </w:p>
    <w:p w14:paraId="49CBA812">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1.1.3 包安全包文明施工：符合国家及省、市的相关规定及招标文件、合同的相关约定要求。</w:t>
      </w:r>
    </w:p>
    <w:p w14:paraId="0721E94B">
      <w:pPr>
        <w:pStyle w:val="34"/>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1.1.4 包工期：本工程项目施工必须在规定的期限内完成。</w:t>
      </w:r>
    </w:p>
    <w:p w14:paraId="5DC2B73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2"/>
          <w:highlight w:val="none"/>
        </w:rPr>
        <w:t xml:space="preserve">1.2 </w:t>
      </w:r>
      <w:r>
        <w:rPr>
          <w:rFonts w:hint="eastAsia" w:asciiTheme="minorEastAsia" w:hAnsiTheme="minorEastAsia" w:eastAsiaTheme="minorEastAsia" w:cstheme="minorEastAsia"/>
          <w:color w:val="auto"/>
          <w:szCs w:val="24"/>
          <w:highlight w:val="none"/>
        </w:rPr>
        <w:t>限额设计要求：</w:t>
      </w:r>
    </w:p>
    <w:p w14:paraId="0C35371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1.2.1施工图预算中的建安工程费不得超过初步设计概算中的建安工程费且不得超过建安工程费的中标价。</w:t>
      </w:r>
    </w:p>
    <w:p w14:paraId="6C5E2BD5">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1.2.2 承包人在提交设计施工图时必须同时提交施工图预算。施工图预算作为承包人自我核算是否符合限额设计要求的依据。若造价咨询单位按施工图编制或审核的建安工程费高于前条1.2.1条规定时，承包人必须无条件对施工图进行修改，直至满足限额设计要求，不另行增加设计费，且由此造成发包人委托的造价咨询单位重复编制或审核施工图预算的费用由承包人承担，结算时在设计费中扣除。</w:t>
      </w:r>
    </w:p>
    <w:p w14:paraId="78691A86">
      <w:pPr>
        <w:pStyle w:val="51"/>
        <w:keepNext/>
        <w:keepLines/>
        <w:ind w:firstLine="480"/>
        <w:jc w:val="both"/>
        <w:rPr>
          <w:rFonts w:hint="eastAsia" w:asciiTheme="minorEastAsia" w:hAnsiTheme="minorEastAsia" w:eastAsiaTheme="minorEastAsia" w:cstheme="minorEastAsia"/>
          <w:b/>
          <w:color w:val="auto"/>
          <w:highlight w:val="none"/>
        </w:rPr>
      </w:pPr>
      <w:bookmarkStart w:id="308" w:name="_Toc16582"/>
      <w:bookmarkStart w:id="309" w:name="_Toc12467"/>
      <w:bookmarkStart w:id="310" w:name="_Toc20951"/>
      <w:bookmarkStart w:id="311" w:name="_Toc469940920"/>
      <w:bookmarkStart w:id="312" w:name="_Toc16000"/>
      <w:bookmarkStart w:id="313" w:name="_Toc1359"/>
      <w:bookmarkStart w:id="314" w:name="_Toc467587699"/>
      <w:bookmarkStart w:id="315" w:name="_Toc27815"/>
      <w:bookmarkStart w:id="316" w:name="_Toc3936"/>
      <w:bookmarkStart w:id="317" w:name="_Toc13383"/>
      <w:bookmarkStart w:id="318" w:name="_Toc4817"/>
      <w:bookmarkStart w:id="319" w:name="_Toc10533"/>
      <w:r>
        <w:rPr>
          <w:rFonts w:hint="eastAsia" w:asciiTheme="minorEastAsia" w:hAnsiTheme="minorEastAsia" w:eastAsiaTheme="minorEastAsia" w:cstheme="minorEastAsia"/>
          <w:b/>
          <w:color w:val="auto"/>
          <w:highlight w:val="none"/>
        </w:rPr>
        <w:t>2 施工图工程量清单预算的编制原则</w:t>
      </w:r>
      <w:bookmarkEnd w:id="308"/>
      <w:bookmarkEnd w:id="309"/>
      <w:bookmarkEnd w:id="310"/>
      <w:bookmarkEnd w:id="311"/>
      <w:bookmarkEnd w:id="312"/>
      <w:bookmarkEnd w:id="313"/>
      <w:bookmarkEnd w:id="314"/>
      <w:bookmarkEnd w:id="315"/>
      <w:bookmarkEnd w:id="316"/>
      <w:bookmarkEnd w:id="317"/>
      <w:bookmarkEnd w:id="318"/>
      <w:bookmarkEnd w:id="319"/>
    </w:p>
    <w:p w14:paraId="09A1E1C1">
      <w:pPr>
        <w:pStyle w:val="52"/>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2.1 施工图设计必须符合本项目限额设计要求。本项目的建安工程费预算价不得超过已批复概算中相应的建安工程费</w:t>
      </w:r>
      <w:r>
        <w:rPr>
          <w:rFonts w:hint="eastAsia" w:asciiTheme="minorEastAsia" w:hAnsiTheme="minorEastAsia" w:eastAsiaTheme="minorEastAsia" w:cstheme="minorEastAsia"/>
          <w:color w:val="auto"/>
          <w:szCs w:val="24"/>
          <w:highlight w:val="none"/>
        </w:rPr>
        <w:t>且不得超过建安工程费的中标价</w:t>
      </w:r>
      <w:r>
        <w:rPr>
          <w:rFonts w:hint="eastAsia" w:asciiTheme="minorEastAsia" w:hAnsiTheme="minorEastAsia" w:eastAsiaTheme="minorEastAsia" w:cstheme="minorEastAsia"/>
          <w:color w:val="auto"/>
          <w:kern w:val="0"/>
          <w:highlight w:val="none"/>
        </w:rPr>
        <w:t>。否则，承包人必须进行调整，直至符合限额设计要求为止。</w:t>
      </w:r>
    </w:p>
    <w:p w14:paraId="6FED40E9">
      <w:pPr>
        <w:spacing w:line="360" w:lineRule="auto"/>
        <w:ind w:firstLine="480" w:firstLineChars="200"/>
        <w:jc w:val="left"/>
        <w:rPr>
          <w:rFonts w:hint="eastAsia" w:asciiTheme="minorEastAsia" w:hAnsiTheme="minorEastAsia" w:eastAsiaTheme="minorEastAsia" w:cstheme="minorEastAsia"/>
          <w:i/>
          <w:strike/>
          <w:color w:val="auto"/>
          <w:szCs w:val="24"/>
          <w:highlight w:val="none"/>
        </w:rPr>
      </w:pPr>
      <w:r>
        <w:rPr>
          <w:rFonts w:hint="eastAsia" w:asciiTheme="minorEastAsia" w:hAnsiTheme="minorEastAsia" w:eastAsiaTheme="minorEastAsia" w:cstheme="minorEastAsia"/>
          <w:color w:val="auto"/>
          <w:kern w:val="0"/>
          <w:highlight w:val="none"/>
        </w:rPr>
        <w:t>2.2</w:t>
      </w:r>
      <w:r>
        <w:rPr>
          <w:rFonts w:hint="eastAsia" w:asciiTheme="minorEastAsia" w:hAnsiTheme="minorEastAsia" w:eastAsiaTheme="minorEastAsia" w:cstheme="minorEastAsia"/>
          <w:color w:val="auto"/>
          <w:szCs w:val="24"/>
          <w:highlight w:val="none"/>
        </w:rPr>
        <w:t xml:space="preserve"> 施工图工程量清单预算价的编制：承包人根据招标文件及初步设计等相关的文件完成本项目的设计工作，承包人设计的施工图经发包人确认后由发包人委托有资质的审图公司审查，施工图经审查合格后，由承包人编制的施工图工程量清单预算</w:t>
      </w:r>
      <w:r>
        <w:rPr>
          <w:rFonts w:hint="eastAsia" w:asciiTheme="minorEastAsia" w:hAnsiTheme="minorEastAsia" w:eastAsiaTheme="minorEastAsia" w:cstheme="minorEastAsia"/>
          <w:color w:val="auto"/>
          <w:kern w:val="0"/>
          <w:szCs w:val="24"/>
          <w:highlight w:val="none"/>
        </w:rPr>
        <w:t>需经过发包人委托的第三方</w:t>
      </w:r>
      <w:r>
        <w:rPr>
          <w:rFonts w:hint="eastAsia" w:asciiTheme="minorEastAsia" w:hAnsiTheme="minorEastAsia" w:eastAsiaTheme="minorEastAsia" w:cstheme="minorEastAsia"/>
          <w:color w:val="auto"/>
          <w:szCs w:val="24"/>
          <w:highlight w:val="none"/>
        </w:rPr>
        <w:t>造价咨询单位审核</w:t>
      </w:r>
      <w:r>
        <w:rPr>
          <w:rFonts w:hint="eastAsia" w:asciiTheme="minorEastAsia" w:hAnsiTheme="minorEastAsia" w:eastAsiaTheme="minorEastAsia" w:cstheme="minorEastAsia"/>
          <w:color w:val="auto"/>
          <w:kern w:val="0"/>
          <w:szCs w:val="24"/>
          <w:highlight w:val="none"/>
        </w:rPr>
        <w:t>通过后，并报</w:t>
      </w:r>
      <w:r>
        <w:rPr>
          <w:rFonts w:hint="eastAsia" w:asciiTheme="minorEastAsia" w:hAnsiTheme="minorEastAsia" w:eastAsiaTheme="minorEastAsia" w:cstheme="minorEastAsia"/>
          <w:color w:val="auto"/>
          <w:szCs w:val="24"/>
          <w:highlight w:val="none"/>
        </w:rPr>
        <w:t>南雄市财政局投资评审中心</w:t>
      </w:r>
      <w:r>
        <w:rPr>
          <w:rFonts w:hint="eastAsia" w:asciiTheme="minorEastAsia" w:hAnsiTheme="minorEastAsia" w:eastAsiaTheme="minorEastAsia" w:cstheme="minorEastAsia"/>
          <w:color w:val="auto"/>
          <w:kern w:val="0"/>
          <w:szCs w:val="24"/>
          <w:highlight w:val="none"/>
        </w:rPr>
        <w:t>审核</w:t>
      </w:r>
      <w:r>
        <w:rPr>
          <w:rFonts w:hint="eastAsia" w:asciiTheme="minorEastAsia" w:hAnsiTheme="minorEastAsia" w:eastAsiaTheme="minorEastAsia" w:cstheme="minorEastAsia"/>
          <w:color w:val="auto"/>
          <w:szCs w:val="24"/>
          <w:highlight w:val="none"/>
        </w:rPr>
        <w:t>。施工图工程量清单预算的编制依据为：（1）《建设工程工程量清单计价规范》（GB50500—2013）；（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r>
        <w:rPr>
          <w:rFonts w:hint="eastAsia" w:asciiTheme="minorEastAsia" w:hAnsiTheme="minorEastAsia" w:eastAsiaTheme="minorEastAsia" w:cstheme="minorEastAsia"/>
          <w:color w:val="auto"/>
          <w:kern w:val="0"/>
          <w:szCs w:val="24"/>
          <w:highlight w:val="none"/>
        </w:rPr>
        <w:t>工程量按施工图计算，主要材料价格按预算编制时（招标文件所规定的设计预算编制工期内）当季南雄市工程造价管理机构发布的人工、材料、机械台班综合单价（若南雄市未发布信息则依次参照广东省韶关市、广东省清远市、广东省肇庆市、广东省佛山市、广东省东莞市、广东省广州市，若以上城市均没有信息价则按市场询价，市场询价方式优先从京东、国美、苏宁等大型电商平台查询）执行、经发包人确认的材料价格或暂定材料价格计算，规费、税金等其它费用则按有关规定计算（费率有上、下限的按平均值计算），预算包干费按2018年广东省计价办法的规定计算，赶工措施费不另行计算。</w:t>
      </w:r>
    </w:p>
    <w:p w14:paraId="34CE21CF">
      <w:pPr>
        <w:pStyle w:val="4"/>
        <w:keepNext/>
        <w:keepLines/>
        <w:spacing w:line="360" w:lineRule="auto"/>
        <w:ind w:firstLine="480"/>
        <w:jc w:val="both"/>
        <w:rPr>
          <w:rFonts w:hint="eastAsia" w:asciiTheme="minorEastAsia" w:hAnsiTheme="minorEastAsia" w:eastAsiaTheme="minorEastAsia" w:cstheme="minorEastAsia"/>
          <w:b/>
          <w:color w:val="auto"/>
          <w:kern w:val="2"/>
          <w:szCs w:val="24"/>
          <w:highlight w:val="none"/>
        </w:rPr>
      </w:pPr>
      <w:bookmarkStart w:id="320" w:name="_Toc30405"/>
      <w:bookmarkStart w:id="321" w:name="_Toc28537"/>
      <w:bookmarkStart w:id="322" w:name="_Toc466640604"/>
      <w:bookmarkStart w:id="323" w:name="_Toc11307"/>
      <w:bookmarkStart w:id="324" w:name="_Toc6675"/>
      <w:bookmarkStart w:id="325" w:name="_Toc3958"/>
      <w:bookmarkStart w:id="326" w:name="_Toc25565"/>
      <w:bookmarkStart w:id="327" w:name="_Toc16870"/>
      <w:bookmarkStart w:id="328" w:name="_Toc2286"/>
      <w:bookmarkStart w:id="329" w:name="_Toc755"/>
      <w:bookmarkStart w:id="330" w:name="_Toc13437"/>
      <w:bookmarkStart w:id="331" w:name="_Hlt87948447"/>
      <w:bookmarkStart w:id="332" w:name="_Hlt87948449"/>
      <w:r>
        <w:rPr>
          <w:rFonts w:hint="eastAsia" w:asciiTheme="minorEastAsia" w:hAnsiTheme="minorEastAsia" w:eastAsiaTheme="minorEastAsia" w:cstheme="minorEastAsia"/>
          <w:b/>
          <w:color w:val="auto"/>
          <w:kern w:val="2"/>
          <w:szCs w:val="24"/>
          <w:highlight w:val="none"/>
        </w:rPr>
        <w:t>3 工程结算原则</w:t>
      </w:r>
      <w:bookmarkEnd w:id="320"/>
      <w:bookmarkEnd w:id="321"/>
      <w:bookmarkEnd w:id="322"/>
      <w:bookmarkEnd w:id="323"/>
      <w:bookmarkEnd w:id="324"/>
      <w:bookmarkEnd w:id="325"/>
      <w:bookmarkEnd w:id="326"/>
      <w:bookmarkEnd w:id="327"/>
      <w:bookmarkEnd w:id="328"/>
      <w:bookmarkEnd w:id="329"/>
      <w:bookmarkEnd w:id="330"/>
    </w:p>
    <w:p w14:paraId="7F4D3516">
      <w:pPr>
        <w:spacing w:line="360" w:lineRule="auto"/>
        <w:ind w:firstLine="480" w:firstLineChars="2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3.1设计费结算原则：设计费按中标价包干，结算时不作任何调整</w:t>
      </w:r>
      <w:r>
        <w:rPr>
          <w:rFonts w:hint="eastAsia" w:asciiTheme="minorEastAsia" w:hAnsiTheme="minorEastAsia" w:eastAsiaTheme="minorEastAsia" w:cstheme="minorEastAsia"/>
          <w:color w:val="auto"/>
          <w:kern w:val="1"/>
          <w:szCs w:val="24"/>
          <w:highlight w:val="none"/>
        </w:rPr>
        <w:t>。</w:t>
      </w:r>
    </w:p>
    <w:p w14:paraId="732A3D05">
      <w:pPr>
        <w:spacing w:line="360" w:lineRule="auto"/>
        <w:ind w:firstLine="480" w:firstLineChars="200"/>
        <w:jc w:val="left"/>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color w:val="auto"/>
          <w:szCs w:val="24"/>
          <w:highlight w:val="none"/>
        </w:rPr>
        <w:t>3.2工程费用结算基准价的确定：以第2</w:t>
      </w:r>
      <w:r>
        <w:rPr>
          <w:rFonts w:hint="eastAsia" w:asciiTheme="minorEastAsia" w:hAnsiTheme="minorEastAsia" w:eastAsiaTheme="minorEastAsia" w:cstheme="minorEastAsia"/>
          <w:b/>
          <w:color w:val="auto"/>
          <w:highlight w:val="none"/>
        </w:rPr>
        <w:t>～</w:t>
      </w:r>
      <w:r>
        <w:rPr>
          <w:rFonts w:hint="eastAsia" w:asciiTheme="minorEastAsia" w:hAnsiTheme="minorEastAsia" w:eastAsiaTheme="minorEastAsia" w:cstheme="minorEastAsia"/>
          <w:color w:val="auto"/>
          <w:szCs w:val="24"/>
          <w:highlight w:val="none"/>
        </w:rPr>
        <w:t>2条工程预算价编制原则编制的经审核后的预算价乘以（1－承包人中标下浮率）作为此工程项目的建安工程结算基准价（不含预备费）。</w:t>
      </w:r>
    </w:p>
    <w:p w14:paraId="469E3744">
      <w:pPr>
        <w:spacing w:line="360" w:lineRule="auto"/>
        <w:ind w:firstLine="480" w:firstLineChars="200"/>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3.3</w:t>
      </w:r>
      <w:r>
        <w:rPr>
          <w:rFonts w:hint="eastAsia" w:asciiTheme="minorEastAsia" w:hAnsiTheme="minorEastAsia" w:eastAsiaTheme="minorEastAsia" w:cstheme="minorEastAsia"/>
          <w:color w:val="auto"/>
          <w:szCs w:val="24"/>
          <w:highlight w:val="none"/>
        </w:rPr>
        <w:t>工程</w:t>
      </w:r>
      <w:r>
        <w:rPr>
          <w:rFonts w:hint="eastAsia" w:asciiTheme="minorEastAsia" w:hAnsiTheme="minorEastAsia" w:eastAsiaTheme="minorEastAsia" w:cstheme="minorEastAsia"/>
          <w:color w:val="auto"/>
          <w:kern w:val="0"/>
          <w:szCs w:val="24"/>
          <w:highlight w:val="none"/>
        </w:rPr>
        <w:t>费用结算原则：发包人在不增减建设规模的情况下，结算价即为</w:t>
      </w:r>
      <w:r>
        <w:rPr>
          <w:rFonts w:hint="eastAsia" w:asciiTheme="minorEastAsia" w:hAnsiTheme="minorEastAsia" w:eastAsiaTheme="minorEastAsia" w:cstheme="minorEastAsia"/>
          <w:color w:val="auto"/>
          <w:szCs w:val="24"/>
          <w:highlight w:val="none"/>
        </w:rPr>
        <w:t>结算基准价</w:t>
      </w:r>
      <w:r>
        <w:rPr>
          <w:rFonts w:hint="eastAsia" w:asciiTheme="minorEastAsia" w:hAnsiTheme="minorEastAsia" w:eastAsiaTheme="minorEastAsia" w:cstheme="minorEastAsia"/>
          <w:color w:val="auto"/>
          <w:kern w:val="0"/>
          <w:szCs w:val="24"/>
          <w:highlight w:val="none"/>
        </w:rPr>
        <w:t>，但下列情形除外：</w:t>
      </w:r>
    </w:p>
    <w:p w14:paraId="26D1DB1C">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3.3.1 国家政策性人工价差调整：</w:t>
      </w:r>
      <w:r>
        <w:rPr>
          <w:rFonts w:hint="eastAsia" w:asciiTheme="minorEastAsia" w:hAnsiTheme="minorEastAsia" w:eastAsiaTheme="minorEastAsia" w:cstheme="minorEastAsia"/>
          <w:color w:val="auto"/>
          <w:kern w:val="0"/>
          <w:szCs w:val="24"/>
          <w:highlight w:val="none"/>
        </w:rPr>
        <w:t>调整方式按省、市有关规定调整。</w:t>
      </w:r>
    </w:p>
    <w:p w14:paraId="1883FD6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3.3.2 当后继相关法律、法规、规章和政策引起安全文明施工费发生变化时，应当按照省建设行政主管部门或省、韶关市、南雄市工程造价管理机构据此发布的规定调整；</w:t>
      </w:r>
    </w:p>
    <w:p w14:paraId="665781D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3.3.3 当后继相关法律、法规、规章和政策引起规费、税金等发生变化时，应当按照省政府或省、韶关市、南雄市有关主管部门据此发布的规定调整；</w:t>
      </w:r>
    </w:p>
    <w:p w14:paraId="569FF8D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3.3.4 当施工期间市场物价发生涨落，引起工程所在地工程造价管理机构发布的价格信息中材料价格变化，主要建筑材料价格浮动超过±5%（指钢材、商品砼、商品砂浆、水泥、砂、石等主要材料），则双方同意调整5％以外部分价差；</w:t>
      </w:r>
      <w:r>
        <w:rPr>
          <w:rFonts w:hint="eastAsia" w:asciiTheme="minorEastAsia" w:hAnsiTheme="minorEastAsia" w:eastAsiaTheme="minorEastAsia" w:cstheme="minorEastAsia"/>
          <w:color w:val="auto"/>
          <w:kern w:val="0"/>
          <w:szCs w:val="24"/>
          <w:highlight w:val="none"/>
        </w:rPr>
        <w:t>人工费</w:t>
      </w:r>
      <w:r>
        <w:rPr>
          <w:rFonts w:hint="eastAsia" w:asciiTheme="minorEastAsia" w:hAnsiTheme="minorEastAsia" w:eastAsiaTheme="minorEastAsia" w:cstheme="minorEastAsia"/>
          <w:color w:val="auto"/>
          <w:szCs w:val="24"/>
          <w:highlight w:val="none"/>
        </w:rPr>
        <w:t>根据国家政策按实调整；机械费浮动超过±10%，双方同意调整10％以外部分价差。其工、料、机消耗量以发包人确认的</w:t>
      </w:r>
      <w:r>
        <w:rPr>
          <w:rFonts w:hint="eastAsia" w:asciiTheme="minorEastAsia" w:hAnsiTheme="minorEastAsia" w:eastAsiaTheme="minorEastAsia" w:cstheme="minorEastAsia"/>
          <w:color w:val="auto"/>
          <w:kern w:val="0"/>
          <w:szCs w:val="24"/>
          <w:highlight w:val="none"/>
        </w:rPr>
        <w:t>施工图工程量清单预算</w:t>
      </w:r>
      <w:r>
        <w:rPr>
          <w:rFonts w:hint="eastAsia" w:asciiTheme="minorEastAsia" w:hAnsiTheme="minorEastAsia" w:eastAsiaTheme="minorEastAsia" w:cstheme="minorEastAsia"/>
          <w:color w:val="auto"/>
          <w:szCs w:val="24"/>
          <w:highlight w:val="none"/>
        </w:rPr>
        <w:t>及进度中的消耗量为准。</w:t>
      </w:r>
    </w:p>
    <w:p w14:paraId="443527C1">
      <w:pPr>
        <w:spacing w:line="440" w:lineRule="exact"/>
        <w:ind w:firstLine="482" w:firstLineChars="200"/>
        <w:rPr>
          <w:rFonts w:hint="eastAsia" w:asciiTheme="minorEastAsia" w:hAnsiTheme="minorEastAsia" w:eastAsiaTheme="minorEastAsia" w:cstheme="minorEastAsia"/>
          <w:b/>
          <w:bCs/>
          <w:color w:val="auto"/>
          <w:kern w:val="0"/>
          <w:szCs w:val="24"/>
          <w:highlight w:val="none"/>
          <w:u w:val="single"/>
        </w:rPr>
      </w:pPr>
      <w:r>
        <w:rPr>
          <w:rFonts w:hint="eastAsia" w:asciiTheme="minorEastAsia" w:hAnsiTheme="minorEastAsia" w:eastAsiaTheme="minorEastAsia" w:cstheme="minorEastAsia"/>
          <w:b/>
          <w:bCs/>
          <w:color w:val="auto"/>
          <w:kern w:val="0"/>
          <w:szCs w:val="24"/>
          <w:highlight w:val="none"/>
          <w:u w:val="single"/>
        </w:rPr>
        <w:t>注：人工费、材料单价、机械台班的价差调整基数是以施工当季《南雄建筑工程造价信息》</w:t>
      </w:r>
      <w:r>
        <w:rPr>
          <w:rFonts w:hint="eastAsia" w:asciiTheme="minorEastAsia" w:hAnsiTheme="minorEastAsia" w:eastAsiaTheme="minorEastAsia" w:cstheme="minorEastAsia"/>
          <w:b/>
          <w:bCs/>
          <w:color w:val="auto"/>
          <w:szCs w:val="24"/>
          <w:highlight w:val="none"/>
          <w:u w:val="single"/>
        </w:rPr>
        <w:t>（如信息价没有时参考施工当月&lt;韶关建筑工程造价信息&gt;）</w:t>
      </w:r>
      <w:r>
        <w:rPr>
          <w:rFonts w:hint="eastAsia" w:asciiTheme="minorEastAsia" w:hAnsiTheme="minorEastAsia" w:eastAsiaTheme="minorEastAsia" w:cstheme="minorEastAsia"/>
          <w:b/>
          <w:bCs/>
          <w:color w:val="auto"/>
          <w:kern w:val="0"/>
          <w:szCs w:val="24"/>
          <w:highlight w:val="none"/>
          <w:u w:val="single"/>
        </w:rPr>
        <w:t>公布的信息价（包括人工费、材料单价、机械台班）为F1与编制施工图工程量清单预算当季</w:t>
      </w:r>
      <w:r>
        <w:rPr>
          <w:rFonts w:hint="eastAsia" w:asciiTheme="minorEastAsia" w:hAnsiTheme="minorEastAsia" w:eastAsiaTheme="minorEastAsia" w:cstheme="minorEastAsia"/>
          <w:b/>
          <w:color w:val="auto"/>
          <w:kern w:val="0"/>
          <w:szCs w:val="24"/>
          <w:highlight w:val="none"/>
          <w:u w:val="single"/>
        </w:rPr>
        <w:t>（招标文件所规定的设计预算编制工期内）</w:t>
      </w:r>
      <w:r>
        <w:rPr>
          <w:rFonts w:hint="eastAsia" w:asciiTheme="minorEastAsia" w:hAnsiTheme="minorEastAsia" w:eastAsiaTheme="minorEastAsia" w:cstheme="minorEastAsia"/>
          <w:b/>
          <w:bCs/>
          <w:color w:val="auto"/>
          <w:kern w:val="0"/>
          <w:szCs w:val="24"/>
          <w:highlight w:val="none"/>
          <w:u w:val="single"/>
        </w:rPr>
        <w:t>《南雄建筑工程造价信息》</w:t>
      </w:r>
      <w:r>
        <w:rPr>
          <w:rFonts w:hint="eastAsia" w:asciiTheme="minorEastAsia" w:hAnsiTheme="minorEastAsia" w:eastAsiaTheme="minorEastAsia" w:cstheme="minorEastAsia"/>
          <w:b/>
          <w:bCs/>
          <w:color w:val="auto"/>
          <w:szCs w:val="24"/>
          <w:highlight w:val="none"/>
          <w:u w:val="single"/>
        </w:rPr>
        <w:t>（如信息价没有时参考预算编制当月</w:t>
      </w:r>
      <w:r>
        <w:rPr>
          <w:rFonts w:hint="eastAsia" w:asciiTheme="minorEastAsia" w:hAnsiTheme="minorEastAsia" w:eastAsiaTheme="minorEastAsia" w:cstheme="minorEastAsia"/>
          <w:b/>
          <w:color w:val="auto"/>
          <w:kern w:val="0"/>
          <w:szCs w:val="24"/>
          <w:highlight w:val="none"/>
          <w:u w:val="single"/>
        </w:rPr>
        <w:t>（招标文件所规定的设计预算编制工期内）</w:t>
      </w:r>
      <w:r>
        <w:rPr>
          <w:rFonts w:hint="eastAsia" w:asciiTheme="minorEastAsia" w:hAnsiTheme="minorEastAsia" w:eastAsiaTheme="minorEastAsia" w:cstheme="minorEastAsia"/>
          <w:b/>
          <w:bCs/>
          <w:color w:val="auto"/>
          <w:szCs w:val="24"/>
          <w:highlight w:val="none"/>
          <w:u w:val="single"/>
        </w:rPr>
        <w:t>&lt;韶关建筑工程造价信息&gt;）</w:t>
      </w:r>
      <w:r>
        <w:rPr>
          <w:rFonts w:hint="eastAsia" w:asciiTheme="minorEastAsia" w:hAnsiTheme="minorEastAsia" w:eastAsiaTheme="minorEastAsia" w:cstheme="minorEastAsia"/>
          <w:b/>
          <w:bCs/>
          <w:color w:val="auto"/>
          <w:kern w:val="0"/>
          <w:szCs w:val="24"/>
          <w:highlight w:val="none"/>
          <w:u w:val="single"/>
        </w:rPr>
        <w:t>公布的信息价（包括人工费、材料单价、机械台班）F0比较。</w:t>
      </w:r>
    </w:p>
    <w:p w14:paraId="37A3F831">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1）人工费调整方式：按省、市有关规定调整。</w:t>
      </w:r>
    </w:p>
    <w:p w14:paraId="2C0380D6">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2）材料补差方式：</w:t>
      </w:r>
    </w:p>
    <w:p w14:paraId="50240B22">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调价系数A=（F1-F0）÷F0×100%</w:t>
      </w:r>
    </w:p>
    <w:p w14:paraId="22E220CC">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当材料涨价时，材料补差= F0×（A-5%），当材料跌价时，材料补差= F0×（A+5%），材料补差只计算相应的规费和税金。</w:t>
      </w:r>
    </w:p>
    <w:p w14:paraId="2DCF655F">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3）施工机械使用费补差方式：</w:t>
      </w:r>
    </w:p>
    <w:p w14:paraId="0DDF170A">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调价系数A=（F1-F0）÷F0×100%</w:t>
      </w:r>
    </w:p>
    <w:p w14:paraId="24B5ACA7">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当施工机械台班费涨价时，机械台班补差= F0×（A-10%），当施工机械台班费跌价时，机械台班补差= F0×（A+10%）， 施工机械使用费补差只计算相应的规费和税金。</w:t>
      </w:r>
    </w:p>
    <w:p w14:paraId="5FCA901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4）若项目规模、建设标准等发生变化，因变化而发生的措施项目费结算时进行相应增减。</w:t>
      </w:r>
    </w:p>
    <w:p w14:paraId="032C553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5）施工合同履行期间，由于非承包人原因导致工程变更的，发、承包双方应当按照GB50500-2013年《建设工程工程量清单计价规范》和省的有关规定，依据实际变更项目调整工程价款。工程变更引起工程量发生变化，出现本合同价款调整方式第3.3.5款情形的，应当按照其规定调整；其他情形的，按照以下规定调整：</w:t>
      </w:r>
    </w:p>
    <w:p w14:paraId="662934E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①结算基准价中有适用于变更工程项目的，按照该项目的单价或合价调整；</w:t>
      </w:r>
    </w:p>
    <w:p w14:paraId="5C96A91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②结算基准价中没有适用、只有类似于变更工程项目的，可在合理范围内参照类似项目的单价或合价调整；</w:t>
      </w:r>
    </w:p>
    <w:p w14:paraId="10E0BB8E">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③结算基准价中没有适用也没有类似于变更工程项目的，根据变更工程资料、计量规则和计价办法、施工期间工程造价管理机构发布的价格信息，按本结算原则第3.3.5款重新确定综合单价后，相应调整工程价款；</w:t>
      </w:r>
    </w:p>
    <w:p w14:paraId="65DD969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④结算基准价中没有适用也没有类似于变更工程项目，且施工期间工程造价管理机构发布的价格信息缺项的，根据变更工程资料、计量规则、计价办法和通过市场调查等的有合法依据的市场价格，按本原则第3.3.5条提出变更工程项目的单价或合价，经发、承包双方确认后调整；</w:t>
      </w:r>
    </w:p>
    <w:p w14:paraId="03A5169B">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⑤如发包人只调整材料的等级、规格或品牌，则其综合单价按结算基准价中单价＋该项材料的价差（经发包人审定后的材料单价-结算基准价中的材料单价）进行调整，规费、税金按有关规定调整。</w:t>
      </w:r>
    </w:p>
    <w:p w14:paraId="47B400A0">
      <w:pPr>
        <w:spacing w:line="360" w:lineRule="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rPr>
        <w:t xml:space="preserve">    6）建设工程完工后，发、承包双方和受其委托具有相应资质的工程造价咨询企业必须按照GB50500-2013年《建设工程工程量清单计价规范》和省的有关规定办理竣工结算。</w:t>
      </w:r>
    </w:p>
    <w:p w14:paraId="5BBE6D4D">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3.3.5 工程造价调整项目若是结算基准价中没有的项目，其造价调整如下：</w:t>
      </w:r>
    </w:p>
    <w:p w14:paraId="253A3E8D">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按（1）GB50500-2013年《建设工程工程量清单计价规范》、（2）2018年广东省建设工程计价依据（包括2018年《广东省市政工程综合定额》、2018年《广东省房屋建筑与装饰工程综合定额》、2018年《广东省通用安装工程综合定额》、2018年《广东省园林绿化工程综合定额》、2018年《广东省建设工程施工机具台班费用编制规则》），工程量按发、承包双方签证确认的、应予计量的实际完成的工程量计算，主要材料价格按施工同期工程所在地工程造价管理机构发布的价格信息中的综合单价计算，工程所在地工程造价管理机构发布的价格信息中参考价没有的材料价由发、承包双方市场询价确定，规费、税金等其它费用则按有关规定计算（费率有上、下限的以下限计算），预算包干费及赶工措施费不予计算。经发包人或其指定的有关单位审核，经审核后的造价按承包人的建安工程费中标下浮率下浮后作为工程结算价。</w:t>
      </w:r>
    </w:p>
    <w:p w14:paraId="65EE150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清单项目如只单独调整人工、材料、机械台班价差的，其人工、材料、机械台班消耗量均以审定施工图预算中的该清单项目的人工、材料、机械台班消耗量为准。</w:t>
      </w:r>
    </w:p>
    <w:p w14:paraId="5A12654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承包人不得以不完全了解现场情况为理由，提出额外付款或延长工期等要求。对此类要求，发包人不作任何考虑及答复。</w:t>
      </w:r>
    </w:p>
    <w:p w14:paraId="0A7AF76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合同履行期间，由于承包人原因导致发生设计变更或现场签证的，由此增加的工程造价费用，由承包人自行承担，发包人不予以考虑和补偿，同时按相关违约条款处罚。</w:t>
      </w:r>
    </w:p>
    <w:p w14:paraId="54D8B07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 xml:space="preserve">    3.4 如发包人减少建设规模，则</w:t>
      </w:r>
      <w:r>
        <w:rPr>
          <w:rFonts w:hint="eastAsia" w:asciiTheme="minorEastAsia" w:hAnsiTheme="minorEastAsia" w:eastAsiaTheme="minorEastAsia" w:cstheme="minorEastAsia"/>
          <w:color w:val="auto"/>
          <w:szCs w:val="24"/>
          <w:highlight w:val="none"/>
        </w:rPr>
        <w:t>根据</w:t>
      </w:r>
      <w:r>
        <w:rPr>
          <w:rFonts w:hint="eastAsia" w:asciiTheme="minorEastAsia" w:hAnsiTheme="minorEastAsia" w:eastAsiaTheme="minorEastAsia" w:cstheme="minorEastAsia"/>
          <w:color w:val="auto"/>
          <w:kern w:val="0"/>
          <w:szCs w:val="24"/>
          <w:highlight w:val="none"/>
        </w:rPr>
        <w:t>经发包人确认的预算书</w:t>
      </w:r>
      <w:r>
        <w:rPr>
          <w:rFonts w:hint="eastAsia" w:asciiTheme="minorEastAsia" w:hAnsiTheme="minorEastAsia" w:eastAsiaTheme="minorEastAsia" w:cstheme="minorEastAsia"/>
          <w:color w:val="auto"/>
          <w:szCs w:val="24"/>
          <w:highlight w:val="none"/>
        </w:rPr>
        <w:t>扣减减少</w:t>
      </w:r>
      <w:r>
        <w:rPr>
          <w:rFonts w:hint="eastAsia" w:asciiTheme="minorEastAsia" w:hAnsiTheme="minorEastAsia" w:eastAsiaTheme="minorEastAsia" w:cstheme="minorEastAsia"/>
          <w:color w:val="auto"/>
          <w:kern w:val="0"/>
          <w:szCs w:val="24"/>
          <w:highlight w:val="none"/>
        </w:rPr>
        <w:t>部分工程造价。</w:t>
      </w:r>
      <w:r>
        <w:rPr>
          <w:rFonts w:hint="eastAsia" w:asciiTheme="minorEastAsia" w:hAnsiTheme="minorEastAsia" w:eastAsiaTheme="minorEastAsia" w:cstheme="minorEastAsia"/>
          <w:color w:val="auto"/>
          <w:szCs w:val="24"/>
          <w:highlight w:val="none"/>
        </w:rPr>
        <w:t>最终结算价由南雄市财政局投资评审中心审定为准</w:t>
      </w:r>
      <w:r>
        <w:rPr>
          <w:rFonts w:hint="eastAsia" w:asciiTheme="minorEastAsia" w:hAnsiTheme="minorEastAsia" w:eastAsiaTheme="minorEastAsia" w:cstheme="minorEastAsia"/>
          <w:color w:val="auto"/>
          <w:kern w:val="0"/>
          <w:szCs w:val="24"/>
          <w:highlight w:val="none"/>
        </w:rPr>
        <w:t xml:space="preserve">。 </w:t>
      </w:r>
    </w:p>
    <w:p w14:paraId="4AC7E498">
      <w:pPr>
        <w:spacing w:line="360" w:lineRule="auto"/>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color w:val="auto"/>
          <w:szCs w:val="24"/>
          <w:highlight w:val="none"/>
        </w:rPr>
        <w:t xml:space="preserve">    3.5 预备费：</w:t>
      </w:r>
      <w:r>
        <w:rPr>
          <w:rFonts w:hint="eastAsia" w:asciiTheme="minorEastAsia" w:hAnsiTheme="minorEastAsia" w:eastAsiaTheme="minorEastAsia" w:cstheme="minorEastAsia"/>
          <w:b/>
          <w:color w:val="auto"/>
          <w:szCs w:val="24"/>
          <w:highlight w:val="none"/>
        </w:rPr>
        <w:t>由发包人掌握使用，不发生时不计入结算总价。使用范围用于以下情形：</w:t>
      </w:r>
    </w:p>
    <w:p w14:paraId="4D2F6EBF">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（1）由于发包人的要求导致发生设计变更或合同约定调整因素出现时的工程价款调整以及发生的索赔、现场签证等，其工程量按实调整，结算时按实际施工工作量及招标文件、合同约定进行结算，</w:t>
      </w:r>
      <w:r>
        <w:rPr>
          <w:rFonts w:hint="eastAsia" w:asciiTheme="minorEastAsia" w:hAnsiTheme="minorEastAsia" w:eastAsiaTheme="minorEastAsia" w:cstheme="minorEastAsia"/>
          <w:b/>
          <w:color w:val="auto"/>
          <w:szCs w:val="24"/>
          <w:highlight w:val="none"/>
        </w:rPr>
        <w:t>不发生时不计入结算总价</w:t>
      </w:r>
      <w:r>
        <w:rPr>
          <w:rFonts w:hint="eastAsia" w:asciiTheme="minorEastAsia" w:hAnsiTheme="minorEastAsia" w:eastAsiaTheme="minorEastAsia" w:cstheme="minorEastAsia"/>
          <w:color w:val="auto"/>
          <w:szCs w:val="24"/>
          <w:highlight w:val="none"/>
        </w:rPr>
        <w:t>。</w:t>
      </w:r>
    </w:p>
    <w:p w14:paraId="60EE5A42">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（2）国家政策变化导致的调整。</w:t>
      </w:r>
    </w:p>
    <w:p w14:paraId="520FB0E5">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（3）施工期间市场物价涨落，引起工程所在地工程造价管理机构发布的价格信息中材料价格变化，主要建筑材料（具体参照第3.3.4条款）价格浮动超过+5%的。</w:t>
      </w:r>
    </w:p>
    <w:p w14:paraId="33EC5932">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（4）施工合同签订时尚未确定或者不可预见的所需材料、设备、服务的采购。结算时按实际发生根据本招标文件的工程结算原则第3.3.5款进行结算。</w:t>
      </w:r>
    </w:p>
    <w:p w14:paraId="791D0F73">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（5）因不可预见的原因施工局部调整或施工技术工艺调整或应急工作需要发生的工程量。</w:t>
      </w:r>
    </w:p>
    <w:p w14:paraId="71947CF9">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（6）土石方工程等相应的投资概算范围之外的及因地质情况引起的基础变更的工程价款调整：其工程量按实调整，结算时按实际施工工作量及招标文件、合同约定进行结算。</w:t>
      </w:r>
    </w:p>
    <w:p w14:paraId="20EAC7DF">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3.6 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08A75463">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3.7本工程结算不另行计取高温补贴费用、预算编制费、专业分包总包服务及配合费、设计优化及修改增加的费用。</w:t>
      </w:r>
    </w:p>
    <w:p w14:paraId="5F346420">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3.8 本工程暂估价（若有）为发包人用于支付必然发生但暂时不能确定价格的材料、工程设备的单价以及专业工程的金额，其结算原则按本章“2～3 工程结算原则”有关条款进行结算，结算时不得超过预算中所列相应的暂估价。</w:t>
      </w:r>
    </w:p>
    <w:p w14:paraId="72F28E1E">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3.9 因本项目为设计、施工总承包，如果设计图纸、施工图预算由于设计深度原因导致的设计变更，不另行增加费用。</w:t>
      </w:r>
    </w:p>
    <w:p w14:paraId="00025507">
      <w:pPr>
        <w:spacing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3.10 项目工程费用最终结算价以南雄市财政局投资评审中心的审定意见为准：若最终结算价超过中标价，则按中标价结算；若最终结算价未超过中标价，则按南雄市财政局投资评审中心审定的结算价进行结算。</w:t>
      </w:r>
    </w:p>
    <w:bookmarkEnd w:id="331"/>
    <w:bookmarkEnd w:id="332"/>
    <w:p w14:paraId="70D6157D">
      <w:pPr>
        <w:pStyle w:val="36"/>
        <w:keepNext/>
        <w:keepLines/>
        <w:spacing w:line="500" w:lineRule="exact"/>
        <w:ind w:firstLine="480"/>
        <w:jc w:val="both"/>
        <w:rPr>
          <w:rFonts w:hint="eastAsia" w:asciiTheme="minorEastAsia" w:hAnsiTheme="minorEastAsia" w:eastAsiaTheme="minorEastAsia" w:cstheme="minorEastAsia"/>
          <w:b/>
          <w:color w:val="auto"/>
          <w:kern w:val="2"/>
          <w:szCs w:val="24"/>
          <w:highlight w:val="none"/>
        </w:rPr>
      </w:pPr>
      <w:bookmarkStart w:id="333" w:name="_Hlt112206782"/>
      <w:bookmarkEnd w:id="333"/>
      <w:bookmarkStart w:id="334" w:name="_Toc2973"/>
      <w:bookmarkStart w:id="335" w:name="_Toc24211"/>
      <w:bookmarkStart w:id="336" w:name="_Toc20983"/>
      <w:bookmarkStart w:id="337" w:name="_Toc23408"/>
      <w:bookmarkStart w:id="338" w:name="_Toc322793290"/>
      <w:bookmarkStart w:id="339" w:name="_Toc16793"/>
      <w:bookmarkStart w:id="340" w:name="_Toc30894"/>
      <w:bookmarkStart w:id="341" w:name="_Toc326916631"/>
      <w:bookmarkStart w:id="342" w:name="_Toc15300"/>
      <w:bookmarkStart w:id="343" w:name="_Toc21784"/>
      <w:bookmarkStart w:id="344" w:name="_Toc11208"/>
      <w:bookmarkStart w:id="345" w:name="_Toc29998"/>
      <w:bookmarkStart w:id="346" w:name="_Hlt87951777"/>
      <w:r>
        <w:rPr>
          <w:rFonts w:hint="eastAsia" w:asciiTheme="minorEastAsia" w:hAnsiTheme="minorEastAsia" w:eastAsiaTheme="minorEastAsia" w:cstheme="minorEastAsia"/>
          <w:b/>
          <w:color w:val="auto"/>
          <w:kern w:val="2"/>
          <w:szCs w:val="24"/>
          <w:highlight w:val="none"/>
        </w:rPr>
        <w:t>4 工程付款办法</w:t>
      </w:r>
      <w:bookmarkEnd w:id="334"/>
      <w:bookmarkEnd w:id="335"/>
      <w:bookmarkEnd w:id="336"/>
      <w:bookmarkEnd w:id="337"/>
      <w:bookmarkEnd w:id="338"/>
      <w:bookmarkEnd w:id="339"/>
      <w:bookmarkEnd w:id="340"/>
      <w:bookmarkEnd w:id="341"/>
      <w:bookmarkEnd w:id="342"/>
      <w:bookmarkEnd w:id="343"/>
      <w:bookmarkEnd w:id="344"/>
      <w:bookmarkEnd w:id="345"/>
    </w:p>
    <w:bookmarkEnd w:id="346"/>
    <w:p w14:paraId="321EF06C">
      <w:pPr>
        <w:pStyle w:val="34"/>
        <w:spacing w:line="500" w:lineRule="exact"/>
        <w:ind w:firstLine="480"/>
        <w:rPr>
          <w:rFonts w:hint="default" w:asciiTheme="minorEastAsia" w:hAnsiTheme="minorEastAsia" w:eastAsiaTheme="minorEastAsia" w:cstheme="minorEastAsia"/>
          <w:color w:val="auto"/>
          <w:szCs w:val="22"/>
          <w:highlight w:val="none"/>
          <w:lang w:val="en-US" w:eastAsia="zh-CN"/>
        </w:rPr>
      </w:pPr>
      <w:bookmarkStart w:id="347" w:name="_Hlt69669774"/>
      <w:bookmarkEnd w:id="347"/>
      <w:bookmarkStart w:id="348" w:name="_Hlt66591689"/>
      <w:bookmarkEnd w:id="348"/>
      <w:bookmarkStart w:id="349" w:name="_Hlt69114106"/>
      <w:bookmarkEnd w:id="349"/>
      <w:bookmarkStart w:id="350" w:name="_Hlt66608388"/>
      <w:bookmarkEnd w:id="350"/>
      <w:bookmarkStart w:id="351" w:name="_Hlt69700007"/>
      <w:bookmarkEnd w:id="351"/>
      <w:bookmarkStart w:id="352" w:name="_Hlt70150985"/>
      <w:bookmarkEnd w:id="352"/>
      <w:bookmarkStart w:id="353" w:name="_Hlt88976467"/>
      <w:bookmarkEnd w:id="353"/>
      <w:bookmarkStart w:id="354" w:name="_Hlt66593437"/>
      <w:bookmarkEnd w:id="354"/>
      <w:r>
        <w:rPr>
          <w:rFonts w:hint="eastAsia" w:asciiTheme="minorEastAsia" w:hAnsiTheme="minorEastAsia" w:eastAsiaTheme="minorEastAsia" w:cstheme="minorEastAsia"/>
          <w:b/>
          <w:bCs/>
          <w:color w:val="auto"/>
          <w:szCs w:val="22"/>
          <w:highlight w:val="none"/>
        </w:rPr>
        <w:t>4.1</w:t>
      </w:r>
      <w:r>
        <w:rPr>
          <w:rFonts w:hint="eastAsia" w:asciiTheme="minorEastAsia" w:hAnsiTheme="minorEastAsia" w:eastAsiaTheme="minorEastAsia" w:cstheme="minorEastAsia"/>
          <w:b/>
          <w:bCs/>
          <w:color w:val="auto"/>
          <w:szCs w:val="21"/>
          <w:highlight w:val="none"/>
        </w:rPr>
        <w:t>设计费的支付</w:t>
      </w:r>
      <w:r>
        <w:rPr>
          <w:rFonts w:hint="eastAsia" w:asciiTheme="minorEastAsia" w:hAnsiTheme="minorEastAsia" w:eastAsiaTheme="minorEastAsia" w:cstheme="minorEastAsia"/>
          <w:color w:val="auto"/>
          <w:szCs w:val="22"/>
          <w:highlight w:val="none"/>
        </w:rPr>
        <w:t>：</w:t>
      </w:r>
      <w:r>
        <w:rPr>
          <w:rFonts w:hint="eastAsia" w:asciiTheme="minorEastAsia" w:hAnsiTheme="minorEastAsia" w:eastAsiaTheme="minorEastAsia" w:cstheme="minorEastAsia"/>
          <w:color w:val="auto"/>
          <w:szCs w:val="22"/>
          <w:highlight w:val="none"/>
          <w:lang w:val="en-US" w:eastAsia="zh-CN"/>
        </w:rPr>
        <w:t>分四期支付工程设计费</w:t>
      </w:r>
    </w:p>
    <w:p w14:paraId="364FD35B">
      <w:pPr>
        <w:pStyle w:val="34"/>
        <w:spacing w:line="440" w:lineRule="exact"/>
        <w:ind w:firstLine="48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4.1.1</w:t>
      </w:r>
      <w:r>
        <w:rPr>
          <w:rFonts w:hint="eastAsia" w:asciiTheme="minorEastAsia" w:hAnsiTheme="minorEastAsia" w:eastAsiaTheme="minorEastAsia" w:cstheme="minorEastAsia"/>
          <w:color w:val="auto"/>
          <w:highlight w:val="none"/>
          <w:lang w:val="en-US" w:eastAsia="zh-CN"/>
        </w:rPr>
        <w:t>合同签定后发包人付设计费的30%</w:t>
      </w:r>
    </w:p>
    <w:p w14:paraId="79986A66">
      <w:pPr>
        <w:pStyle w:val="34"/>
        <w:spacing w:line="440" w:lineRule="exact"/>
        <w:ind w:firstLine="48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4.1.2</w:t>
      </w:r>
      <w:r>
        <w:rPr>
          <w:rFonts w:hint="eastAsia" w:asciiTheme="minorEastAsia" w:hAnsiTheme="minorEastAsia" w:eastAsiaTheme="minorEastAsia" w:cstheme="minorEastAsia"/>
          <w:color w:val="auto"/>
          <w:highlight w:val="none"/>
          <w:lang w:val="en-US" w:eastAsia="zh-CN"/>
        </w:rPr>
        <w:t>完成施工图设计及交付施工图设计成果文件后发包人付设计费的30%。</w:t>
      </w:r>
    </w:p>
    <w:p w14:paraId="53A85903">
      <w:pPr>
        <w:pStyle w:val="34"/>
        <w:spacing w:line="440" w:lineRule="exact"/>
        <w:ind w:firstLine="48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4.1.3</w:t>
      </w:r>
      <w:r>
        <w:rPr>
          <w:rFonts w:hint="eastAsia" w:asciiTheme="minorEastAsia" w:hAnsiTheme="minorEastAsia" w:eastAsiaTheme="minorEastAsia" w:cstheme="minorEastAsia"/>
          <w:color w:val="auto"/>
          <w:highlight w:val="none"/>
          <w:lang w:val="en-US" w:eastAsia="zh-CN"/>
        </w:rPr>
        <w:t>审查合格并按要求提交图纸后发包人付设计费的35%。</w:t>
      </w:r>
    </w:p>
    <w:p w14:paraId="7B6CCAC6">
      <w:pPr>
        <w:pStyle w:val="34"/>
        <w:spacing w:line="440" w:lineRule="exact"/>
        <w:ind w:firstLine="48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4.1.4</w:t>
      </w:r>
      <w:r>
        <w:rPr>
          <w:rFonts w:hint="eastAsia" w:asciiTheme="minorEastAsia" w:hAnsiTheme="minorEastAsia" w:eastAsiaTheme="minorEastAsia" w:cstheme="minorEastAsia"/>
          <w:color w:val="auto"/>
          <w:highlight w:val="none"/>
          <w:lang w:val="en-US" w:eastAsia="zh-CN"/>
        </w:rPr>
        <w:t>工程竣工验收合格后，发包人支付余下5%的设计费。</w:t>
      </w:r>
    </w:p>
    <w:p w14:paraId="67BD3E49">
      <w:pPr>
        <w:pStyle w:val="34"/>
        <w:spacing w:line="500" w:lineRule="exact"/>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4.2 </w:t>
      </w:r>
      <w:r>
        <w:rPr>
          <w:rFonts w:hint="eastAsia" w:asciiTheme="minorEastAsia" w:hAnsiTheme="minorEastAsia" w:eastAsiaTheme="minorEastAsia" w:cstheme="minorEastAsia"/>
          <w:b/>
          <w:bCs/>
          <w:color w:val="auto"/>
          <w:szCs w:val="21"/>
          <w:highlight w:val="none"/>
        </w:rPr>
        <w:t>建安工程款的支付</w:t>
      </w:r>
      <w:r>
        <w:rPr>
          <w:rFonts w:hint="eastAsia" w:asciiTheme="minorEastAsia" w:hAnsiTheme="minorEastAsia" w:eastAsiaTheme="minorEastAsia" w:cstheme="minorEastAsia"/>
          <w:color w:val="auto"/>
          <w:szCs w:val="22"/>
          <w:highlight w:val="none"/>
        </w:rPr>
        <w:t>：</w:t>
      </w:r>
    </w:p>
    <w:p w14:paraId="68558E75">
      <w:pPr>
        <w:pStyle w:val="34"/>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4.2.1 本工程</w:t>
      </w:r>
      <w:r>
        <w:rPr>
          <w:rFonts w:hint="eastAsia" w:asciiTheme="minorEastAsia" w:hAnsiTheme="minorEastAsia" w:eastAsiaTheme="minorEastAsia" w:cstheme="minorEastAsia"/>
          <w:color w:val="auto"/>
          <w:highlight w:val="none"/>
          <w:u w:val="single"/>
        </w:rPr>
        <w:t>支付</w:t>
      </w:r>
      <w:r>
        <w:rPr>
          <w:rFonts w:hint="eastAsia" w:asciiTheme="minorEastAsia" w:hAnsiTheme="minorEastAsia" w:eastAsiaTheme="minorEastAsia" w:cstheme="minorEastAsia"/>
          <w:color w:val="auto"/>
          <w:highlight w:val="none"/>
        </w:rPr>
        <w:t>施工预付款。</w:t>
      </w:r>
    </w:p>
    <w:p w14:paraId="60174964">
      <w:pPr>
        <w:pStyle w:val="34"/>
        <w:spacing w:line="500" w:lineRule="exact"/>
        <w:ind w:firstLine="480"/>
        <w:rPr>
          <w:rFonts w:hint="eastAsia" w:asciiTheme="minorEastAsia" w:hAnsiTheme="minorEastAsia" w:eastAsiaTheme="minorEastAsia" w:cstheme="minorEastAsia"/>
          <w:i/>
          <w:snapToGrid w:val="0"/>
          <w:color w:val="auto"/>
          <w:kern w:val="0"/>
          <w:highlight w:val="none"/>
        </w:rPr>
      </w:pPr>
      <w:r>
        <w:rPr>
          <w:rFonts w:hint="eastAsia" w:asciiTheme="minorEastAsia" w:hAnsiTheme="minorEastAsia" w:eastAsiaTheme="minorEastAsia" w:cstheme="minorEastAsia"/>
          <w:color w:val="auto"/>
          <w:highlight w:val="none"/>
        </w:rPr>
        <w:t xml:space="preserve">4.2.2 </w:t>
      </w:r>
      <w:r>
        <w:rPr>
          <w:rFonts w:hint="eastAsia" w:asciiTheme="minorEastAsia" w:hAnsiTheme="minorEastAsia" w:eastAsiaTheme="minorEastAsia" w:cstheme="minorEastAsia"/>
          <w:snapToGrid w:val="0"/>
          <w:color w:val="auto"/>
          <w:kern w:val="0"/>
          <w:highlight w:val="none"/>
        </w:rPr>
        <w:t>施工预付款必须专用于合同工程，并按以下原则支付和抵扣：</w:t>
      </w:r>
    </w:p>
    <w:p w14:paraId="786D911A">
      <w:pPr>
        <w:adjustRightInd w:val="0"/>
        <w:snapToGrid w:val="0"/>
        <w:spacing w:line="500" w:lineRule="exact"/>
        <w:ind w:firstLine="56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 施工预付款支付比例为：按施工合同价（预备费除外）的</w:t>
      </w:r>
      <w:r>
        <w:rPr>
          <w:rFonts w:hint="eastAsia" w:asciiTheme="minorEastAsia" w:hAnsiTheme="minorEastAsia" w:eastAsiaTheme="minorEastAsia" w:cstheme="minorEastAsia"/>
          <w:snapToGrid w:val="0"/>
          <w:color w:val="auto"/>
          <w:kern w:val="0"/>
          <w:szCs w:val="24"/>
          <w:highlight w:val="none"/>
          <w:u w:val="single"/>
        </w:rPr>
        <w:t xml:space="preserve">30% </w:t>
      </w:r>
      <w:r>
        <w:rPr>
          <w:rFonts w:hint="eastAsia" w:asciiTheme="minorEastAsia" w:hAnsiTheme="minorEastAsia" w:eastAsiaTheme="minorEastAsia" w:cstheme="minorEastAsia"/>
          <w:snapToGrid w:val="0"/>
          <w:color w:val="auto"/>
          <w:kern w:val="0"/>
          <w:szCs w:val="24"/>
          <w:highlight w:val="none"/>
        </w:rPr>
        <w:t>支付，施工预付款中包含工人工资预付款，其中工人工资预付款比例为施工合同价（预备费除外）的1%。</w:t>
      </w:r>
    </w:p>
    <w:p w14:paraId="4A499DAE">
      <w:pPr>
        <w:adjustRightInd w:val="0"/>
        <w:snapToGrid w:val="0"/>
        <w:spacing w:line="500" w:lineRule="exact"/>
        <w:ind w:firstLine="560"/>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（2）本工程要求承包人提供与预付款等额的预付款银行保函（</w:t>
      </w:r>
      <w:r>
        <w:rPr>
          <w:rFonts w:hint="eastAsia" w:asciiTheme="minorEastAsia" w:hAnsiTheme="minorEastAsia" w:eastAsiaTheme="minorEastAsia" w:cstheme="minorEastAsia"/>
          <w:snapToGrid w:val="0"/>
          <w:color w:val="auto"/>
          <w:kern w:val="0"/>
          <w:szCs w:val="22"/>
          <w:highlight w:val="none"/>
        </w:rPr>
        <w:t>预付款银行保函按发包人提供的格式，详见招标文件第八章：预付款保函</w:t>
      </w: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b/>
          <w:snapToGrid w:val="0"/>
          <w:color w:val="auto"/>
          <w:kern w:val="0"/>
          <w:szCs w:val="24"/>
          <w:highlight w:val="none"/>
        </w:rPr>
        <w:t>且本工程预付款保函期限原则上不少于</w:t>
      </w:r>
      <w:r>
        <w:rPr>
          <w:rFonts w:hint="eastAsia" w:asciiTheme="minorEastAsia" w:hAnsiTheme="minorEastAsia" w:eastAsiaTheme="minorEastAsia" w:cstheme="minorEastAsia"/>
          <w:b/>
          <w:snapToGrid w:val="0"/>
          <w:color w:val="auto"/>
          <w:kern w:val="0"/>
          <w:szCs w:val="24"/>
          <w:highlight w:val="none"/>
          <w:lang w:val="en-US" w:eastAsia="zh-CN"/>
        </w:rPr>
        <w:t>8</w:t>
      </w:r>
      <w:r>
        <w:rPr>
          <w:rFonts w:hint="eastAsia" w:asciiTheme="minorEastAsia" w:hAnsiTheme="minorEastAsia" w:eastAsiaTheme="minorEastAsia" w:cstheme="minorEastAsia"/>
          <w:b/>
          <w:snapToGrid w:val="0"/>
          <w:color w:val="auto"/>
          <w:kern w:val="0"/>
          <w:szCs w:val="24"/>
          <w:highlight w:val="none"/>
        </w:rPr>
        <w:t>个月，承包人的预付款保函有效期应保证在扣回预付款前有效，未扣回预付款但保函过期的，承包人应重新开具预付款保函。</w:t>
      </w:r>
    </w:p>
    <w:p w14:paraId="12338FAE">
      <w:pPr>
        <w:pStyle w:val="34"/>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szCs w:val="24"/>
          <w:highlight w:val="none"/>
        </w:rPr>
        <w:t>（3）承包人应在签订施工合同后，在提供等额的预付款保函及具备施工条件的前提下（如承包人主要人员及主要机械进场到位），向发包人提交预付款支付申请。</w:t>
      </w:r>
    </w:p>
    <w:p w14:paraId="359DBA68">
      <w:pPr>
        <w:pStyle w:val="34"/>
        <w:ind w:firstLine="480" w:firstLineChars="20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发包人在收到支付申请的7天内进行核实后，按程序向财政部门申请一次性支付预付款（工人工资预付款单独支付至工人工资专用账户）。</w:t>
      </w:r>
      <w:r>
        <w:rPr>
          <w:rFonts w:hint="eastAsia" w:asciiTheme="minorEastAsia" w:hAnsiTheme="minorEastAsia" w:eastAsiaTheme="minorEastAsia" w:cstheme="minorEastAsia"/>
          <w:b/>
          <w:snapToGrid w:val="0"/>
          <w:color w:val="auto"/>
          <w:kern w:val="0"/>
          <w:highlight w:val="none"/>
        </w:rPr>
        <w:t>凡未签订合同、未提供预付款保函或不具备施工条件的工程，发包人不预付工程款。</w:t>
      </w:r>
    </w:p>
    <w:p w14:paraId="75193BA4">
      <w:pPr>
        <w:pStyle w:val="34"/>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bCs/>
          <w:snapToGrid w:val="0"/>
          <w:color w:val="auto"/>
          <w:kern w:val="0"/>
          <w:highlight w:val="none"/>
        </w:rPr>
        <w:t>（4）预付款应从每支付期应支付给承包人的工程进度款中扣回，扣回比例为每支付期的工程进度款的50%，直到扣回的金额达到合同约定的预付款金额为止。</w:t>
      </w:r>
    </w:p>
    <w:p w14:paraId="24B08995">
      <w:pPr>
        <w:pStyle w:val="34"/>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color w:val="auto"/>
          <w:highlight w:val="none"/>
        </w:rPr>
        <w:t xml:space="preserve"> 4.2.3工程进度款支付条件：承包人必须提供完整的施工图预算（加盖承包人公章及注册造价工程师注册章）报发包人审核后方可支付工程进度款。</w:t>
      </w:r>
    </w:p>
    <w:p w14:paraId="09E8B826">
      <w:pPr>
        <w:pStyle w:val="34"/>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szCs w:val="24"/>
          <w:highlight w:val="none"/>
        </w:rPr>
        <w:t xml:space="preserve"> 4.2.4</w:t>
      </w:r>
      <w:r>
        <w:rPr>
          <w:rFonts w:hint="eastAsia" w:asciiTheme="minorEastAsia" w:hAnsiTheme="minorEastAsia" w:eastAsiaTheme="minorEastAsia" w:cstheme="minorEastAsia"/>
          <w:color w:val="auto"/>
          <w:highlight w:val="none"/>
        </w:rPr>
        <w:t xml:space="preserve"> 施工过程中按月支付工程进度款：承包人每月按</w:t>
      </w:r>
      <w:r>
        <w:rPr>
          <w:rFonts w:hint="eastAsia" w:asciiTheme="minorEastAsia" w:hAnsiTheme="minorEastAsia" w:eastAsiaTheme="minorEastAsia" w:cstheme="minorEastAsia"/>
          <w:color w:val="auto"/>
          <w:szCs w:val="22"/>
          <w:highlight w:val="none"/>
        </w:rPr>
        <w:t>工程形象进度申</w:t>
      </w:r>
      <w:r>
        <w:rPr>
          <w:rFonts w:hint="eastAsia" w:asciiTheme="minorEastAsia" w:hAnsiTheme="minorEastAsia" w:eastAsiaTheme="minorEastAsia" w:cstheme="minorEastAsia"/>
          <w:color w:val="auto"/>
          <w:highlight w:val="none"/>
        </w:rPr>
        <w:t>报，截止日为当月26日，形象进度和</w:t>
      </w:r>
      <w:r>
        <w:rPr>
          <w:rFonts w:hint="eastAsia" w:asciiTheme="minorEastAsia" w:hAnsiTheme="minorEastAsia" w:eastAsiaTheme="minorEastAsia" w:cstheme="minorEastAsia"/>
          <w:snapToGrid w:val="0"/>
          <w:color w:val="auto"/>
          <w:kern w:val="0"/>
          <w:highlight w:val="none"/>
        </w:rPr>
        <w:t>《工程付款申请书》</w:t>
      </w:r>
      <w:r>
        <w:rPr>
          <w:rFonts w:hint="eastAsia" w:asciiTheme="minorEastAsia" w:hAnsiTheme="minorEastAsia" w:eastAsiaTheme="minorEastAsia" w:cstheme="minorEastAsia"/>
          <w:color w:val="auto"/>
          <w:highlight w:val="none"/>
        </w:rPr>
        <w:t>由监理单位核实确认，经</w:t>
      </w:r>
      <w:r>
        <w:rPr>
          <w:rFonts w:hint="eastAsia" w:asciiTheme="minorEastAsia" w:hAnsiTheme="minorEastAsia" w:eastAsiaTheme="minorEastAsia" w:cstheme="minorEastAsia"/>
          <w:snapToGrid w:val="0"/>
          <w:color w:val="auto"/>
          <w:kern w:val="0"/>
          <w:highlight w:val="none"/>
        </w:rPr>
        <w:t>造价咨询单位（如有造价单位）审核，</w:t>
      </w:r>
      <w:r>
        <w:rPr>
          <w:rFonts w:hint="eastAsia" w:asciiTheme="minorEastAsia" w:hAnsiTheme="minorEastAsia" w:eastAsiaTheme="minorEastAsia" w:cstheme="minorEastAsia"/>
          <w:color w:val="auto"/>
          <w:highlight w:val="none"/>
        </w:rPr>
        <w:t>再经发包人审核确认后于申报工程进度款的次月支付。</w:t>
      </w:r>
    </w:p>
    <w:p w14:paraId="566482A7">
      <w:pPr>
        <w:spacing w:line="360" w:lineRule="auto"/>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color w:val="auto"/>
          <w:szCs w:val="24"/>
          <w:highlight w:val="none"/>
        </w:rPr>
        <w:t xml:space="preserve">     4.2.5</w:t>
      </w:r>
      <w:r>
        <w:rPr>
          <w:rFonts w:hint="eastAsia" w:asciiTheme="minorEastAsia" w:hAnsiTheme="minorEastAsia" w:eastAsiaTheme="minorEastAsia" w:cstheme="minorEastAsia"/>
          <w:snapToGrid w:val="0"/>
          <w:color w:val="auto"/>
          <w:kern w:val="0"/>
          <w:highlight w:val="none"/>
        </w:rPr>
        <w:t>每月的工程进度款按应付金额的 80 ％支付，工程进度款中的作业工人工资款项暂为该月工程进度款的 30 ％，具体工人工资拨付金额以该月实际审核确认的为准，由发包人将该月审核确认后的作业工人工资款项单独足额拨付到承包人的工资专户。</w:t>
      </w:r>
    </w:p>
    <w:p w14:paraId="7ECE29DE">
      <w:pPr>
        <w:pStyle w:val="34"/>
        <w:ind w:firstLine="480" w:firstLineChars="200"/>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highlight w:val="none"/>
        </w:rPr>
        <w:t>4.3</w:t>
      </w:r>
      <w:r>
        <w:rPr>
          <w:rFonts w:hint="eastAsia" w:asciiTheme="minorEastAsia" w:hAnsiTheme="minorEastAsia" w:eastAsiaTheme="minorEastAsia" w:cstheme="minorEastAsia"/>
          <w:snapToGrid w:val="0"/>
          <w:color w:val="auto"/>
          <w:kern w:val="0"/>
          <w:szCs w:val="24"/>
          <w:highlight w:val="none"/>
        </w:rPr>
        <w:t>措施项目费中的“绿色施工安全防护措施费”拨付按照《广东省建设工程计价依据（2018）》执行，按照</w:t>
      </w:r>
      <w:r>
        <w:rPr>
          <w:rFonts w:hint="eastAsia" w:asciiTheme="minorEastAsia" w:hAnsiTheme="minorEastAsia" w:eastAsiaTheme="minorEastAsia" w:cstheme="minorEastAsia"/>
          <w:color w:val="auto"/>
          <w:szCs w:val="24"/>
          <w:highlight w:val="none"/>
        </w:rPr>
        <w:t>韶关市住房和城乡建设管理局《关于明确建筑工程安全防护、文明施工措施费用具体管理办法的通知》韶市建字〔2015〕26号文的</w:t>
      </w:r>
      <w:r>
        <w:rPr>
          <w:rFonts w:hint="eastAsia" w:asciiTheme="minorEastAsia" w:hAnsiTheme="minorEastAsia" w:eastAsiaTheme="minorEastAsia" w:cstheme="minorEastAsia"/>
          <w:snapToGrid w:val="0"/>
          <w:color w:val="auto"/>
          <w:kern w:val="0"/>
          <w:szCs w:val="24"/>
          <w:highlight w:val="none"/>
        </w:rPr>
        <w:t>有关规定支付。发生一般事故及以上等级重大安全事故的，发包人可扣除承包人金额相当于所有“绿色施工安全防护措施费”的工程管理费。</w:t>
      </w:r>
    </w:p>
    <w:p w14:paraId="41722079">
      <w:pPr>
        <w:wordWrap w:val="0"/>
        <w:adjustRightInd w:val="0"/>
        <w:snapToGrid w:val="0"/>
        <w:spacing w:line="360" w:lineRule="auto"/>
        <w:ind w:firstLine="480" w:firstLineChars="200"/>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szCs w:val="24"/>
          <w:highlight w:val="none"/>
        </w:rPr>
        <w:t>4.4</w:t>
      </w:r>
      <w:r>
        <w:rPr>
          <w:rFonts w:hint="eastAsia" w:asciiTheme="minorEastAsia" w:hAnsiTheme="minorEastAsia" w:eastAsiaTheme="minorEastAsia" w:cstheme="minorEastAsia"/>
          <w:snapToGrid w:val="0"/>
          <w:color w:val="auto"/>
          <w:kern w:val="0"/>
          <w:szCs w:val="24"/>
          <w:highlight w:val="none"/>
        </w:rPr>
        <w:t>变更工程造价必须经监理单位核实及造价咨询单位（如有造价单位）审核，并经发包人核定后方可支付。</w:t>
      </w:r>
    </w:p>
    <w:p w14:paraId="16EADF1F">
      <w:pPr>
        <w:pStyle w:val="3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4.5 结算审核完成后，于次月支付至审定总造价的97%。</w:t>
      </w:r>
    </w:p>
    <w:p w14:paraId="41A5B087">
      <w:pPr>
        <w:pStyle w:val="34"/>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highlight w:val="none"/>
        </w:rPr>
        <w:t xml:space="preserve">    4.6 剩余3%为工程质量保证金，从工程竣工验收合格之日起满</w:t>
      </w:r>
      <w:r>
        <w:rPr>
          <w:rFonts w:hint="eastAsia" w:asciiTheme="minorEastAsia" w:hAnsiTheme="minorEastAsia" w:eastAsiaTheme="minorEastAsia" w:cstheme="minorEastAsia"/>
          <w:color w:val="auto"/>
          <w:highlight w:val="none"/>
          <w:u w:val="single"/>
        </w:rPr>
        <w:t>2</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snapToGrid w:val="0"/>
          <w:color w:val="auto"/>
          <w:kern w:val="0"/>
          <w:highlight w:val="none"/>
        </w:rPr>
        <w:t>若未发现质量问题，</w:t>
      </w:r>
      <w:r>
        <w:rPr>
          <w:rFonts w:hint="eastAsia" w:asciiTheme="minorEastAsia" w:hAnsiTheme="minorEastAsia" w:eastAsiaTheme="minorEastAsia" w:cstheme="minorEastAsia"/>
          <w:bCs/>
          <w:snapToGrid w:val="0"/>
          <w:color w:val="auto"/>
          <w:kern w:val="0"/>
          <w:highlight w:val="none"/>
        </w:rPr>
        <w:t>承包人向发包人申请退还质量保证（或保证金），发包人按照《建设工程质量保证金管理办法》及合同的有关规定和约定将质量保证（或保证金）</w:t>
      </w:r>
      <w:r>
        <w:rPr>
          <w:rFonts w:hint="eastAsia" w:asciiTheme="minorEastAsia" w:hAnsiTheme="minorEastAsia" w:eastAsiaTheme="minorEastAsia" w:cstheme="minorEastAsia"/>
          <w:bCs/>
          <w:color w:val="auto"/>
          <w:kern w:val="0"/>
          <w:highlight w:val="none"/>
        </w:rPr>
        <w:t>于次月</w:t>
      </w:r>
      <w:r>
        <w:rPr>
          <w:rFonts w:hint="eastAsia" w:asciiTheme="minorEastAsia" w:hAnsiTheme="minorEastAsia" w:eastAsiaTheme="minorEastAsia" w:cstheme="minorEastAsia"/>
          <w:bCs/>
          <w:snapToGrid w:val="0"/>
          <w:color w:val="auto"/>
          <w:kern w:val="0"/>
          <w:highlight w:val="none"/>
        </w:rPr>
        <w:t>退还给承包人</w:t>
      </w:r>
      <w:r>
        <w:rPr>
          <w:rFonts w:hint="eastAsia" w:asciiTheme="minorEastAsia" w:hAnsiTheme="minorEastAsia" w:eastAsiaTheme="minorEastAsia" w:cstheme="minorEastAsia"/>
          <w:bCs/>
          <w:color w:val="auto"/>
          <w:kern w:val="0"/>
          <w:highlight w:val="none"/>
        </w:rPr>
        <w:t>（不计息）。</w:t>
      </w:r>
    </w:p>
    <w:p w14:paraId="3B1F805D">
      <w:pPr>
        <w:wordWrap w:val="0"/>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 xml:space="preserve"> 4.7承包人提供的工程款发票必须按照发包人要求提供相应增值税发票给发包人，发包人收到符合要求的发票后方可支付工程款。</w:t>
      </w:r>
      <w:r>
        <w:rPr>
          <w:rFonts w:hint="eastAsia" w:asciiTheme="minorEastAsia" w:hAnsiTheme="minorEastAsia" w:eastAsiaTheme="minorEastAsia" w:cstheme="minorEastAsia"/>
          <w:snapToGrid w:val="0"/>
          <w:color w:val="auto"/>
          <w:kern w:val="0"/>
          <w:szCs w:val="24"/>
          <w:highlight w:val="none"/>
        </w:rPr>
        <w:t>如果承包人无法提供符合要求的发票，由此造成的相应损失由承包人承担。</w:t>
      </w:r>
    </w:p>
    <w:p w14:paraId="7216B678">
      <w:pPr>
        <w:pStyle w:val="3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4.8本项目为政府全额投资，所有支付手续经发包人审批后，还须报政府财政部门审批完毕方可支付，如经发包人审批后已及时履行了向财政部门申报审批手续，则发包人不支付延期付</w:t>
      </w:r>
      <w:r>
        <w:rPr>
          <w:rFonts w:hint="eastAsia" w:asciiTheme="minorEastAsia" w:hAnsiTheme="minorEastAsia" w:eastAsiaTheme="minorEastAsia" w:cstheme="minorEastAsia"/>
          <w:color w:val="auto"/>
          <w:szCs w:val="22"/>
          <w:highlight w:val="none"/>
        </w:rPr>
        <w:t>款的利息，承包人也不得因政府财政部门履行审批程序所造成的延期付款而暂停施工和相关服务。</w:t>
      </w:r>
    </w:p>
    <w:p w14:paraId="7E13DF6A">
      <w:pPr>
        <w:wordWrap w:val="0"/>
        <w:adjustRightInd w:val="0"/>
        <w:snapToGrid w:val="0"/>
        <w:spacing w:line="360" w:lineRule="auto"/>
        <w:ind w:firstLine="482" w:firstLineChars="200"/>
        <w:rPr>
          <w:rFonts w:hint="eastAsia" w:asciiTheme="minorEastAsia" w:hAnsiTheme="minorEastAsia" w:eastAsiaTheme="minorEastAsia" w:cstheme="minorEastAsia"/>
          <w:color w:val="auto"/>
          <w:szCs w:val="24"/>
          <w:highlight w:val="none"/>
          <w:u w:val="single"/>
        </w:rPr>
      </w:pPr>
      <w:r>
        <w:rPr>
          <w:rFonts w:hint="eastAsia" w:asciiTheme="minorEastAsia" w:hAnsiTheme="minorEastAsia" w:eastAsiaTheme="minorEastAsia" w:cstheme="minorEastAsia"/>
          <w:b/>
          <w:bCs/>
          <w:color w:val="auto"/>
          <w:szCs w:val="24"/>
          <w:highlight w:val="none"/>
        </w:rPr>
        <w:t>4.9</w:t>
      </w:r>
      <w:r>
        <w:rPr>
          <w:rFonts w:hint="eastAsia" w:asciiTheme="minorEastAsia" w:hAnsiTheme="minorEastAsia" w:eastAsiaTheme="minorEastAsia" w:cstheme="minorEastAsia"/>
          <w:color w:val="auto"/>
          <w:highlight w:val="none"/>
        </w:rPr>
        <w:t>预备费支付方式：与每个月的工程进度款一并报送（若发生符合使用范围的情形需使用预备费时），在预备费的范围内由监理单位进行签认，造价咨询单位审核，发包人确认，进度款中需要列明涉及预备费的部分。在预备费的范围内由监理单位进行签证，造价咨询单位审核后，经发包人确认后按该进度款项的50％支付，其余部分待结算完成审核后支付。预备费如有余额归发包人，不发生时不计入结算总价。</w:t>
      </w:r>
    </w:p>
    <w:p w14:paraId="609BF42D">
      <w:pPr>
        <w:wordWrap w:val="0"/>
        <w:adjustRightInd w:val="0"/>
        <w:snapToGrid w:val="0"/>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4.10</w:t>
      </w:r>
      <w:r>
        <w:rPr>
          <w:rFonts w:hint="eastAsia" w:asciiTheme="minorEastAsia" w:hAnsiTheme="minorEastAsia" w:eastAsiaTheme="minorEastAsia" w:cstheme="minorEastAsia"/>
          <w:color w:val="auto"/>
          <w:szCs w:val="24"/>
          <w:highlight w:val="none"/>
        </w:rPr>
        <w:t>本工程按政府有关要求或资金安排情况、合同有关约定，经双方协商可调整建安费支付办法。</w:t>
      </w:r>
    </w:p>
    <w:p w14:paraId="4D87B18B">
      <w:pPr>
        <w:pStyle w:val="34"/>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补充条款：</w:t>
      </w:r>
    </w:p>
    <w:p w14:paraId="78092894">
      <w:pPr>
        <w:pStyle w:val="34"/>
        <w:numPr>
          <w:ilvl w:val="0"/>
          <w:numId w:val="4"/>
        </w:numPr>
        <w:ind w:firstLine="361" w:firstLineChars="15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施工部分</w:t>
      </w:r>
    </w:p>
    <w:p w14:paraId="7C85417A">
      <w:pPr>
        <w:pStyle w:val="53"/>
        <w:widowControl/>
        <w:spacing w:line="360" w:lineRule="auto"/>
        <w:ind w:firstLine="420"/>
        <w:jc w:val="left"/>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rPr>
        <w:t>5.1</w:t>
      </w:r>
      <w:r>
        <w:rPr>
          <w:rFonts w:hint="eastAsia" w:asciiTheme="minorEastAsia" w:hAnsiTheme="minorEastAsia" w:eastAsiaTheme="minorEastAsia" w:cstheme="minorEastAsia"/>
          <w:b/>
          <w:bCs/>
          <w:color w:val="auto"/>
          <w:highlight w:val="none"/>
          <w:lang w:val="zh-CN"/>
        </w:rPr>
        <w:t>项目管理</w:t>
      </w:r>
    </w:p>
    <w:p w14:paraId="78BB4858">
      <w:pPr>
        <w:pStyle w:val="53"/>
        <w:widowControl/>
        <w:spacing w:line="360" w:lineRule="auto"/>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5.1.1项目经理要求：</w:t>
      </w:r>
    </w:p>
    <w:p w14:paraId="102046D0">
      <w:pPr>
        <w:pStyle w:val="53"/>
        <w:widowControl/>
        <w:spacing w:line="360" w:lineRule="auto"/>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项目经理与投标文件承诺不一致或未及时到位，发包人将按照下列方式对承包人进行处罚：</w:t>
      </w:r>
    </w:p>
    <w:p w14:paraId="20177E41">
      <w:pPr>
        <w:pStyle w:val="53"/>
        <w:widowControl/>
        <w:numPr>
          <w:ilvl w:val="0"/>
          <w:numId w:val="5"/>
        </w:numPr>
        <w:spacing w:line="360" w:lineRule="auto"/>
        <w:ind w:firstLine="42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担任项目经理的注册建造师与投标书承诺不一致，将视为承包人严重违约。除符合广东省住房和城乡建设厅《关于建设工程项目招标中标后监督检查的办法》〔2009〕8号文第九条规定的情形外，项目经理一律不得更换。承包人未经监理工程师和发包人书面同意，擅自更换投标书中确认的本工程项目经理的，监理工程师或发包人有权责令承包人三天内整改，且发包人有权提请建设行政主管部门对其作不良行为记录，有权给予承包人履约评价为不合格，同时发包人有权拒绝承包人3年内参加发包人其它工程的投标。</w:t>
      </w:r>
      <w:r>
        <w:rPr>
          <w:rFonts w:hint="eastAsia" w:asciiTheme="minorEastAsia" w:hAnsiTheme="minorEastAsia" w:eastAsiaTheme="minorEastAsia" w:cstheme="minorEastAsia"/>
          <w:snapToGrid w:val="0"/>
          <w:color w:val="auto"/>
          <w:kern w:val="0"/>
          <w:szCs w:val="24"/>
          <w:highlight w:val="none"/>
          <w:u w:val="single"/>
        </w:rPr>
        <w:t>擅自更换本工程项目经理的，</w:t>
      </w:r>
      <w:r>
        <w:rPr>
          <w:rFonts w:hint="eastAsia" w:asciiTheme="minorEastAsia" w:hAnsiTheme="minorEastAsia" w:eastAsiaTheme="minorEastAsia" w:cstheme="minorEastAsia"/>
          <w:color w:val="auto"/>
          <w:highlight w:val="none"/>
          <w:u w:val="single"/>
        </w:rPr>
        <w:t>即使发包人</w:t>
      </w:r>
      <w:r>
        <w:rPr>
          <w:rFonts w:hint="eastAsia" w:asciiTheme="minorEastAsia" w:hAnsiTheme="minorEastAsia" w:eastAsiaTheme="minorEastAsia" w:cstheme="minorEastAsia"/>
          <w:snapToGrid w:val="0"/>
          <w:color w:val="auto"/>
          <w:kern w:val="0"/>
          <w:szCs w:val="24"/>
          <w:highlight w:val="none"/>
          <w:u w:val="single"/>
        </w:rPr>
        <w:t>事后</w:t>
      </w:r>
      <w:r>
        <w:rPr>
          <w:rFonts w:hint="eastAsia" w:asciiTheme="minorEastAsia" w:hAnsiTheme="minorEastAsia" w:eastAsiaTheme="minorEastAsia" w:cstheme="minorEastAsia"/>
          <w:color w:val="auto"/>
          <w:highlight w:val="none"/>
          <w:u w:val="single"/>
        </w:rPr>
        <w:t>批准同意更换，承包人仍需支付每换一次15万元的违约金（仅被羁押或判处刑罚、身亡可免责）。</w:t>
      </w:r>
    </w:p>
    <w:p w14:paraId="328A740C">
      <w:pPr>
        <w:pStyle w:val="53"/>
        <w:widowControl/>
        <w:numPr>
          <w:ilvl w:val="0"/>
          <w:numId w:val="5"/>
        </w:numPr>
        <w:spacing w:line="360" w:lineRule="auto"/>
        <w:ind w:firstLine="42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项目经理每延迟到位一天承包人应向发包人支付违约金5万元/天，超过10天（含10天）发包人有权单方解除合同，并要求承包人承担由此造成的一切损失。</w:t>
      </w:r>
    </w:p>
    <w:p w14:paraId="4D33B316">
      <w:pPr>
        <w:pStyle w:val="53"/>
        <w:widowControl/>
        <w:numPr>
          <w:ilvl w:val="0"/>
          <w:numId w:val="5"/>
        </w:numPr>
        <w:spacing w:line="360" w:lineRule="auto"/>
        <w:ind w:firstLine="42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项目经理必须按时参加工程例会、图纸会审和技术交底、现场协调会、方案论证会、专项工作碰头会，以及发包人要求其参加的会议。未经发包人同意不到会者，承包人每次向发包人支付1万元违约金，并承担一般违约责任1次。</w:t>
      </w:r>
    </w:p>
    <w:p w14:paraId="45B02A2F">
      <w:pPr>
        <w:pStyle w:val="53"/>
        <w:widowControl/>
        <w:numPr>
          <w:ilvl w:val="0"/>
          <w:numId w:val="5"/>
        </w:numPr>
        <w:spacing w:line="360" w:lineRule="auto"/>
        <w:ind w:firstLine="42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项目经理若需离开施工现场1日以上（含1日）需经发包人批准。在其请假离开的时间段内应委托项目副经理或项目总工全权代表其行使职权，否则每违约一次，承包人应当承担一般违约责任1次。项目经理每月的出勤天数不得少于22天，如少于22天的，按每缺勤一天向发包人支付违约金人民币3仟元，并承担一般违约责任1次。</w:t>
      </w:r>
    </w:p>
    <w:p w14:paraId="484D4B2F">
      <w:pPr>
        <w:pStyle w:val="53"/>
        <w:widowControl/>
        <w:spacing w:line="360" w:lineRule="auto"/>
        <w:ind w:firstLine="48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5）对于难以胜任工作项目经理，发包人有权要求承包人进行更换，直至发包人满意为止，且更换人员应在接到书面通知后的3天内到位。更换项目经理期间延误的工期不予顺延，所有费用由承包人承担，给发包人造成的损失由承包人承担。</w:t>
      </w:r>
    </w:p>
    <w:p w14:paraId="70AB9D86">
      <w:pPr>
        <w:pStyle w:val="53"/>
        <w:widowControl/>
        <w:spacing w:line="360" w:lineRule="auto"/>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上述违约金由承包人直接向发包人支付，未付清之前，发包人有权暂停支付工程款。</w:t>
      </w:r>
    </w:p>
    <w:p w14:paraId="103D7D44">
      <w:pPr>
        <w:pStyle w:val="53"/>
        <w:widowControl/>
        <w:spacing w:line="360" w:lineRule="auto"/>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5.1.2承包人必须遵守国家相关法律法规、政府相关规定及</w:t>
      </w:r>
      <w:r>
        <w:rPr>
          <w:rFonts w:hint="eastAsia" w:asciiTheme="minorEastAsia" w:hAnsiTheme="minorEastAsia" w:eastAsiaTheme="minorEastAsia" w:cstheme="minorEastAsia"/>
          <w:color w:val="auto"/>
          <w:highlight w:val="none"/>
          <w:lang w:eastAsia="zh-CN"/>
        </w:rPr>
        <w:t>南雄市乌迳镇人民政府</w:t>
      </w:r>
      <w:r>
        <w:rPr>
          <w:rFonts w:hint="eastAsia" w:asciiTheme="minorEastAsia" w:hAnsiTheme="minorEastAsia" w:eastAsiaTheme="minorEastAsia" w:cstheme="minorEastAsia"/>
          <w:color w:val="auto"/>
          <w:highlight w:val="none"/>
        </w:rPr>
        <w:t>的工程管理制度。</w:t>
      </w:r>
    </w:p>
    <w:p w14:paraId="1C814542">
      <w:pPr>
        <w:pStyle w:val="53"/>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5.1.3承包人应根据工程实际需要，配备满足进度要求的施工机械，自备发电机保证供电稳定，所有费用已包含在合同价中。</w:t>
      </w:r>
    </w:p>
    <w:p w14:paraId="2239CEC0">
      <w:pPr>
        <w:pStyle w:val="53"/>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如果承包人未能按照规定的工期完成合同工程（含材料、设备采购等），或者未能在相应的工期内完成某区段或某单项工程，经发包人书面发出通知要求承包人在规定时间内完成前述工程后，承包人仍未完成，则发包人有权直接雇用他人执行该项指令，并向其支付有关费用，所发生的费用从承包人合同总价中扣除，同时，在工程结算时发包人有权扣除承包人向发包人支付所发生费用10%的违约金，并由承包人承担影响工期的一切责任。</w:t>
      </w:r>
    </w:p>
    <w:p w14:paraId="0FB0B478">
      <w:pPr>
        <w:pStyle w:val="53"/>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5.1.5在合同履行中如发包人、承包人双方发生争议，承包人不得以争议未解决为由擅自停工，否则将视为违约，由此产生工期的延误不予顺延。</w:t>
      </w:r>
    </w:p>
    <w:p w14:paraId="1ED02A19">
      <w:pPr>
        <w:pStyle w:val="53"/>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5.1.6对于隐蔽工程，若发现承包人在验收合格后到隐蔽施工前，对合格部分做任何改动，应重新进行验收；若承包人同一分项工程验收两次仍不合格，则以后每增加一次验收，承包人向发包人支付违约金5000元。如出现未经验收就进行隐蔽施工，承包人向发包人支付10万元/次的违约金，并且发包人有权暂停支付该部分进度款，直至发包人确认该部分工程合格为止，并通报相关部门，由此产生质量、工期延误等等均由承包人负责。</w:t>
      </w:r>
    </w:p>
    <w:p w14:paraId="6040F85F">
      <w:pPr>
        <w:wordWrap w:val="0"/>
        <w:adjustRightInd w:val="0"/>
        <w:snapToGrid w:val="0"/>
        <w:spacing w:line="44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经承包人的自检确认隐蔽工程和工程的隐蔽部位具备覆盖条件后的24小时内，承包人应通知监理人进行检查，通知应按规定的格式说明检查地点、内容和检查时间，并附有承包人自检记录和必要的检查资料。监理人应按通知约定的时间派员到场进行检查，在监理人员确认质量符合要求，并在检查记录上签字后，承包人才能进行覆盖。</w:t>
      </w:r>
    </w:p>
    <w:p w14:paraId="3EF93B12">
      <w:pPr>
        <w:pStyle w:val="53"/>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承包人未及时通知监理人到场检查，私自将隐蔽部位覆盖，监理人有权指示承包人采用钻孔探测揭开进行检查，由此增加的费用和工期延误责任由承包人承担。</w:t>
      </w:r>
    </w:p>
    <w:p w14:paraId="4743ECAB">
      <w:pPr>
        <w:pStyle w:val="53"/>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5.1.7承包人必须编制合理的交通维护方案并负责实施，保证施工期间的交通组织符合南雄公安交通管理的有关规定，确保施工安全，其费用包含在合同价中。</w:t>
      </w:r>
    </w:p>
    <w:p w14:paraId="776AEB15">
      <w:pPr>
        <w:pStyle w:val="53"/>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5.1.8发生伤亡事故，承包人应在第一时间通知发包人，并按规定立即上报有关部门，同时按法律、法规及相关规定的要求及时处理，否则记承包人严重违约责任一次。</w:t>
      </w:r>
    </w:p>
    <w:p w14:paraId="28DC510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因承包人原因，承包人施工现场发生工伤或其他责任事故的，除按相关法律法规依法接受处理和赔偿所造成的损失外，承包人还须按下列标准向发包人支付惩罚性违约金：</w:t>
      </w:r>
    </w:p>
    <w:p w14:paraId="6844ADB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（1）一次事故或全年累计死亡3人及以上：安全第一责任人在韶关市地区建设范围内公开检查；承包人必须撤换项目经理、安全主管，同时支付合同价款15％的惩罚性违约金。</w:t>
      </w:r>
    </w:p>
    <w:p w14:paraId="1410A39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（2）一次事故或全年累计死亡2人：安全第一责任人在韶关市地区建设范围内公开检查；承包人必须撤换项目经理、安全主管，同时支付合同价款10％的惩罚性违约金。</w:t>
      </w:r>
    </w:p>
    <w:p w14:paraId="41932B3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（3）全年死亡1人：安全第一责任人在韶关市地区建设范围内公开检查，并报其上级单位；承包人必须撤换项目经理、安全主管；同时支付合同价款5％的惩罚性违约金。</w:t>
      </w:r>
    </w:p>
    <w:p w14:paraId="7DDCCE7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（4）重伤事故、造成10人及以上集体中毒住院、经济损失重大的火灾、设备及交通事故，依法由承包人承担责任，并支付惩罚性违约金3万元。</w:t>
      </w:r>
    </w:p>
    <w:p w14:paraId="2A4F27DB">
      <w:pPr>
        <w:pStyle w:val="53"/>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（5）因施工造成的道路交通中断、通讯中断、管线漏水漏气等全部责任事故，依法由承包人承担责任，并支付惩罚性违约金2万元。</w:t>
      </w:r>
    </w:p>
    <w:p w14:paraId="5183712F">
      <w:pPr>
        <w:pStyle w:val="53"/>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5.1.9 承包人必须遵守有关环境保护的法律法规，并采取有效措施控制施工现场的各种粉尘、废气、废弃物、噪声、振动等对身体健康和周边环境造成的危害和污染，有关费用已包含在合同价中。 </w:t>
      </w:r>
    </w:p>
    <w:p w14:paraId="603F17E2">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5.1.10 工程竣工验收合格后30天内，承包人必须及时</w:t>
      </w:r>
      <w:r>
        <w:rPr>
          <w:rFonts w:hint="eastAsia" w:asciiTheme="minorEastAsia" w:hAnsiTheme="minorEastAsia" w:eastAsiaTheme="minorEastAsia" w:cstheme="minorEastAsia"/>
          <w:snapToGrid w:val="0"/>
          <w:color w:val="auto"/>
          <w:kern w:val="0"/>
          <w:szCs w:val="24"/>
          <w:highlight w:val="none"/>
        </w:rPr>
        <w:t>按</w:t>
      </w:r>
      <w:r>
        <w:rPr>
          <w:rFonts w:hint="eastAsia" w:asciiTheme="minorEastAsia" w:hAnsiTheme="minorEastAsia" w:eastAsiaTheme="minorEastAsia" w:cstheme="minorEastAsia"/>
          <w:color w:val="auto"/>
          <w:szCs w:val="24"/>
          <w:highlight w:val="none"/>
        </w:rPr>
        <w:t xml:space="preserve">韶关市城市建设档案要求及发包人要求提交真实完整的竣工图纸等竣工资料，并由承包人负责汇总后，移交相关管理部门，且办理完成相关移交手续，否则每延迟１天，承包人向发包人支付2000元/天的违约金。同时，承包人向发包人提供完整的竣工图纸等竣工资料各8套（包括声像及电子文件），档案的制作费用由承包人承担。 </w:t>
      </w:r>
    </w:p>
    <w:p w14:paraId="3725CCE5">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5.1.11 如承包人不按合同内容及条款施工，或违反正常施工程序、施工工艺进行施工，或施工质量、安全、环保等达不到有关要求，或施工用材料设备不符合规定，发包人有权勒令承包人暂停施工，承包人必须停工整改，一切责任由承包人负责。</w:t>
      </w:r>
    </w:p>
    <w:p w14:paraId="32A1CF90">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5.1.12 承包人全体现场施工人员佩戴安全帽，全部施工人员佩戴工作牌。</w:t>
      </w:r>
    </w:p>
    <w:p w14:paraId="6AD3CEDC">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5.1.13 未经发包人书面许可，承包人不得在施工现场布置任何与本项目工程无关的商业广告，否则发包人有权要求承包人予以拆除，承包人并向发包人每次支付违约金10000元。</w:t>
      </w:r>
    </w:p>
    <w:p w14:paraId="5CB8657B">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5.1.14 承包人下列人员有以下情形的，承包人必须在24小时内将其调离，并应在3天内补充经发包人批准的相关合格人员。若承包人不及时履行，发包人则有权要求承包人按每人每次支付违约金1000元/天，具体情形如下：</w:t>
      </w:r>
    </w:p>
    <w:p w14:paraId="0B14D976">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（1）发包人确认无法胜任工作者，包括：对分部分项工程施工进度及施工质量达不到合同要求负有责任的施工人员、不熟悉本专业的施工人员、工作责任心不强的施工人员等；</w:t>
      </w:r>
    </w:p>
    <w:p w14:paraId="1B468EA9">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（2）不积极配合发包人、监理工程师正常工作人员；</w:t>
      </w:r>
    </w:p>
    <w:p w14:paraId="00BD5E1E">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（3）违反承包人或发包人工地现场管理规定的人员；</w:t>
      </w:r>
    </w:p>
    <w:p w14:paraId="3B17D936">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（4）无证上岗人员（适用于按规定必须有上岗证的）；</w:t>
      </w:r>
    </w:p>
    <w:p w14:paraId="787AE936">
      <w:pPr>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（5）与本工程施工无关的人员。</w:t>
      </w:r>
    </w:p>
    <w:p w14:paraId="6AC7036C">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5.1.15 本工程禁止转包，若发包人和监理人认为承包人有转包行为，且经行政主管部门落实认定。发包人有权勒令承包人停工、驱逐其出现场，并提请建设行政主管部门对承包人按相关法律法规进行行政处罚；发包人还有权给予承包人履约评价为不合格，及有权拒绝承包人3年内参加发包人其它工程的投标；同时发包人有权单方面解除本合同。由此造成的损失均由承包人承担。 </w:t>
      </w:r>
    </w:p>
    <w:p w14:paraId="2DAEF134">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5.2 用工和劳务</w:t>
      </w:r>
    </w:p>
    <w:p w14:paraId="7C93CBDF">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5.2.1承包人不得从为发包人或工程师服务的人员中招雇任何人员。</w:t>
      </w:r>
    </w:p>
    <w:p w14:paraId="19CD34B0">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5.2.2承包人不得以任何理由延期支付雇员的工资和劳务分包人的劳务费用。对发包人支付的工程款，承包人须优先用于支付工人劳动报酬，确保不发生因拖欠工人工资、劳务费而停工、上访，或因此在媒体曝光等事件。如果发生因拖欠工人工资、劳务费而停工上访，或因此在媒体曝光等事件，视为承包人违约，发包人有权要求承包人支付违约金20万元/次。</w:t>
      </w:r>
    </w:p>
    <w:p w14:paraId="415D10D3">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5.2.3承包人应避免发包人因施工工人追索劳务费或工程款而将发包人诉至法庭或仲裁庭，否则一切责任由承包人承担，所发生的所有费用（包括但不限于诉讼费、调查费、律师费、赔偿费、违约金等）全部由承包人承担，发包人有权将此等费用从任何应支付的工程款中扣除或没收履约保函中的相应金额。</w:t>
      </w:r>
    </w:p>
    <w:p w14:paraId="3F52A91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5.2.4如果现场工程师需要了解承包人在现场的管理人员和各种劳务工种操作人员情况，以及工程师要求的有关承包人机械设备、主要施工机具、周转材料等的详细资料。承包人则应向工程师提交一份详细的统计表，其格式和提交的间隔时间应符合工程师的规定。</w:t>
      </w:r>
    </w:p>
    <w:p w14:paraId="53E514FC">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5.3施工准备工作</w:t>
      </w:r>
    </w:p>
    <w:p w14:paraId="57C4C8F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5.3.1承包人应充分认识到本工程的特殊性和复杂性，施工前应切实做好各项准备工作，包括但不限于以下（1）、（2）、（3）的内容：</w:t>
      </w:r>
    </w:p>
    <w:p w14:paraId="29357F1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（1）必须按要求完成临时设施建设和现场指挥部建设。</w:t>
      </w:r>
    </w:p>
    <w:p w14:paraId="230FD77A">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（2）按照相关规定及发包人要求做好现场申报、宣传、走访、排查和解释工作。</w:t>
      </w:r>
    </w:p>
    <w:p w14:paraId="0CAB7FC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（3）根据现场实际环境，做好防火、防盗、防坠落等各项措施，排除安全隐患，确保施工期间施工的安全。</w:t>
      </w:r>
    </w:p>
    <w:p w14:paraId="7B09516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5.3.2存在设计图纸疑问，必须在施工前30日提出，不得在施工时临时提出，也不得以此手段要求任何索赔，由此造成的一切损失由承包人承担。</w:t>
      </w:r>
    </w:p>
    <w:p w14:paraId="71434D4E">
      <w:pPr>
        <w:spacing w:line="360" w:lineRule="auto"/>
        <w:ind w:left="480" w:leftChars="200"/>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b/>
          <w:bCs/>
          <w:color w:val="auto"/>
          <w:szCs w:val="24"/>
          <w:highlight w:val="none"/>
        </w:rPr>
        <w:t>5.4工程变更</w:t>
      </w:r>
    </w:p>
    <w:p w14:paraId="1E33407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5.4.1承包人报送的变更价款，应实事求是，不得虚报数量，增加或变更的工程内容按招标文件中约定计价办法进行计量。若其报送金额超出建设工程造价管理部门或政府审核部门审定金额15%以上的，每次承包人向发包人支付人民币伍仟（￥5000）元的违约金，并在结算中予以扣除。</w:t>
      </w:r>
    </w:p>
    <w:p w14:paraId="34CBA07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5.4.2承包人应充分考虑工程设计变更带来的风险。工程变更须按政府及发包人的有关规定、审批权限和审批程序进行审批，凡未经发包人审批同意，承包人擅自实施的，一律视为无效变更，结算时发包人不予承认。</w:t>
      </w:r>
    </w:p>
    <w:p w14:paraId="1E4F8AF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5.4.3承包人应按南雄市人民政府办公室《关于加强市本级政府投资项目财政投资评审监督管理的实施意见》雄府办函[2023]5号的规定及时申报办理工程变更审批手续，并于申请当期工程款之前或一并申报完整的工程变更资料予以备案；凡不符合实施意见要求的变更均为无效变更。</w:t>
      </w:r>
    </w:p>
    <w:p w14:paraId="4413A9BD">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5.5工程量计量的约定：</w:t>
      </w:r>
    </w:p>
    <w:p w14:paraId="1B9138F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①承包人不得自行取消施工图或清单中的任何项目，发包人根据需要取消的未施工项目，经监理工程师核实后予以扣减，相应的措施费用予以扣减。</w:t>
      </w:r>
    </w:p>
    <w:p w14:paraId="508395B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②承包人自身原因造成的返工工程量，不予计量。</w:t>
      </w:r>
    </w:p>
    <w:p w14:paraId="567A697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③凡超出图纸范围又未经变更审批的工程量，不予计量。</w:t>
      </w:r>
    </w:p>
    <w:p w14:paraId="0A91B73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④不符合工程质量标准的工程量，不予计量。</w:t>
      </w:r>
    </w:p>
    <w:p w14:paraId="281ADA9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⑤发包人书面通知承包人取消的工程量，不予计量。</w:t>
      </w:r>
    </w:p>
    <w:p w14:paraId="006747B2">
      <w:pPr>
        <w:pStyle w:val="30"/>
        <w:spacing w:line="360" w:lineRule="auto"/>
        <w:jc w:val="left"/>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snapToGrid w:val="0"/>
          <w:color w:val="auto"/>
          <w:kern w:val="0"/>
          <w:sz w:val="24"/>
          <w:highlight w:val="none"/>
        </w:rPr>
        <w:t>承包人编制的工程量预算清单中的综合单价为按技术规范与技术要求完成一个规定计量单位的工程所需的人工费、材料费、机械使用费、管理费、利润并考虑风险因素。按技术规范、招标文件、设计图纸、国标《建设工程工程量清单计价规范》、省市现行计价规程等要求为完成一个规定计量单位的工程量所需的其他一切费用，承包人不得以综合单价和措施费所含工作内容缺漏项为由，向发包人提出任何变更工程价款的要求。</w:t>
      </w:r>
    </w:p>
    <w:p w14:paraId="5B66EE14">
      <w:pPr>
        <w:spacing w:line="360" w:lineRule="auto"/>
        <w:ind w:firstLine="482" w:firstLineChars="200"/>
        <w:rPr>
          <w:rFonts w:hint="eastAsia" w:asciiTheme="minorEastAsia" w:hAnsiTheme="minorEastAsia" w:eastAsiaTheme="minorEastAsia" w:cstheme="minorEastAsia"/>
          <w:b/>
          <w:bCs/>
          <w:color w:val="auto"/>
          <w:szCs w:val="24"/>
          <w:highlight w:val="none"/>
          <w:u w:val="single"/>
        </w:rPr>
      </w:pPr>
      <w:r>
        <w:rPr>
          <w:rFonts w:hint="eastAsia" w:asciiTheme="minorEastAsia" w:hAnsiTheme="minorEastAsia" w:eastAsiaTheme="minorEastAsia" w:cstheme="minorEastAsia"/>
          <w:b/>
          <w:bCs/>
          <w:color w:val="auto"/>
          <w:szCs w:val="24"/>
          <w:highlight w:val="none"/>
        </w:rPr>
        <w:t>5.6承包人对专业分包的总要求</w:t>
      </w:r>
    </w:p>
    <w:p w14:paraId="30F3A50D">
      <w:pPr>
        <w:adjustRightInd w:val="0"/>
        <w:snapToGrid w:val="0"/>
        <w:spacing w:beforeLines="50"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5.6.1承包人对本工程所有分包人的管理费和相互间的配合费用由承包人与分包人自行商定，已含在承包人的投标报价中，发包人不予任何补偿。承包人承担全部管理、组织、协调和配合工作。</w:t>
      </w:r>
    </w:p>
    <w:p w14:paraId="746013FF">
      <w:pPr>
        <w:spacing w:line="360" w:lineRule="auto"/>
        <w:ind w:firstLine="49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5.6.2若承包人的施工承包资质缺少本工程的专业承包资质，应按照有关规定事先报发包人和监理工程师审查并取得发包人批准后分包给具有相应资质的专业承包人（如果分包工程按规定需要进行招标的，由承包人在建设交易中心自行组织），由此产生的一切分包费用、配合费、招标费用以及其他可能存在风险所产生的费用都含在合同价中。承包人因上述情况提出的任何索赔或工期延长申请将不获批准。若承包人在施工过程中由于自身缺少本工程要求的专业承包资质，而又不能按规定时间发包给具有资质的专业承包企业或者分包企业不能按照设计要求实施专业工程的，由此造成工期延误，每延误1天承包人向发包人支付违约金3万元；给发包人造成质量损失的，承包人负责赔偿，同时发包人有权从合同价中按分包工程的审定预算价扣除，并委托其他施工单位实施，承包人须无条件与分包人签订合同。</w:t>
      </w:r>
    </w:p>
    <w:p w14:paraId="15DE5AF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5.6.3若同一分包工程的分包申请被否定二次，发包人有权就该分包工程采用单独招标形式确定分包人或直接指定分包人，承包人须无条件与分包人签订合同，并不得收取任何费用。同时发包人有权从合同价中按分包工程的审定预算价扣除，并委托其他施工单位实施，承包人须无条件与分包人签订合同。同时由此造成工期延误，每延误1天承包人向发包人支付违约金3万元；给发包人造成质量损失的，承包人负责赔偿。</w:t>
      </w:r>
    </w:p>
    <w:p w14:paraId="04D3C4F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5.6.4经工程师、发包人认可，承包人与分包人签订分包合同后的5天内，承包人必须将分包合同等相关资料按规定送建设行政主管部门及其他相关管理部门备案，分包合同与本施工合同发生抵触，以本施工合同为准。承包人对分包合同承担连带责任。分包合同不解除承包人任何义务与责任，承包人在分包现场应派驻监督管理人员，保证合同的履行。分包人的任何违约或疏忽，均视为承包人违约或疏忽。</w:t>
      </w:r>
    </w:p>
    <w:p w14:paraId="37ACC9A9">
      <w:pPr>
        <w:adjustRightInd w:val="0"/>
        <w:snapToGrid w:val="0"/>
        <w:spacing w:line="360" w:lineRule="auto"/>
        <w:ind w:firstLine="600" w:firstLineChars="2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5.6.5若发包人和监理均认定承包人有未经发包人同意的分包行为（无须承包人认可，除非承包人在发包人发出通知后3天内提出有效举证），发包人有权勒令其停工、驱逐出现场等，由此造成的损失均由承包人承担，同时承包人向发包人支付违约金30万元/每次。发包人有权提请建设行政主管部门对其作不良行为记录，有权给予承包人履约评价为不合格，同时发包人有权拒绝承包人3年内参加发包人其它工程的投标。 </w:t>
      </w:r>
    </w:p>
    <w:p w14:paraId="5A16A14B">
      <w:pPr>
        <w:adjustRightInd w:val="0"/>
        <w:snapToGrid w:val="0"/>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5.7 措施项目</w:t>
      </w:r>
    </w:p>
    <w:p w14:paraId="5E1F995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5.7.1现场安全文明设计必须满足国家、省市相关的要求，除此之外，尚应满足如下要求：</w:t>
      </w:r>
    </w:p>
    <w:p w14:paraId="7BC26F82">
      <w:pPr>
        <w:numPr>
          <w:ilvl w:val="0"/>
          <w:numId w:val="6"/>
        </w:num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安全、文明、临时设施要求：①主要管理人员与投标文件内填写的应一致；</w:t>
      </w:r>
    </w:p>
    <w:p w14:paraId="0D331E9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②施工现场应封闭施工。进出口要设大门、门卫和门卫制度。主进出口门头设企业标志，两侧要挂“七牌一图”，标牌应规范、整齐；</w:t>
      </w:r>
    </w:p>
    <w:p w14:paraId="3778AFE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③施工场地及生活区的所有临时道路，无污水、积水，地面要平整，路面满足施工及生活需要；排水要通畅，要有防止泥浆、污物堵塞排水管道的措施；按要求张挂各种安全标志牌和标语，设宣传栏，读报栏和黑板报并设有吸烟处；有绿化布置；</w:t>
      </w:r>
    </w:p>
    <w:p w14:paraId="4C8D106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④施工期间，承包人应随时根据现场情况对围挡进行维修和保护，确保施工界面达到韶关市、南雄市和建设部有关规定的标准。为确保施工安全，防止无关人员进入现场，承包人必须对施工范围（特殊情况除外）进行全封闭围挡，并设置车辆进出口，若确因条件限制或环境要求无法实施封闭围挡，承包人应切实做好安全防护及安全通道，设置合理科学的安全警示标志。如果承包人开工后经监理工程师下达整改通知后3天内仍未按规定实施，发包人有权安排其他施工队伍进场作好封闭围挡，相应费用从本合同总价中的现场安全文明措施费中扣除。承包人承诺按发包人制定的此条款执行，不得有任何异议；</w:t>
      </w:r>
    </w:p>
    <w:p w14:paraId="7922672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⑤施工场内，建筑材料、构件和料具要按施工现场平面图的布置要求堆放整齐，并挂物料名称，品种，规格等标牌，施工现场渣土和垃圾清运应当采取喷淋压尘装载；</w:t>
      </w:r>
    </w:p>
    <w:p w14:paraId="2667BD1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⑥承包人必须按照粤建安字〔2009〕20号文件要求，在开工前按有关规定要求，编制施工组织设计和施工现场消防设施平面布置图，按规定配备合格的消防器材等，满足施工现场所需的消防措施、制度和灭火器材，灭火器材配置、消防水源所有器材和设备应合理、合格，使用明火应有动火审批手续和动火监护，所发生的费用已含合同中；</w:t>
      </w:r>
    </w:p>
    <w:p w14:paraId="47AF990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⑦施工现场的施工区、 办公区、生活区应当分开设置，实行区划管理，临时办公和生活用房应采用轻钢板房，并要具有抗强台风的措施，确保安全；</w:t>
      </w:r>
    </w:p>
    <w:p w14:paraId="47A5396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⑧工地内要配备经培训的急救人员、保健医药箱、安全急救措施和急救器材，要开展卫生、防病自救、互救宣传教育；</w:t>
      </w:r>
    </w:p>
    <w:p w14:paraId="353A981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⑨要建立治安保卫制度，责任要分解到人。承包人在施工过程中的施工人员应配备必要的劳动、安全保护用品并佩戴工作证，以及满足招标文件中其他相关规定。</w:t>
      </w:r>
    </w:p>
    <w:p w14:paraId="3DF1D3AE">
      <w:pPr>
        <w:numPr>
          <w:ilvl w:val="0"/>
          <w:numId w:val="6"/>
        </w:num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环保要求：承包人在施工过程中必须根据环保部门和城管部门的要求采取一切可能的措施做好环境保护和水土保持工作，有效控制施工现场的各种粉尘、废气、废弃物、噪音、振动、雨污水等对周边环境造成的污染和危害，避免对周围的管线、道路、构筑物、建筑物造成损坏，环境保护所采用的措施包括但不局限于：</w:t>
      </w:r>
    </w:p>
    <w:p w14:paraId="5AFB43C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①环境污染防治措施：禁止向周边和雨水口、河道倾倒一切废物，包括生产和生活污水、生产和生活垃圾等；生活废水要自建生活污水处理装置；生活垃圾要收集在有防雨棚和防地表径流冲刷的临时垃圾池内，及时集中、清运；堆土区表面进行覆盖；</w:t>
      </w:r>
    </w:p>
    <w:p w14:paraId="30DFED8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②大气污染防治措施：采用洒水湿法抑尘；重点时段防护如：对</w:t>
      </w:r>
      <w:r>
        <w:rPr>
          <w:rFonts w:hint="eastAsia" w:asciiTheme="minorEastAsia" w:hAnsiTheme="minorEastAsia" w:eastAsiaTheme="minorEastAsia" w:cstheme="minorEastAsia"/>
          <w:snapToGrid w:val="0"/>
          <w:color w:val="auto"/>
          <w:kern w:val="0"/>
          <w:szCs w:val="24"/>
          <w:highlight w:val="none"/>
        </w:rPr>
        <w:t>工地进出运输</w:t>
      </w:r>
      <w:r>
        <w:rPr>
          <w:rFonts w:hint="eastAsia" w:asciiTheme="minorEastAsia" w:hAnsiTheme="minorEastAsia" w:eastAsiaTheme="minorEastAsia" w:cstheme="minorEastAsia"/>
          <w:color w:val="auto"/>
          <w:szCs w:val="24"/>
          <w:highlight w:val="none"/>
        </w:rPr>
        <w:t>车辆进行冲洗；运送散装物料的机动车、存放散装物料的堆放场地必须用棚布遮盖，拌和设备尽量封闭；</w:t>
      </w:r>
    </w:p>
    <w:p w14:paraId="0FF9007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③施工噪音防护措施：施工噪音执行《建筑施工噪音标准限值》（GB12523-90）规定的有关标准，未经环保部门批准中午和夜间不得施工作业；对高噪音的施工机械或加工环节尽量安排在远离民居的地方；</w:t>
      </w:r>
    </w:p>
    <w:p w14:paraId="0161DB5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 4 \* GB3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4"/>
          <w:highlight w:val="none"/>
          <w:lang w:val="zh-CN"/>
        </w:rPr>
        <w:t>④</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rPr>
        <w:t>针对固体废物可能产生的多种环境影响，须采取必要的措施分类收集，运至指定地点和按规定进行处理；</w:t>
      </w:r>
    </w:p>
    <w:p w14:paraId="718AC42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 5 \* GB3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4"/>
          <w:highlight w:val="none"/>
          <w:lang w:val="zh-CN"/>
        </w:rPr>
        <w:t>⑤</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rPr>
        <w:t>制定建筑废弃物管理计划，达到绿色安全文明施工的要求；</w:t>
      </w:r>
    </w:p>
    <w:p w14:paraId="59FE887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 6 \* GB3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4"/>
          <w:highlight w:val="none"/>
          <w:lang w:val="zh-CN"/>
        </w:rPr>
        <w:t>⑥</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rPr>
        <w:t>红线范围内必须落实雨污分流，生活污水须经过化粪池处理后接入市政管网排放。</w:t>
      </w:r>
    </w:p>
    <w:p w14:paraId="2306595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由于承包人原因导致的投诉、索赔、指控，由承包人承担全部责任，同时造成工期延误的，发包人将按照合同条款相关约定进行索赔。</w:t>
      </w:r>
    </w:p>
    <w:p w14:paraId="13761A0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以上须采取的所有措施费用及相关的费用已含在合同价中。</w:t>
      </w:r>
    </w:p>
    <w:p w14:paraId="7BA3A14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第三、承包人须按建设主管部门的相关规定，在工地安装视频监控系统，覆盖全场，保证正常使用。采取相应保卫措施防止出现财、物被盗行为，相关费用已包括在安全文明施工措施费中，发包人不再另行支付此类费用。</w:t>
      </w:r>
    </w:p>
    <w:p w14:paraId="789AB0BF">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5.7.2已完工程及设备保护费</w:t>
      </w:r>
    </w:p>
    <w:p w14:paraId="3F98CB8B">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rPr>
        <w:t>①承包人应充分考虑本工程的</w:t>
      </w:r>
      <w:r>
        <w:rPr>
          <w:rFonts w:hint="eastAsia" w:asciiTheme="minorEastAsia" w:hAnsiTheme="minorEastAsia" w:eastAsiaTheme="minorEastAsia" w:cstheme="minorEastAsia"/>
          <w:color w:val="auto"/>
          <w:kern w:val="0"/>
          <w:szCs w:val="24"/>
          <w:highlight w:val="none"/>
        </w:rPr>
        <w:t>已完工程及设备保护，其费用已包含在合同价内，结算不再调整；</w:t>
      </w:r>
    </w:p>
    <w:p w14:paraId="781BF7E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②承包人应充分考虑施工影响范围内的地上、地下设施，建筑物的临时保护等措施，</w:t>
      </w:r>
      <w:r>
        <w:rPr>
          <w:rFonts w:hint="eastAsia" w:asciiTheme="minorEastAsia" w:hAnsiTheme="minorEastAsia" w:eastAsiaTheme="minorEastAsia" w:cstheme="minorEastAsia"/>
          <w:color w:val="auto"/>
          <w:kern w:val="0"/>
          <w:szCs w:val="24"/>
          <w:highlight w:val="none"/>
        </w:rPr>
        <w:t>以及</w:t>
      </w:r>
      <w:r>
        <w:rPr>
          <w:rFonts w:hint="eastAsia" w:asciiTheme="minorEastAsia" w:hAnsiTheme="minorEastAsia" w:eastAsiaTheme="minorEastAsia" w:cstheme="minorEastAsia"/>
          <w:color w:val="auto"/>
          <w:szCs w:val="24"/>
          <w:highlight w:val="none"/>
        </w:rPr>
        <w:t>对周围建筑物、周围道路管线的沉降和位移按照施工规范进行质量、安全性检查，对于现场及周边临近的可能发生的危险情况及时向监理工程师或主管部门报告，在施工现场根据相关要求准备应急物资并及时采取有效措施，保护费用已包含在合同价中，结算时不再调整。</w:t>
      </w:r>
    </w:p>
    <w:p w14:paraId="7D2D94E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5.7.3施工降排水</w:t>
      </w:r>
    </w:p>
    <w:p w14:paraId="6546BEE5">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rPr>
        <w:t>承包人应按照地质报告、设计图纸要求、降水水位要求、现场实际和工程经验等对降排水进行深化设计、维护和加固，其深化应经过设计单位的审批、监理工程师和发包人的同意，施工降排水应包括设计、施工、加固、维护直至竣工的全部施工和抽排水工作，同时</w:t>
      </w:r>
      <w:r>
        <w:rPr>
          <w:rFonts w:hint="eastAsia" w:asciiTheme="minorEastAsia" w:hAnsiTheme="minorEastAsia" w:eastAsiaTheme="minorEastAsia" w:cstheme="minorEastAsia"/>
          <w:color w:val="auto"/>
          <w:kern w:val="0"/>
          <w:szCs w:val="24"/>
          <w:highlight w:val="none"/>
        </w:rPr>
        <w:t>保证护栏的安全性。</w:t>
      </w:r>
    </w:p>
    <w:p w14:paraId="77FB8265">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 xml:space="preserve">本工程施工期间地表及地下水采用有组织的排放，尤其是主体结构工程施工期间，应确保满足低于设计抗浮水位要求并满足防水工程需要，采取的施工排水、降水应确保周边建（构）筑物的安全等有效措施。 </w:t>
      </w:r>
    </w:p>
    <w:p w14:paraId="39A8D46D">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承包人应综合考虑施工期间除不可抗力原因外的气候条件造成的现场工程量的增加及其它风险（如发包人提供的地质报告等相关资料可能存在与实际不符）。</w:t>
      </w:r>
    </w:p>
    <w:p w14:paraId="7F1E713F">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雨季施工随时与气象部门保持联系，在大雨、台风到来之前按有关主管部门规定的防洪防汛应急措施等。</w:t>
      </w:r>
    </w:p>
    <w:p w14:paraId="679C99AF">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以上有关费用已含在合同价中，结算不作调整。</w:t>
      </w:r>
    </w:p>
    <w:p w14:paraId="7928913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5.7.4水土保持</w:t>
      </w:r>
    </w:p>
    <w:p w14:paraId="64FD2D2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必须按照水土保持方案以及监理和检测单位的要求，采取设置排水沟、排洪沟、沉砂池、砂袋、植草等水土保持和防洪排涝措施，优化挖方填方，对土石方合理利用；对已完工土石方工程裸露表面，及时采取防护措施、严格控制水土流失，实现水土流失防治目标；及时做好排水导流工作，使地表径流和工程用水经沉砂池沉降后方可排放，沉砂池要定期清理，减轻水流对裸露地表的冲刷，防止泥砂流出对周边区域造成危害；临时堆土要全面覆盖，减少粉尘及雨水冲刷，堆土清理后或其他裸露地要采取恢复植被或其他防止水土流失措施。</w:t>
      </w:r>
    </w:p>
    <w:p w14:paraId="3AC4892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5.7.5施工用水、用电等</w:t>
      </w:r>
    </w:p>
    <w:p w14:paraId="77846A2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（1）承包人根据现场条件和工程情况，接通生活和生产区场内外的给水、排水、施工用电、通讯等工作，</w:t>
      </w:r>
      <w:r>
        <w:rPr>
          <w:rFonts w:hint="eastAsia" w:asciiTheme="minorEastAsia" w:hAnsiTheme="minorEastAsia" w:eastAsiaTheme="minorEastAsia" w:cstheme="minorEastAsia"/>
          <w:snapToGrid w:val="0"/>
          <w:color w:val="auto"/>
          <w:kern w:val="0"/>
          <w:szCs w:val="24"/>
          <w:highlight w:val="none"/>
        </w:rPr>
        <w:t>同时承包人应自备充足的发电机，确保施工过程中的水、电安全稳定供应，结算费用不作调整。</w:t>
      </w:r>
    </w:p>
    <w:p w14:paraId="6782BDD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（2）所有施工范围内涉及的清理、外运全部拆除物与垃圾，以及场地平整。</w:t>
      </w:r>
    </w:p>
    <w:p w14:paraId="20248CD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（3）为建设单位、监理单位提供施工现场临时办公用房和办公必须品，并开通通讯线路。</w:t>
      </w:r>
    </w:p>
    <w:p w14:paraId="19CD12B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（4）合同工期和顺延工期内临时用地（含占道）、房屋租赁的手续费和租金。</w:t>
      </w:r>
    </w:p>
    <w:p w14:paraId="3A01FA0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承包人在投标报价时应充分考虑施工场地现状与地形图不符的风险，谨慎报价，该部分报价为包干费用，承包人不得以任何理由提出增加费用。</w:t>
      </w:r>
    </w:p>
    <w:p w14:paraId="3A47F9A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5.7.6与其他工程的衔接、管理与配合费</w:t>
      </w:r>
    </w:p>
    <w:p w14:paraId="2A3D1D7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由承包人负责工程衔接各专业工程进度安排、施工现场管理协调等工作。对安全、文明、施工、运输、仓储、住宿统筹管理；确定合理的工序和进度计划、安排作业面与通道、提供场地；工程完工后的整体调试、验收和竣工资料整理；按专业设计图纸要求配合做好埋件、预留洞、预埋管等工作；提供脚手架供专业承包人使用；提供照明、临时水电等设施。其费用在对其他工程的衔接、管理和配合费用中报价，结算不做调整。</w:t>
      </w:r>
    </w:p>
    <w:p w14:paraId="6217F1D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5.7.7因承包人原因而引起的罚款、索赔和指控等责任由承包人自行承担。</w:t>
      </w:r>
    </w:p>
    <w:p w14:paraId="66C2614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5.7.8工程完工后需要恢复的建筑物、构筑物，承包人必须及时恢复，并使监理工程师和发包人满意，满足政府管理部门的规定和要求。</w:t>
      </w:r>
    </w:p>
    <w:p w14:paraId="541B945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5.7.9承包人必须按有关法规、标准、规定或发包人的合理要求实施有关措施项目，若以上设施或措施达不到要求，工程师发出指令后，承包人应按照要求予以整改，其费用由承包人承担。承包人拒绝整改的，发包人有权要求承包人支付违约金50万元，并将其列入履约考评不良记录，同时发包人有权委托第三方实施，所有费用由承包人承担。由于承包人原因导致的投诉、索赔、指控，由承包人承担全部责任，同时造成工期延误的，发包人将按照合同条款相关约定进行索赔。</w:t>
      </w:r>
    </w:p>
    <w:p w14:paraId="06D651C0">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5.7.10承包人必须按照《建设工程安全生产管理条例》和《危险性较大的分部分项工程安全管理办法》进行施工，应按有关规定提供相应的防护措施且在施工前编制危险性较大分部分项工程的专项施工方案，有关费用已含在合同价中。因承包人原因，导致的安全事故，由承包人承担相应责任及发生的费用。</w:t>
      </w:r>
    </w:p>
    <w:p w14:paraId="73A270B4">
      <w:pPr>
        <w:spacing w:line="360" w:lineRule="auto"/>
        <w:ind w:firstLine="480"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color w:val="auto"/>
          <w:szCs w:val="24"/>
          <w:highlight w:val="none"/>
        </w:rPr>
        <w:t>5.7.11承包人必须严格按照相关规定和安全规范等，以及设计图纸，结合实际情况对施工作业面进行处理，以保证各施工机械有效支撑，确保其施工安全和正常使用。任何对支护的修改必须经设计单位、发包人和监理工程师同意，方可实施，同时承包人必须对周边建筑物、周边道路管线的沉降和位移进行巡查和跟踪，如因承包人的措施无法满足施工安全、正常施工的要求，有关的责任、损失、补救费用全部由承包人自行承担。</w:t>
      </w:r>
    </w:p>
    <w:p w14:paraId="2F679E4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5.7.12根据广东省、韶关市、南雄市建设主管部门的相关文件规定，承包人须在工程施工现场安装使用视频监控系统、工人实名制系统并接入至南雄市住建主管部门建筑工地视频监控专网及发包人视频监控系统。</w:t>
      </w:r>
    </w:p>
    <w:p w14:paraId="6F1FC301">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以上措施项目有关费用已含在合同价中，结算不作调整。</w:t>
      </w:r>
    </w:p>
    <w:p w14:paraId="1939669D">
      <w:pPr>
        <w:adjustRightInd w:val="0"/>
        <w:snapToGrid w:val="0"/>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5.8 解除合同后续工程的补充约定</w:t>
      </w:r>
    </w:p>
    <w:p w14:paraId="4927225C">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5.8.1发包人向承包人发出解除或部分解除合同通知到达后，本合同即解除或部分解除，承包人必须在3日内停止施工，5日内将现场施工材料设备、工程用机具设备和人员等撤出施工场地，完成现场和有关资料的移交，并于完成交接工作当日内离场。承包人应保护好已完工程、已购设备材料，保证所移交的资料齐全完整。承包人无特殊原因未在规定期限内移交、离场或移交完整资料，发包人有权处理其留在现场的材料、设备和其他物件，处理费用由承包人承担。</w:t>
      </w:r>
    </w:p>
    <w:p w14:paraId="001FD7EE">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对于部分解除合同的情形，承包人拒不履行配合，发包人有权全部解除合同，如果引致发包人工期延误和其他方面的损失，发包人将要求承包人赔偿有关损失。发包人在发出解除合同的通知后，发包人即可清理现场、委托重新招标或委托新的承包人承接该工程。同时，承包人不得影响或阻碍新的承包人办理进场手续和相关工作。</w:t>
      </w:r>
    </w:p>
    <w:p w14:paraId="44A6A0B9">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5.8.2由于承包人原因导致的合同解除或部分合同解除，承包人已经订货的材料、设备，以及已进场尚未安装的材料设备均由承包人负责退货或解除订货合同，不能退还的货款、定金、订金，因退货和解除订货合同发生的费用以及因无法退货造成的损失均由承包人承担，发包人不予补偿。</w:t>
      </w:r>
    </w:p>
    <w:p w14:paraId="53AC4137">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rPr>
        <w:t>承包人没有正当合理的理由中途退场，除扣除合同价款20％作为履约违约金外，承包人还须承当因其无故中途退场所造成的全部损失责任。</w:t>
      </w:r>
    </w:p>
    <w:p w14:paraId="376BF3D8">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5.8.3非承包人原因导致的合同解除或部分合同解除，承包人已经签订订货合同，但尚未进场的材料、设备；或虽已进场但发包人或监理工程师验货不合格的，解除订货合同或退货发生的费用以及因无法退货造成的损失均由承包人承担，发包人不予补偿。</w:t>
      </w:r>
    </w:p>
    <w:p w14:paraId="5A974252">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经发包人或监理工程验货、签收，且已进场的材料设备但尚未安装的材料设备，费用由发包人承担。数量按发包人、监理工程师审核确认的数量；原投标设备材料表中已列明单价，单价按投标报价计算，原投标设备材料表中未列明单价的，按预算审定价中的材料设备价*（1－下浮率）计算。</w:t>
      </w:r>
    </w:p>
    <w:p w14:paraId="4CC66889">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5.8.4承包人的已完工程结算时间由发包人确定。按本合同结算条款约定办理结算，同时必须按合同约定扣除违约金、赔偿金。</w:t>
      </w:r>
    </w:p>
    <w:p w14:paraId="54132F86">
      <w:pPr>
        <w:spacing w:line="360" w:lineRule="auto"/>
        <w:ind w:left="-2" w:leftChars="-1" w:firstLine="424" w:firstLineChars="17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5.8.5因承包人原因导致解除合同，发包人所遭受的一切损失，由承包人承担全部赔偿责任。</w:t>
      </w:r>
    </w:p>
    <w:p w14:paraId="6867EE40">
      <w:pPr>
        <w:adjustRightInd w:val="0"/>
        <w:snapToGrid w:val="0"/>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5.9承包人违约责任追究补充细则</w:t>
      </w:r>
    </w:p>
    <w:p w14:paraId="22E0DC8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5.9.1工程质量达不到合同约定的质量标准承包人违约责任：如未达到合格标准，除则按合同价款的</w:t>
      </w:r>
      <w:r>
        <w:rPr>
          <w:rFonts w:hint="eastAsia" w:asciiTheme="minorEastAsia" w:hAnsiTheme="minorEastAsia" w:eastAsiaTheme="minorEastAsia" w:cstheme="minorEastAsia"/>
          <w:color w:val="auto"/>
          <w:szCs w:val="24"/>
          <w:highlight w:val="none"/>
          <w:u w:val="single"/>
        </w:rPr>
        <w:t xml:space="preserve"> 1 </w:t>
      </w:r>
      <w:r>
        <w:rPr>
          <w:rFonts w:hint="eastAsia" w:asciiTheme="minorEastAsia" w:hAnsiTheme="minorEastAsia" w:eastAsiaTheme="minorEastAsia" w:cstheme="minorEastAsia"/>
          <w:color w:val="auto"/>
          <w:szCs w:val="24"/>
          <w:highlight w:val="none"/>
        </w:rPr>
        <w:t>%向发包人返纳质量违约金外，发包人有权利选择以下方式返工或修复，承包人不得异议：</w:t>
      </w:r>
    </w:p>
    <w:p w14:paraId="10001D3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（1）发包人要求承包人在监理工程师和发包人要求的合理时间内，完成质量不合格工程的返工或修复工作，直至合同约定的质量标准，由此造成的工期延误和所有费用，全部由承包人承担；</w:t>
      </w:r>
    </w:p>
    <w:p w14:paraId="754ABB2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（2）发包人直接委托其它承包人完成质量不合格部分工程的返工或修复工作，由此造成的工期延误和所有费用，全部由承包人承担。</w:t>
      </w:r>
    </w:p>
    <w:p w14:paraId="52325D7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（3）无论采取以上何种方式返工或修复，发包人均有权提请建设行政主管部门对其作不良行为记录，有权给予承包人履约评价为不合格，同时发包人有权拒绝承包人3年内参加发包人其它工程的投标。</w:t>
      </w:r>
    </w:p>
    <w:p w14:paraId="4634E8E1">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5.9.2承包人违反本合同的约定，应当按约定向发包人承担相应的违约责任。本合同违约责任形式按以下情况分类：</w:t>
      </w:r>
    </w:p>
    <w:p w14:paraId="67E2AEE4">
      <w:pPr>
        <w:adjustRightInd w:val="0"/>
        <w:snapToGrid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（1） 限期改正。承包人未履行或未按时履行或未按质履行义务时，发包人有权提出书面警告，承包人必须在发包人限定的时间内履行义务。每一次书面警告扣除违约金人民币壹仟元（￥1000）。</w:t>
      </w:r>
    </w:p>
    <w:p w14:paraId="26BD3F6B">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（2）一般违约责任。承包人按本合同约定应当承担一般违约责任时，在发包人提出书面警告或通知后扣除违约金人民币伍仟元（￥5000）/次。合同另有约定的除外。</w:t>
      </w:r>
    </w:p>
    <w:p w14:paraId="0F42D537">
      <w:pPr>
        <w:adjustRightInd w:val="0"/>
        <w:snapToGrid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（3）严重违约责任。承包人按本合同约定应当承担严重违约责任时，在发包人提出书面警告或通知后扣除违约金伍万元（￥50000）/次。合同另有约定的除外。</w:t>
      </w:r>
    </w:p>
    <w:p w14:paraId="2DBFF275">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（4）部分解除合同。三次受到发包人书面警告，发包人有权直接解除合同或部分解除合同，按承包人违约解除合同的条款执行。</w:t>
      </w:r>
    </w:p>
    <w:p w14:paraId="07636EB1">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5.9.3三次限期改正责任相当于一次一般违约责任，三次一般违约责任相当于一次严重违约责任；累计三次严重违约责任，发包人有权单方部分解除合同；累计五次严重违约责任，发包人有权全部解除合同。合同另有约定的除外。</w:t>
      </w:r>
    </w:p>
    <w:p w14:paraId="62628184">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5.9.4承包人未按合同要求建立组织架构、派驻项目管理人员和投入设备，承包人必须按发包人要求限期整改，并承担相应违约责任。具体约定为：</w:t>
      </w:r>
    </w:p>
    <w:p w14:paraId="70F636B7">
      <w:pPr>
        <w:adjustRightInd w:val="0"/>
        <w:snapToGrid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1）在中标通知书发出后3日内，承包人承诺的项目技术负责人（总工）不到位，或到位后又离开，造成该岗位空缺。发包人一旦发现，将要求承包人做出书面解释并保证限期到位，同时将承担一般违约责任1次；若承包人拒不配合，未在发包人提出限期改正的期限内进行整改的，应承担严重违约责任1次，发包人有权单方提出解除合同，并要求承包人承担由此造成的一切损失。</w:t>
      </w:r>
    </w:p>
    <w:p w14:paraId="6CA84E81">
      <w:pPr>
        <w:adjustRightInd w:val="0"/>
        <w:snapToGrid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2）在规定的时间内施工人员和设备进场后3日内，承包人在投标文件中承诺的其他主要管理人员未能足额到位，或到位后又离开，造成该岗位空缺，以及未按承诺依时、足额投入有关设备，发包人一旦发现将要求承包人做出书面解释并保证人员、设备限期到位。上述情况每发生1次，承包人应承担限期改正责任1次。如果承包人拒不配合，未在发包人提出限期改正的期限内进行整改的，承包人应承担一般违约责任1次，连续二次书面通知整改拒不配合的，承包人应承担严重违约责任1次。</w:t>
      </w:r>
    </w:p>
    <w:p w14:paraId="07DF6BF6">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5.9.5承包人如需要调换除项目经理外的其他主要管理人员，必须事先征得发包人书面同意。如承包人未经发包人书面同意，擅自调换项目主要管理人员，除必须限期改正外，承包人必须承担严重违约责任，发包人有权暂停支付工程款，并保留索赔的权利。</w:t>
      </w:r>
    </w:p>
    <w:p w14:paraId="70A95FCA">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5.9.6除项目经理外的其他主要管理人员需离开施工现场3日以上（含3日）需报发包人批准。在其请假离开的时间段内应书面委托其他驻场管理人员全权代表其行使相应职权。否则，每违约一次，承包人应当承担限期整改责任1次。在国家法定节假日期间，承包人应做好管理人员的轮休，并保证现场管理人员不少于3名。在工程实施期间，承包人应对现场主要管理人员进行考勤，并在每月1日前将前一月考勤表报送甲方审核。现场主要管理人员出勤天数均不得少于22天，若少于22天将按每缺勤一天扣减工程费用叁仟元（￥3000）/每人次处理。</w:t>
      </w:r>
    </w:p>
    <w:p w14:paraId="0ABAA570">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5.9.7承包人项目经理和主要管理人员的考勤实行实名制打卡，承包人项目经理和主要管理人员的考勤若发现有弄虚作假行为，发现一次，承包人应承担一般违约责任1次。</w:t>
      </w:r>
    </w:p>
    <w:p w14:paraId="6266F5EC">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5.9.8对于难以胜任工作的承包人管理人员和主要操作技术人员，发包人有权要求承包人进行更换，直至发包人满意为止，且更换人员应在接到书面通知后的3天内到位。</w:t>
      </w:r>
    </w:p>
    <w:p w14:paraId="2E752265">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5.9.9承包人未按招标文件及合同要求按期提交发包人工程指挥部所需要的各项设施，应承担限期整改责任1次，若限期整改仍不提交，应承担一般违约责任1次，发包人有权自行安排临时设施的建设，所有费用由承包人工程费用中扣减。</w:t>
      </w:r>
    </w:p>
    <w:p w14:paraId="73C4DA55">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5.9.10承包人未按合同及投标书所作的承诺投入机械、设备、材料等，被监理工程师或发包人发现后，承包人除必须限期改正外，应承担限期改正责任1次。</w:t>
      </w:r>
    </w:p>
    <w:p w14:paraId="4CEFE0EB">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5.9.11工程承包人每次的进场材料，若出现不合格材料使用于工程上并造成质量缺陷，承包人必须承担一般违约责任1次。若出现质量事故或经济损失一次人民币壹拾万元（￥100,000）以上的，必须承担严重违约责任1次。造成重大质量安全事故（按国家安监部门规定界定），发包人视情况部分或全部解除合同。同时，发包人有权追究当事人和承包人的法律责任。</w:t>
      </w:r>
    </w:p>
    <w:p w14:paraId="377325AE">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5.9.12承包人的工程质量，经监理工程师、发包人或工程质量监督机构抽查，发现质量有不合格、或未按设计要求和有关规范进行施工的，每发现一处承包人应承担一般违约责任1次；出现大面积质量不合格（占比达30％及以上），每发现一处承包人应承担严重违约责任1次，发包人将情况通报纪检监察和建设行政主管部门，必要时申请调查责任相关人员，且承包人应赔偿发包人的经济损失。</w:t>
      </w:r>
    </w:p>
    <w:p w14:paraId="31ED0165">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5.9.13承包人没有按投标承诺和有关规定做好文明施工措施及安全生产，当发生包括但不限于以下情况：工人不统一着装、施工临时材料如脚手架、泥网等过于陈旧、现场垃圾未安排专人清理、现场排水不畅污水横流、交通组织不力现场交通严重拥挤、材料设备堆放混乱、安全防护不符合要求、既有管线被破坏、野蛮施工造成周边环境破坏及警示安全标志不齐等，被监理工程师、发包人发现后，承包人除必须限期改正外， 每发生一次（或一处），承包人必须承担限期改正责任1次。由此而被上级主管部门通报批评、被新闻媒体曝光的，承包人应承担一般违约责任1次；若由此发生安全生产事故，承包人应承担严重违约责任1次；造成严重安全事故等情节严重的，发包人有权部分或全部解除合同。</w:t>
      </w:r>
    </w:p>
    <w:p w14:paraId="68C2E3B0">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5.9.14因承包人原因造成工程投资增加的，承包人应赔偿发包人由此遭受的实际损失，情况严重时发包人有权单方解除本施工合同。</w:t>
      </w:r>
    </w:p>
    <w:p w14:paraId="1590743A">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若因承包人未按设计规定和施工技术规程要求认真做好施工现场的临时降水、排水（尤其是雨季施工期间）工作导致需要进行地基处理、边坡加固等情况时，每发生一处承包人应负严重违约责任1次，由此造成的工程投资增加由承包人承担。</w:t>
      </w:r>
    </w:p>
    <w:p w14:paraId="475B1687">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（2）若承包人未严格按施工进度计划要求组织施工造成工期拖延，导致一些工程项目被迫进入雨季施工而引起投资增加的，承包人应承担严重违约责任1次，由此造成的投资增加由承包人负责。</w:t>
      </w:r>
    </w:p>
    <w:p w14:paraId="398EC30F">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（3）承包人未经监理工程师、发包人同意擅自改变施工技术方案和工艺，造成投资增加的，应承担严重违约责任1次，由此造成的投资增加由承包人负责。</w:t>
      </w:r>
    </w:p>
    <w:p w14:paraId="283EA991">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承包人未拟定临时设施方案并经监理工程师、发包人审批同意擅自实施临时设施建设，若此临时设施建设经核实无法达到合同规定的要求，承包人应承担限期整改责任1次，若承包人拒绝限期整改应当承担一般违约责任1次，同时发包人有权按实际发生重新核定安全文明施工措施费。</w:t>
      </w:r>
    </w:p>
    <w:p w14:paraId="274AA020">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（5）承包人提供虚假情况或制造现场假象造成设计变更及投资增加时，经监理公司、发包人发现，承包人应承担严重违约责任1次，造成的投资增加由承包人承担。 </w:t>
      </w:r>
    </w:p>
    <w:p w14:paraId="07B5B62D">
      <w:pPr>
        <w:adjustRightInd w:val="0"/>
        <w:snapToGrid w:val="0"/>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5.10、</w:t>
      </w:r>
      <w:r>
        <w:rPr>
          <w:rFonts w:hint="eastAsia" w:asciiTheme="minorEastAsia" w:hAnsiTheme="minorEastAsia" w:eastAsiaTheme="minorEastAsia" w:cstheme="minorEastAsia"/>
          <w:color w:val="auto"/>
          <w:szCs w:val="24"/>
          <w:highlight w:val="none"/>
        </w:rPr>
        <w:t>发包人将根据承包人的投标文件，严格考核施工项目管理人员的日常到位情况，并定期按照发包人的合同履约评价管理办法、质量安全评估管理办法对承包人的合同履行情况进行评价和评估，评价和评估内容包含人员到位情况、服务配合程度、工程质量、安全、项目后期服务及信用评价结果、评估结果的运用等。履约评价为不合格的，发包人有权拒绝承包人3年内参加发包人任何其它工程的投标，有权报请建设行政主管部门对其作不良行为记录。</w:t>
      </w:r>
    </w:p>
    <w:p w14:paraId="1E122EF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 xml:space="preserve"> 5.11 承包人提供竣工资料的约定：</w:t>
      </w:r>
    </w:p>
    <w:p w14:paraId="700D6D5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工程具备竣工验收条件后14天内，承包人按国家建设部、广东省及南雄市的有关规定和发包人的要求编制工程竣工资料（包括施工原始记录、照片等资料），向工程师提供完整竣工验收资料8套、竣工验收报告和相应的声像、电子文件，并由承包人及时向主管部门和监督部门备案。工程师收到竣工验收资料后，应在10天内审核，若不符合要求，工程师可提出整改意见。承包人按要求整改合格后报工程师，工程师在整改验收合格后10天内应组织有关单位进行初步验收，并在10天内对工程质量予以认可或提出再次整改意见。承包人按要求再次整改，并承担由其自身原因造成的整改费用。编制竣工图、竣工资料的费用已含在合同价中。</w:t>
      </w:r>
    </w:p>
    <w:p w14:paraId="132049E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竣工验收资料包括全部工程（包括项目单位发包项目及其他分包工程）的竣工图纸和竣工资料，以及经确认的深化设计图纸和技术资料。各类分包工程的竣工资料均由承包人负责编制、指导、审阅、汇总、整理、归档，费用由本合同承包人自行承担。    </w:t>
      </w:r>
    </w:p>
    <w:p w14:paraId="42D36ACF">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5.12工程移交及档案管理</w:t>
      </w:r>
    </w:p>
    <w:p w14:paraId="0F3C57F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5.12.1工程完工后，承包人必须及时按城建相关档案管理规定整理及移交竣工档案，承包人办理工程结算需提交相关工程档案移交签字单，否则结算不予办理。</w:t>
      </w:r>
    </w:p>
    <w:p w14:paraId="0797B9F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5.12.2工程竣工验收合格后承包人必须将成品移交给发包人指定的接管单位。在移交工作完成前，现场所有安全及成品保护责任和费用由承包人承担。</w:t>
      </w:r>
    </w:p>
    <w:p w14:paraId="1A87B62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5.12.3在向发包人指定的接管单位移交钥匙的同时提供下列清单：</w:t>
      </w:r>
    </w:p>
    <w:p w14:paraId="022B39D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①办理钥匙移交清单（如有）；</w:t>
      </w:r>
    </w:p>
    <w:p w14:paraId="06DD834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②双方抄好水表电表底数；</w:t>
      </w:r>
    </w:p>
    <w:p w14:paraId="423FDB8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③列出详细的设备、物件移交清单，标明名称、数量、外观、状态等基本资料</w:t>
      </w:r>
    </w:p>
    <w:p w14:paraId="611CAF5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5.12.4按国家、省市和建设主管部门的相关规定应当移交的其他资料。</w:t>
      </w:r>
    </w:p>
    <w:p w14:paraId="3B36859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5.13在质量缺陷保修期内，承包人必须在接到保修通知之日起7天内无条件派人先行保修，发生涉及结构安全、严重影响使用功能的质量缺陷或给排水、供电、燃气、通信及路灯等特殊工程的紧急抢修事故的，承包人接到保修通知后，必须立即到达现场实施保修。质量保修完成后，由发包人组织承包人和监理人，配合项目使用（管养）单位验收。涉及结构安全的，发包人将报当地相关行政主管部门备案，同时承包人应将其产生的原因、补救措施、完成保修情况以书面形式提交发包人。</w:t>
      </w:r>
    </w:p>
    <w:p w14:paraId="76C9730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5.14在工程质量缺陷保修期内，承包人的违约责任。</w:t>
      </w:r>
    </w:p>
    <w:p w14:paraId="2827B91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5.14.1在保修期内发生质量缺陷或紧急抢修事故的时，如发包人无法联系到承包人，或联系到承包人但承包人不能及时履行保修义务时，无论缺陷责任是否属于承包人，承包人必须承担由此产生的一切保修费用、相关损失及违约责任。</w:t>
      </w:r>
    </w:p>
    <w:p w14:paraId="25871CB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5.14.2若承包人未及时到达现场实施保修，发包人有权直接委托其他单位或管养单位代承包人组织实施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314219E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5.14.3若承包人及时到达现场，但认为自行无法按时完成保修义务，可与发包人协商，直接委托管养单位或发包人确认的其他单位实施保修。若承包人未及时与发包人完成协商事宜，又未能在规定时限内完成保修的，发包人有权通知管养单位或其他单位进行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3D2308D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5.14.4若承包人及时到达现场，并与发包人完成协商，同意直接委托管养单位或发包人确认的其他单位实施保修。承包人在收到支付工程保修费用的通知7天内，应将保修费用支付给代其实施保修的单位。如在规定时间内未支付有关费用的，发包人可直接从工程质量缺陷保修金中扣除该保修费用，并支付给保修单位，并处承包人保修费用30%的违约金，如缺陷质量保修金余额不足，发包人将向承包人索赔。发包人还将承包人不履行保修义务的不良行为报送相关行政主管部门。</w:t>
      </w:r>
    </w:p>
    <w:p w14:paraId="59C363C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5.14.5若承包人按照发包人的要求及时履行了保修义务，并能提供证据说明质量缺陷非承包人的责任，保修费用及相关损失由缺陷责任方承担。</w:t>
      </w:r>
    </w:p>
    <w:p w14:paraId="62CF27DC">
      <w:pPr>
        <w:pStyle w:val="55"/>
        <w:adjustRightInd w:val="0"/>
        <w:snapToGrid w:val="0"/>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5.14.6对于涉及结构安全的工程质量问题，无论何时，在所有人、使用人或者第三方向当地建设行政主管部门报告并通知承包人后，承包人应立即采取安全防范措施，同时发包人将委托原设计单位或者具有相应资质等级的设计单位提出保修方案后，承包人应立即实施保修。承包人立即实施了有效的防范措施和保修的，保修费用、人身和财产损害赔偿，由经过法定程序确认的缺陷责任方承担。承包人拖延安全防范措施或者拖延保修，所造成的一切人身、财产损害责任和赔偿均由承包人承担，同时发包人将提请相关行政主管部门按相关法律、法规对承包人予以处罚。</w:t>
      </w:r>
    </w:p>
    <w:p w14:paraId="619BC1E9">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5.15发包人有权根据有关管理制度对承包人的履约情况纳入履约信用评价和</w:t>
      </w:r>
      <w:r>
        <w:rPr>
          <w:rFonts w:hint="eastAsia" w:asciiTheme="minorEastAsia" w:hAnsiTheme="minorEastAsia" w:eastAsiaTheme="minorEastAsia" w:cstheme="minorEastAsia"/>
          <w:b/>
          <w:color w:val="auto"/>
          <w:szCs w:val="24"/>
          <w:highlight w:val="none"/>
        </w:rPr>
        <w:t>第三方质量安全评估</w:t>
      </w:r>
      <w:r>
        <w:rPr>
          <w:rFonts w:hint="eastAsia" w:asciiTheme="minorEastAsia" w:hAnsiTheme="minorEastAsia" w:eastAsiaTheme="minorEastAsia" w:cstheme="minorEastAsia"/>
          <w:b/>
          <w:bCs/>
          <w:color w:val="auto"/>
          <w:szCs w:val="24"/>
          <w:highlight w:val="none"/>
        </w:rPr>
        <w:t>体系进行履约信用评价和</w:t>
      </w:r>
      <w:r>
        <w:rPr>
          <w:rFonts w:hint="eastAsia" w:asciiTheme="minorEastAsia" w:hAnsiTheme="minorEastAsia" w:eastAsiaTheme="minorEastAsia" w:cstheme="minorEastAsia"/>
          <w:b/>
          <w:color w:val="auto"/>
          <w:szCs w:val="24"/>
          <w:highlight w:val="none"/>
        </w:rPr>
        <w:t>质量安全</w:t>
      </w:r>
      <w:r>
        <w:rPr>
          <w:rFonts w:hint="eastAsia" w:asciiTheme="minorEastAsia" w:hAnsiTheme="minorEastAsia" w:eastAsiaTheme="minorEastAsia" w:cstheme="minorEastAsia"/>
          <w:b/>
          <w:bCs/>
          <w:color w:val="auto"/>
          <w:szCs w:val="24"/>
          <w:highlight w:val="none"/>
        </w:rPr>
        <w:t>评估，并将评价结果和评估结果报送给有关监管部门。</w:t>
      </w:r>
    </w:p>
    <w:p w14:paraId="13337630">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履约信用评价</w:t>
      </w:r>
      <w:r>
        <w:rPr>
          <w:rFonts w:hint="eastAsia" w:asciiTheme="minorEastAsia" w:hAnsiTheme="minorEastAsia" w:eastAsiaTheme="minorEastAsia" w:cstheme="minorEastAsia"/>
          <w:bCs/>
          <w:color w:val="auto"/>
          <w:szCs w:val="24"/>
          <w:highlight w:val="none"/>
        </w:rPr>
        <w:t>和</w:t>
      </w:r>
      <w:r>
        <w:rPr>
          <w:rFonts w:hint="eastAsia" w:asciiTheme="minorEastAsia" w:hAnsiTheme="minorEastAsia" w:eastAsiaTheme="minorEastAsia" w:cstheme="minorEastAsia"/>
          <w:color w:val="auto"/>
          <w:szCs w:val="24"/>
          <w:highlight w:val="none"/>
        </w:rPr>
        <w:t>第三方质量安全评估按发包人履约信用评价</w:t>
      </w:r>
      <w:r>
        <w:rPr>
          <w:rFonts w:hint="eastAsia" w:asciiTheme="minorEastAsia" w:hAnsiTheme="minorEastAsia" w:eastAsiaTheme="minorEastAsia" w:cstheme="minorEastAsia"/>
          <w:bCs/>
          <w:color w:val="auto"/>
          <w:szCs w:val="24"/>
          <w:highlight w:val="none"/>
        </w:rPr>
        <w:t>、</w:t>
      </w:r>
      <w:r>
        <w:rPr>
          <w:rFonts w:hint="eastAsia" w:asciiTheme="minorEastAsia" w:hAnsiTheme="minorEastAsia" w:eastAsiaTheme="minorEastAsia" w:cstheme="minorEastAsia"/>
          <w:color w:val="auto"/>
          <w:szCs w:val="24"/>
          <w:highlight w:val="none"/>
        </w:rPr>
        <w:t>质量安全</w:t>
      </w:r>
      <w:r>
        <w:rPr>
          <w:rFonts w:hint="eastAsia" w:asciiTheme="minorEastAsia" w:hAnsiTheme="minorEastAsia" w:eastAsiaTheme="minorEastAsia" w:cstheme="minorEastAsia"/>
          <w:bCs/>
          <w:color w:val="auto"/>
          <w:szCs w:val="24"/>
          <w:highlight w:val="none"/>
        </w:rPr>
        <w:t>评估</w:t>
      </w:r>
      <w:r>
        <w:rPr>
          <w:rFonts w:hint="eastAsia" w:asciiTheme="minorEastAsia" w:hAnsiTheme="minorEastAsia" w:eastAsiaTheme="minorEastAsia" w:cstheme="minorEastAsia"/>
          <w:color w:val="auto"/>
          <w:szCs w:val="24"/>
          <w:highlight w:val="none"/>
        </w:rPr>
        <w:t>管理规定执行，评价内容包含人员到位情况、服务配合程度、工程质量、安全、项目后期服务及信用评价结果、评估结果的运用等。</w:t>
      </w:r>
    </w:p>
    <w:p w14:paraId="6EA2CC4B">
      <w:pPr>
        <w:tabs>
          <w:tab w:val="left" w:pos="1260"/>
        </w:tabs>
        <w:snapToGrid w:val="0"/>
        <w:spacing w:line="360" w:lineRule="auto"/>
        <w:ind w:firstLine="442" w:firstLineChars="200"/>
        <w:rPr>
          <w:rFonts w:hint="eastAsia" w:asciiTheme="minorEastAsia" w:hAnsiTheme="minorEastAsia" w:eastAsiaTheme="minorEastAsia" w:cstheme="minorEastAsia"/>
          <w:b/>
          <w:bCs/>
          <w:color w:val="auto"/>
          <w:spacing w:val="-10"/>
          <w:szCs w:val="24"/>
          <w:highlight w:val="none"/>
        </w:rPr>
      </w:pPr>
      <w:r>
        <w:rPr>
          <w:rFonts w:hint="eastAsia" w:asciiTheme="minorEastAsia" w:hAnsiTheme="minorEastAsia" w:eastAsiaTheme="minorEastAsia" w:cstheme="minorEastAsia"/>
          <w:b/>
          <w:bCs/>
          <w:color w:val="auto"/>
          <w:spacing w:val="-10"/>
          <w:szCs w:val="24"/>
          <w:highlight w:val="none"/>
        </w:rPr>
        <w:t>6.设计部分：</w:t>
      </w:r>
    </w:p>
    <w:p w14:paraId="7F0A5DBC">
      <w:pPr>
        <w:tabs>
          <w:tab w:val="left" w:pos="1260"/>
        </w:tabs>
        <w:snapToGrid w:val="0"/>
        <w:spacing w:line="360" w:lineRule="auto"/>
        <w:ind w:firstLine="440" w:firstLineChars="200"/>
        <w:rPr>
          <w:rFonts w:hint="eastAsia" w:asciiTheme="minorEastAsia" w:hAnsiTheme="minorEastAsia" w:eastAsiaTheme="minorEastAsia" w:cstheme="minorEastAsia"/>
          <w:color w:val="auto"/>
          <w:spacing w:val="-10"/>
          <w:szCs w:val="24"/>
          <w:highlight w:val="none"/>
        </w:rPr>
      </w:pPr>
      <w:r>
        <w:rPr>
          <w:rFonts w:hint="eastAsia" w:asciiTheme="minorEastAsia" w:hAnsiTheme="minorEastAsia" w:eastAsiaTheme="minorEastAsia" w:cstheme="minorEastAsia"/>
          <w:color w:val="auto"/>
          <w:spacing w:val="-10"/>
          <w:szCs w:val="24"/>
          <w:highlight w:val="none"/>
        </w:rPr>
        <w:t>6.1 本合同设计总价包括所有设计事务工作收费、技术工作收费、税金和完成合同约定的所有与工程设计有关的全部费用。</w:t>
      </w:r>
    </w:p>
    <w:p w14:paraId="79ADA182">
      <w:pPr>
        <w:tabs>
          <w:tab w:val="left" w:pos="1260"/>
        </w:tabs>
        <w:snapToGrid w:val="0"/>
        <w:spacing w:line="360" w:lineRule="auto"/>
        <w:ind w:firstLine="44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pacing w:val="-10"/>
          <w:szCs w:val="24"/>
          <w:highlight w:val="none"/>
        </w:rPr>
        <w:t>6.2 承包人必须严格按有关设计规范设</w:t>
      </w:r>
      <w:r>
        <w:rPr>
          <w:rFonts w:hint="eastAsia" w:asciiTheme="minorEastAsia" w:hAnsiTheme="minorEastAsia" w:eastAsiaTheme="minorEastAsia" w:cstheme="minorEastAsia"/>
          <w:color w:val="auto"/>
          <w:szCs w:val="24"/>
          <w:highlight w:val="none"/>
        </w:rPr>
        <w:t>计图纸，承包人必须秉承合理、经济、环保、适用等原则进行施工图设计，发包人有权委托第三方对承包人每阶段的设计成果（含节能、结构计算模型等）进行精细化审图、各专业优化工作，承包人需无条件根据经发包人确认的精细化审图、结构优化报告进行设计文件修改，费用不另计。</w:t>
      </w:r>
    </w:p>
    <w:p w14:paraId="28097565">
      <w:pPr>
        <w:tabs>
          <w:tab w:val="left" w:pos="1260"/>
        </w:tabs>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 xml:space="preserve">6.3 </w:t>
      </w:r>
      <w:r>
        <w:rPr>
          <w:rFonts w:hint="eastAsia" w:asciiTheme="minorEastAsia" w:hAnsiTheme="minorEastAsia" w:eastAsiaTheme="minorEastAsia" w:cstheme="minorEastAsia"/>
          <w:color w:val="auto"/>
          <w:szCs w:val="24"/>
          <w:highlight w:val="none"/>
        </w:rPr>
        <w:t>承包人未经发包人同意擅自对工程设计进行分包的，发包人有权收回未经发包人同意的设计分包内容，已支付该部分分包内容设计费用的在下次支付设计费时扣除，未支付的将不予支付该部分分包内容设计费 。如需其他专业分包，需提前向发包人报备，并提供相应专业资质文件，发包人同意后方可进行分包。</w:t>
      </w:r>
    </w:p>
    <w:p w14:paraId="5239C024">
      <w:pPr>
        <w:tabs>
          <w:tab w:val="left" w:pos="1260"/>
        </w:tabs>
        <w:snapToGrid w:val="0"/>
        <w:spacing w:line="360" w:lineRule="auto"/>
        <w:ind w:firstLine="480" w:firstLineChars="200"/>
        <w:rPr>
          <w:rFonts w:hint="eastAsia" w:asciiTheme="minorEastAsia" w:hAnsiTheme="minorEastAsia" w:eastAsiaTheme="minorEastAsia" w:cstheme="minorEastAsia"/>
          <w:color w:val="auto"/>
          <w:szCs w:val="24"/>
          <w:highlight w:val="none"/>
        </w:rPr>
      </w:pPr>
      <w:bookmarkStart w:id="355" w:name="_Toc390613831"/>
      <w:r>
        <w:rPr>
          <w:rFonts w:hint="eastAsia" w:asciiTheme="minorEastAsia" w:hAnsiTheme="minorEastAsia" w:eastAsiaTheme="minorEastAsia" w:cstheme="minorEastAsia"/>
          <w:color w:val="auto"/>
          <w:szCs w:val="24"/>
          <w:highlight w:val="none"/>
        </w:rPr>
        <w:t>6.4.知识产权和专利权</w:t>
      </w:r>
      <w:bookmarkEnd w:id="355"/>
    </w:p>
    <w:p w14:paraId="082AB312">
      <w:pPr>
        <w:tabs>
          <w:tab w:val="left" w:pos="1260"/>
        </w:tabs>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6.4.1承包人保证投标文件及资料均未侵犯他人的知识产权，否则必须承担全部责任。若承包人使用了他人的专利、专有技术，涉及的费用由承包人负责。合同价包括所有应支付的对专利权和版权、设计和其他知识产权而需要向其他方支付的版税。</w:t>
      </w:r>
    </w:p>
    <w:p w14:paraId="7AF9765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6.4.2承包人应保护发包人的知识产权，不得向第三人泄露、转让发包人提交的产品图纸等技术经济资料。未经发包人同意，承包人不得将设计成果转让给第三方。如发生以上情况并给发包人造成经济损失，发包人有权向承包人索赔。</w:t>
      </w:r>
    </w:p>
    <w:p w14:paraId="27A39A72">
      <w:pPr>
        <w:spacing w:beforeLines="50" w:line="360" w:lineRule="auto"/>
        <w:ind w:firstLine="472" w:firstLineChars="19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6.4.3承包人应保证发包人在本项目建设过程中使用其设计文件和设计文件的任何一部分时，发包人免受第三方提出侵犯其专利权、商标权或其他知识产权的起诉。</w:t>
      </w:r>
    </w:p>
    <w:p w14:paraId="7646EA2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承包人保证发包人使用承包人设计成果将不会对任何第三方构成侵权，如因此引起任何第三方向发包人提出侵权之诉讼或索赔，均由承包人承担处理、应诉和赔偿责任。</w:t>
      </w:r>
    </w:p>
    <w:p w14:paraId="169961C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6.4.4承包人提交给发包人的设计文件，其著作权、版权、专利权和使用权归发包人所有（署名权除外）。   </w:t>
      </w:r>
    </w:p>
    <w:p w14:paraId="230ACE2B">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6.5.</w:t>
      </w:r>
      <w:r>
        <w:rPr>
          <w:rFonts w:hint="eastAsia" w:asciiTheme="minorEastAsia" w:hAnsiTheme="minorEastAsia" w:eastAsiaTheme="minorEastAsia" w:cstheme="minorEastAsia"/>
          <w:color w:val="auto"/>
          <w:szCs w:val="24"/>
          <w:highlight w:val="none"/>
        </w:rPr>
        <w:t xml:space="preserve"> 承包人在合同有效期内，应当履行合同约定的义务，如因承包人的原因产生设计质量事故、工期延误或设计缺陷，造成损失的应承担赔偿责任。</w:t>
      </w:r>
    </w:p>
    <w:p w14:paraId="6C7B466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（1）因设计错误而造成一般质量事故的，承包人除应免收受损失部分的设计费外，还应无偿修改和完善设计，并承担给发包人造成的直接损失。</w:t>
      </w:r>
    </w:p>
    <w:p w14:paraId="132FC15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（2）因设计错误而造成重大质量事故的，承包人承担给发包人造成的直接损失，发包人有权解除设计合同，并报请有关主管部门视事故造成的损失情况给予其他处罚。</w:t>
      </w:r>
    </w:p>
    <w:p w14:paraId="08F0760F">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6.6.</w:t>
      </w:r>
      <w:r>
        <w:rPr>
          <w:rFonts w:hint="eastAsia" w:asciiTheme="minorEastAsia" w:hAnsiTheme="minorEastAsia" w:eastAsiaTheme="minorEastAsia" w:cstheme="minorEastAsia"/>
          <w:color w:val="auto"/>
          <w:szCs w:val="24"/>
          <w:highlight w:val="none"/>
        </w:rPr>
        <w:t xml:space="preserve"> 若因承包人原因导致提交的设计成果文件无法通过发包人组织的设计审查，发包人有权发出如下任何指令，承包人必须遵照执行。</w:t>
      </w:r>
    </w:p>
    <w:p w14:paraId="5FF4EED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对不合格部分进行重新设计或修改，由此引起的费用增加和工期延误由承包人负全部责任，发包人还可视造成的时间延误和费用损失，承包人按合同价的5%～10%向甲方支付违约金；同时发包人有权解除设计合同。</w:t>
      </w:r>
    </w:p>
    <w:p w14:paraId="5DE95EF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如果重新设计或修改后的设计成果仍不能通过设计审查，或承包人没有能力完成该部分设计，发包人解除该不合格部分的合同，发包人将该不合格部分指定分包给其他设计单位，并扣除设计单位合同总价中此部分的设计费用；</w:t>
      </w:r>
    </w:p>
    <w:p w14:paraId="054A489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（3）承包人须在发包人书面同意后，将该部分内容另行委托给其他具有相应资质等级的单位设计，直至通过设计审查，该部分设计费用已包含在合同价中，不另行计算，造成损失的依法承担赔偿责任。</w:t>
      </w:r>
    </w:p>
    <w:p w14:paraId="5E30E04C">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 xml:space="preserve">6.7. </w:t>
      </w:r>
      <w:r>
        <w:rPr>
          <w:rFonts w:hint="eastAsia" w:asciiTheme="minorEastAsia" w:hAnsiTheme="minorEastAsia" w:eastAsiaTheme="minorEastAsia" w:cstheme="minorEastAsia"/>
          <w:color w:val="auto"/>
          <w:szCs w:val="24"/>
          <w:highlight w:val="none"/>
        </w:rPr>
        <w:t>承包人应赔偿因设计质量或设计图纸不完善带来的设计变更所引发的工程费增加、施工返工费、误工费等，处理原则如下：</w:t>
      </w:r>
    </w:p>
    <w:p w14:paraId="2E5541B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（1）由于设计质量或设计图纸不完善引起的施工返工，承包人应及时处理，并每次扣减设计合同价的2%作为违约金。</w:t>
      </w:r>
    </w:p>
    <w:p w14:paraId="5C92582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由于设计质量或设计图纸不完善引起的施工返工、停工，承包人未能及时处理，每次扣减设计合同价的2%作为违约金，对施工工期造成较大影响，还须按设计合同价的15%赔偿，经监理单位和发包人确认后，承包人在申请当期设计费之前支付给发包人。</w:t>
      </w:r>
    </w:p>
    <w:p w14:paraId="700BDE6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由于设计质量或设计图纸不完善导致的设计变更引起工程造价增加，以至超出审批的概算投资额，如设计变更未对施工工期造成影响，承包人按超额部分的5%赔偿发包人；如设计变更对施工工期造成影响，承包人按超额部分的10%赔偿发包人。承包人还应对设计进行修改或调整，以保证工程总费用控制在总投资计划内或限额设计指标内。</w:t>
      </w:r>
    </w:p>
    <w:p w14:paraId="58EF93D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由于设计质量设计图纸不完善所引起的工程费增加，超出审批的概算投资额，承包人无法调整到限额内，发包人有权不支付设计费，已支付的设计费承包人应返还发包人，发包人有权拒绝承包人参加发包人的任何设计项目的投标，并将承包人的不良行为上报行业主管部门。</w:t>
      </w:r>
    </w:p>
    <w:p w14:paraId="140D7E72">
      <w:pPr>
        <w:pStyle w:val="68"/>
        <w:ind w:firstLine="602" w:firstLineChars="2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6.7.1</w:t>
      </w:r>
      <w:r>
        <w:rPr>
          <w:rFonts w:hint="eastAsia" w:asciiTheme="minorEastAsia" w:hAnsiTheme="minorEastAsia" w:eastAsiaTheme="minorEastAsia" w:cstheme="minorEastAsia"/>
          <w:color w:val="auto"/>
          <w:szCs w:val="24"/>
          <w:highlight w:val="none"/>
        </w:rPr>
        <w:t>工程变更的程序和管理按《关于加强市本级政府投资项目财政投资评审监督管理的实施意见》（雄府办函﹝2023﹞5号）执行，凡不符合该实施意见要求的变更均为无效变更。如因设计人的责任引起变更造成投资规模增加，按如下规定追究设计人的违约责任：</w:t>
      </w:r>
    </w:p>
    <w:p w14:paraId="36AB7623">
      <w:pPr>
        <w:pStyle w:val="68"/>
        <w:ind w:firstLine="600" w:firstLineChars="2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（1）因设计人责任引起变更造成投资规模增加10%以上的，扣减设计人设计合同价20%的违约金；</w:t>
      </w:r>
    </w:p>
    <w:p w14:paraId="1B80E621">
      <w:pPr>
        <w:pStyle w:val="68"/>
        <w:ind w:firstLine="600" w:firstLineChars="2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（2）因设计人责任引起变更造成投资规模增加15%以上的，扣减设计人设计合同价30%的违约金；</w:t>
      </w:r>
    </w:p>
    <w:p w14:paraId="6450AEFB">
      <w:pPr>
        <w:spacing w:line="360" w:lineRule="auto"/>
        <w:ind w:firstLine="480"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color w:val="auto"/>
          <w:szCs w:val="24"/>
          <w:highlight w:val="none"/>
        </w:rPr>
        <w:t>（3）因设计人责任引起变更造成投资规模增加20%以上的，扣减设计人设计合同价40%的违约金。</w:t>
      </w:r>
    </w:p>
    <w:p w14:paraId="52D74DB7">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6.8</w:t>
      </w:r>
      <w:r>
        <w:rPr>
          <w:rFonts w:hint="eastAsia" w:asciiTheme="minorEastAsia" w:hAnsiTheme="minorEastAsia" w:eastAsiaTheme="minorEastAsia" w:cstheme="minorEastAsia"/>
          <w:color w:val="auto"/>
          <w:szCs w:val="24"/>
          <w:highlight w:val="none"/>
        </w:rPr>
        <w:t xml:space="preserve"> 承包人未按照国家及建设部现行的强制性技术标准、规范和规程进行设计，或承包人在设计成果中未经发包人认可擅自指定或变相指定材料或设备生产厂商、供应商的，承包人按合同价的5%～10%向发包人支付违约金。</w:t>
      </w:r>
    </w:p>
    <w:p w14:paraId="58645C64">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6.9</w:t>
      </w:r>
      <w:r>
        <w:rPr>
          <w:rFonts w:hint="eastAsia" w:asciiTheme="minorEastAsia" w:hAnsiTheme="minorEastAsia" w:eastAsiaTheme="minorEastAsia" w:cstheme="minorEastAsia"/>
          <w:color w:val="auto"/>
          <w:szCs w:val="24"/>
          <w:highlight w:val="none"/>
        </w:rPr>
        <w:t xml:space="preserve"> 承包人保证，未经发包人书面同意，不得将本合同项下的任何工作任务委托第三人履行，对于工程设计内容中超出承包人资质条件的分部、分项工程，承包人不得超越自身资质条件进行设计或自行将设计任务转包、分包，否则，发包人可以立即解除本合同，并且不需要向承包人支付任何费用。发包人将有权终止合同，承包人按合同价的5%～10%向发包人支付违约金。</w:t>
      </w:r>
    </w:p>
    <w:p w14:paraId="1D5B2D9E">
      <w:pPr>
        <w:pStyle w:val="8"/>
        <w:snapToGrid w:val="0"/>
        <w:spacing w:line="360" w:lineRule="auto"/>
        <w:ind w:left="63" w:right="63" w:firstLine="482" w:firstLineChars="200"/>
        <w:jc w:val="left"/>
        <w:rPr>
          <w:rFonts w:hint="eastAsia" w:asciiTheme="minorEastAsia" w:hAnsiTheme="minorEastAsia" w:eastAsiaTheme="minorEastAsia" w:cstheme="minorEastAsia"/>
          <w:b/>
          <w:color w:val="auto"/>
          <w:kern w:val="0"/>
          <w:szCs w:val="24"/>
          <w:highlight w:val="none"/>
        </w:rPr>
      </w:pPr>
      <w:r>
        <w:rPr>
          <w:rFonts w:hint="eastAsia" w:asciiTheme="minorEastAsia" w:hAnsiTheme="minorEastAsia" w:eastAsiaTheme="minorEastAsia" w:cstheme="minorEastAsia"/>
          <w:b/>
          <w:color w:val="auto"/>
          <w:kern w:val="0"/>
          <w:szCs w:val="24"/>
          <w:highlight w:val="none"/>
        </w:rPr>
        <w:t>6.10 除招标文件规定的服务内容外，承包人还须完成以下各阶段服务内容：</w:t>
      </w:r>
    </w:p>
    <w:p w14:paraId="05A389AA">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6.10.1 施工图设计阶段</w:t>
      </w:r>
    </w:p>
    <w:p w14:paraId="17150E23">
      <w:pPr>
        <w:pStyle w:val="34"/>
        <w:ind w:firstLine="240" w:firstLineChars="100"/>
        <w:jc w:val="left"/>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color w:val="auto"/>
          <w:szCs w:val="24"/>
          <w:highlight w:val="none"/>
        </w:rPr>
        <w:t>（1）负责完成并制作总图、建筑、结构、</w:t>
      </w:r>
      <w:r>
        <w:rPr>
          <w:rFonts w:hint="eastAsia" w:asciiTheme="minorEastAsia" w:hAnsiTheme="minorEastAsia" w:eastAsiaTheme="minorEastAsia" w:cstheme="minorEastAsia"/>
          <w:snapToGrid w:val="0"/>
          <w:color w:val="auto"/>
          <w:kern w:val="0"/>
          <w:highlight w:val="none"/>
        </w:rPr>
        <w:t>建筑装饰装修、给排水、电气、照明、消防、节能、无障碍设计、安防及智能系统、充电桩、</w:t>
      </w:r>
      <w:r>
        <w:rPr>
          <w:rFonts w:hint="eastAsia" w:asciiTheme="minorEastAsia" w:hAnsiTheme="minorEastAsia" w:eastAsiaTheme="minorEastAsia" w:cstheme="minorEastAsia"/>
          <w:snapToGrid w:val="0"/>
          <w:color w:val="auto"/>
          <w:kern w:val="0"/>
          <w:highlight w:val="none"/>
          <w:u w:val="none" w:color="auto"/>
        </w:rPr>
        <w:t>海绵城市</w:t>
      </w:r>
      <w:r>
        <w:rPr>
          <w:rFonts w:hint="eastAsia" w:asciiTheme="minorEastAsia" w:hAnsiTheme="minorEastAsia" w:eastAsiaTheme="minorEastAsia" w:cstheme="minorEastAsia"/>
          <w:snapToGrid w:val="0"/>
          <w:color w:val="auto"/>
          <w:kern w:val="0"/>
          <w:highlight w:val="none"/>
          <w:u w:val="none" w:color="auto"/>
          <w:lang w:eastAsia="zh-CN"/>
        </w:rPr>
        <w:t>、</w:t>
      </w:r>
      <w:r>
        <w:rPr>
          <w:rFonts w:hint="eastAsia" w:asciiTheme="minorEastAsia" w:hAnsiTheme="minorEastAsia" w:eastAsiaTheme="minorEastAsia" w:cstheme="minorEastAsia"/>
          <w:snapToGrid w:val="0"/>
          <w:color w:val="auto"/>
          <w:kern w:val="0"/>
          <w:highlight w:val="none"/>
        </w:rPr>
        <w:t>雨污分流、道路、综合管网等所有专项设计及红线范围内的所有工程及相关配套工程、设施等本项目涉及的全部专业的施工图设计文件；</w:t>
      </w:r>
    </w:p>
    <w:p w14:paraId="1956F62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（2）对发包人的审核修改意见进行修改、完善，保证其设计意图的最终实现； </w:t>
      </w:r>
    </w:p>
    <w:p w14:paraId="743FBD6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0ADCC53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（4）协助发包人进行工程招标答疑。</w:t>
      </w:r>
    </w:p>
    <w:p w14:paraId="0383F98F">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6.10.2 施工配合阶段</w:t>
      </w:r>
    </w:p>
    <w:p w14:paraId="4A574BD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（1）负责工程设计交底，解答施工过程中施工承包人有关施工图的问题，项目负责人及各专业设计负责人，及时对施工中与设计有关的问题做出回应，保证设计满足施工要求； </w:t>
      </w:r>
    </w:p>
    <w:p w14:paraId="2472C73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（2）根据发包人要求，及时参加与设计有关的专题会，现场解决技术问题； </w:t>
      </w:r>
    </w:p>
    <w:p w14:paraId="4B44A9D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（3）协助发包人处理工程洽商和设计变更，负责有关设计修改，及时办理相关手续； </w:t>
      </w:r>
    </w:p>
    <w:p w14:paraId="420862F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（4）参与与承包人相关的必要的验收以及项目竣工验收工作，并及时办理相关手续； </w:t>
      </w:r>
    </w:p>
    <w:p w14:paraId="5EDF068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（5）提供产品选型、设备加工订货、建筑材料选择以及分包商考察等技术咨询工作； </w:t>
      </w:r>
    </w:p>
    <w:p w14:paraId="0888DEB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（6）应发包人要求协助审核各分包商的设计文件是否满足接口条件并签署意见，以保证其与总体设计协调一致，并满足工程要求。</w:t>
      </w:r>
    </w:p>
    <w:p w14:paraId="76F4A36F">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4"/>
          <w:highlight w:val="none"/>
        </w:rPr>
        <w:t xml:space="preserve">6.11 </w:t>
      </w:r>
      <w:r>
        <w:rPr>
          <w:rFonts w:hint="eastAsia" w:asciiTheme="minorEastAsia" w:hAnsiTheme="minorEastAsia" w:eastAsiaTheme="minorEastAsia" w:cstheme="minorEastAsia"/>
          <w:b/>
          <w:color w:val="auto"/>
          <w:szCs w:val="24"/>
          <w:highlight w:val="none"/>
        </w:rPr>
        <w:t>承包人义务及违约责任</w:t>
      </w:r>
    </w:p>
    <w:p w14:paraId="2C3A3EBA">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6.11.1 承包人义务</w:t>
      </w:r>
    </w:p>
    <w:p w14:paraId="17D7AC56">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（1）中标通知书发出后30天内第一中标候选人不按招标文件约定条款签订设计合同的，视为自动放弃中标资格，没收投标保证金，并确定第二中标候选人为承包人，以此类推。并上报建设行政主管部门。</w:t>
      </w:r>
    </w:p>
    <w:p w14:paraId="0DFEDA0F">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（2）合同生效后，承包人要求终止或解除合同视为承包人违约，扣除履约保证金。</w:t>
      </w:r>
    </w:p>
    <w:p w14:paraId="33A5488B">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承包人负责按照合同规定承包范围、内容和方式，在规定时间内提交满足规定质量要求的设计成果，并完成约定的服务内容。承包人交付设计文件后，按规定参加有关的设计审查，并根据审查结论负责不超出原定范围的内容做必要调整补充。承包人按合同规定时限交付设计文件，负责向发包人及施工单位进行设计交底、处理有关设计问题和参加竣工验收。施工过程中负责有关工程变更的变更设计和变更预算编制。</w:t>
      </w:r>
    </w:p>
    <w:p w14:paraId="604E97C5">
      <w:pPr>
        <w:adjustRightInd w:val="0"/>
        <w:snapToGrid w:val="0"/>
        <w:spacing w:line="360" w:lineRule="auto"/>
        <w:ind w:firstLine="360" w:firstLineChars="15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（4）承包人应对发包人提供的文件、资料进行认真研究，对本项目的特点和不确定因素进行认真考虑，并提出合理建议和评价，对影响设计稳定的重大问题要进行多方案比较选择。</w:t>
      </w:r>
    </w:p>
    <w:p w14:paraId="28A65C99">
      <w:pPr>
        <w:adjustRightInd w:val="0"/>
        <w:snapToGrid w:val="0"/>
        <w:spacing w:line="360" w:lineRule="auto"/>
        <w:ind w:firstLine="360" w:firstLineChars="15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（5）设计应尽可能减少施工难度，为施工创造方便合理的施工条件；应尽量减少施工对城市交通、市民生活以及水利、通航的干扰，并尽可能减少对施工期的影响。</w:t>
      </w:r>
    </w:p>
    <w:p w14:paraId="43EA8292">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（6）未经发包人书面同意，承包人不得对已批准的设计和勘探点布置方案作重大修改、增减或删除。</w:t>
      </w:r>
    </w:p>
    <w:p w14:paraId="67F146A7">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（7）承包人提交的全部设计文件应考虑地质因素、正常施工中可能出现的各种因素，对设计文件出现的遗漏或错误负责修改或补充。</w:t>
      </w:r>
    </w:p>
    <w:p w14:paraId="2425312F">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（8）承包人承诺在交付项目的部分或全部设计文件后，如有更好的新工艺、新技术、新材料、新设备等适用于本项目，应及时向发包人推荐并提供科学的评估和来源证明。</w:t>
      </w:r>
    </w:p>
    <w:p w14:paraId="583ADEAE">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（9）承包人驻南雄办公的项目负责人（即投标文件所拟派的项目负责人）必须负责本项目设计全过程（包括施工图设计审查、施工图设计修编、图纸会审和技术交底）。</w:t>
      </w:r>
    </w:p>
    <w:p w14:paraId="67D8145B">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10）承包人应委派1名参与并熟悉本项目设计任务，有现场处理经验的设计代表常驻项目现场。承包人应为派驻现场的设计工作人员提供工作、生活及交通等方面的便利条件及准备必要的劳动保护装备。在正常施工阶段，每月应保证最少20天在现场。</w:t>
      </w:r>
    </w:p>
    <w:p w14:paraId="6485A340">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（11）承包人要按照批准的总概算控制施工图设计，即限额设计。承包人要无条件对设计文件出现的遗漏或错误负责修改或补充，直到满足要求。</w:t>
      </w:r>
    </w:p>
    <w:p w14:paraId="3457E2D1">
      <w:pPr>
        <w:adjustRightInd w:val="0"/>
        <w:snapToGrid w:val="0"/>
        <w:spacing w:line="360" w:lineRule="auto"/>
        <w:ind w:firstLine="244"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pacing w:val="2"/>
          <w:szCs w:val="24"/>
          <w:highlight w:val="none"/>
        </w:rPr>
        <w:t xml:space="preserve"> （12）发包人及咨询</w:t>
      </w:r>
      <w:r>
        <w:rPr>
          <w:rFonts w:hint="eastAsia" w:asciiTheme="minorEastAsia" w:hAnsiTheme="minorEastAsia" w:eastAsiaTheme="minorEastAsia" w:cstheme="minorEastAsia"/>
          <w:color w:val="auto"/>
          <w:spacing w:val="1"/>
          <w:szCs w:val="24"/>
          <w:highlight w:val="none"/>
        </w:rPr>
        <w:t>单</w:t>
      </w:r>
      <w:r>
        <w:rPr>
          <w:rFonts w:hint="eastAsia" w:asciiTheme="minorEastAsia" w:hAnsiTheme="minorEastAsia" w:eastAsiaTheme="minorEastAsia" w:cstheme="minorEastAsia"/>
          <w:color w:val="auto"/>
          <w:spacing w:val="2"/>
          <w:szCs w:val="24"/>
          <w:highlight w:val="none"/>
        </w:rPr>
        <w:t>位、上级</w:t>
      </w:r>
      <w:r>
        <w:rPr>
          <w:rFonts w:hint="eastAsia" w:asciiTheme="minorEastAsia" w:hAnsiTheme="minorEastAsia" w:eastAsiaTheme="minorEastAsia" w:cstheme="minorEastAsia"/>
          <w:color w:val="auto"/>
          <w:spacing w:val="1"/>
          <w:szCs w:val="24"/>
          <w:highlight w:val="none"/>
        </w:rPr>
        <w:t>主</w:t>
      </w:r>
      <w:r>
        <w:rPr>
          <w:rFonts w:hint="eastAsia" w:asciiTheme="minorEastAsia" w:hAnsiTheme="minorEastAsia" w:eastAsiaTheme="minorEastAsia" w:cstheme="minorEastAsia"/>
          <w:color w:val="auto"/>
          <w:spacing w:val="2"/>
          <w:szCs w:val="24"/>
          <w:highlight w:val="none"/>
        </w:rPr>
        <w:t>管部门对设计</w:t>
      </w:r>
      <w:r>
        <w:rPr>
          <w:rFonts w:hint="eastAsia" w:asciiTheme="minorEastAsia" w:hAnsiTheme="minorEastAsia" w:eastAsiaTheme="minorEastAsia" w:cstheme="minorEastAsia"/>
          <w:color w:val="auto"/>
          <w:szCs w:val="24"/>
          <w:highlight w:val="none"/>
        </w:rPr>
        <w:t>文件的审查并不免除承包人的责任。</w:t>
      </w:r>
    </w:p>
    <w:p w14:paraId="76582261">
      <w:pPr>
        <w:adjustRightInd w:val="0"/>
        <w:snapToGrid w:val="0"/>
        <w:spacing w:line="360" w:lineRule="auto"/>
        <w:ind w:firstLine="360" w:firstLineChars="15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rPr>
        <w:t>（13）中标通知书发出后三天内，中标单位法定代表人及主要负责人、项目经理、设计负责人应积极主动与发包人接洽工作，迅速有效推动工程前期工作顺利开展，逾期未履行，作违约处理。</w:t>
      </w:r>
    </w:p>
    <w:p w14:paraId="1AA5A9B9">
      <w:pPr>
        <w:adjustRightInd w:val="0"/>
        <w:snapToGrid w:val="0"/>
        <w:spacing w:line="360" w:lineRule="auto"/>
        <w:ind w:firstLine="120" w:firstLineChars="50"/>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bCs/>
          <w:color w:val="auto"/>
          <w:szCs w:val="24"/>
          <w:highlight w:val="none"/>
        </w:rPr>
        <w:t xml:space="preserve">   6.11.2 </w:t>
      </w:r>
      <w:r>
        <w:rPr>
          <w:rFonts w:hint="eastAsia" w:asciiTheme="minorEastAsia" w:hAnsiTheme="minorEastAsia" w:eastAsiaTheme="minorEastAsia" w:cstheme="minorEastAsia"/>
          <w:b/>
          <w:snapToGrid w:val="0"/>
          <w:color w:val="auto"/>
          <w:kern w:val="0"/>
          <w:szCs w:val="24"/>
          <w:highlight w:val="none"/>
        </w:rPr>
        <w:t>承包人违约的处理</w:t>
      </w:r>
    </w:p>
    <w:p w14:paraId="4D58CA92">
      <w:pPr>
        <w:spacing w:line="360" w:lineRule="auto"/>
        <w:ind w:firstLine="360" w:firstLineChars="1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（1）承包人发生合同约定的违约情况时，无论发包人是否解除合同，发包人均有权按相关规定</w:t>
      </w:r>
      <w:r>
        <w:rPr>
          <w:rFonts w:hint="eastAsia" w:asciiTheme="minorEastAsia" w:hAnsiTheme="minorEastAsia" w:eastAsiaTheme="minorEastAsia" w:cstheme="minorEastAsia"/>
          <w:color w:val="auto"/>
          <w:highlight w:val="none"/>
        </w:rPr>
        <w:t>扣除</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违约金，并由发包人将其违约行为记录在合同履约评价报告中，作为合同履约综合评价的依据。同时，发包人将</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的违约行为</w:t>
      </w:r>
      <w:r>
        <w:rPr>
          <w:rFonts w:hint="eastAsia" w:asciiTheme="minorEastAsia" w:hAnsiTheme="minorEastAsia" w:eastAsiaTheme="minorEastAsia" w:cstheme="minorEastAsia"/>
          <w:snapToGrid w:val="0"/>
          <w:color w:val="auto"/>
          <w:kern w:val="0"/>
          <w:szCs w:val="24"/>
          <w:highlight w:val="none"/>
        </w:rPr>
        <w:t>上报建设行政主管部门。</w:t>
      </w:r>
    </w:p>
    <w:p w14:paraId="407377F9">
      <w:pPr>
        <w:spacing w:line="360" w:lineRule="auto"/>
        <w:ind w:firstLine="360" w:firstLineChars="1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（2）发包人按合同规定向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开出的任何违约金，除合同另有规定外，均从发包人应向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支付的</w:t>
      </w:r>
      <w:r>
        <w:rPr>
          <w:rFonts w:hint="eastAsia" w:asciiTheme="minorEastAsia" w:hAnsiTheme="minorEastAsia" w:eastAsiaTheme="minorEastAsia" w:cstheme="minorEastAsia"/>
          <w:color w:val="auto"/>
          <w:highlight w:val="none"/>
        </w:rPr>
        <w:t>服务费</w:t>
      </w:r>
      <w:r>
        <w:rPr>
          <w:rFonts w:hint="eastAsia" w:asciiTheme="minorEastAsia" w:hAnsiTheme="minorEastAsia" w:eastAsiaTheme="minorEastAsia" w:cstheme="minorEastAsia"/>
          <w:color w:val="auto"/>
          <w:szCs w:val="24"/>
          <w:highlight w:val="none"/>
        </w:rPr>
        <w:t>中直接扣除。除非合同另有规定，发包人向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开出的任何违约金将导致承包人最终的应得结算价款相应地减少。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必须完全接受上述条款。</w:t>
      </w:r>
    </w:p>
    <w:p w14:paraId="63194622">
      <w:pPr>
        <w:spacing w:line="360" w:lineRule="auto"/>
        <w:ind w:firstLine="360" w:firstLineChars="1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（3）发包人按合同规定向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开出的任何违约金的扣除时间，可以在发包人认为合适的任何一个期中支付月份中扣除。发包人扣除违约金时间的延迟或滞后并不代表对</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当时各种行为的认可或默认。</w:t>
      </w:r>
    </w:p>
    <w:p w14:paraId="7F3955F0">
      <w:pPr>
        <w:spacing w:line="360" w:lineRule="auto"/>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的违约金由发包人掌握使用。</w:t>
      </w:r>
    </w:p>
    <w:p w14:paraId="0598E51B">
      <w:pPr>
        <w:spacing w:line="360" w:lineRule="auto"/>
        <w:ind w:firstLine="480"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color w:val="auto"/>
          <w:szCs w:val="24"/>
          <w:highlight w:val="none"/>
        </w:rPr>
        <w:t>6.12</w:t>
      </w:r>
      <w:r>
        <w:rPr>
          <w:rFonts w:hint="eastAsia" w:asciiTheme="minorEastAsia" w:hAnsiTheme="minorEastAsia" w:eastAsiaTheme="minorEastAsia" w:cstheme="minorEastAsia"/>
          <w:b/>
          <w:bCs/>
          <w:color w:val="auto"/>
          <w:szCs w:val="24"/>
          <w:highlight w:val="none"/>
        </w:rPr>
        <w:t>发包人有权根据有关管理制度对承包人的履约情况纳入履约信用评价体系进行履约信用评价，并将评价结果报送给有关监管部门。</w:t>
      </w:r>
    </w:p>
    <w:p w14:paraId="3F964444">
      <w:pPr>
        <w:pStyle w:val="7"/>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履约信用评价按发包人履约信用评价管理规定执行，评价内容包含人员到位情况、服务配合程度、服务成果质量、项目后期服务及履约信用评价结果的运用等。</w:t>
      </w:r>
    </w:p>
    <w:p w14:paraId="3DA6AA42">
      <w:pPr>
        <w:pStyle w:val="35"/>
        <w:keepNext/>
        <w:keepLines/>
        <w:tabs>
          <w:tab w:val="left" w:pos="885"/>
        </w:tabs>
        <w:spacing w:line="400" w:lineRule="exact"/>
        <w:jc w:val="center"/>
        <w:rPr>
          <w:rFonts w:hint="eastAsia" w:asciiTheme="minorEastAsia" w:hAnsiTheme="minorEastAsia" w:eastAsiaTheme="minorEastAsia" w:cstheme="minorEastAsia"/>
          <w:b/>
          <w:color w:val="auto"/>
          <w:kern w:val="44"/>
          <w:sz w:val="24"/>
          <w:highlight w:val="none"/>
        </w:rPr>
      </w:pPr>
      <w:bookmarkStart w:id="356" w:name="_Toc11306"/>
      <w:r>
        <w:rPr>
          <w:rFonts w:hint="eastAsia" w:asciiTheme="minorEastAsia" w:hAnsiTheme="minorEastAsia" w:eastAsiaTheme="minorEastAsia" w:cstheme="minorEastAsia"/>
          <w:b/>
          <w:color w:val="auto"/>
          <w:kern w:val="44"/>
          <w:sz w:val="24"/>
          <w:highlight w:val="none"/>
        </w:rPr>
        <w:br w:type="page"/>
      </w:r>
      <w:bookmarkStart w:id="357" w:name="_Toc15865"/>
      <w:bookmarkStart w:id="358" w:name="_Toc16036"/>
      <w:bookmarkStart w:id="359" w:name="_Toc5081"/>
      <w:bookmarkStart w:id="360" w:name="_Toc18208"/>
      <w:bookmarkStart w:id="361" w:name="_Toc21077"/>
      <w:bookmarkStart w:id="362" w:name="_Toc28950"/>
      <w:bookmarkStart w:id="363" w:name="_Toc31905"/>
      <w:bookmarkStart w:id="364" w:name="_Toc10003"/>
      <w:r>
        <w:rPr>
          <w:rFonts w:hint="eastAsia" w:asciiTheme="minorEastAsia" w:hAnsiTheme="minorEastAsia" w:eastAsiaTheme="minorEastAsia" w:cstheme="minorEastAsia"/>
          <w:b/>
          <w:color w:val="auto"/>
          <w:kern w:val="44"/>
          <w:sz w:val="36"/>
          <w:szCs w:val="36"/>
          <w:highlight w:val="none"/>
        </w:rPr>
        <w:t>第三</w:t>
      </w:r>
      <w:bookmarkStart w:id="365" w:name="_Hlt69669171"/>
      <w:bookmarkEnd w:id="365"/>
      <w:r>
        <w:rPr>
          <w:rFonts w:hint="eastAsia" w:asciiTheme="minorEastAsia" w:hAnsiTheme="minorEastAsia" w:eastAsiaTheme="minorEastAsia" w:cstheme="minorEastAsia"/>
          <w:b/>
          <w:color w:val="auto"/>
          <w:kern w:val="44"/>
          <w:sz w:val="36"/>
          <w:szCs w:val="36"/>
          <w:highlight w:val="none"/>
        </w:rPr>
        <w:t>章</w:t>
      </w:r>
      <w:bookmarkStart w:id="366" w:name="_Hlt87793839"/>
      <w:bookmarkEnd w:id="366"/>
      <w:r>
        <w:rPr>
          <w:rFonts w:hint="eastAsia" w:asciiTheme="minorEastAsia" w:hAnsiTheme="minorEastAsia" w:eastAsiaTheme="minorEastAsia" w:cstheme="minorEastAsia"/>
          <w:b/>
          <w:color w:val="auto"/>
          <w:kern w:val="44"/>
          <w:sz w:val="36"/>
          <w:szCs w:val="36"/>
          <w:highlight w:val="none"/>
        </w:rPr>
        <w:t xml:space="preserve"> 中标人须知</w:t>
      </w:r>
      <w:bookmarkEnd w:id="356"/>
      <w:bookmarkEnd w:id="357"/>
      <w:bookmarkEnd w:id="358"/>
      <w:bookmarkEnd w:id="359"/>
      <w:bookmarkEnd w:id="360"/>
      <w:bookmarkEnd w:id="361"/>
      <w:bookmarkEnd w:id="362"/>
      <w:bookmarkEnd w:id="363"/>
      <w:bookmarkEnd w:id="364"/>
    </w:p>
    <w:p w14:paraId="5E0C751A">
      <w:pPr>
        <w:pStyle w:val="34"/>
        <w:rPr>
          <w:rFonts w:hint="eastAsia" w:asciiTheme="minorEastAsia" w:hAnsiTheme="minorEastAsia" w:eastAsiaTheme="minorEastAsia" w:cstheme="minorEastAsia"/>
          <w:color w:val="auto"/>
          <w:highlight w:val="none"/>
        </w:rPr>
      </w:pPr>
    </w:p>
    <w:bookmarkEnd w:id="304"/>
    <w:bookmarkEnd w:id="305"/>
    <w:bookmarkEnd w:id="306"/>
    <w:p w14:paraId="0058A4E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  </w:t>
      </w:r>
      <w:r>
        <w:rPr>
          <w:rFonts w:hint="eastAsia" w:asciiTheme="minorEastAsia" w:hAnsiTheme="minorEastAsia" w:eastAsiaTheme="minorEastAsia" w:cstheme="minorEastAsia"/>
          <w:color w:val="auto"/>
          <w:szCs w:val="24"/>
          <w:highlight w:val="none"/>
        </w:rPr>
        <w:t>招标人向中标人发出的《中标通知书》对招标人和中标人均具有法律约束力。中标通知书发出后，招标人改变中标结果和中标人放弃中标的，应当承担法律责任。</w:t>
      </w:r>
    </w:p>
    <w:p w14:paraId="234D73AD">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3.2  </w:t>
      </w:r>
      <w:r>
        <w:rPr>
          <w:rFonts w:hint="eastAsia" w:asciiTheme="minorEastAsia" w:hAnsiTheme="minorEastAsia" w:eastAsiaTheme="minorEastAsia" w:cstheme="minorEastAsia"/>
          <w:color w:val="auto"/>
          <w:szCs w:val="24"/>
          <w:highlight w:val="none"/>
        </w:rPr>
        <w:t>中标人不与招标人签订合同，招标人可以取消其中标人资格。给招标人造成经济损失的，招标人可以向中标人索赔。</w:t>
      </w:r>
    </w:p>
    <w:p w14:paraId="20496272">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3.3  </w:t>
      </w:r>
      <w:r>
        <w:rPr>
          <w:rFonts w:hint="eastAsia" w:asciiTheme="minorEastAsia" w:hAnsiTheme="minorEastAsia" w:eastAsiaTheme="minorEastAsia" w:cstheme="minorEastAsia"/>
          <w:color w:val="auto"/>
          <w:szCs w:val="24"/>
          <w:highlight w:val="none"/>
        </w:rPr>
        <w:t>中标人在施工期间应严格遵守国家、省、市有关防火、爆破和施工安全以及文明施工、深夜施工、环卫城管等规定，建立规章制度和防护措施。否则，由此造成的经济损失和法律责任，均由中标人负责。</w:t>
      </w:r>
    </w:p>
    <w:p w14:paraId="69865219">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中标人必须做好施工场地地下地上管线和邻近建筑物、构筑物（包括文物保护建筑）、名树名木（如有）的保护工作。</w:t>
      </w:r>
    </w:p>
    <w:p w14:paraId="424CAA5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3.4  </w:t>
      </w:r>
      <w:r>
        <w:rPr>
          <w:rFonts w:hint="eastAsia" w:asciiTheme="minorEastAsia" w:hAnsiTheme="minorEastAsia" w:eastAsiaTheme="minorEastAsia" w:cstheme="minorEastAsia"/>
          <w:color w:val="auto"/>
          <w:szCs w:val="24"/>
          <w:highlight w:val="none"/>
        </w:rPr>
        <w:t>中标人应按安全施工的要求，采取严格科学的安全措施，确保施工安全和第三者的安全，承担由于自身安全措施不力所造成的事故责任和发生的费用。</w:t>
      </w:r>
    </w:p>
    <w:p w14:paraId="63C049DA">
      <w:pPr>
        <w:spacing w:line="360" w:lineRule="auto"/>
        <w:rPr>
          <w:rFonts w:hint="eastAsia" w:asciiTheme="minorEastAsia" w:hAnsiTheme="minorEastAsia" w:eastAsiaTheme="minorEastAsia" w:cstheme="minorEastAsia"/>
          <w:color w:val="auto"/>
          <w:szCs w:val="24"/>
          <w:highlight w:val="none"/>
        </w:rPr>
      </w:pPr>
      <w:bookmarkStart w:id="367" w:name="_Hlt93117969"/>
      <w:r>
        <w:rPr>
          <w:rFonts w:hint="eastAsia" w:asciiTheme="minorEastAsia" w:hAnsiTheme="minorEastAsia" w:eastAsiaTheme="minorEastAsia" w:cstheme="minorEastAsia"/>
          <w:b/>
          <w:color w:val="auto"/>
          <w:szCs w:val="24"/>
          <w:highlight w:val="none"/>
        </w:rPr>
        <w:t xml:space="preserve">    3.5  </w:t>
      </w:r>
      <w:r>
        <w:rPr>
          <w:rFonts w:hint="eastAsia" w:asciiTheme="minorEastAsia" w:hAnsiTheme="minorEastAsia" w:eastAsiaTheme="minorEastAsia" w:cstheme="minorEastAsia"/>
          <w:color w:val="auto"/>
          <w:szCs w:val="24"/>
          <w:highlight w:val="none"/>
        </w:rPr>
        <w:t>为保证施工现场的环境卫生，中标人在本项目施工过程中，所有的车辆必须按招标人规定的行车路线行驶。</w:t>
      </w:r>
    </w:p>
    <w:bookmarkEnd w:id="367"/>
    <w:p w14:paraId="3B62520D">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3.6  </w:t>
      </w:r>
      <w:r>
        <w:rPr>
          <w:rFonts w:hint="eastAsia" w:asciiTheme="minorEastAsia" w:hAnsiTheme="minorEastAsia" w:eastAsiaTheme="minorEastAsia" w:cstheme="minorEastAsia"/>
          <w:color w:val="auto"/>
          <w:szCs w:val="24"/>
          <w:highlight w:val="none"/>
        </w:rPr>
        <w:t>中标人的投标书所报的项目管理班子人员（项目经理、技术负责人、施工员、质量员、安全员等）必须是</w:t>
      </w:r>
      <w:bookmarkStart w:id="368" w:name="_Hlt66261069"/>
      <w:bookmarkEnd w:id="368"/>
      <w:r>
        <w:rPr>
          <w:rFonts w:hint="eastAsia" w:asciiTheme="minorEastAsia" w:hAnsiTheme="minorEastAsia" w:eastAsiaTheme="minorEastAsia" w:cstheme="minorEastAsia"/>
          <w:color w:val="auto"/>
          <w:szCs w:val="24"/>
          <w:highlight w:val="none"/>
        </w:rPr>
        <w:t>中标后实际的项目管理班子人员，否则招标人有权终止合同。</w:t>
      </w:r>
    </w:p>
    <w:p w14:paraId="576E7641">
      <w:pPr>
        <w:pStyle w:val="7"/>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rPr>
        <w:t>根据项目实施进度情况，招标人有权要求中标人增派项目管理人员，以满足项目的现场管理工作要求。</w:t>
      </w:r>
    </w:p>
    <w:p w14:paraId="735E9A9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3.7  </w:t>
      </w:r>
      <w:r>
        <w:rPr>
          <w:rFonts w:hint="eastAsia" w:asciiTheme="minorEastAsia" w:hAnsiTheme="minorEastAsia" w:eastAsiaTheme="minorEastAsia" w:cstheme="minorEastAsia"/>
          <w:color w:val="auto"/>
          <w:szCs w:val="24"/>
          <w:highlight w:val="none"/>
        </w:rPr>
        <w:t>项目竣工验收合格后三十个工作日内必须向招标人提供一式八份符合韶关市及南雄市城市建设档案馆要求的工程竣工档案（含纸质、声像及电子等形式的档案），声像及电子档案的制作费用由中标人承担。</w:t>
      </w:r>
    </w:p>
    <w:p w14:paraId="676A5B7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3.8  </w:t>
      </w:r>
      <w:r>
        <w:rPr>
          <w:rFonts w:hint="eastAsia" w:asciiTheme="minorEastAsia" w:hAnsiTheme="minorEastAsia" w:eastAsiaTheme="minorEastAsia" w:cstheme="minorEastAsia"/>
          <w:color w:val="auto"/>
          <w:szCs w:val="24"/>
          <w:highlight w:val="none"/>
        </w:rPr>
        <w:t>合同范围内的工程项目未经招标人同意一律不得分包，一经发现，取消中标人的承包资格，中标人承担由此引起的一切责任和经济损失。</w:t>
      </w:r>
    </w:p>
    <w:p w14:paraId="47B280C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3.9  </w:t>
      </w:r>
      <w:r>
        <w:rPr>
          <w:rFonts w:hint="eastAsia" w:asciiTheme="minorEastAsia" w:hAnsiTheme="minorEastAsia" w:eastAsiaTheme="minorEastAsia" w:cstheme="minorEastAsia"/>
          <w:color w:val="auto"/>
          <w:szCs w:val="24"/>
          <w:highlight w:val="none"/>
        </w:rPr>
        <w:t>现场应自设检验实验室，用于对建筑材料、构件和建筑物进行一般性鉴定、检查等。</w:t>
      </w:r>
    </w:p>
    <w:p w14:paraId="3D93099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3.10  </w:t>
      </w:r>
      <w:r>
        <w:rPr>
          <w:rFonts w:hint="eastAsia" w:asciiTheme="minorEastAsia" w:hAnsiTheme="minorEastAsia" w:eastAsiaTheme="minorEastAsia" w:cstheme="minorEastAsia"/>
          <w:color w:val="auto"/>
          <w:szCs w:val="24"/>
          <w:highlight w:val="none"/>
        </w:rPr>
        <w:t>中标人须服从工程监理单位对工程质量全方位的监理，施工中的年度计划、季度计划、月度计划、施工方案等应报送监理单位审批和招标人备案。施工中的质量保证等资料均应及时报送监理单位和招标人备案。</w:t>
      </w:r>
    </w:p>
    <w:p w14:paraId="42B876A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3.11  </w:t>
      </w:r>
      <w:r>
        <w:rPr>
          <w:rFonts w:hint="eastAsia" w:asciiTheme="minorEastAsia" w:hAnsiTheme="minorEastAsia" w:eastAsiaTheme="minorEastAsia" w:cstheme="minorEastAsia"/>
          <w:color w:val="auto"/>
          <w:szCs w:val="24"/>
          <w:highlight w:val="none"/>
        </w:rPr>
        <w:t>招标文件、招标答疑书、投标文件和中标通知书是招标人与中标人双方签订的施工合同的主要组成部分，并与合同一样，具有相同的法律效力。</w:t>
      </w:r>
      <w:bookmarkStart w:id="369" w:name="_Hlt66508904"/>
      <w:bookmarkEnd w:id="369"/>
      <w:r>
        <w:rPr>
          <w:rFonts w:hint="eastAsia" w:asciiTheme="minorEastAsia" w:hAnsiTheme="minorEastAsia" w:eastAsiaTheme="minorEastAsia" w:cstheme="minorEastAsia"/>
          <w:color w:val="auto"/>
          <w:szCs w:val="24"/>
          <w:highlight w:val="none"/>
        </w:rPr>
        <w:t>如中标通知书发出后，发现中标人的投标文件中有与招标文件所述内容及要求不符的，按招标文件执行。</w:t>
      </w:r>
    </w:p>
    <w:p w14:paraId="42E241A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3.12  </w:t>
      </w:r>
      <w:r>
        <w:rPr>
          <w:rFonts w:hint="eastAsia" w:asciiTheme="minorEastAsia" w:hAnsiTheme="minorEastAsia" w:eastAsiaTheme="minorEastAsia" w:cstheme="minorEastAsia"/>
          <w:color w:val="auto"/>
          <w:szCs w:val="24"/>
          <w:highlight w:val="none"/>
        </w:rPr>
        <w:t>中标人中标之后，若招标范围内有专业工程必须分包的，招标人不另行支付总包服务费；其分包合同由中标人与分包人双方签订，招标人不参与中标人与分包人之间的结算，该部分工程的造价仍按中标人与招标人签订的合同的有关结算条款进行结算。</w:t>
      </w:r>
    </w:p>
    <w:p w14:paraId="021D5F7C">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3.13  </w:t>
      </w:r>
      <w:r>
        <w:rPr>
          <w:rFonts w:hint="eastAsia" w:asciiTheme="minorEastAsia" w:hAnsiTheme="minorEastAsia" w:eastAsiaTheme="minorEastAsia" w:cstheme="minorEastAsia"/>
          <w:color w:val="auto"/>
          <w:szCs w:val="24"/>
          <w:highlight w:val="none"/>
        </w:rPr>
        <w:t>若设计超过了限额标准，中标人必须无条件优化，直至达到限额要求为止，设计及施工工期不予以顺延，招标人不再支付由此而增加的设计费。</w:t>
      </w:r>
    </w:p>
    <w:p w14:paraId="1AD583C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3.14  </w:t>
      </w:r>
      <w:r>
        <w:rPr>
          <w:rFonts w:hint="eastAsia" w:asciiTheme="minorEastAsia" w:hAnsiTheme="minorEastAsia" w:eastAsiaTheme="minorEastAsia" w:cstheme="minorEastAsia"/>
          <w:color w:val="auto"/>
          <w:szCs w:val="24"/>
          <w:highlight w:val="none"/>
        </w:rPr>
        <w:t>中标人提交的施工图阶段的设计成果必须经招标人组织的专家委员会评审确认后，再送有资质的审图单位的进行审查，若由于专家委员会和审图单位在审查过程中提出的设计修改或变更，中标人必须无条件进行修改或优化设计，招标人不再支付由此而增加的设计费用。</w:t>
      </w:r>
    </w:p>
    <w:p w14:paraId="6B02BEA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3.15 </w:t>
      </w:r>
      <w:r>
        <w:rPr>
          <w:rFonts w:hint="eastAsia" w:asciiTheme="minorEastAsia" w:hAnsiTheme="minorEastAsia" w:eastAsiaTheme="minorEastAsia" w:cstheme="minorEastAsia"/>
          <w:color w:val="auto"/>
          <w:szCs w:val="24"/>
          <w:highlight w:val="none"/>
        </w:rPr>
        <w:t>增加工程造价在施工14天前中标人必须提供详细的报价书（含工程项目名称、变更部位、理由、预计造价等）给监理单位核实并报招标人或有关审核部门核定后，方可施工。</w:t>
      </w:r>
    </w:p>
    <w:p w14:paraId="143225EE">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3.16 </w:t>
      </w:r>
      <w:r>
        <w:rPr>
          <w:rFonts w:hint="eastAsia" w:asciiTheme="minorEastAsia" w:hAnsiTheme="minorEastAsia" w:eastAsiaTheme="minorEastAsia" w:cstheme="minorEastAsia"/>
          <w:color w:val="auto"/>
          <w:szCs w:val="24"/>
          <w:highlight w:val="none"/>
        </w:rPr>
        <w:t xml:space="preserve"> 中标人中标后，必须按规定到韶关市公共资源交易中心办理相关手续方可领取中标通知书。</w:t>
      </w:r>
    </w:p>
    <w:p w14:paraId="3574B252">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3.17 </w:t>
      </w:r>
      <w:r>
        <w:rPr>
          <w:rFonts w:hint="eastAsia" w:asciiTheme="minorEastAsia" w:hAnsiTheme="minorEastAsia" w:eastAsiaTheme="minorEastAsia" w:cstheme="minorEastAsia"/>
          <w:color w:val="auto"/>
          <w:szCs w:val="24"/>
          <w:highlight w:val="none"/>
        </w:rPr>
        <w:t>中标人中标后必须按招标人的要求采购材料及设备。</w:t>
      </w:r>
    </w:p>
    <w:p w14:paraId="5FF749A6">
      <w:pPr>
        <w:spacing w:line="360" w:lineRule="auto"/>
        <w:ind w:firstLine="354" w:firstLineChars="147"/>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szCs w:val="24"/>
          <w:highlight w:val="none"/>
        </w:rPr>
        <w:t xml:space="preserve"> 3.18 </w:t>
      </w:r>
      <w:r>
        <w:rPr>
          <w:rFonts w:hint="eastAsia" w:asciiTheme="minorEastAsia" w:hAnsiTheme="minorEastAsia" w:eastAsiaTheme="minorEastAsia" w:cstheme="minorEastAsia"/>
          <w:b/>
          <w:bCs/>
          <w:color w:val="auto"/>
          <w:szCs w:val="24"/>
          <w:highlight w:val="none"/>
        </w:rPr>
        <w:t>中标通知书发出后，中标方应在30个日历天内缴工人工资保证金、意外伤害险等。</w:t>
      </w:r>
    </w:p>
    <w:p w14:paraId="4F086136">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中标人必须在项目开工前，在项目所在地银行</w:t>
      </w:r>
      <w:r>
        <w:rPr>
          <w:rFonts w:hint="eastAsia" w:asciiTheme="minorEastAsia" w:hAnsiTheme="minorEastAsia" w:eastAsiaTheme="minorEastAsia" w:cstheme="minorEastAsia"/>
          <w:b/>
          <w:bCs/>
          <w:color w:val="auto"/>
          <w:szCs w:val="24"/>
          <w:highlight w:val="none"/>
        </w:rPr>
        <w:t>设立工人工资支付专用账户和安全文明施工措施费专用帐户</w:t>
      </w:r>
      <w:r>
        <w:rPr>
          <w:rFonts w:hint="eastAsia" w:asciiTheme="minorEastAsia" w:hAnsiTheme="minorEastAsia" w:eastAsiaTheme="minorEastAsia" w:cstheme="minorEastAsia"/>
          <w:b/>
          <w:bCs/>
          <w:snapToGrid w:val="0"/>
          <w:color w:val="auto"/>
          <w:kern w:val="0"/>
          <w:highlight w:val="none"/>
        </w:rPr>
        <w:t>，</w:t>
      </w:r>
      <w:r>
        <w:rPr>
          <w:rFonts w:hint="eastAsia" w:asciiTheme="minorEastAsia" w:hAnsiTheme="minorEastAsia" w:eastAsiaTheme="minorEastAsia" w:cstheme="minorEastAsia"/>
          <w:b/>
          <w:bCs/>
          <w:snapToGrid w:val="0"/>
          <w:color w:val="auto"/>
          <w:kern w:val="0"/>
          <w:szCs w:val="24"/>
          <w:highlight w:val="none"/>
        </w:rPr>
        <w:t>中标人应在工资专户开立后2个工作日内，将开户银行及其账号、开户协议等资料提交给招标人。</w:t>
      </w:r>
    </w:p>
    <w:p w14:paraId="6F771656">
      <w:pPr>
        <w:spacing w:line="360" w:lineRule="auto"/>
        <w:ind w:firstLine="354" w:firstLineChars="147"/>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中标人应建立劳动用工管理台账，并按月将工人工资支付明细表报招标人备案。若中标人拖延按工期延误处理，拖延一天，则计算工期延误一天。</w:t>
      </w:r>
    </w:p>
    <w:p w14:paraId="508BA343">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中标人必须按相关规定做好用工实名制管理，建立考勤机制，并实施实名信息化管理。</w:t>
      </w:r>
    </w:p>
    <w:p w14:paraId="75A5DC25">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3.19</w:t>
      </w:r>
      <w:r>
        <w:rPr>
          <w:rFonts w:hint="eastAsia" w:asciiTheme="minorEastAsia" w:hAnsiTheme="minorEastAsia" w:eastAsiaTheme="minorEastAsia" w:cstheme="minorEastAsia"/>
          <w:color w:val="auto"/>
          <w:szCs w:val="24"/>
          <w:highlight w:val="none"/>
        </w:rPr>
        <w:t xml:space="preserve"> 本项目各个阶段的设计成果必须经招标人及有关审批部门同意后方可进行下一工序的设计工作，若招标人或有关审批部门在审批过程中提出的设计修改或变更，中标人必须无条件进行修改或变更，招标人不再支付由此而增加的设计费用。</w:t>
      </w:r>
    </w:p>
    <w:p w14:paraId="333B69E0">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4"/>
          <w:highlight w:val="none"/>
        </w:rPr>
        <w:t xml:space="preserve">3.20 </w:t>
      </w:r>
      <w:r>
        <w:rPr>
          <w:rFonts w:hint="eastAsia" w:asciiTheme="minorEastAsia" w:hAnsiTheme="minorEastAsia" w:eastAsiaTheme="minorEastAsia" w:cstheme="minorEastAsia"/>
          <w:b/>
          <w:color w:val="auto"/>
          <w:szCs w:val="24"/>
          <w:highlight w:val="none"/>
        </w:rPr>
        <w:t>若中标人自中标通知书发出之日起20个工作日内仍未提供履约担保的，视同中标单位自动放弃中标资格，招标人通报建设行政主管部门后有权另行选择中标人。</w:t>
      </w:r>
    </w:p>
    <w:p w14:paraId="61DB5ED5">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4"/>
          <w:highlight w:val="none"/>
        </w:rPr>
        <w:t xml:space="preserve">3.21 </w:t>
      </w:r>
      <w:r>
        <w:rPr>
          <w:rFonts w:hint="eastAsia" w:asciiTheme="minorEastAsia" w:hAnsiTheme="minorEastAsia" w:eastAsiaTheme="minorEastAsia" w:cstheme="minorEastAsia"/>
          <w:b/>
          <w:color w:val="auto"/>
          <w:szCs w:val="24"/>
          <w:highlight w:val="none"/>
        </w:rPr>
        <w:t>若中标人自中标通知书发出之日起30天内仍未签订合同，视同中标人自动放弃中标权利，招标人通报建设行政主管部门后有权另行选择中标人。</w:t>
      </w:r>
    </w:p>
    <w:p w14:paraId="76B3E789">
      <w:pPr>
        <w:pStyle w:val="34"/>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3.22 中标人应按招标人确认后的主要材料的规格、颜色要求采购。如变更规格或颜色，必须经招标人、业主同意，并报有关审核部门重新核定单价后方可采购，并相应调整工程造价。主要材料必须先提供样板或有关资料给招标人、业主确定其规格、颜色、等级等，然后方可使用。</w:t>
      </w:r>
    </w:p>
    <w:p w14:paraId="65A24042">
      <w:pPr>
        <w:snapToGrid w:val="0"/>
        <w:spacing w:line="360" w:lineRule="auto"/>
        <w:ind w:firstLine="472" w:firstLineChars="196"/>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highlight w:val="none"/>
        </w:rPr>
        <w:t xml:space="preserve"> 3.23 </w:t>
      </w:r>
      <w:r>
        <w:rPr>
          <w:rFonts w:hint="eastAsia" w:asciiTheme="minorEastAsia" w:hAnsiTheme="minorEastAsia" w:eastAsiaTheme="minorEastAsia" w:cstheme="minorEastAsia"/>
          <w:b/>
          <w:color w:val="auto"/>
          <w:szCs w:val="24"/>
          <w:highlight w:val="none"/>
        </w:rPr>
        <w:t>根据《</w:t>
      </w:r>
      <w:r>
        <w:rPr>
          <w:rFonts w:hint="eastAsia" w:asciiTheme="minorEastAsia" w:hAnsiTheme="minorEastAsia" w:eastAsiaTheme="minorEastAsia" w:cstheme="minorEastAsia"/>
          <w:b/>
          <w:bCs/>
          <w:color w:val="auto"/>
          <w:szCs w:val="24"/>
          <w:highlight w:val="none"/>
        </w:rPr>
        <w:t>印发〈广东省住房和城乡建设厅 广东省发展改革委关于房屋建筑和市政基础设施工程建设项目招标投标全过程信息公开的管理规定〉的通知</w:t>
      </w:r>
      <w:r>
        <w:rPr>
          <w:rFonts w:hint="eastAsia" w:asciiTheme="minorEastAsia" w:hAnsiTheme="minorEastAsia" w:eastAsiaTheme="minorEastAsia" w:cstheme="minorEastAsia"/>
          <w:b/>
          <w:color w:val="auto"/>
          <w:szCs w:val="24"/>
          <w:highlight w:val="none"/>
        </w:rPr>
        <w:t>》（粤建规范〔2018〕6号）文件精神，产生中标候选人后，招标人应将中标候选人投标文件商务部分除涉及商业秘密的其他资料在广东省招标投标监管网</w:t>
      </w:r>
      <w:r>
        <w:rPr>
          <w:rFonts w:hint="eastAsia" w:asciiTheme="minorEastAsia" w:hAnsiTheme="minorEastAsia" w:eastAsiaTheme="minorEastAsia" w:cstheme="minorEastAsia"/>
          <w:b/>
          <w:bCs/>
          <w:color w:val="auto"/>
          <w:kern w:val="0"/>
          <w:szCs w:val="24"/>
          <w:highlight w:val="none"/>
        </w:rPr>
        <w:t>、广东省公共资源交易平台（韶关市）</w:t>
      </w:r>
      <w:r>
        <w:rPr>
          <w:rFonts w:hint="eastAsia" w:asciiTheme="minorEastAsia" w:hAnsiTheme="minorEastAsia" w:eastAsiaTheme="minorEastAsia" w:cstheme="minorEastAsia"/>
          <w:b/>
          <w:color w:val="auto"/>
          <w:szCs w:val="24"/>
          <w:highlight w:val="none"/>
        </w:rPr>
        <w:t>公示，公示期不得少于3日。</w:t>
      </w:r>
    </w:p>
    <w:p w14:paraId="41120FDB">
      <w:pPr>
        <w:snapToGrid w:val="0"/>
        <w:spacing w:line="360" w:lineRule="auto"/>
        <w:ind w:firstLine="56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招标人应当在发出中标通知书15日内，将中标结果依法在广东省招标投标监管网、</w:t>
      </w:r>
      <w:r>
        <w:rPr>
          <w:rFonts w:hint="eastAsia" w:asciiTheme="minorEastAsia" w:hAnsiTheme="minorEastAsia" w:eastAsiaTheme="minorEastAsia" w:cstheme="minorEastAsia"/>
          <w:b/>
          <w:bCs/>
          <w:color w:val="auto"/>
          <w:kern w:val="0"/>
          <w:szCs w:val="24"/>
          <w:highlight w:val="none"/>
        </w:rPr>
        <w:t>广东省公共资源交易平台（韶关市）</w:t>
      </w:r>
      <w:r>
        <w:rPr>
          <w:rFonts w:hint="eastAsia" w:asciiTheme="minorEastAsia" w:hAnsiTheme="minorEastAsia" w:eastAsiaTheme="minorEastAsia" w:cstheme="minorEastAsia"/>
          <w:b/>
          <w:color w:val="auto"/>
          <w:szCs w:val="24"/>
          <w:highlight w:val="none"/>
        </w:rPr>
        <w:t>公示。</w:t>
      </w:r>
    </w:p>
    <w:p w14:paraId="4FF744ED">
      <w:pPr>
        <w:pStyle w:val="34"/>
        <w:ind w:firstLine="590" w:firstLineChars="245"/>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Cs w:val="24"/>
          <w:highlight w:val="none"/>
        </w:rPr>
        <w:t xml:space="preserve">如果其他投标人或其他利害关系人对公示内容有异议，一经查实有虚假内容等违法违规情况的，将取消其中标候选人资格，并由招投标监管部门按有关规定处理。 </w:t>
      </w:r>
    </w:p>
    <w:p w14:paraId="29411EF3">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3.24中标人须按韶关市、南雄市关于建筑垃圾运输、建筑渣土管理和扬尘治理等有关规定执行。</w:t>
      </w:r>
    </w:p>
    <w:p w14:paraId="0DD5FCA5">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3.25中标人须按相关规定要求，设置本工程符合相关要求的永久性标牌及规划公示牌，投标人在投标报价时综合考虑在报价内，招标人不另行支付该部分费用。</w:t>
      </w:r>
    </w:p>
    <w:p w14:paraId="431642EE">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3.26中标人须服从招标人的项目管理方式；中标人须无条件组织施工班组按招标人提供的管理软件（如有）及管理流程进行施工管理。</w:t>
      </w:r>
    </w:p>
    <w:p w14:paraId="15187C19">
      <w:pPr>
        <w:pStyle w:val="7"/>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szCs w:val="24"/>
          <w:highlight w:val="none"/>
        </w:rPr>
        <w:t>中标</w:t>
      </w:r>
      <w:r>
        <w:rPr>
          <w:rFonts w:hint="eastAsia" w:asciiTheme="minorEastAsia" w:hAnsiTheme="minorEastAsia" w:eastAsiaTheme="minorEastAsia" w:cstheme="minorEastAsia"/>
          <w:b/>
          <w:snapToGrid w:val="0"/>
          <w:color w:val="auto"/>
          <w:sz w:val="24"/>
          <w:szCs w:val="24"/>
          <w:highlight w:val="none"/>
        </w:rPr>
        <w:t>人应根据施工任务做好工期分析工作，按工期节点要求进行人料机的安排，及时根据计划的实施情况调整人料机的投入。</w:t>
      </w:r>
      <w:r>
        <w:rPr>
          <w:rFonts w:hint="eastAsia" w:asciiTheme="minorEastAsia" w:hAnsiTheme="minorEastAsia" w:eastAsiaTheme="minorEastAsia" w:cstheme="minorEastAsia"/>
          <w:b/>
          <w:color w:val="auto"/>
          <w:sz w:val="24"/>
          <w:szCs w:val="24"/>
          <w:highlight w:val="none"/>
        </w:rPr>
        <w:t>中标</w:t>
      </w:r>
      <w:r>
        <w:rPr>
          <w:rFonts w:hint="eastAsia" w:asciiTheme="minorEastAsia" w:hAnsiTheme="minorEastAsia" w:eastAsiaTheme="minorEastAsia" w:cstheme="minorEastAsia"/>
          <w:b/>
          <w:snapToGrid w:val="0"/>
          <w:color w:val="auto"/>
          <w:sz w:val="24"/>
          <w:szCs w:val="24"/>
          <w:highlight w:val="none"/>
        </w:rPr>
        <w:t>人作为总承包单位，应合理安排施工工作，统筹各专业单位（如有）的工作界面，不得影响施工进度。</w:t>
      </w:r>
      <w:r>
        <w:rPr>
          <w:rFonts w:hint="eastAsia" w:asciiTheme="minorEastAsia" w:hAnsiTheme="minorEastAsia" w:eastAsiaTheme="minorEastAsia" w:cstheme="minorEastAsia"/>
          <w:b/>
          <w:color w:val="auto"/>
          <w:sz w:val="24"/>
          <w:szCs w:val="24"/>
          <w:highlight w:val="none"/>
        </w:rPr>
        <w:t>中标</w:t>
      </w:r>
      <w:r>
        <w:rPr>
          <w:rFonts w:hint="eastAsia" w:asciiTheme="minorEastAsia" w:hAnsiTheme="minorEastAsia" w:eastAsiaTheme="minorEastAsia" w:cstheme="minorEastAsia"/>
          <w:b/>
          <w:snapToGrid w:val="0"/>
          <w:color w:val="auto"/>
          <w:sz w:val="24"/>
          <w:szCs w:val="24"/>
          <w:highlight w:val="none"/>
        </w:rPr>
        <w:t>人应根据工作面的变化情况及工程进度要求，合理增配人员及施工机械设备。</w:t>
      </w:r>
    </w:p>
    <w:p w14:paraId="47B5D214">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3.27施工视频监控系统必须符合韶市建字〔2014〕163号文件规定，并在投标报价中综合考虑，招标人及项目业主不再另行支付该部分费用。</w:t>
      </w:r>
    </w:p>
    <w:p w14:paraId="0443BEA1">
      <w:pPr>
        <w:spacing w:line="360" w:lineRule="auto"/>
        <w:ind w:firstLine="420" w:firstLineChars="175"/>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开工一个月内必须按相关规定和要求安装视频监控系统，并接入相关部门监控系统，如未按时安装视频监控系统，发包人有权在措施费中扣除相关费用。</w:t>
      </w:r>
    </w:p>
    <w:p w14:paraId="0998303F">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highlight w:val="none"/>
        </w:rPr>
        <w:t>3.28</w:t>
      </w:r>
      <w:r>
        <w:rPr>
          <w:rFonts w:hint="eastAsia" w:asciiTheme="minorEastAsia" w:hAnsiTheme="minorEastAsia" w:eastAsiaTheme="minorEastAsia" w:cstheme="minorEastAsia"/>
          <w:color w:val="auto"/>
          <w:szCs w:val="24"/>
          <w:highlight w:val="none"/>
        </w:rPr>
        <w:t>中标人应已详细了解本项目的前期工作（包括征地拆迁），同时也应已勘察施工现场、周围环境、地形、地貌、水文、交通等情况。中标人投标报价应已充分考虑在施工中由于招标人原因造成停工或工期延误等因素所产生的相关费用，招标人不予另计费；中标人不得以不完全了解项目的前期工作（包括征地拆迁）及现场情况为理由，提出因外界因素造成停工或工期延误的额外付款要求；对此类要求，招标人不作任何考虑及答复。</w:t>
      </w:r>
    </w:p>
    <w:p w14:paraId="3F31406A">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如因招标人原因（自然灾害等不可抗力因素除外），工程不能按期开工，或开工后全部停滞，工期按相关规定予以顺延。停工发生后，若可复工时，中标人应在收到招标人发出的复工通知书后3日内开始复工。</w:t>
      </w:r>
    </w:p>
    <w:p w14:paraId="32D14A45">
      <w:pPr>
        <w:spacing w:line="360" w:lineRule="auto"/>
        <w:ind w:firstLine="56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szCs w:val="24"/>
          <w:highlight w:val="none"/>
        </w:rPr>
        <w:t>3.29</w:t>
      </w:r>
      <w:r>
        <w:rPr>
          <w:rFonts w:hint="eastAsia" w:asciiTheme="minorEastAsia" w:hAnsiTheme="minorEastAsia" w:eastAsiaTheme="minorEastAsia" w:cstheme="minorEastAsia"/>
          <w:b/>
          <w:color w:val="auto"/>
          <w:highlight w:val="none"/>
        </w:rPr>
        <w:t>中标人必须严格按有关设计规范设计图纸，中标人须秉承合理、经济、环保、适用等原则进行施工图设计，招标人有权委托第三方对中标人每阶段的设计成果文件（含节能、结构计算模型等）进行精细化审图、各专业优化工作，招标人将根据第三方出具的有关报告及优化金额对中标人进行考核。若中标人成果的建安投资与优化金额（各分项工程进行对比）误差率在3%范围内则不作违约处理（含3%），否则以优化金额的10%从设计费用中扣取违约金（违约金总额以设计费为限，扣取的违约金作为第三方的咨询费），中标人需无条件根据经招标人确认的精细化审图、结构优化报告进行设计文件修改，费用不另计。</w:t>
      </w:r>
    </w:p>
    <w:p w14:paraId="266C1A21">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Cs w:val="24"/>
          <w:highlight w:val="none"/>
        </w:rPr>
        <w:t xml:space="preserve">    3.30</w:t>
      </w:r>
      <w:r>
        <w:rPr>
          <w:rFonts w:hint="eastAsia" w:asciiTheme="minorEastAsia" w:hAnsiTheme="minorEastAsia" w:eastAsiaTheme="minorEastAsia" w:cstheme="minorEastAsia"/>
          <w:b/>
          <w:color w:val="auto"/>
          <w:highlight w:val="none"/>
        </w:rPr>
        <w:t>中标人须在收到初步设计文件之日起三天内无条件对初步设计文件进行审核，如发现遗漏或错误，须向招标人提出书面报告。</w:t>
      </w:r>
    </w:p>
    <w:p w14:paraId="5B7DEF03">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szCs w:val="24"/>
          <w:highlight w:val="none"/>
        </w:rPr>
        <w:t xml:space="preserve">    3.31</w:t>
      </w:r>
      <w:r>
        <w:rPr>
          <w:rFonts w:hint="eastAsia" w:asciiTheme="minorEastAsia" w:hAnsiTheme="minorEastAsia" w:eastAsiaTheme="minorEastAsia" w:cstheme="minorEastAsia"/>
          <w:b/>
          <w:color w:val="auto"/>
          <w:highlight w:val="none"/>
        </w:rPr>
        <w:t>中标人须在收到中标通知书之日十天内向招标人提交各阶段详细的工期计划承诺书。</w:t>
      </w:r>
    </w:p>
    <w:p w14:paraId="7A645245">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3.32按照《广东省住房和城乡建设厅关于建设工程项目招标中标后监督检查的办法》（粤建市〔2009〕8号）和《韶关市住房和城乡建设局关于加强房屋建筑和市政基础设施工程项目招标中标后监督检查的通知》（韶市建字〔2014〕145号）等相关法律法规。中标人中标之后，工程施工项目负责人和项目管理班子其他成员必须是该工程中标时所承诺的项目管理班子成员。</w:t>
      </w:r>
    </w:p>
    <w:p w14:paraId="59D6A593">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项目管理班子成员不得擅自变更，项目管理班子成员因有粤建市〔2009〕8号第九条所述情形之一确属不能履行职责需要变更的，中标单位应向建设行政主管部门填报《建设工程项目管理班子变更情况报告表》并附上有关证明文件，经建设行政主管部门审核同意方可变更。更换后的项目经理与中标单位的投标文件所确定的项目负责人或总监理工程师的主要条件一致。</w:t>
      </w:r>
    </w:p>
    <w:p w14:paraId="13D83132">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若中标单位有下列行为之一的，除依照有关法律、法规进行处罚外，将通过市建设与房地产信息网站予以及时曝光，并作为今后该单位参与投标的评分扣分依据直至取消投标资格。</w:t>
      </w:r>
    </w:p>
    <w:p w14:paraId="46B76230">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1.建设单位违反规定指定分包单位的；</w:t>
      </w:r>
    </w:p>
    <w:p w14:paraId="03B4AD11">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2.施工单位转包、违法分包或违反投标承诺分包工程的；   </w:t>
      </w:r>
    </w:p>
    <w:p w14:paraId="49E73FA9">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3.非原参加投标中标的项目经理负责组织施工或在实施过程违反粤建市〔2009〕8号第九条规定更换项目经理的、项目的其他主要管理人员与中标文件确定的人员不相符的；</w:t>
      </w:r>
    </w:p>
    <w:p w14:paraId="311D9E9D">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4.投标文件确定的大型机械设备没有进入施工现场的；</w:t>
      </w:r>
    </w:p>
    <w:p w14:paraId="416A5DDD">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5.建设、监理、施工等单位串通，签认虚假工程量或工程造价的；</w:t>
      </w:r>
    </w:p>
    <w:p w14:paraId="2496E11B">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6.施工现场管理不到位的；</w:t>
      </w:r>
    </w:p>
    <w:p w14:paraId="257C2DA9">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7.非本人资格证书登记所在的单位从事工程项目施工管理的；</w:t>
      </w:r>
    </w:p>
    <w:p w14:paraId="4568D4B7">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8.项目经理同时承担超过一项工程项目的；</w:t>
      </w:r>
    </w:p>
    <w:p w14:paraId="050F0B44">
      <w:pPr>
        <w:pStyle w:val="53"/>
        <w:widowControl/>
        <w:spacing w:line="360" w:lineRule="auto"/>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9.违反有关法律、法规、规章规定的其它行为。</w:t>
      </w:r>
    </w:p>
    <w:p w14:paraId="67FA367E">
      <w:pPr>
        <w:pStyle w:val="53"/>
        <w:widowControl/>
        <w:spacing w:line="360" w:lineRule="auto"/>
        <w:ind w:firstLine="48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bCs/>
          <w:color w:val="auto"/>
          <w:szCs w:val="28"/>
          <w:highlight w:val="none"/>
        </w:rPr>
        <w:t>3.33依据《关于印发&lt;广东省建筑工程领域工人工资支付专用账户管理办法&gt;的通知》（粤人社规[2018]14号）文件精神，中标人必须设立工人工资支付专用账户，专门用于发放作业工人工资。</w:t>
      </w:r>
      <w:bookmarkStart w:id="370" w:name="_Hlt69698776"/>
    </w:p>
    <w:p w14:paraId="0ED1C48F">
      <w:pPr>
        <w:pStyle w:val="34"/>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3.34</w:t>
      </w:r>
      <w:r>
        <w:rPr>
          <w:rFonts w:hint="eastAsia" w:asciiTheme="minorEastAsia" w:hAnsiTheme="minorEastAsia" w:eastAsiaTheme="minorEastAsia" w:cstheme="minorEastAsia"/>
          <w:color w:val="auto"/>
          <w:szCs w:val="24"/>
          <w:highlight w:val="none"/>
        </w:rPr>
        <w:t>中标人在施工图设计前，要充分进行市场调查，主要材料、设备在满足设计规范及建设标准的情况下，尽量采用造价管理机构发布的信息价中有相应型号、规格的标准材料，若必须采用非标准材料的</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Cs w:val="24"/>
          <w:highlight w:val="none"/>
        </w:rPr>
        <w:t>必须经招标人同意，否则参照信息价中相近且低于其标准的材料信息价作为该项材料的结算价。</w:t>
      </w:r>
    </w:p>
    <w:p w14:paraId="5993B0D3">
      <w:pPr>
        <w:pStyle w:val="34"/>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3.35</w:t>
      </w:r>
      <w:r>
        <w:rPr>
          <w:rFonts w:hint="eastAsia" w:asciiTheme="minorEastAsia" w:hAnsiTheme="minorEastAsia" w:eastAsiaTheme="minorEastAsia" w:cstheme="minorEastAsia"/>
          <w:color w:val="auto"/>
          <w:szCs w:val="24"/>
          <w:highlight w:val="none"/>
        </w:rPr>
        <w:t>中标人应按招标人提供的场地出平图先行进行场地平整。</w:t>
      </w:r>
    </w:p>
    <w:p w14:paraId="14A36D98">
      <w:pPr>
        <w:pStyle w:val="34"/>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3.36</w:t>
      </w:r>
      <w:r>
        <w:rPr>
          <w:rFonts w:hint="eastAsia" w:asciiTheme="minorEastAsia" w:hAnsiTheme="minorEastAsia" w:eastAsiaTheme="minorEastAsia" w:cstheme="minorEastAsia"/>
          <w:color w:val="auto"/>
          <w:szCs w:val="24"/>
          <w:highlight w:val="none"/>
        </w:rPr>
        <w:t>中标人必须根据设计施工图及现场编制施工组织设计及专项施工方案报有关部门审批。</w:t>
      </w:r>
    </w:p>
    <w:p w14:paraId="7109CA1F">
      <w:pPr>
        <w:pStyle w:val="55"/>
        <w:snapToGrid w:val="0"/>
        <w:ind w:firstLine="482" w:firstLineChars="200"/>
        <w:rPr>
          <w:rFonts w:hint="eastAsia"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3.37危险性较大的分部分项工程安全管理约定</w:t>
      </w:r>
    </w:p>
    <w:p w14:paraId="559E5490">
      <w:pPr>
        <w:pStyle w:val="55"/>
        <w:wordWrap w:val="0"/>
        <w:adjustRightInd w:val="0"/>
        <w:snapToGrid w:val="0"/>
        <w:ind w:firstLine="482" w:firstLineChars="200"/>
        <w:rPr>
          <w:rFonts w:hint="eastAsia"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中标人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14:paraId="0560B31A">
      <w:pPr>
        <w:pStyle w:val="34"/>
        <w:ind w:firstLine="482" w:firstLineChars="200"/>
        <w:rPr>
          <w:rFonts w:hint="eastAsia"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中标人应根据《危险性较大的分部分项工程安全管理规定》（住房城乡建设部令第37号）、《住房城乡建设部办公厅关于实施&lt;危险性较大的分部分项工程安全管理规定&gt;有关问题的通知》（建办质〔2018〕31号）、《广东省住房和城乡建设厅关于房屋市政工程危险性较大的分部分项工程安全管理的实施细则的通知》（粤建规范〔2019〕2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w:t>
      </w:r>
    </w:p>
    <w:p w14:paraId="74EE28CF">
      <w:pPr>
        <w:pStyle w:val="34"/>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highlight w:val="none"/>
          <w:shd w:val="clear" w:color="auto" w:fill="FFFFFF"/>
        </w:rPr>
        <w:t>3.38</w:t>
      </w:r>
      <w:r>
        <w:rPr>
          <w:rFonts w:hint="eastAsia" w:asciiTheme="minorEastAsia" w:hAnsiTheme="minorEastAsia" w:eastAsiaTheme="minorEastAsia" w:cstheme="minorEastAsia"/>
          <w:color w:val="auto"/>
          <w:szCs w:val="24"/>
          <w:highlight w:val="none"/>
        </w:rPr>
        <w:t>中标人项目经理和主要管理人员的考勤实行实名制打卡，中标人项目经理和主要管理人员的考勤若发现有弄虚作假行为，发现一次，中标人应承担一般违约责任1次。</w:t>
      </w:r>
    </w:p>
    <w:p w14:paraId="4C86ED20">
      <w:pPr>
        <w:pStyle w:val="34"/>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highlight w:val="none"/>
          <w:shd w:val="clear" w:color="auto" w:fill="FFFFFF"/>
        </w:rPr>
        <w:t>3.</w:t>
      </w:r>
      <w:r>
        <w:rPr>
          <w:rFonts w:hint="eastAsia" w:asciiTheme="minorEastAsia" w:hAnsiTheme="minorEastAsia" w:eastAsiaTheme="minorEastAsia" w:cstheme="minorEastAsia"/>
          <w:b/>
          <w:color w:val="auto"/>
          <w:highlight w:val="none"/>
          <w:shd w:val="clear" w:color="auto" w:fill="FFFFFF"/>
          <w:lang w:val="en-US" w:eastAsia="zh-CN"/>
        </w:rPr>
        <w:t xml:space="preserve">39 </w:t>
      </w:r>
      <w:r>
        <w:rPr>
          <w:rFonts w:hint="eastAsia" w:asciiTheme="minorEastAsia" w:hAnsiTheme="minorEastAsia" w:eastAsiaTheme="minorEastAsia" w:cstheme="minorEastAsia"/>
          <w:b/>
          <w:bCs/>
          <w:color w:val="auto"/>
          <w:szCs w:val="24"/>
          <w:highlight w:val="none"/>
        </w:rPr>
        <w:t>本项目在建设过程中，中标人的设计及施工的质量安全等相关实施内容要按照业主单位、发包单位的相关管理规定和质量安全考核要求，随时接受业主单位、发包单位自行或委托的第三方的监督检查及考核，中标人必须无条件配合，如中标人不配合或未通过相关的监督检查及考核，中标人须接受业主单位、发包单位的相关管理规定和处罚，并承担相应的责任。</w:t>
      </w:r>
    </w:p>
    <w:p w14:paraId="5D301C72">
      <w:pPr>
        <w:pStyle w:val="34"/>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highlight w:val="none"/>
          <w:shd w:val="clear" w:color="auto" w:fill="FFFFFF"/>
        </w:rPr>
        <w:t>3.4</w:t>
      </w:r>
      <w:r>
        <w:rPr>
          <w:rFonts w:hint="eastAsia" w:asciiTheme="minorEastAsia" w:hAnsiTheme="minorEastAsia" w:eastAsiaTheme="minorEastAsia" w:cstheme="minorEastAsia"/>
          <w:b/>
          <w:color w:val="auto"/>
          <w:highlight w:val="none"/>
          <w:shd w:val="clear" w:color="auto" w:fill="FFFFFF"/>
          <w:lang w:val="en-US" w:eastAsia="zh-CN"/>
        </w:rPr>
        <w:t>0</w:t>
      </w:r>
      <w:r>
        <w:rPr>
          <w:rFonts w:hint="eastAsia" w:asciiTheme="minorEastAsia" w:hAnsiTheme="minorEastAsia" w:eastAsiaTheme="minorEastAsia" w:cstheme="minorEastAsia"/>
          <w:b/>
          <w:bCs/>
          <w:color w:val="auto"/>
          <w:szCs w:val="24"/>
          <w:highlight w:val="none"/>
        </w:rPr>
        <w:t>其他事项</w:t>
      </w:r>
    </w:p>
    <w:p w14:paraId="6462C9C9">
      <w:pPr>
        <w:spacing w:line="360" w:lineRule="auto"/>
        <w:ind w:firstLine="542" w:firstLineChars="225"/>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color w:val="auto"/>
          <w:highlight w:val="none"/>
          <w:shd w:val="clear" w:color="auto" w:fill="FFFFFF"/>
        </w:rPr>
        <w:t>3.4</w:t>
      </w:r>
      <w:r>
        <w:rPr>
          <w:rFonts w:hint="eastAsia" w:asciiTheme="minorEastAsia" w:hAnsiTheme="minorEastAsia" w:eastAsiaTheme="minorEastAsia" w:cstheme="minorEastAsia"/>
          <w:b/>
          <w:color w:val="auto"/>
          <w:highlight w:val="none"/>
          <w:shd w:val="clear" w:color="auto" w:fill="FFFFFF"/>
          <w:lang w:val="en-US" w:eastAsia="zh-CN"/>
        </w:rPr>
        <w:t>0</w:t>
      </w:r>
      <w:r>
        <w:rPr>
          <w:rFonts w:hint="eastAsia" w:asciiTheme="minorEastAsia" w:hAnsiTheme="minorEastAsia" w:eastAsiaTheme="minorEastAsia" w:cstheme="minorEastAsia"/>
          <w:b/>
          <w:color w:val="auto"/>
          <w:highlight w:val="none"/>
          <w:shd w:val="clear" w:color="auto" w:fill="FFFFFF"/>
        </w:rPr>
        <w:t xml:space="preserve">.1 </w:t>
      </w:r>
      <w:r>
        <w:rPr>
          <w:rFonts w:hint="eastAsia" w:asciiTheme="minorEastAsia" w:hAnsiTheme="minorEastAsia" w:eastAsiaTheme="minorEastAsia" w:cstheme="minorEastAsia"/>
          <w:snapToGrid w:val="0"/>
          <w:color w:val="auto"/>
          <w:kern w:val="0"/>
          <w:szCs w:val="24"/>
          <w:highlight w:val="none"/>
        </w:rPr>
        <w:t>招标文件中涉及的合同实质性内容以及拟签合同的主要条款内容、中标须知、相关附件、格式内容等为中标后拟签合同实质性内容，在订立合同时不得擅自进行更改。</w:t>
      </w:r>
    </w:p>
    <w:p w14:paraId="4904C669">
      <w:pPr>
        <w:pStyle w:val="30"/>
        <w:spacing w:line="360" w:lineRule="auto"/>
        <w:ind w:firstLine="480"/>
        <w:jc w:val="left"/>
        <w:rPr>
          <w:rFonts w:hint="eastAsia" w:asciiTheme="minorEastAsia" w:hAnsiTheme="minorEastAsia" w:eastAsiaTheme="minorEastAsia" w:cstheme="minorEastAsia"/>
          <w:b w:val="0"/>
          <w:snapToGrid w:val="0"/>
          <w:color w:val="auto"/>
          <w:kern w:val="0"/>
          <w:sz w:val="24"/>
          <w:highlight w:val="none"/>
        </w:rPr>
      </w:pPr>
      <w:r>
        <w:rPr>
          <w:rFonts w:hint="eastAsia" w:asciiTheme="minorEastAsia" w:hAnsiTheme="minorEastAsia" w:eastAsiaTheme="minorEastAsia" w:cstheme="minorEastAsia"/>
          <w:color w:val="auto"/>
          <w:sz w:val="24"/>
          <w:highlight w:val="none"/>
          <w:shd w:val="clear" w:color="auto" w:fill="FFFFFF"/>
        </w:rPr>
        <w:t>3.4</w:t>
      </w:r>
      <w:r>
        <w:rPr>
          <w:rFonts w:hint="eastAsia" w:asciiTheme="minorEastAsia" w:hAnsiTheme="minorEastAsia" w:eastAsiaTheme="minorEastAsia" w:cstheme="minorEastAsia"/>
          <w:color w:val="auto"/>
          <w:sz w:val="24"/>
          <w:highlight w:val="none"/>
          <w:shd w:val="clear" w:color="auto" w:fill="FFFFFF"/>
          <w:lang w:val="en-US" w:eastAsia="zh-CN"/>
        </w:rPr>
        <w:t>0</w:t>
      </w:r>
      <w:r>
        <w:rPr>
          <w:rFonts w:hint="eastAsia" w:asciiTheme="minorEastAsia" w:hAnsiTheme="minorEastAsia" w:eastAsiaTheme="minorEastAsia" w:cstheme="minorEastAsia"/>
          <w:color w:val="auto"/>
          <w:sz w:val="24"/>
          <w:highlight w:val="none"/>
          <w:shd w:val="clear" w:color="auto" w:fill="FFFFFF"/>
        </w:rPr>
        <w:t>.2</w:t>
      </w:r>
      <w:r>
        <w:rPr>
          <w:rFonts w:hint="eastAsia" w:asciiTheme="minorEastAsia" w:hAnsiTheme="minorEastAsia" w:eastAsiaTheme="minorEastAsia" w:cstheme="minorEastAsia"/>
          <w:b w:val="0"/>
          <w:snapToGrid w:val="0"/>
          <w:color w:val="auto"/>
          <w:kern w:val="0"/>
          <w:sz w:val="24"/>
          <w:highlight w:val="none"/>
        </w:rPr>
        <w:t>中标人应按《关于印发&lt;南雄市安全生产责任保险实施方案（2020-2021）年&gt;的通知》文件办理安全生产责任保险。</w:t>
      </w:r>
    </w:p>
    <w:p w14:paraId="5B54C4CB">
      <w:pPr>
        <w:pStyle w:val="35"/>
        <w:keepNext/>
        <w:keepLines/>
        <w:tabs>
          <w:tab w:val="left" w:pos="885"/>
        </w:tabs>
        <w:jc w:val="center"/>
        <w:rPr>
          <w:rFonts w:hint="eastAsia" w:asciiTheme="minorEastAsia" w:hAnsiTheme="minorEastAsia" w:eastAsiaTheme="minorEastAsia" w:cstheme="minorEastAsia"/>
          <w:b/>
          <w:color w:val="auto"/>
          <w:kern w:val="44"/>
          <w:sz w:val="36"/>
          <w:szCs w:val="36"/>
          <w:highlight w:val="none"/>
        </w:rPr>
      </w:pPr>
      <w:bookmarkStart w:id="371" w:name="_Toc24187"/>
      <w:bookmarkStart w:id="372" w:name="_Toc21647"/>
      <w:bookmarkStart w:id="373" w:name="_Toc20219"/>
      <w:bookmarkStart w:id="374" w:name="_Toc29153"/>
      <w:bookmarkStart w:id="375" w:name="_Toc18638"/>
      <w:bookmarkStart w:id="376" w:name="_Toc21424"/>
      <w:bookmarkStart w:id="377" w:name="_Toc28287"/>
      <w:bookmarkStart w:id="378" w:name="_Toc27728"/>
      <w:bookmarkStart w:id="379" w:name="_Toc25756"/>
      <w:r>
        <w:rPr>
          <w:rFonts w:hint="eastAsia" w:asciiTheme="minorEastAsia" w:hAnsiTheme="minorEastAsia" w:eastAsiaTheme="minorEastAsia" w:cstheme="minorEastAsia"/>
          <w:b/>
          <w:color w:val="auto"/>
          <w:kern w:val="44"/>
          <w:sz w:val="36"/>
          <w:szCs w:val="36"/>
          <w:highlight w:val="none"/>
        </w:rPr>
        <w:t>第四</w:t>
      </w:r>
      <w:bookmarkStart w:id="380" w:name="_Hlt69669176"/>
      <w:bookmarkEnd w:id="380"/>
      <w:r>
        <w:rPr>
          <w:rFonts w:hint="eastAsia" w:asciiTheme="minorEastAsia" w:hAnsiTheme="minorEastAsia" w:eastAsiaTheme="minorEastAsia" w:cstheme="minorEastAsia"/>
          <w:b/>
          <w:color w:val="auto"/>
          <w:kern w:val="44"/>
          <w:sz w:val="36"/>
          <w:szCs w:val="36"/>
          <w:highlight w:val="none"/>
        </w:rPr>
        <w:t>章</w:t>
      </w:r>
      <w:bookmarkStart w:id="381" w:name="_Hlt87793847"/>
      <w:bookmarkEnd w:id="381"/>
      <w:r>
        <w:rPr>
          <w:rFonts w:hint="eastAsia" w:asciiTheme="minorEastAsia" w:hAnsiTheme="minorEastAsia" w:eastAsiaTheme="minorEastAsia" w:cstheme="minorEastAsia"/>
          <w:b/>
          <w:color w:val="auto"/>
          <w:kern w:val="44"/>
          <w:sz w:val="36"/>
          <w:szCs w:val="36"/>
          <w:highlight w:val="none"/>
        </w:rPr>
        <w:t xml:space="preserve"> 投标人提交的其他材料</w:t>
      </w:r>
      <w:bookmarkEnd w:id="371"/>
      <w:bookmarkEnd w:id="372"/>
      <w:bookmarkEnd w:id="373"/>
      <w:bookmarkEnd w:id="374"/>
      <w:bookmarkEnd w:id="375"/>
      <w:bookmarkEnd w:id="376"/>
      <w:bookmarkEnd w:id="377"/>
      <w:bookmarkEnd w:id="378"/>
      <w:bookmarkEnd w:id="379"/>
    </w:p>
    <w:p w14:paraId="4A978215">
      <w:pPr>
        <w:pStyle w:val="34"/>
        <w:rPr>
          <w:rFonts w:hint="eastAsia" w:asciiTheme="minorEastAsia" w:hAnsiTheme="minorEastAsia" w:eastAsiaTheme="minorEastAsia" w:cstheme="minorEastAsia"/>
          <w:color w:val="auto"/>
          <w:highlight w:val="none"/>
        </w:rPr>
      </w:pPr>
    </w:p>
    <w:bookmarkEnd w:id="370"/>
    <w:p w14:paraId="19AA2CEA">
      <w:pPr>
        <w:pStyle w:val="45"/>
        <w:spacing w:line="400" w:lineRule="exact"/>
        <w:ind w:firstLine="0"/>
        <w:jc w:val="both"/>
        <w:outlineLvl w:val="1"/>
        <w:rPr>
          <w:rFonts w:hint="eastAsia" w:asciiTheme="minorEastAsia" w:hAnsiTheme="minorEastAsia" w:eastAsiaTheme="minorEastAsia" w:cstheme="minorEastAsia"/>
          <w:b/>
          <w:color w:val="auto"/>
          <w:kern w:val="2"/>
          <w:highlight w:val="none"/>
        </w:rPr>
      </w:pPr>
      <w:bookmarkStart w:id="382" w:name="_Hlt66531751"/>
      <w:bookmarkEnd w:id="382"/>
      <w:bookmarkStart w:id="383" w:name="_Hlt66104911"/>
      <w:bookmarkEnd w:id="383"/>
      <w:bookmarkStart w:id="384" w:name="_Toc19932"/>
      <w:bookmarkStart w:id="385" w:name="_Toc5994"/>
      <w:bookmarkStart w:id="386" w:name="_Toc1109"/>
      <w:bookmarkStart w:id="387" w:name="_Toc28975"/>
      <w:bookmarkStart w:id="388" w:name="_Toc18673"/>
      <w:bookmarkStart w:id="389" w:name="_Toc17597"/>
      <w:bookmarkStart w:id="390" w:name="_Toc31172"/>
      <w:bookmarkStart w:id="391" w:name="_Toc5733"/>
      <w:bookmarkStart w:id="392" w:name="_Toc21505"/>
      <w:r>
        <w:rPr>
          <w:rFonts w:hint="eastAsia" w:asciiTheme="minorEastAsia" w:hAnsiTheme="minorEastAsia" w:eastAsiaTheme="minorEastAsia" w:cstheme="minorEastAsia"/>
          <w:b/>
          <w:color w:val="auto"/>
          <w:kern w:val="2"/>
          <w:highlight w:val="none"/>
        </w:rPr>
        <w:t>1</w:t>
      </w:r>
      <w:bookmarkStart w:id="393" w:name="_Hlt69356768"/>
      <w:bookmarkEnd w:id="393"/>
      <w:bookmarkStart w:id="394" w:name="_Hlt66677316"/>
      <w:r>
        <w:rPr>
          <w:rFonts w:hint="eastAsia" w:asciiTheme="minorEastAsia" w:hAnsiTheme="minorEastAsia" w:eastAsiaTheme="minorEastAsia" w:cstheme="minorEastAsia"/>
          <w:b/>
          <w:color w:val="auto"/>
          <w:kern w:val="2"/>
          <w:highlight w:val="none"/>
        </w:rPr>
        <w:t xml:space="preserve"> 投标保证</w:t>
      </w:r>
      <w:bookmarkEnd w:id="384"/>
      <w:bookmarkEnd w:id="385"/>
      <w:bookmarkEnd w:id="386"/>
      <w:bookmarkEnd w:id="387"/>
      <w:bookmarkEnd w:id="388"/>
      <w:bookmarkEnd w:id="389"/>
      <w:bookmarkEnd w:id="390"/>
      <w:bookmarkEnd w:id="391"/>
      <w:bookmarkEnd w:id="392"/>
      <w:bookmarkEnd w:id="394"/>
    </w:p>
    <w:p w14:paraId="66682DF2">
      <w:pPr>
        <w:snapToGrid w:val="0"/>
        <w:spacing w:beforeLines="50"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1.1</w:t>
      </w:r>
      <w:r>
        <w:rPr>
          <w:rFonts w:hint="eastAsia" w:asciiTheme="minorEastAsia" w:hAnsiTheme="minorEastAsia" w:eastAsiaTheme="minorEastAsia" w:cstheme="minorEastAsia"/>
          <w:color w:val="auto"/>
          <w:szCs w:val="24"/>
          <w:highlight w:val="none"/>
        </w:rPr>
        <w:t xml:space="preserve"> 投标保证的形式包括投标保证金、投标保证担保、投标保证保险三种，由投标人自主选择。</w:t>
      </w:r>
    </w:p>
    <w:p w14:paraId="105C575E">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采用投标保证金的，投标人在建设工程交易系统获取招标文件完毕后，即可在系统申请缴纳投标保证金，获取本次招标投标保证金缴纳账号。投标人必须于投标保证金到账截止时间（见招标文件“重要事项时间地点一览表”）前，从其基本账户将投标保证金转账到指定的缴纳账号。逾期到账的、从非投标人基本账户转出的，其投标无效。</w:t>
      </w:r>
    </w:p>
    <w:p w14:paraId="7C7D7078">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用投标保证担保的，投标人应提交有效的银行保函，银行保函的有效期不得短于投标有效期。投标人必须在投标保证担保截止时间（见本招标文件“重要事项时间地点一览表”）前，使用工程建设交易系统完成网上办理电子保函。</w:t>
      </w:r>
    </w:p>
    <w:p w14:paraId="7730A314">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采用投标保证保险的，投标人须在投标保证保险投保截止时间（见本招标文件“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0D940964">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5D7C8DF6">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1.2</w:t>
      </w:r>
      <w:r>
        <w:rPr>
          <w:rFonts w:hint="eastAsia" w:asciiTheme="minorEastAsia" w:hAnsiTheme="minorEastAsia" w:eastAsiaTheme="minorEastAsia" w:cstheme="minorEastAsia"/>
          <w:color w:val="auto"/>
          <w:highlight w:val="none"/>
        </w:rPr>
        <w:t>投标人撤回已提交的投标文件，应当在投标截止时间前书面通知招标人。投标截止后投标人撤销投标文件的，招标人可以不退还投标保证。</w:t>
      </w:r>
    </w:p>
    <w:p w14:paraId="61CBA223">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1.3</w:t>
      </w:r>
      <w:r>
        <w:rPr>
          <w:rFonts w:hint="eastAsia" w:asciiTheme="minorEastAsia" w:hAnsiTheme="minorEastAsia" w:eastAsiaTheme="minorEastAsia" w:cstheme="minorEastAsia"/>
          <w:color w:val="auto"/>
          <w:highlight w:val="none"/>
        </w:rPr>
        <w:t>投标保证的退还方式：</w:t>
      </w:r>
    </w:p>
    <w:p w14:paraId="07FE1BBA">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中标候选人公示期满无异议（投诉）后，招标人确定第一中标候选人为中标人，并在中标人确定之日起7个工作日内向中标人发出中标通知书。在中标通知书发出后5个工作日内，韶关市公共资源交易中心将投标保证金（或银行保函）退还给中标候选人以外的投标人。</w:t>
      </w:r>
    </w:p>
    <w:p w14:paraId="6039B922">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14:paraId="07ABFB0F">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1.4</w:t>
      </w:r>
      <w:r>
        <w:rPr>
          <w:rFonts w:hint="eastAsia" w:asciiTheme="minorEastAsia" w:hAnsiTheme="minorEastAsia" w:eastAsiaTheme="minorEastAsia" w:cstheme="minorEastAsia"/>
          <w:color w:val="auto"/>
          <w:highlight w:val="none"/>
        </w:rPr>
        <w:t xml:space="preserve"> 投标人中标后不与招标人依据招标文件要求签订工程合同的，由建设行政主管部门按规定处理其投标保证。</w:t>
      </w:r>
    </w:p>
    <w:p w14:paraId="1A2A67A8">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1.5</w:t>
      </w:r>
      <w:r>
        <w:rPr>
          <w:rFonts w:hint="eastAsia" w:asciiTheme="minorEastAsia" w:hAnsiTheme="minorEastAsia" w:eastAsiaTheme="minorEastAsia" w:cstheme="minorEastAsia"/>
          <w:color w:val="auto"/>
          <w:highlight w:val="none"/>
        </w:rPr>
        <w:t xml:space="preserve"> 组成联合体时由联合体牵头人缴纳投标保证。</w:t>
      </w:r>
    </w:p>
    <w:p w14:paraId="50807269">
      <w:pPr>
        <w:pStyle w:val="45"/>
        <w:spacing w:line="360" w:lineRule="auto"/>
        <w:ind w:firstLine="0"/>
        <w:jc w:val="both"/>
        <w:outlineLvl w:val="1"/>
        <w:rPr>
          <w:rFonts w:hint="eastAsia" w:asciiTheme="minorEastAsia" w:hAnsiTheme="minorEastAsia" w:eastAsiaTheme="minorEastAsia" w:cstheme="minorEastAsia"/>
          <w:b/>
          <w:color w:val="auto"/>
          <w:kern w:val="2"/>
          <w:highlight w:val="none"/>
        </w:rPr>
      </w:pPr>
      <w:bookmarkStart w:id="395" w:name="_Hlt87792499"/>
      <w:bookmarkEnd w:id="395"/>
      <w:bookmarkStart w:id="396" w:name="_Hlt87793359"/>
      <w:bookmarkEnd w:id="396"/>
      <w:bookmarkStart w:id="397" w:name="_Toc22441"/>
      <w:bookmarkStart w:id="398" w:name="_Toc3054"/>
      <w:bookmarkStart w:id="399" w:name="_Toc20998"/>
      <w:bookmarkStart w:id="400" w:name="_Toc3284"/>
      <w:bookmarkStart w:id="401" w:name="_Toc985"/>
      <w:bookmarkStart w:id="402" w:name="_Toc10164"/>
      <w:bookmarkStart w:id="403" w:name="_Toc23304"/>
      <w:bookmarkStart w:id="404" w:name="_Toc8594"/>
      <w:bookmarkStart w:id="405" w:name="_Toc19536"/>
      <w:r>
        <w:rPr>
          <w:rFonts w:hint="eastAsia" w:asciiTheme="minorEastAsia" w:hAnsiTheme="minorEastAsia" w:eastAsiaTheme="minorEastAsia" w:cstheme="minorEastAsia"/>
          <w:b/>
          <w:color w:val="auto"/>
          <w:kern w:val="2"/>
          <w:highlight w:val="none"/>
        </w:rPr>
        <w:t>2 履约保证金</w:t>
      </w:r>
      <w:bookmarkEnd w:id="397"/>
      <w:bookmarkEnd w:id="398"/>
      <w:bookmarkEnd w:id="399"/>
      <w:bookmarkEnd w:id="400"/>
      <w:bookmarkEnd w:id="401"/>
      <w:bookmarkEnd w:id="402"/>
      <w:bookmarkEnd w:id="403"/>
      <w:bookmarkEnd w:id="404"/>
      <w:bookmarkEnd w:id="405"/>
    </w:p>
    <w:bookmarkEnd w:id="1"/>
    <w:p w14:paraId="3262A3AD">
      <w:pPr>
        <w:wordWrap w:val="0"/>
        <w:adjustRightInd w:val="0"/>
        <w:snapToGrid w:val="0"/>
        <w:spacing w:line="360" w:lineRule="auto"/>
        <w:ind w:firstLine="562"/>
        <w:rPr>
          <w:rFonts w:hint="eastAsia" w:asciiTheme="minorEastAsia" w:hAnsiTheme="minorEastAsia" w:eastAsiaTheme="minorEastAsia" w:cstheme="minorEastAsia"/>
          <w:snapToGrid w:val="0"/>
          <w:color w:val="auto"/>
          <w:kern w:val="0"/>
          <w:szCs w:val="24"/>
          <w:highlight w:val="none"/>
        </w:rPr>
      </w:pPr>
      <w:bookmarkStart w:id="406" w:name="_Toc466640610"/>
      <w:r>
        <w:rPr>
          <w:rFonts w:hint="eastAsia" w:asciiTheme="minorEastAsia" w:hAnsiTheme="minorEastAsia" w:eastAsiaTheme="minorEastAsia" w:cstheme="minorEastAsia"/>
          <w:b/>
          <w:bCs/>
          <w:snapToGrid w:val="0"/>
          <w:color w:val="auto"/>
          <w:kern w:val="0"/>
          <w:szCs w:val="24"/>
          <w:highlight w:val="none"/>
        </w:rPr>
        <w:t>2.1</w:t>
      </w:r>
      <w:r>
        <w:rPr>
          <w:rFonts w:hint="eastAsia" w:asciiTheme="minorEastAsia" w:hAnsiTheme="minorEastAsia" w:eastAsiaTheme="minorEastAsia" w:cstheme="minorEastAsia"/>
          <w:snapToGrid w:val="0"/>
          <w:color w:val="auto"/>
          <w:kern w:val="0"/>
          <w:szCs w:val="24"/>
          <w:highlight w:val="none"/>
        </w:rPr>
        <w:t xml:space="preserve"> 中标人须在领取中标通知书之日起</w:t>
      </w:r>
      <w:r>
        <w:rPr>
          <w:rFonts w:hint="eastAsia" w:asciiTheme="minorEastAsia" w:hAnsiTheme="minorEastAsia" w:eastAsiaTheme="minorEastAsia" w:cstheme="minorEastAsia"/>
          <w:snapToGrid w:val="0"/>
          <w:color w:val="auto"/>
          <w:kern w:val="0"/>
          <w:szCs w:val="24"/>
          <w:highlight w:val="none"/>
          <w:u w:val="single"/>
        </w:rPr>
        <w:t xml:space="preserve"> 5 </w:t>
      </w:r>
      <w:r>
        <w:rPr>
          <w:rFonts w:hint="eastAsia" w:asciiTheme="minorEastAsia" w:hAnsiTheme="minorEastAsia" w:eastAsiaTheme="minorEastAsia" w:cstheme="minorEastAsia"/>
          <w:snapToGrid w:val="0"/>
          <w:color w:val="auto"/>
          <w:kern w:val="0"/>
          <w:szCs w:val="24"/>
          <w:highlight w:val="none"/>
        </w:rPr>
        <w:t>个工作日内、签订合同前向招标人提交金额为中标价</w:t>
      </w:r>
      <w:r>
        <w:rPr>
          <w:rFonts w:hint="eastAsia" w:asciiTheme="minorEastAsia" w:hAnsiTheme="minorEastAsia" w:eastAsiaTheme="minorEastAsia" w:cstheme="minorEastAsia"/>
          <w:snapToGrid w:val="0"/>
          <w:color w:val="auto"/>
          <w:kern w:val="0"/>
          <w:szCs w:val="24"/>
          <w:highlight w:val="none"/>
          <w:u w:val="single"/>
        </w:rPr>
        <w:t xml:space="preserve"> 5 </w:t>
      </w:r>
      <w:r>
        <w:rPr>
          <w:rFonts w:hint="eastAsia" w:asciiTheme="minorEastAsia" w:hAnsiTheme="minorEastAsia" w:eastAsiaTheme="minorEastAsia" w:cstheme="minorEastAsia"/>
          <w:snapToGrid w:val="0"/>
          <w:color w:val="auto"/>
          <w:kern w:val="0"/>
          <w:szCs w:val="24"/>
          <w:highlight w:val="none"/>
        </w:rPr>
        <w:t>% 的履约保证。联合体投标的，由联合体牵头人缴纳。</w:t>
      </w:r>
    </w:p>
    <w:p w14:paraId="14AD23C1">
      <w:pPr>
        <w:wordWrap w:val="0"/>
        <w:adjustRightInd w:val="0"/>
        <w:snapToGrid w:val="0"/>
        <w:spacing w:line="360" w:lineRule="auto"/>
        <w:ind w:firstLine="562"/>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2.2</w:t>
      </w:r>
      <w:r>
        <w:rPr>
          <w:rFonts w:hint="eastAsia" w:asciiTheme="minorEastAsia" w:hAnsiTheme="minorEastAsia" w:eastAsiaTheme="minorEastAsia" w:cstheme="minorEastAsia"/>
          <w:snapToGrid w:val="0"/>
          <w:color w:val="auto"/>
          <w:kern w:val="0"/>
          <w:szCs w:val="24"/>
          <w:highlight w:val="none"/>
        </w:rPr>
        <w:t xml:space="preserve"> 履约保证的形式包括履约保证金、履约保证金担保函两种，由中标人自主选择。中标人根据《关于统一在市公共资源交易一体化服务平台缴退工程建设项目履约保证金的通知》办理相关手续，履约保证的形式包括履约保证金、履约保证担保、履约保证保险三种，由中标人自主选择。商业保函、银行保函或保险合同（或保险单）的有效期应当自合同生效之日起至项目通过竣工验收之日后 28 天止。如果中标人无法获得具体截止日期，商业保函、银行保函或保险合同（或保险单）中应当有“变更项目竣工日期的，保证期间按照变更后的竣工日期做相应调整”或类似约定的条款。如履约保函</w:t>
      </w:r>
      <w:r>
        <w:rPr>
          <w:rFonts w:hint="eastAsia" w:asciiTheme="minorEastAsia" w:hAnsiTheme="minorEastAsia" w:eastAsiaTheme="minorEastAsia" w:cstheme="minorEastAsia"/>
          <w:snapToGrid w:val="0"/>
          <w:color w:val="auto"/>
          <w:kern w:val="0"/>
          <w:szCs w:val="24"/>
          <w:highlight w:val="none"/>
          <w:lang w:eastAsia="zh-CN"/>
        </w:rPr>
        <w:t>或保证保险</w:t>
      </w:r>
      <w:r>
        <w:rPr>
          <w:rFonts w:hint="eastAsia" w:asciiTheme="minorEastAsia" w:hAnsiTheme="minorEastAsia" w:eastAsiaTheme="minorEastAsia" w:cstheme="minorEastAsia"/>
          <w:snapToGrid w:val="0"/>
          <w:color w:val="auto"/>
          <w:kern w:val="0"/>
          <w:szCs w:val="24"/>
          <w:highlight w:val="none"/>
        </w:rPr>
        <w:t>过期需要重新开具（保证至工程竣工验收完成之日有效）。在保函或保险合同到期前一个月，中标人须主动办理续期手续或提交新的保函或保险合同；如中标人未及时主动办理续期手续或提交新的保函或保险合同，招标人</w:t>
      </w:r>
      <w:r>
        <w:rPr>
          <w:rFonts w:hint="eastAsia" w:asciiTheme="minorEastAsia" w:hAnsiTheme="minorEastAsia" w:eastAsiaTheme="minorEastAsia" w:cstheme="minorEastAsia"/>
          <w:snapToGrid w:val="0"/>
          <w:color w:val="auto"/>
          <w:kern w:val="0"/>
          <w:szCs w:val="24"/>
          <w:highlight w:val="none"/>
          <w:lang w:eastAsia="zh-CN"/>
        </w:rPr>
        <w:t>将</w:t>
      </w:r>
      <w:r>
        <w:rPr>
          <w:rFonts w:hint="eastAsia" w:asciiTheme="minorEastAsia" w:hAnsiTheme="minorEastAsia" w:eastAsiaTheme="minorEastAsia" w:cstheme="minorEastAsia"/>
          <w:snapToGrid w:val="0"/>
          <w:color w:val="auto"/>
          <w:kern w:val="0"/>
          <w:szCs w:val="24"/>
          <w:highlight w:val="none"/>
        </w:rPr>
        <w:t>扣留与履约保证金等额的</w:t>
      </w:r>
      <w:r>
        <w:rPr>
          <w:rFonts w:hint="eastAsia" w:asciiTheme="minorEastAsia" w:hAnsiTheme="minorEastAsia" w:eastAsiaTheme="minorEastAsia" w:cstheme="minorEastAsia"/>
          <w:snapToGrid w:val="0"/>
          <w:color w:val="auto"/>
          <w:kern w:val="0"/>
          <w:szCs w:val="24"/>
          <w:highlight w:val="none"/>
          <w:lang w:eastAsia="zh-CN"/>
        </w:rPr>
        <w:t>监理服务费</w:t>
      </w:r>
      <w:r>
        <w:rPr>
          <w:rFonts w:hint="eastAsia" w:asciiTheme="minorEastAsia" w:hAnsiTheme="minorEastAsia" w:eastAsiaTheme="minorEastAsia" w:cstheme="minorEastAsia"/>
          <w:snapToGrid w:val="0"/>
          <w:color w:val="auto"/>
          <w:kern w:val="0"/>
          <w:szCs w:val="24"/>
          <w:highlight w:val="none"/>
        </w:rPr>
        <w:t>，直至中标人完成续期手续或提交新的保函或保险合同止。</w:t>
      </w:r>
    </w:p>
    <w:p w14:paraId="66EBDFAF">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2.3</w:t>
      </w:r>
      <w:r>
        <w:rPr>
          <w:rFonts w:hint="eastAsia" w:asciiTheme="minorEastAsia" w:hAnsiTheme="minorEastAsia" w:eastAsiaTheme="minorEastAsia" w:cstheme="minorEastAsia"/>
          <w:snapToGrid w:val="0"/>
          <w:color w:val="auto"/>
          <w:kern w:val="0"/>
          <w:szCs w:val="24"/>
          <w:highlight w:val="none"/>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14:paraId="3ACC46F5">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2.4</w:t>
      </w:r>
      <w:r>
        <w:rPr>
          <w:rFonts w:hint="eastAsia" w:asciiTheme="minorEastAsia" w:hAnsiTheme="minorEastAsia" w:eastAsiaTheme="minorEastAsia" w:cstheme="minorEastAsia"/>
          <w:snapToGrid w:val="0"/>
          <w:color w:val="auto"/>
          <w:kern w:val="0"/>
          <w:szCs w:val="24"/>
          <w:highlight w:val="none"/>
        </w:rPr>
        <w:t xml:space="preserve"> 在工程实施过程中，如果中标人（即招标阶段的中标人，下同）由于自身的资金、技术、质量、非不可抗力等原因给招标人（即招标阶段的招标人，下同）造成经济损失，扣除相应履约保证。</w:t>
      </w:r>
    </w:p>
    <w:p w14:paraId="643EEAB2">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2.5</w:t>
      </w:r>
      <w:r>
        <w:rPr>
          <w:rFonts w:hint="eastAsia" w:asciiTheme="minorEastAsia" w:hAnsiTheme="minorEastAsia" w:eastAsiaTheme="minorEastAsia" w:cstheme="minorEastAsia"/>
          <w:snapToGrid w:val="0"/>
          <w:color w:val="auto"/>
          <w:kern w:val="0"/>
          <w:szCs w:val="24"/>
          <w:highlight w:val="none"/>
        </w:rPr>
        <w:t xml:space="preserve"> 项目通过竣工验收之日后28天内，韶关市公共资源交易中心一体化服务平台将履约保证退还给中标人。</w:t>
      </w:r>
    </w:p>
    <w:p w14:paraId="66F39DBB">
      <w:pPr>
        <w:pStyle w:val="34"/>
        <w:ind w:firstLine="480"/>
        <w:outlineLvl w:val="1"/>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b/>
          <w:color w:val="auto"/>
          <w:szCs w:val="24"/>
          <w:highlight w:val="none"/>
        </w:rPr>
        <w:t>3</w:t>
      </w:r>
      <w:r>
        <w:rPr>
          <w:rFonts w:hint="eastAsia" w:asciiTheme="minorEastAsia" w:hAnsiTheme="minorEastAsia" w:eastAsiaTheme="minorEastAsia" w:cstheme="minorEastAsia"/>
          <w:b/>
          <w:snapToGrid w:val="0"/>
          <w:color w:val="auto"/>
          <w:szCs w:val="24"/>
          <w:highlight w:val="none"/>
        </w:rPr>
        <w:t>质量保证</w:t>
      </w:r>
    </w:p>
    <w:p w14:paraId="79F6FD7D">
      <w:pPr>
        <w:wordWrap w:val="0"/>
        <w:adjustRightInd w:val="0"/>
        <w:snapToGrid w:val="0"/>
        <w:spacing w:line="360" w:lineRule="auto"/>
        <w:ind w:firstLine="56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3.1</w:t>
      </w:r>
      <w:r>
        <w:rPr>
          <w:rFonts w:hint="eastAsia" w:asciiTheme="minorEastAsia" w:hAnsiTheme="minorEastAsia" w:eastAsiaTheme="minorEastAsia" w:cstheme="minorEastAsia"/>
          <w:bCs/>
          <w:snapToGrid w:val="0"/>
          <w:color w:val="auto"/>
          <w:kern w:val="0"/>
          <w:szCs w:val="24"/>
          <w:highlight w:val="none"/>
        </w:rPr>
        <w:t xml:space="preserve"> 本工程缺陷责任期为</w:t>
      </w:r>
      <w:r>
        <w:rPr>
          <w:rFonts w:hint="eastAsia" w:asciiTheme="minorEastAsia" w:hAnsiTheme="minorEastAsia" w:eastAsiaTheme="minorEastAsia" w:cstheme="minorEastAsia"/>
          <w:bCs/>
          <w:snapToGrid w:val="0"/>
          <w:color w:val="auto"/>
          <w:kern w:val="0"/>
          <w:szCs w:val="24"/>
          <w:highlight w:val="none"/>
          <w:u w:val="single"/>
        </w:rPr>
        <w:t>2</w:t>
      </w:r>
      <w:r>
        <w:rPr>
          <w:rFonts w:hint="eastAsia" w:asciiTheme="minorEastAsia" w:hAnsiTheme="minorEastAsia" w:eastAsiaTheme="minorEastAsia" w:cstheme="minorEastAsia"/>
          <w:bCs/>
          <w:snapToGrid w:val="0"/>
          <w:color w:val="auto"/>
          <w:kern w:val="0"/>
          <w:szCs w:val="24"/>
          <w:highlight w:val="none"/>
        </w:rPr>
        <w:t>年（自通过竣工验收之日起计），在此期间预留金额为结算价</w:t>
      </w:r>
      <w:r>
        <w:rPr>
          <w:rFonts w:hint="eastAsia" w:asciiTheme="minorEastAsia" w:hAnsiTheme="minorEastAsia" w:eastAsiaTheme="minorEastAsia" w:cstheme="minorEastAsia"/>
          <w:bCs/>
          <w:snapToGrid w:val="0"/>
          <w:color w:val="auto"/>
          <w:kern w:val="0"/>
          <w:szCs w:val="24"/>
          <w:highlight w:val="none"/>
          <w:u w:val="single"/>
        </w:rPr>
        <w:t>3%</w:t>
      </w:r>
      <w:r>
        <w:rPr>
          <w:rFonts w:hint="eastAsia" w:asciiTheme="minorEastAsia" w:hAnsiTheme="minorEastAsia" w:eastAsiaTheme="minorEastAsia" w:cstheme="minorEastAsia"/>
          <w:bCs/>
          <w:snapToGrid w:val="0"/>
          <w:color w:val="auto"/>
          <w:kern w:val="0"/>
          <w:szCs w:val="24"/>
          <w:highlight w:val="none"/>
        </w:rPr>
        <w:t>的质量保证。</w:t>
      </w:r>
    </w:p>
    <w:p w14:paraId="0827A14A">
      <w:pPr>
        <w:wordWrap w:val="0"/>
        <w:adjustRightInd w:val="0"/>
        <w:snapToGrid w:val="0"/>
        <w:spacing w:line="360" w:lineRule="auto"/>
        <w:ind w:firstLine="56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3.2</w:t>
      </w:r>
      <w:r>
        <w:rPr>
          <w:rFonts w:hint="eastAsia" w:asciiTheme="minorEastAsia" w:hAnsiTheme="minorEastAsia" w:eastAsiaTheme="minorEastAsia" w:cstheme="minorEastAsia"/>
          <w:bCs/>
          <w:snapToGrid w:val="0"/>
          <w:color w:val="auto"/>
          <w:kern w:val="0"/>
          <w:szCs w:val="24"/>
          <w:highlight w:val="none"/>
        </w:rPr>
        <w:t xml:space="preserve"> 质量保证的形式包括质量保证金、质量保证担保、质量保证保险三种，由中标人自主选择。</w:t>
      </w:r>
    </w:p>
    <w:p w14:paraId="1B90E0A3">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（1）采用质量保证金形式的，在结清审定总造价时一次性扣留相应金额作为质量保证金。</w:t>
      </w:r>
    </w:p>
    <w:p w14:paraId="5899375C">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（2）采用质量保证担保或质量保证保险的，中标人应在竣工验收时向招标人提交有效的银行保函原件或保险合同原件（或保险单），银行保函或保险合同原件（或保险单）的有效期不得短于缺陷责任期。</w:t>
      </w:r>
    </w:p>
    <w:p w14:paraId="2A806795">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3.3</w:t>
      </w:r>
      <w:r>
        <w:rPr>
          <w:rFonts w:hint="eastAsia" w:asciiTheme="minorEastAsia" w:hAnsiTheme="minorEastAsia" w:eastAsiaTheme="minorEastAsia" w:cstheme="minorEastAsia"/>
          <w:bCs/>
          <w:snapToGrid w:val="0"/>
          <w:color w:val="auto"/>
          <w:kern w:val="0"/>
          <w:szCs w:val="24"/>
          <w:highlight w:val="none"/>
        </w:rPr>
        <w:t xml:space="preserve"> 缺陷责任期内，由中标人原因造成的缺陷，中标人应负责维修，并承担鉴定及维修费用。如果中标人不维修也不承担费用，招标人可按合同约定从质量保证中扣除，维修费用超出保证金额的，招标人可按合同约定向中标人进行索赔。中标人维修并承担相应费用后，不免除对工程的损失赔偿责任。</w:t>
      </w:r>
    </w:p>
    <w:p w14:paraId="18324B43">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由他人原因造成的缺陷，招标人负责组织维修，中标人不承担费用，且招标人不得从质量保证中扣除费用。</w:t>
      </w:r>
    </w:p>
    <w:p w14:paraId="083032A0">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3.4</w:t>
      </w:r>
      <w:r>
        <w:rPr>
          <w:rFonts w:hint="eastAsia" w:asciiTheme="minorEastAsia" w:hAnsiTheme="minorEastAsia" w:eastAsiaTheme="minorEastAsia" w:cstheme="minorEastAsia"/>
          <w:bCs/>
          <w:snapToGrid w:val="0"/>
          <w:color w:val="auto"/>
          <w:kern w:val="0"/>
          <w:szCs w:val="24"/>
          <w:highlight w:val="none"/>
        </w:rPr>
        <w:t xml:space="preserve"> 缺陷责任期内，中标人应认真履行合同约定的责任。缺陷责任期到期后，中标人向招标人申请退还质量保证，招标人应按照《建设工程质量保证金管理办法》有关规定将质量保证退还给中标人（不计息）。</w:t>
      </w:r>
    </w:p>
    <w:p w14:paraId="0BCE4CDF">
      <w:pPr>
        <w:pStyle w:val="35"/>
        <w:keepNext/>
        <w:keepLines/>
        <w:tabs>
          <w:tab w:val="left" w:pos="885"/>
        </w:tabs>
        <w:jc w:val="both"/>
        <w:rPr>
          <w:rFonts w:hint="eastAsia" w:asciiTheme="minorEastAsia" w:hAnsiTheme="minorEastAsia" w:eastAsiaTheme="minorEastAsia" w:cstheme="minorEastAsia"/>
          <w:b/>
          <w:color w:val="auto"/>
          <w:kern w:val="44"/>
          <w:sz w:val="36"/>
          <w:szCs w:val="36"/>
          <w:highlight w:val="none"/>
        </w:rPr>
      </w:pPr>
      <w:bookmarkStart w:id="407" w:name="_Toc16873"/>
      <w:bookmarkStart w:id="408" w:name="_Toc29236"/>
      <w:bookmarkStart w:id="409" w:name="_Toc3372"/>
      <w:bookmarkStart w:id="410" w:name="_Toc25046"/>
      <w:bookmarkStart w:id="411" w:name="_Toc22105"/>
      <w:bookmarkStart w:id="412" w:name="_Toc17661"/>
      <w:bookmarkStart w:id="413" w:name="_Toc4262"/>
      <w:bookmarkStart w:id="414" w:name="_Toc26916"/>
      <w:bookmarkStart w:id="415" w:name="_Toc12936"/>
    </w:p>
    <w:p w14:paraId="0C1EE8EA">
      <w:pPr>
        <w:pStyle w:val="34"/>
        <w:rPr>
          <w:rFonts w:hint="eastAsia" w:asciiTheme="minorEastAsia" w:hAnsiTheme="minorEastAsia" w:eastAsiaTheme="minorEastAsia" w:cstheme="minorEastAsia"/>
          <w:b/>
          <w:color w:val="auto"/>
          <w:kern w:val="44"/>
          <w:sz w:val="36"/>
          <w:szCs w:val="36"/>
          <w:highlight w:val="none"/>
        </w:rPr>
      </w:pPr>
    </w:p>
    <w:p w14:paraId="4ED85B24">
      <w:pPr>
        <w:pStyle w:val="34"/>
        <w:rPr>
          <w:rFonts w:hint="eastAsia" w:asciiTheme="minorEastAsia" w:hAnsiTheme="minorEastAsia" w:eastAsiaTheme="minorEastAsia" w:cstheme="minorEastAsia"/>
          <w:b/>
          <w:color w:val="auto"/>
          <w:kern w:val="44"/>
          <w:sz w:val="36"/>
          <w:szCs w:val="36"/>
          <w:highlight w:val="none"/>
        </w:rPr>
      </w:pPr>
    </w:p>
    <w:p w14:paraId="4104D919">
      <w:pPr>
        <w:pStyle w:val="34"/>
        <w:rPr>
          <w:rFonts w:hint="eastAsia" w:asciiTheme="minorEastAsia" w:hAnsiTheme="minorEastAsia" w:eastAsiaTheme="minorEastAsia" w:cstheme="minorEastAsia"/>
          <w:b/>
          <w:color w:val="auto"/>
          <w:kern w:val="44"/>
          <w:sz w:val="36"/>
          <w:szCs w:val="36"/>
          <w:highlight w:val="none"/>
        </w:rPr>
      </w:pPr>
    </w:p>
    <w:p w14:paraId="1B3D2C50">
      <w:pPr>
        <w:pStyle w:val="35"/>
        <w:keepNext/>
        <w:keepLines/>
        <w:tabs>
          <w:tab w:val="left" w:pos="885"/>
        </w:tabs>
        <w:jc w:val="both"/>
        <w:rPr>
          <w:rFonts w:hint="eastAsia" w:asciiTheme="minorEastAsia" w:hAnsiTheme="minorEastAsia" w:eastAsiaTheme="minorEastAsia" w:cstheme="minorEastAsia"/>
          <w:b/>
          <w:color w:val="auto"/>
          <w:kern w:val="44"/>
          <w:sz w:val="36"/>
          <w:szCs w:val="36"/>
          <w:highlight w:val="none"/>
        </w:rPr>
      </w:pPr>
    </w:p>
    <w:p w14:paraId="067FC25D">
      <w:pPr>
        <w:pStyle w:val="35"/>
        <w:keepNext/>
        <w:keepLines/>
        <w:tabs>
          <w:tab w:val="left" w:pos="885"/>
        </w:tabs>
        <w:jc w:val="center"/>
        <w:rPr>
          <w:rFonts w:hint="eastAsia" w:asciiTheme="minorEastAsia" w:hAnsiTheme="minorEastAsia" w:eastAsiaTheme="minorEastAsia" w:cstheme="minorEastAsia"/>
          <w:b/>
          <w:color w:val="auto"/>
          <w:kern w:val="44"/>
          <w:sz w:val="36"/>
          <w:szCs w:val="36"/>
          <w:highlight w:val="none"/>
        </w:rPr>
      </w:pPr>
      <w:r>
        <w:rPr>
          <w:rFonts w:hint="eastAsia" w:asciiTheme="minorEastAsia" w:hAnsiTheme="minorEastAsia" w:eastAsiaTheme="minorEastAsia" w:cstheme="minorEastAsia"/>
          <w:b/>
          <w:color w:val="auto"/>
          <w:kern w:val="44"/>
          <w:sz w:val="36"/>
          <w:szCs w:val="36"/>
          <w:highlight w:val="none"/>
        </w:rPr>
        <w:t>第五章 招标工程的技术要求和前期文件</w:t>
      </w:r>
      <w:bookmarkEnd w:id="406"/>
      <w:bookmarkEnd w:id="407"/>
      <w:bookmarkEnd w:id="408"/>
      <w:bookmarkEnd w:id="409"/>
      <w:bookmarkEnd w:id="410"/>
      <w:bookmarkEnd w:id="411"/>
      <w:bookmarkEnd w:id="412"/>
      <w:bookmarkEnd w:id="413"/>
      <w:bookmarkEnd w:id="414"/>
      <w:bookmarkEnd w:id="415"/>
    </w:p>
    <w:p w14:paraId="134400ED">
      <w:pPr>
        <w:spacing w:line="400" w:lineRule="exact"/>
        <w:ind w:left="480"/>
        <w:rPr>
          <w:rFonts w:hint="eastAsia" w:asciiTheme="minorEastAsia" w:hAnsiTheme="minorEastAsia" w:eastAsiaTheme="minorEastAsia" w:cstheme="minorEastAsia"/>
          <w:color w:val="auto"/>
          <w:szCs w:val="24"/>
          <w:highlight w:val="none"/>
        </w:rPr>
      </w:pPr>
      <w:bookmarkStart w:id="416" w:name="_Hlt69357851"/>
      <w:bookmarkEnd w:id="416"/>
      <w:bookmarkStart w:id="417" w:name="_Hlt68774758"/>
      <w:bookmarkEnd w:id="417"/>
      <w:bookmarkStart w:id="418" w:name="_Hlt66104926"/>
      <w:bookmarkEnd w:id="418"/>
      <w:bookmarkStart w:id="419" w:name="_Hlt69359335"/>
      <w:bookmarkEnd w:id="419"/>
      <w:bookmarkStart w:id="420" w:name="_Hlt69265216"/>
      <w:bookmarkEnd w:id="420"/>
      <w:bookmarkStart w:id="421" w:name="_Hlt87793346"/>
      <w:bookmarkEnd w:id="421"/>
      <w:bookmarkStart w:id="422" w:name="_Hlt69358207"/>
      <w:bookmarkEnd w:id="422"/>
      <w:bookmarkStart w:id="423" w:name="_Hlt87793370"/>
      <w:bookmarkEnd w:id="423"/>
      <w:bookmarkStart w:id="424" w:name="_Hlt69116854"/>
      <w:bookmarkEnd w:id="424"/>
      <w:bookmarkStart w:id="425" w:name="_Hlt75685840"/>
      <w:bookmarkEnd w:id="425"/>
      <w:bookmarkStart w:id="426" w:name="_Hlt80411122"/>
      <w:bookmarkEnd w:id="426"/>
      <w:bookmarkStart w:id="427" w:name="_Toc466640611"/>
    </w:p>
    <w:p w14:paraId="50BE59D3">
      <w:pPr>
        <w:pStyle w:val="4"/>
        <w:spacing w:line="360" w:lineRule="auto"/>
        <w:outlineLvl w:val="1"/>
        <w:rPr>
          <w:rFonts w:hint="eastAsia" w:asciiTheme="minorEastAsia" w:hAnsiTheme="minorEastAsia" w:eastAsiaTheme="minorEastAsia" w:cstheme="minorEastAsia"/>
          <w:color w:val="auto"/>
          <w:szCs w:val="24"/>
          <w:highlight w:val="none"/>
        </w:rPr>
      </w:pPr>
      <w:bookmarkStart w:id="428" w:name="_Toc1173"/>
      <w:bookmarkStart w:id="429" w:name="_Toc5215"/>
      <w:bookmarkStart w:id="430" w:name="_Toc1436"/>
      <w:bookmarkStart w:id="431" w:name="_Toc25984"/>
      <w:bookmarkStart w:id="432" w:name="_Toc31511"/>
      <w:bookmarkStart w:id="433" w:name="_Toc21545"/>
      <w:bookmarkStart w:id="434" w:name="_Toc8935"/>
      <w:bookmarkStart w:id="435" w:name="_Toc7837"/>
      <w:bookmarkStart w:id="436" w:name="_Toc25463"/>
      <w:r>
        <w:rPr>
          <w:rFonts w:hint="eastAsia" w:asciiTheme="minorEastAsia" w:hAnsiTheme="minorEastAsia" w:eastAsiaTheme="minorEastAsia" w:cstheme="minorEastAsia"/>
          <w:b/>
          <w:bCs/>
          <w:color w:val="auto"/>
          <w:szCs w:val="22"/>
          <w:highlight w:val="none"/>
        </w:rPr>
        <w:t>1</w:t>
      </w:r>
      <w:r>
        <w:rPr>
          <w:rFonts w:hint="eastAsia" w:asciiTheme="minorEastAsia" w:hAnsiTheme="minorEastAsia" w:eastAsiaTheme="minorEastAsia" w:cstheme="minorEastAsia"/>
          <w:b/>
          <w:bCs/>
          <w:color w:val="auto"/>
          <w:szCs w:val="22"/>
          <w:highlight w:val="none"/>
          <w:lang w:eastAsia="zh-CN"/>
        </w:rPr>
        <w:t>、</w:t>
      </w:r>
      <w:r>
        <w:rPr>
          <w:rFonts w:hint="eastAsia" w:asciiTheme="minorEastAsia" w:hAnsiTheme="minorEastAsia" w:eastAsiaTheme="minorEastAsia" w:cstheme="minorEastAsia"/>
          <w:b/>
          <w:bCs/>
          <w:color w:val="auto"/>
          <w:szCs w:val="24"/>
          <w:highlight w:val="none"/>
        </w:rPr>
        <w:t>工程的技术要求</w:t>
      </w:r>
      <w:bookmarkEnd w:id="427"/>
      <w:bookmarkEnd w:id="428"/>
      <w:bookmarkEnd w:id="429"/>
      <w:bookmarkEnd w:id="430"/>
      <w:bookmarkEnd w:id="431"/>
      <w:bookmarkEnd w:id="432"/>
      <w:bookmarkEnd w:id="433"/>
      <w:bookmarkEnd w:id="434"/>
      <w:bookmarkEnd w:id="435"/>
      <w:bookmarkEnd w:id="436"/>
    </w:p>
    <w:p w14:paraId="56F7A36D">
      <w:pPr>
        <w:widowControl/>
        <w:spacing w:line="360" w:lineRule="auto"/>
        <w:ind w:firstLine="241" w:firstLineChars="100"/>
        <w:jc w:val="lef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1.1.本工程必须达到且不限于以下规范的要求：</w:t>
      </w:r>
    </w:p>
    <w:p w14:paraId="6B2EAC5D">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bookmarkStart w:id="437" w:name="_Hlt69359245"/>
      <w:bookmarkEnd w:id="437"/>
      <w:bookmarkStart w:id="438" w:name="_Hlt69635252"/>
      <w:bookmarkEnd w:id="438"/>
      <w:bookmarkStart w:id="439" w:name="_Hlt78709799"/>
      <w:bookmarkEnd w:id="439"/>
      <w:bookmarkStart w:id="440" w:name="_Hlt69359086"/>
      <w:bookmarkEnd w:id="440"/>
      <w:bookmarkStart w:id="441" w:name="_Hlt69116858"/>
      <w:bookmarkEnd w:id="441"/>
      <w:bookmarkStart w:id="442" w:name="_Hlt69358458"/>
      <w:bookmarkEnd w:id="442"/>
      <w:bookmarkStart w:id="443" w:name="_Hlt69359243"/>
      <w:bookmarkEnd w:id="443"/>
      <w:r>
        <w:rPr>
          <w:rFonts w:hint="eastAsia" w:asciiTheme="minorEastAsia" w:hAnsiTheme="minorEastAsia" w:eastAsiaTheme="minorEastAsia" w:cstheme="minorEastAsia"/>
          <w:bCs/>
          <w:snapToGrid w:val="0"/>
          <w:color w:val="auto"/>
          <w:kern w:val="0"/>
          <w:szCs w:val="24"/>
          <w:highlight w:val="none"/>
        </w:rPr>
        <w:t>1）《建筑工程施工质量验收统一标准》（GB50300-2013）；</w:t>
      </w:r>
    </w:p>
    <w:p w14:paraId="6AE950D7">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2）《建筑装饰装修工程质量验收规范》（GB50210-2018）；</w:t>
      </w:r>
    </w:p>
    <w:p w14:paraId="4F286E4A">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3）《建筑照明设计标准》（GB50034-2013）；</w:t>
      </w:r>
    </w:p>
    <w:p w14:paraId="58B2E906">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4）《建筑设计防火规范》（GB50016-2014）；</w:t>
      </w:r>
    </w:p>
    <w:p w14:paraId="1BBBF06E">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5）《屋面工程技术规范》（GB50345-2012）；</w:t>
      </w:r>
    </w:p>
    <w:p w14:paraId="78305BD2">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6）《建筑地面设计规范》（GB50037-2013）；</w:t>
      </w:r>
    </w:p>
    <w:p w14:paraId="1A2A4907">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7）《公共建筑节能设计标准》（GB50189-2015）；</w:t>
      </w:r>
    </w:p>
    <w:p w14:paraId="4BD4D232">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8）《无障碍设计规范》（GB50763-2012）；</w:t>
      </w:r>
    </w:p>
    <w:p w14:paraId="6321B7CC">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9）《屋面工程质量验收规范》（GB50207-2012）；</w:t>
      </w:r>
    </w:p>
    <w:p w14:paraId="731D78A0">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10）《城市绿化工程施工及验收规范》；</w:t>
      </w:r>
    </w:p>
    <w:p w14:paraId="128A1E2A">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11）《给水排水构筑物施 工及验收规范》GB 50141-2008</w:t>
      </w:r>
    </w:p>
    <w:p w14:paraId="26FFE9D7">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12）《建筑给水排水设计规范》（GB50015-2019）；</w:t>
      </w:r>
    </w:p>
    <w:p w14:paraId="5F97FA0D">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13）《室外给水设计规范》（GB50013-2018）；</w:t>
      </w:r>
    </w:p>
    <w:p w14:paraId="251BA0EA">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14）《低压配电设计规范》（GB50054-2011）；</w:t>
      </w:r>
    </w:p>
    <w:p w14:paraId="4C853FE9">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15）《建筑采光设计标准》（GB50033-2013）；</w:t>
      </w:r>
    </w:p>
    <w:p w14:paraId="271DA582">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16）《建筑工程设计文件编制深度规定》（建设部2016年版）；</w:t>
      </w:r>
    </w:p>
    <w:p w14:paraId="787F8A99">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17）《公共文化体育设施条例》；</w:t>
      </w:r>
    </w:p>
    <w:p w14:paraId="5BCC20C3">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18）《建筑地面设计规范》；</w:t>
      </w:r>
    </w:p>
    <w:p w14:paraId="14F658F9">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19）《市政道路工程质量检验评定标准》；</w:t>
      </w:r>
    </w:p>
    <w:p w14:paraId="70225D68">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20）《城市工程管线综合规划规范》；</w:t>
      </w:r>
    </w:p>
    <w:p w14:paraId="48404635">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21）《建筑抗震设计规范》（GB50011-2010）（2016 年修订版）；</w:t>
      </w:r>
    </w:p>
    <w:p w14:paraId="1557CC5D">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22）《城市道路路基工程施工及验收规范》；</w:t>
      </w:r>
    </w:p>
    <w:p w14:paraId="7E583A75">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23）《韶关市城市规划管理技术规定（2015 年版）》；</w:t>
      </w:r>
    </w:p>
    <w:p w14:paraId="0E2862EE">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24）《室外排水设计标准》GB 50014-2021；</w:t>
      </w:r>
    </w:p>
    <w:p w14:paraId="39881DAA">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25）《室外给水设计标准》GB 50013-2018；</w:t>
      </w:r>
    </w:p>
    <w:p w14:paraId="211FA9A6">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26）《建筑给水排水设计标准》GB 50015-2019；</w:t>
      </w:r>
    </w:p>
    <w:p w14:paraId="7746F821">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27）《城市排水工程规划规范》GB 50318-2017；</w:t>
      </w:r>
    </w:p>
    <w:p w14:paraId="6C6A7778">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28）《城市给水工程规划规范》GB 50282-2016；</w:t>
      </w:r>
    </w:p>
    <w:p w14:paraId="290CE8BF">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29）《城镇给水排水技术规范》GB 50788-2012；</w:t>
      </w:r>
    </w:p>
    <w:p w14:paraId="26E3AC5C">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30）《镇（乡）村排水工程技术规程》CJJ 124-2008；</w:t>
      </w:r>
    </w:p>
    <w:p w14:paraId="2A657194">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31）《混凝土和钢筋混凝土排水管》GB/T 11836-2009；</w:t>
      </w:r>
    </w:p>
    <w:p w14:paraId="520EFA79">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32）《给水排水工程构筑物结构设计规范》GB 50069-2002；</w:t>
      </w:r>
    </w:p>
    <w:p w14:paraId="542D8FAC">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33）《给水排水 管道工程施工及验收规范》GB 50268-2008；</w:t>
      </w:r>
    </w:p>
    <w:p w14:paraId="4A11A3E3">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34）其他现行国家、广东省关于房建、市政工程的施工及验收规范、规程、标准。</w:t>
      </w:r>
    </w:p>
    <w:p w14:paraId="2C7BB60F">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35）符合国家及地方现行的设计标准及规范，符合本项目的可研研究报告的要求。</w:t>
      </w:r>
    </w:p>
    <w:p w14:paraId="6F7C93CA">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注：以上规范或规定如有更新，则以更新后的规范及规定为准。</w:t>
      </w:r>
    </w:p>
    <w:p w14:paraId="42E3DED4">
      <w:pPr>
        <w:spacing w:line="360" w:lineRule="auto"/>
        <w:rPr>
          <w:rFonts w:hint="eastAsia" w:asciiTheme="minorEastAsia" w:hAnsiTheme="minorEastAsia" w:eastAsiaTheme="minorEastAsia" w:cstheme="minorEastAsia"/>
          <w:b/>
          <w:color w:val="auto"/>
          <w:szCs w:val="22"/>
          <w:highlight w:val="none"/>
        </w:rPr>
      </w:pPr>
      <w:r>
        <w:rPr>
          <w:rFonts w:hint="eastAsia" w:asciiTheme="minorEastAsia" w:hAnsiTheme="minorEastAsia" w:eastAsiaTheme="minorEastAsia" w:cstheme="minorEastAsia"/>
          <w:b/>
          <w:bCs/>
          <w:color w:val="auto"/>
          <w:szCs w:val="24"/>
          <w:highlight w:val="none"/>
        </w:rPr>
        <w:t xml:space="preserve">    1.2、中标人必须在施工现场准备至少一套上述规范，招标人和监理单位可随时检查中标人的上述规范，并监督中标人按规范要求执行。</w:t>
      </w:r>
      <w:bookmarkStart w:id="444" w:name="_Toc466640612"/>
    </w:p>
    <w:p w14:paraId="31099066">
      <w:pPr>
        <w:spacing w:line="360" w:lineRule="auto"/>
        <w:outlineLvl w:val="9"/>
        <w:rPr>
          <w:rFonts w:hint="eastAsia" w:asciiTheme="minorEastAsia" w:hAnsiTheme="minorEastAsia" w:eastAsiaTheme="minorEastAsia" w:cstheme="minorEastAsia"/>
          <w:color w:val="auto"/>
          <w:szCs w:val="22"/>
          <w:highlight w:val="none"/>
        </w:rPr>
      </w:pPr>
    </w:p>
    <w:p w14:paraId="092099C9">
      <w:pPr>
        <w:pStyle w:val="4"/>
        <w:spacing w:line="360" w:lineRule="auto"/>
        <w:outlineLvl w:val="1"/>
        <w:rPr>
          <w:rFonts w:hint="eastAsia" w:asciiTheme="minorEastAsia" w:hAnsiTheme="minorEastAsia" w:eastAsiaTheme="minorEastAsia" w:cstheme="minorEastAsia"/>
          <w:b/>
          <w:bCs/>
          <w:color w:val="auto"/>
          <w:szCs w:val="22"/>
          <w:highlight w:val="none"/>
        </w:rPr>
      </w:pPr>
      <w:bookmarkStart w:id="445" w:name="_Toc26313"/>
      <w:r>
        <w:rPr>
          <w:rFonts w:hint="eastAsia" w:asciiTheme="minorEastAsia" w:hAnsiTheme="minorEastAsia" w:eastAsiaTheme="minorEastAsia" w:cstheme="minorEastAsia"/>
          <w:b/>
          <w:bCs/>
          <w:color w:val="auto"/>
          <w:szCs w:val="22"/>
          <w:highlight w:val="none"/>
        </w:rPr>
        <w:t>2</w:t>
      </w:r>
      <w:bookmarkStart w:id="446" w:name="_Hlt69670335"/>
      <w:bookmarkEnd w:id="446"/>
      <w:r>
        <w:rPr>
          <w:rFonts w:hint="eastAsia" w:asciiTheme="minorEastAsia" w:hAnsiTheme="minorEastAsia" w:eastAsiaTheme="minorEastAsia" w:cstheme="minorEastAsia"/>
          <w:b/>
          <w:bCs/>
          <w:color w:val="auto"/>
          <w:szCs w:val="22"/>
          <w:highlight w:val="none"/>
          <w:lang w:eastAsia="zh-CN"/>
        </w:rPr>
        <w:t>、</w:t>
      </w:r>
      <w:r>
        <w:rPr>
          <w:rFonts w:hint="eastAsia" w:asciiTheme="minorEastAsia" w:hAnsiTheme="minorEastAsia" w:eastAsiaTheme="minorEastAsia" w:cstheme="minorEastAsia"/>
          <w:b/>
          <w:bCs/>
          <w:color w:val="auto"/>
          <w:szCs w:val="22"/>
          <w:highlight w:val="none"/>
        </w:rPr>
        <w:t>招标工程的项目前期资料</w:t>
      </w:r>
      <w:bookmarkEnd w:id="444"/>
      <w:r>
        <w:rPr>
          <w:rFonts w:hint="eastAsia" w:asciiTheme="minorEastAsia" w:hAnsiTheme="minorEastAsia" w:eastAsiaTheme="minorEastAsia" w:cstheme="minorEastAsia"/>
          <w:b/>
          <w:bCs/>
          <w:color w:val="auto"/>
          <w:szCs w:val="22"/>
          <w:highlight w:val="none"/>
        </w:rPr>
        <w:t>（另附）</w:t>
      </w:r>
      <w:bookmarkEnd w:id="445"/>
    </w:p>
    <w:p w14:paraId="7279FD93">
      <w:pPr>
        <w:spacing w:line="440" w:lineRule="exact"/>
        <w:rPr>
          <w:rFonts w:hint="eastAsia"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snapToGrid w:val="0"/>
          <w:color w:val="auto"/>
          <w:kern w:val="0"/>
          <w:szCs w:val="24"/>
          <w:highlight w:val="none"/>
        </w:rPr>
        <w:t>《初步设计文件》、《工程概算文件》各一份。</w:t>
      </w:r>
    </w:p>
    <w:p w14:paraId="0C9B723D">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23F77EC1">
      <w:pPr>
        <w:pStyle w:val="8"/>
        <w:jc w:val="both"/>
        <w:rPr>
          <w:rFonts w:hint="eastAsia" w:asciiTheme="minorEastAsia" w:hAnsiTheme="minorEastAsia" w:eastAsiaTheme="minorEastAsia" w:cstheme="minorEastAsia"/>
          <w:b/>
          <w:color w:val="auto"/>
          <w:kern w:val="44"/>
          <w:sz w:val="52"/>
          <w:szCs w:val="52"/>
          <w:highlight w:val="none"/>
        </w:rPr>
      </w:pPr>
      <w:bookmarkStart w:id="447" w:name="_Toc466640614"/>
      <w:bookmarkStart w:id="448" w:name="_Toc6133"/>
      <w:bookmarkStart w:id="449" w:name="_Toc12955"/>
      <w:bookmarkStart w:id="450" w:name="_Toc5422"/>
      <w:bookmarkStart w:id="451" w:name="_Toc23899"/>
      <w:bookmarkStart w:id="452" w:name="_Toc5639"/>
      <w:bookmarkStart w:id="453" w:name="_Toc16295"/>
      <w:bookmarkStart w:id="454" w:name="_Toc27843"/>
      <w:bookmarkStart w:id="455" w:name="_Toc1911"/>
      <w:bookmarkStart w:id="456" w:name="_Hlt69698785"/>
    </w:p>
    <w:p w14:paraId="6D429B96">
      <w:pPr>
        <w:pStyle w:val="8"/>
        <w:jc w:val="both"/>
        <w:rPr>
          <w:rFonts w:hint="eastAsia" w:asciiTheme="minorEastAsia" w:hAnsiTheme="minorEastAsia" w:eastAsiaTheme="minorEastAsia" w:cstheme="minorEastAsia"/>
          <w:b/>
          <w:color w:val="auto"/>
          <w:kern w:val="44"/>
          <w:sz w:val="52"/>
          <w:szCs w:val="52"/>
          <w:highlight w:val="none"/>
        </w:rPr>
      </w:pPr>
    </w:p>
    <w:p w14:paraId="1C3238C1">
      <w:pPr>
        <w:pStyle w:val="8"/>
        <w:jc w:val="both"/>
        <w:rPr>
          <w:rFonts w:hint="eastAsia" w:asciiTheme="minorEastAsia" w:hAnsiTheme="minorEastAsia" w:eastAsiaTheme="minorEastAsia" w:cstheme="minorEastAsia"/>
          <w:b/>
          <w:color w:val="auto"/>
          <w:kern w:val="44"/>
          <w:sz w:val="52"/>
          <w:szCs w:val="52"/>
          <w:highlight w:val="none"/>
        </w:rPr>
      </w:pPr>
    </w:p>
    <w:p w14:paraId="118521F7">
      <w:pPr>
        <w:pStyle w:val="8"/>
        <w:jc w:val="both"/>
        <w:rPr>
          <w:rFonts w:hint="eastAsia" w:asciiTheme="minorEastAsia" w:hAnsiTheme="minorEastAsia" w:eastAsiaTheme="minorEastAsia" w:cstheme="minorEastAsia"/>
          <w:b/>
          <w:color w:val="auto"/>
          <w:kern w:val="44"/>
          <w:sz w:val="52"/>
          <w:szCs w:val="52"/>
          <w:highlight w:val="none"/>
        </w:rPr>
      </w:pPr>
    </w:p>
    <w:p w14:paraId="5724AA6D">
      <w:pPr>
        <w:pStyle w:val="8"/>
        <w:jc w:val="both"/>
        <w:rPr>
          <w:rFonts w:hint="eastAsia" w:asciiTheme="minorEastAsia" w:hAnsiTheme="minorEastAsia" w:eastAsiaTheme="minorEastAsia" w:cstheme="minorEastAsia"/>
          <w:b/>
          <w:color w:val="auto"/>
          <w:kern w:val="44"/>
          <w:sz w:val="52"/>
          <w:szCs w:val="52"/>
          <w:highlight w:val="none"/>
        </w:rPr>
      </w:pPr>
    </w:p>
    <w:p w14:paraId="25A07DB3">
      <w:pPr>
        <w:pStyle w:val="8"/>
        <w:jc w:val="both"/>
        <w:rPr>
          <w:rFonts w:hint="eastAsia" w:asciiTheme="minorEastAsia" w:hAnsiTheme="minorEastAsia" w:eastAsiaTheme="minorEastAsia" w:cstheme="minorEastAsia"/>
          <w:b/>
          <w:color w:val="auto"/>
          <w:kern w:val="44"/>
          <w:sz w:val="52"/>
          <w:szCs w:val="52"/>
          <w:highlight w:val="none"/>
        </w:rPr>
      </w:pPr>
    </w:p>
    <w:p w14:paraId="47FC7F4A">
      <w:pPr>
        <w:pStyle w:val="8"/>
        <w:jc w:val="both"/>
        <w:rPr>
          <w:rFonts w:hint="eastAsia" w:asciiTheme="minorEastAsia" w:hAnsiTheme="minorEastAsia" w:eastAsiaTheme="minorEastAsia" w:cstheme="minorEastAsia"/>
          <w:b/>
          <w:color w:val="auto"/>
          <w:kern w:val="44"/>
          <w:sz w:val="52"/>
          <w:szCs w:val="52"/>
          <w:highlight w:val="none"/>
        </w:rPr>
      </w:pPr>
    </w:p>
    <w:p w14:paraId="4E3C3AF3">
      <w:pPr>
        <w:pStyle w:val="8"/>
        <w:jc w:val="both"/>
        <w:rPr>
          <w:rFonts w:hint="eastAsia" w:asciiTheme="minorEastAsia" w:hAnsiTheme="minorEastAsia" w:eastAsiaTheme="minorEastAsia" w:cstheme="minorEastAsia"/>
          <w:b/>
          <w:color w:val="auto"/>
          <w:kern w:val="44"/>
          <w:sz w:val="52"/>
          <w:szCs w:val="52"/>
          <w:highlight w:val="none"/>
        </w:rPr>
      </w:pPr>
    </w:p>
    <w:bookmarkEnd w:id="447"/>
    <w:bookmarkEnd w:id="448"/>
    <w:bookmarkEnd w:id="449"/>
    <w:bookmarkEnd w:id="450"/>
    <w:bookmarkEnd w:id="451"/>
    <w:bookmarkEnd w:id="452"/>
    <w:bookmarkEnd w:id="453"/>
    <w:bookmarkEnd w:id="454"/>
    <w:bookmarkEnd w:id="455"/>
    <w:p w14:paraId="0BAE96FA">
      <w:pPr>
        <w:pStyle w:val="3"/>
        <w:numPr>
          <w:ilvl w:val="0"/>
          <w:numId w:val="0"/>
        </w:numPr>
        <w:jc w:val="center"/>
        <w:rPr>
          <w:rFonts w:hint="eastAsia" w:asciiTheme="minorEastAsia" w:hAnsiTheme="minorEastAsia" w:eastAsiaTheme="minorEastAsia" w:cstheme="minorEastAsia"/>
          <w:b/>
          <w:color w:val="auto"/>
          <w:kern w:val="44"/>
          <w:sz w:val="36"/>
          <w:szCs w:val="36"/>
          <w:highlight w:val="none"/>
        </w:rPr>
      </w:pPr>
      <w:bookmarkStart w:id="457" w:name="_Toc28939"/>
      <w:r>
        <w:rPr>
          <w:rFonts w:hint="eastAsia" w:asciiTheme="minorEastAsia" w:hAnsiTheme="minorEastAsia" w:eastAsiaTheme="minorEastAsia" w:cstheme="minorEastAsia"/>
          <w:b/>
          <w:color w:val="auto"/>
          <w:kern w:val="44"/>
          <w:sz w:val="36"/>
          <w:szCs w:val="36"/>
          <w:highlight w:val="none"/>
          <w:lang w:val="en-US" w:eastAsia="zh-CN"/>
        </w:rPr>
        <w:t>第六章</w:t>
      </w:r>
      <w:r>
        <w:rPr>
          <w:rFonts w:hint="eastAsia" w:asciiTheme="minorEastAsia" w:hAnsiTheme="minorEastAsia" w:eastAsiaTheme="minorEastAsia" w:cstheme="minorEastAsia"/>
          <w:b/>
          <w:color w:val="auto"/>
          <w:kern w:val="44"/>
          <w:sz w:val="36"/>
          <w:szCs w:val="36"/>
          <w:highlight w:val="none"/>
        </w:rPr>
        <w:t>招标文件</w:t>
      </w:r>
      <w:bookmarkStart w:id="458" w:name="_Hlt75747044"/>
      <w:bookmarkEnd w:id="458"/>
      <w:r>
        <w:rPr>
          <w:rFonts w:hint="eastAsia" w:asciiTheme="minorEastAsia" w:hAnsiTheme="minorEastAsia" w:eastAsiaTheme="minorEastAsia" w:cstheme="minorEastAsia"/>
          <w:b/>
          <w:color w:val="auto"/>
          <w:kern w:val="44"/>
          <w:sz w:val="36"/>
          <w:szCs w:val="36"/>
          <w:highlight w:val="none"/>
        </w:rPr>
        <w:t>的附件</w:t>
      </w:r>
      <w:bookmarkEnd w:id="457"/>
    </w:p>
    <w:p w14:paraId="4A3E66F5">
      <w:pPr>
        <w:rPr>
          <w:rFonts w:hint="eastAsia" w:asciiTheme="minorEastAsia" w:hAnsiTheme="minorEastAsia" w:eastAsiaTheme="minorEastAsia" w:cstheme="minorEastAsia"/>
          <w:color w:val="auto"/>
          <w:highlight w:val="none"/>
        </w:rPr>
      </w:pPr>
    </w:p>
    <w:bookmarkEnd w:id="456"/>
    <w:p w14:paraId="695B4F72">
      <w:pPr>
        <w:pStyle w:val="4"/>
        <w:spacing w:before="120"/>
        <w:rPr>
          <w:rFonts w:hint="eastAsia" w:asciiTheme="minorEastAsia" w:hAnsiTheme="minorEastAsia" w:eastAsiaTheme="minorEastAsia" w:cstheme="minorEastAsia"/>
          <w:b/>
          <w:snapToGrid w:val="0"/>
          <w:color w:val="auto"/>
          <w:szCs w:val="24"/>
          <w:highlight w:val="none"/>
        </w:rPr>
      </w:pPr>
      <w:bookmarkStart w:id="459" w:name="_附件五：综合评审合理低价法"/>
      <w:bookmarkEnd w:id="459"/>
      <w:bookmarkStart w:id="460" w:name="_附件四：工期承诺书"/>
      <w:bookmarkEnd w:id="460"/>
      <w:bookmarkStart w:id="461" w:name="_附件一：投标函"/>
      <w:bookmarkEnd w:id="461"/>
      <w:bookmarkStart w:id="462" w:name="_附件二：近三年度主要施工项目（竣工及在建）一览表"/>
      <w:bookmarkEnd w:id="462"/>
      <w:bookmarkStart w:id="463" w:name="_附件二：工期承诺书"/>
      <w:bookmarkEnd w:id="463"/>
      <w:bookmarkStart w:id="464" w:name="_附件一：对招标文件条款自愿接受承诺书"/>
      <w:bookmarkEnd w:id="464"/>
      <w:bookmarkStart w:id="465" w:name="_Toc39136360"/>
      <w:bookmarkStart w:id="466" w:name="_Toc24864"/>
      <w:bookmarkStart w:id="467" w:name="_Toc3855"/>
      <w:bookmarkStart w:id="468" w:name="_Toc2902"/>
      <w:bookmarkStart w:id="469" w:name="_Toc12527"/>
      <w:bookmarkStart w:id="470" w:name="_Toc12406"/>
      <w:bookmarkStart w:id="471" w:name="_Toc142468134"/>
      <w:bookmarkStart w:id="472" w:name="_Toc133160683"/>
      <w:bookmarkStart w:id="473" w:name="_Toc132687128"/>
      <w:bookmarkStart w:id="474" w:name="_Toc137444778"/>
      <w:bookmarkStart w:id="475" w:name="_Toc133815902"/>
      <w:bookmarkStart w:id="476" w:name="_Toc78794873"/>
      <w:r>
        <w:rPr>
          <w:rFonts w:hint="eastAsia" w:asciiTheme="minorEastAsia" w:hAnsiTheme="minorEastAsia" w:eastAsiaTheme="minorEastAsia" w:cstheme="minorEastAsia"/>
          <w:b/>
          <w:snapToGrid w:val="0"/>
          <w:color w:val="auto"/>
          <w:szCs w:val="24"/>
          <w:highlight w:val="none"/>
        </w:rPr>
        <w:t>格式一 封面</w:t>
      </w:r>
      <w:bookmarkEnd w:id="465"/>
      <w:bookmarkEnd w:id="466"/>
      <w:bookmarkEnd w:id="467"/>
      <w:bookmarkEnd w:id="468"/>
      <w:bookmarkEnd w:id="469"/>
      <w:bookmarkEnd w:id="470"/>
    </w:p>
    <w:p w14:paraId="38EBFF1A">
      <w:pPr>
        <w:pStyle w:val="46"/>
        <w:widowControl w:val="0"/>
        <w:wordWrap w:val="0"/>
        <w:adjustRightInd w:val="0"/>
        <w:snapToGrid w:val="0"/>
        <w:rPr>
          <w:rFonts w:hint="eastAsia" w:asciiTheme="minorEastAsia" w:hAnsiTheme="minorEastAsia" w:eastAsiaTheme="minorEastAsia" w:cstheme="minorEastAsia"/>
          <w:b/>
          <w:snapToGrid w:val="0"/>
          <w:color w:val="auto"/>
          <w:sz w:val="24"/>
          <w:szCs w:val="24"/>
          <w:highlight w:val="none"/>
        </w:rPr>
      </w:pPr>
    </w:p>
    <w:p w14:paraId="60F35822">
      <w:pPr>
        <w:pStyle w:val="46"/>
        <w:widowControl w:val="0"/>
        <w:wordWrap w:val="0"/>
        <w:adjustRightInd w:val="0"/>
        <w:snapToGrid w:val="0"/>
        <w:jc w:val="right"/>
        <w:rPr>
          <w:rFonts w:hint="eastAsia" w:asciiTheme="minorEastAsia" w:hAnsiTheme="minorEastAsia" w:eastAsiaTheme="minorEastAsia" w:cstheme="minorEastAsia"/>
          <w:b/>
          <w:snapToGrid w:val="0"/>
          <w:color w:val="auto"/>
          <w:sz w:val="24"/>
          <w:szCs w:val="24"/>
          <w:highlight w:val="none"/>
        </w:rPr>
      </w:pPr>
    </w:p>
    <w:p w14:paraId="31F0A621">
      <w:pPr>
        <w:pStyle w:val="46"/>
        <w:widowControl w:val="0"/>
        <w:wordWrap w:val="0"/>
        <w:adjustRightInd w:val="0"/>
        <w:snapToGrid w:val="0"/>
        <w:rPr>
          <w:rFonts w:hint="eastAsia" w:asciiTheme="minorEastAsia" w:hAnsiTheme="minorEastAsia" w:eastAsiaTheme="minorEastAsia" w:cstheme="minorEastAsia"/>
          <w:b/>
          <w:snapToGrid w:val="0"/>
          <w:color w:val="auto"/>
          <w:sz w:val="24"/>
          <w:szCs w:val="24"/>
          <w:highlight w:val="none"/>
        </w:rPr>
      </w:pPr>
    </w:p>
    <w:p w14:paraId="306826E3">
      <w:pPr>
        <w:pStyle w:val="46"/>
        <w:widowControl w:val="0"/>
        <w:wordWrap w:val="0"/>
        <w:adjustRightInd w:val="0"/>
        <w:snapToGrid w:val="0"/>
        <w:ind w:firstLine="0"/>
        <w:rPr>
          <w:rFonts w:hint="eastAsia" w:asciiTheme="minorEastAsia" w:hAnsiTheme="minorEastAsia" w:eastAsiaTheme="minorEastAsia" w:cstheme="minorEastAsia"/>
          <w:b/>
          <w:snapToGrid w:val="0"/>
          <w:color w:val="auto"/>
          <w:sz w:val="24"/>
          <w:highlight w:val="none"/>
        </w:rPr>
      </w:pPr>
      <w:bookmarkStart w:id="477" w:name="_Hlt68774664"/>
      <w:bookmarkEnd w:id="477"/>
      <w:bookmarkStart w:id="478" w:name="_Hlt69116778"/>
      <w:bookmarkEnd w:id="478"/>
      <w:bookmarkStart w:id="479" w:name="_附件二十五：综合评审合理低价法"/>
      <w:bookmarkEnd w:id="479"/>
      <w:bookmarkStart w:id="480" w:name="_附件二十四：技术标提问单"/>
      <w:bookmarkEnd w:id="480"/>
      <w:bookmarkStart w:id="481" w:name="_附件十：单项工程费汇总表"/>
      <w:bookmarkEnd w:id="481"/>
      <w:bookmarkStart w:id="482" w:name="_Toc15791"/>
      <w:bookmarkStart w:id="483" w:name="_Toc26795"/>
      <w:bookmarkStart w:id="484" w:name="_Toc39136361"/>
      <w:bookmarkStart w:id="485" w:name="_Toc5872"/>
      <w:bookmarkStart w:id="486" w:name="_Toc28483"/>
      <w:bookmarkStart w:id="487" w:name="_Toc104711098"/>
      <w:bookmarkStart w:id="488" w:name="_Toc466640620"/>
      <w:bookmarkStart w:id="489" w:name="_Toc66849200"/>
      <w:bookmarkStart w:id="490" w:name="_Hlt66847557"/>
      <w:bookmarkStart w:id="491" w:name="_Toc106418843"/>
    </w:p>
    <w:p w14:paraId="40A2918D">
      <w:pPr>
        <w:pStyle w:val="46"/>
        <w:widowControl w:val="0"/>
        <w:wordWrap w:val="0"/>
        <w:adjustRightInd w:val="0"/>
        <w:snapToGrid w:val="0"/>
        <w:rPr>
          <w:rFonts w:hint="eastAsia" w:asciiTheme="minorEastAsia" w:hAnsiTheme="minorEastAsia" w:eastAsiaTheme="minorEastAsia" w:cstheme="minorEastAsia"/>
          <w:b/>
          <w:snapToGrid w:val="0"/>
          <w:color w:val="auto"/>
          <w:sz w:val="24"/>
          <w:highlight w:val="none"/>
        </w:rPr>
      </w:pPr>
    </w:p>
    <w:p w14:paraId="7CAE7B27">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48"/>
          <w:szCs w:val="48"/>
          <w:highlight w:val="none"/>
        </w:rPr>
      </w:pPr>
      <w:r>
        <w:rPr>
          <w:rFonts w:hint="eastAsia" w:asciiTheme="minorEastAsia" w:hAnsiTheme="minorEastAsia" w:eastAsiaTheme="minorEastAsia" w:cstheme="minorEastAsia"/>
          <w:b/>
          <w:snapToGrid w:val="0"/>
          <w:color w:val="auto"/>
          <w:sz w:val="48"/>
          <w:szCs w:val="48"/>
          <w:highlight w:val="none"/>
          <w:u w:val="single"/>
        </w:rPr>
        <w:t xml:space="preserve">（项目名称）   </w:t>
      </w:r>
      <w:r>
        <w:rPr>
          <w:rFonts w:hint="eastAsia" w:asciiTheme="minorEastAsia" w:hAnsiTheme="minorEastAsia" w:eastAsiaTheme="minorEastAsia" w:cstheme="minorEastAsia"/>
          <w:b/>
          <w:snapToGrid w:val="0"/>
          <w:color w:val="auto"/>
          <w:sz w:val="48"/>
          <w:szCs w:val="48"/>
          <w:highlight w:val="none"/>
        </w:rPr>
        <w:t>招标</w:t>
      </w:r>
    </w:p>
    <w:p w14:paraId="1F094AC6">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1271A314">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773F440A">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70FED27C">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6021F149">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72"/>
          <w:highlight w:val="none"/>
        </w:rPr>
      </w:pPr>
      <w:r>
        <w:rPr>
          <w:rFonts w:hint="eastAsia" w:asciiTheme="minorEastAsia" w:hAnsiTheme="minorEastAsia" w:eastAsiaTheme="minorEastAsia" w:cstheme="minorEastAsia"/>
          <w:b/>
          <w:snapToGrid w:val="0"/>
          <w:color w:val="auto"/>
          <w:sz w:val="72"/>
          <w:highlight w:val="none"/>
        </w:rPr>
        <w:t>投  标  文  件</w:t>
      </w:r>
    </w:p>
    <w:p w14:paraId="34E6046F">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73C06724">
      <w:pPr>
        <w:pStyle w:val="46"/>
        <w:widowControl w:val="0"/>
        <w:wordWrap w:val="0"/>
        <w:adjustRightInd w:val="0"/>
        <w:snapToGrid w:val="0"/>
        <w:ind w:firstLine="0"/>
        <w:rPr>
          <w:rFonts w:hint="eastAsia" w:asciiTheme="minorEastAsia" w:hAnsiTheme="minorEastAsia" w:eastAsiaTheme="minorEastAsia" w:cstheme="minorEastAsia"/>
          <w:b/>
          <w:snapToGrid w:val="0"/>
          <w:color w:val="auto"/>
          <w:sz w:val="32"/>
          <w:highlight w:val="none"/>
        </w:rPr>
      </w:pPr>
    </w:p>
    <w:p w14:paraId="25DD5413">
      <w:pPr>
        <w:pStyle w:val="46"/>
        <w:widowControl w:val="0"/>
        <w:wordWrap w:val="0"/>
        <w:adjustRightInd w:val="0"/>
        <w:snapToGrid w:val="0"/>
        <w:ind w:firstLine="0"/>
        <w:rPr>
          <w:rFonts w:hint="eastAsia" w:asciiTheme="minorEastAsia" w:hAnsiTheme="minorEastAsia" w:eastAsiaTheme="minorEastAsia" w:cstheme="minorEastAsia"/>
          <w:b/>
          <w:snapToGrid w:val="0"/>
          <w:color w:val="auto"/>
          <w:sz w:val="32"/>
          <w:highlight w:val="none"/>
        </w:rPr>
      </w:pPr>
    </w:p>
    <w:p w14:paraId="4D8E4B58">
      <w:pPr>
        <w:pStyle w:val="46"/>
        <w:widowControl w:val="0"/>
        <w:wordWrap w:val="0"/>
        <w:adjustRightInd w:val="0"/>
        <w:snapToGrid w:val="0"/>
        <w:rPr>
          <w:rFonts w:hint="eastAsia" w:asciiTheme="minorEastAsia" w:hAnsiTheme="minorEastAsia" w:eastAsiaTheme="minorEastAsia" w:cstheme="minorEastAsia"/>
          <w:b/>
          <w:snapToGrid w:val="0"/>
          <w:color w:val="auto"/>
          <w:sz w:val="32"/>
          <w:highlight w:val="none"/>
        </w:rPr>
      </w:pPr>
    </w:p>
    <w:p w14:paraId="4581AE92">
      <w:pPr>
        <w:pStyle w:val="46"/>
        <w:widowControl w:val="0"/>
        <w:wordWrap w:val="0"/>
        <w:adjustRightInd w:val="0"/>
        <w:snapToGrid w:val="0"/>
        <w:rPr>
          <w:rFonts w:hint="eastAsia" w:asciiTheme="minorEastAsia" w:hAnsiTheme="minorEastAsia" w:eastAsiaTheme="minorEastAsia" w:cstheme="minorEastAsia"/>
          <w:b/>
          <w:snapToGrid w:val="0"/>
          <w:color w:val="auto"/>
          <w:sz w:val="32"/>
          <w:highlight w:val="none"/>
        </w:rPr>
      </w:pPr>
    </w:p>
    <w:p w14:paraId="1D2843F0">
      <w:pPr>
        <w:pStyle w:val="46"/>
        <w:widowControl w:val="0"/>
        <w:wordWrap w:val="0"/>
        <w:adjustRightInd w:val="0"/>
        <w:snapToGrid w:val="0"/>
        <w:ind w:firstLine="0"/>
        <w:jc w:val="center"/>
        <w:rPr>
          <w:rFonts w:hint="eastAsia" w:hAnsi="宋体" w:eastAsia="宋体" w:cs="宋体"/>
          <w:bCs/>
          <w:snapToGrid w:val="0"/>
          <w:color w:val="auto"/>
          <w:sz w:val="32"/>
          <w:highlight w:val="none"/>
        </w:rPr>
      </w:pPr>
      <w:r>
        <w:rPr>
          <w:rFonts w:hint="eastAsia" w:hAnsi="宋体" w:eastAsia="宋体" w:cs="宋体"/>
          <w:bCs/>
          <w:snapToGrid w:val="0"/>
          <w:color w:val="auto"/>
          <w:sz w:val="32"/>
          <w:highlight w:val="none"/>
        </w:rPr>
        <w:t>投标人：</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（盖单位章）</w:t>
      </w:r>
    </w:p>
    <w:p w14:paraId="1C895DBE">
      <w:pPr>
        <w:pStyle w:val="46"/>
        <w:widowControl w:val="0"/>
        <w:wordWrap w:val="0"/>
        <w:adjustRightInd w:val="0"/>
        <w:snapToGrid w:val="0"/>
        <w:ind w:firstLine="0"/>
        <w:jc w:val="center"/>
        <w:rPr>
          <w:rFonts w:hint="eastAsia" w:hAnsi="宋体" w:eastAsia="宋体" w:cs="宋体"/>
          <w:bCs/>
          <w:snapToGrid w:val="0"/>
          <w:color w:val="auto"/>
          <w:sz w:val="32"/>
          <w:highlight w:val="none"/>
        </w:rPr>
      </w:pPr>
    </w:p>
    <w:p w14:paraId="5ADD4FE5">
      <w:pPr>
        <w:pStyle w:val="46"/>
        <w:widowControl w:val="0"/>
        <w:wordWrap w:val="0"/>
        <w:adjustRightInd w:val="0"/>
        <w:snapToGrid w:val="0"/>
        <w:ind w:firstLine="0"/>
        <w:jc w:val="center"/>
        <w:rPr>
          <w:rFonts w:hint="eastAsia" w:hAnsi="宋体" w:eastAsia="宋体" w:cs="宋体"/>
          <w:bCs/>
          <w:snapToGrid w:val="0"/>
          <w:color w:val="auto"/>
          <w:sz w:val="32"/>
          <w:highlight w:val="none"/>
        </w:rPr>
      </w:pPr>
    </w:p>
    <w:p w14:paraId="5A2BC09B">
      <w:pPr>
        <w:pStyle w:val="46"/>
        <w:widowControl w:val="0"/>
        <w:wordWrap w:val="0"/>
        <w:adjustRightInd w:val="0"/>
        <w:snapToGrid w:val="0"/>
        <w:ind w:firstLine="0"/>
        <w:jc w:val="center"/>
        <w:rPr>
          <w:rFonts w:hint="eastAsia" w:hAnsi="宋体" w:eastAsia="宋体" w:cs="宋体"/>
          <w:bCs/>
          <w:snapToGrid w:val="0"/>
          <w:color w:val="auto"/>
          <w:sz w:val="32"/>
          <w:highlight w:val="none"/>
        </w:rPr>
      </w:pPr>
    </w:p>
    <w:p w14:paraId="47F0C4EF">
      <w:pPr>
        <w:pStyle w:val="46"/>
        <w:widowControl w:val="0"/>
        <w:wordWrap w:val="0"/>
        <w:adjustRightInd w:val="0"/>
        <w:snapToGrid w:val="0"/>
        <w:ind w:firstLine="0"/>
        <w:jc w:val="center"/>
        <w:rPr>
          <w:rFonts w:hint="eastAsia" w:hAnsi="宋体" w:eastAsia="宋体" w:cs="宋体"/>
          <w:bCs/>
          <w:snapToGrid w:val="0"/>
          <w:color w:val="auto"/>
          <w:sz w:val="32"/>
          <w:highlight w:val="none"/>
        </w:rPr>
      </w:pPr>
      <w:r>
        <w:rPr>
          <w:rFonts w:hint="eastAsia" w:hAnsi="宋体" w:eastAsia="宋体" w:cs="宋体"/>
          <w:bCs/>
          <w:snapToGrid w:val="0"/>
          <w:color w:val="auto"/>
          <w:sz w:val="32"/>
          <w:highlight w:val="none"/>
        </w:rPr>
        <w:t>法定代表人或其委托代理人：</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（签字或盖章）</w:t>
      </w:r>
    </w:p>
    <w:p w14:paraId="21481EC0">
      <w:pPr>
        <w:pStyle w:val="46"/>
        <w:widowControl w:val="0"/>
        <w:wordWrap w:val="0"/>
        <w:adjustRightInd w:val="0"/>
        <w:snapToGrid w:val="0"/>
        <w:ind w:firstLine="0"/>
        <w:jc w:val="center"/>
        <w:rPr>
          <w:rFonts w:hint="eastAsia" w:hAnsi="宋体" w:eastAsia="宋体" w:cs="宋体"/>
          <w:bCs/>
          <w:snapToGrid w:val="0"/>
          <w:color w:val="auto"/>
          <w:sz w:val="32"/>
          <w:highlight w:val="none"/>
        </w:rPr>
      </w:pPr>
    </w:p>
    <w:p w14:paraId="157E14DD">
      <w:pPr>
        <w:pStyle w:val="46"/>
        <w:widowControl w:val="0"/>
        <w:wordWrap w:val="0"/>
        <w:adjustRightInd w:val="0"/>
        <w:snapToGrid w:val="0"/>
        <w:ind w:firstLine="0"/>
        <w:jc w:val="center"/>
        <w:rPr>
          <w:rFonts w:hint="eastAsia" w:hAnsi="宋体" w:eastAsia="宋体" w:cs="宋体"/>
          <w:bCs/>
          <w:snapToGrid w:val="0"/>
          <w:color w:val="auto"/>
          <w:sz w:val="32"/>
          <w:highlight w:val="none"/>
          <w:u w:val="single"/>
        </w:rPr>
      </w:pPr>
    </w:p>
    <w:p w14:paraId="62209C4C">
      <w:pPr>
        <w:pStyle w:val="46"/>
        <w:widowControl w:val="0"/>
        <w:wordWrap w:val="0"/>
        <w:adjustRightInd w:val="0"/>
        <w:snapToGrid w:val="0"/>
        <w:ind w:firstLine="0"/>
        <w:jc w:val="center"/>
        <w:rPr>
          <w:rFonts w:hint="eastAsia" w:hAnsi="宋体" w:eastAsia="宋体" w:cs="宋体"/>
          <w:b/>
          <w:snapToGrid w:val="0"/>
          <w:color w:val="auto"/>
          <w:highlight w:val="none"/>
        </w:rPr>
      </w:pP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年</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月</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日</w:t>
      </w:r>
    </w:p>
    <w:p w14:paraId="7FD7E948">
      <w:pPr>
        <w:spacing w:before="120"/>
        <w:outlineLvl w:val="9"/>
        <w:rPr>
          <w:rFonts w:hint="eastAsia" w:asciiTheme="minorEastAsia" w:hAnsiTheme="minorEastAsia" w:eastAsiaTheme="minorEastAsia" w:cstheme="minorEastAsia"/>
          <w:b/>
          <w:bCs/>
          <w:color w:val="auto"/>
          <w:szCs w:val="24"/>
          <w:highlight w:val="none"/>
        </w:rPr>
      </w:pPr>
    </w:p>
    <w:p w14:paraId="358AD960">
      <w:pPr>
        <w:spacing w:before="120"/>
        <w:outlineLvl w:val="9"/>
        <w:rPr>
          <w:rFonts w:hint="eastAsia" w:asciiTheme="minorEastAsia" w:hAnsiTheme="minorEastAsia" w:eastAsiaTheme="minorEastAsia" w:cstheme="minorEastAsia"/>
          <w:b/>
          <w:bCs/>
          <w:color w:val="auto"/>
          <w:szCs w:val="24"/>
          <w:highlight w:val="none"/>
        </w:rPr>
      </w:pPr>
    </w:p>
    <w:p w14:paraId="70FF42CD">
      <w:pPr>
        <w:spacing w:before="120"/>
        <w:outlineLvl w:val="9"/>
        <w:rPr>
          <w:rFonts w:hint="eastAsia" w:asciiTheme="minorEastAsia" w:hAnsiTheme="minorEastAsia" w:eastAsiaTheme="minorEastAsia" w:cstheme="minorEastAsia"/>
          <w:b/>
          <w:bCs/>
          <w:color w:val="auto"/>
          <w:szCs w:val="24"/>
          <w:highlight w:val="none"/>
        </w:rPr>
      </w:pPr>
    </w:p>
    <w:p w14:paraId="17DF039D">
      <w:pPr>
        <w:spacing w:before="120"/>
        <w:outlineLvl w:val="9"/>
        <w:rPr>
          <w:rFonts w:hint="eastAsia" w:asciiTheme="minorEastAsia" w:hAnsiTheme="minorEastAsia" w:eastAsiaTheme="minorEastAsia" w:cstheme="minorEastAsia"/>
          <w:b/>
          <w:bCs/>
          <w:color w:val="auto"/>
          <w:szCs w:val="24"/>
          <w:highlight w:val="none"/>
        </w:rPr>
      </w:pPr>
    </w:p>
    <w:p w14:paraId="009DBA86">
      <w:pPr>
        <w:spacing w:before="120"/>
        <w:outlineLvl w:val="9"/>
        <w:rPr>
          <w:rFonts w:hint="eastAsia" w:asciiTheme="minorEastAsia" w:hAnsiTheme="minorEastAsia" w:eastAsiaTheme="minorEastAsia" w:cstheme="minorEastAsia"/>
          <w:b/>
          <w:bCs/>
          <w:color w:val="auto"/>
          <w:szCs w:val="24"/>
          <w:highlight w:val="none"/>
        </w:rPr>
      </w:pPr>
    </w:p>
    <w:p w14:paraId="5DA514C6">
      <w:pPr>
        <w:pStyle w:val="4"/>
        <w:spacing w:before="120"/>
        <w:rPr>
          <w:rFonts w:hint="eastAsia" w:asciiTheme="minorEastAsia" w:hAnsiTheme="minorEastAsia" w:eastAsiaTheme="minorEastAsia" w:cstheme="minorEastAsia"/>
          <w:b/>
          <w:bCs/>
          <w:color w:val="auto"/>
          <w:szCs w:val="24"/>
          <w:highlight w:val="none"/>
        </w:rPr>
      </w:pPr>
      <w:bookmarkStart w:id="492" w:name="_Toc30915"/>
      <w:r>
        <w:rPr>
          <w:rFonts w:hint="eastAsia" w:asciiTheme="minorEastAsia" w:hAnsiTheme="minorEastAsia" w:eastAsiaTheme="minorEastAsia" w:cstheme="minorEastAsia"/>
          <w:b/>
          <w:bCs/>
          <w:color w:val="auto"/>
          <w:szCs w:val="24"/>
          <w:highlight w:val="none"/>
        </w:rPr>
        <w:t xml:space="preserve">格式二 </w:t>
      </w:r>
      <w:bookmarkEnd w:id="482"/>
      <w:bookmarkEnd w:id="483"/>
      <w:bookmarkEnd w:id="484"/>
      <w:r>
        <w:rPr>
          <w:rFonts w:hint="eastAsia" w:asciiTheme="minorEastAsia" w:hAnsiTheme="minorEastAsia" w:eastAsiaTheme="minorEastAsia" w:cstheme="minorEastAsia"/>
          <w:b/>
          <w:bCs/>
          <w:color w:val="auto"/>
          <w:szCs w:val="24"/>
          <w:highlight w:val="none"/>
        </w:rPr>
        <w:t>《投标函》及《工程项目总价表》</w:t>
      </w:r>
      <w:bookmarkEnd w:id="485"/>
      <w:bookmarkEnd w:id="486"/>
      <w:bookmarkEnd w:id="492"/>
    </w:p>
    <w:p w14:paraId="141A9169">
      <w:pPr>
        <w:pStyle w:val="5"/>
        <w:keepNext w:val="0"/>
        <w:keepLines w:val="0"/>
        <w:wordWrap w:val="0"/>
        <w:adjustRightInd w:val="0"/>
        <w:snapToGrid w:val="0"/>
        <w:spacing w:before="260" w:after="260" w:line="440" w:lineRule="exact"/>
        <w:jc w:val="center"/>
        <w:outlineLvl w:val="2"/>
        <w:rPr>
          <w:rFonts w:hint="eastAsia" w:asciiTheme="minorEastAsia" w:hAnsiTheme="minorEastAsia" w:eastAsiaTheme="minorEastAsia" w:cstheme="minorEastAsia"/>
          <w:snapToGrid w:val="0"/>
          <w:color w:val="auto"/>
          <w:szCs w:val="24"/>
          <w:highlight w:val="none"/>
        </w:rPr>
      </w:pPr>
      <w:bookmarkStart w:id="493" w:name="_Toc18294"/>
      <w:bookmarkStart w:id="494" w:name="_Toc10604"/>
      <w:bookmarkStart w:id="495" w:name="_Toc28636"/>
      <w:bookmarkStart w:id="496" w:name="_Toc18240"/>
      <w:bookmarkStart w:id="497" w:name="_Toc9280"/>
      <w:bookmarkStart w:id="498" w:name="_Toc39136362"/>
      <w:bookmarkStart w:id="499" w:name="_Toc21577"/>
      <w:bookmarkStart w:id="500" w:name="_Toc8657"/>
      <w:bookmarkStart w:id="501" w:name="_Toc27121"/>
      <w:bookmarkStart w:id="502" w:name="_Toc29375"/>
      <w:r>
        <w:rPr>
          <w:rFonts w:hint="eastAsia" w:asciiTheme="minorEastAsia" w:hAnsiTheme="minorEastAsia" w:eastAsiaTheme="minorEastAsia" w:cstheme="minorEastAsia"/>
          <w:snapToGrid w:val="0"/>
          <w:color w:val="auto"/>
          <w:szCs w:val="24"/>
          <w:highlight w:val="none"/>
        </w:rPr>
        <w:t>投  标  函</w:t>
      </w:r>
      <w:bookmarkEnd w:id="493"/>
      <w:bookmarkEnd w:id="494"/>
      <w:bookmarkEnd w:id="495"/>
      <w:bookmarkEnd w:id="496"/>
      <w:bookmarkEnd w:id="497"/>
      <w:bookmarkEnd w:id="498"/>
      <w:bookmarkEnd w:id="499"/>
      <w:bookmarkEnd w:id="500"/>
      <w:bookmarkEnd w:id="501"/>
      <w:bookmarkEnd w:id="502"/>
    </w:p>
    <w:p w14:paraId="391E1D3A">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27008BC0">
      <w:pPr>
        <w:wordWrap w:val="0"/>
        <w:adjustRightInd w:val="0"/>
        <w:snapToGrid w:val="0"/>
        <w:spacing w:line="440" w:lineRule="exact"/>
        <w:rPr>
          <w:rFonts w:hint="eastAsia"/>
          <w:color w:val="auto"/>
          <w:highlight w:val="none"/>
        </w:rPr>
      </w:pPr>
      <w:r>
        <w:rPr>
          <w:rFonts w:hint="eastAsia" w:asciiTheme="minorEastAsia" w:hAnsiTheme="minorEastAsia" w:eastAsiaTheme="minorEastAsia" w:cstheme="minorEastAsia"/>
          <w:snapToGrid w:val="0"/>
          <w:color w:val="auto"/>
          <w:kern w:val="0"/>
          <w:szCs w:val="24"/>
          <w:highlight w:val="none"/>
        </w:rPr>
        <w:t>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（招标人名称）</w:t>
      </w:r>
    </w:p>
    <w:p w14:paraId="0814D29C">
      <w:pPr>
        <w:wordWrap w:val="0"/>
        <w:adjustRightInd w:val="0"/>
        <w:snapToGrid w:val="0"/>
        <w:spacing w:line="440" w:lineRule="exact"/>
        <w:ind w:firstLine="57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1.在研</w:t>
      </w:r>
      <w:r>
        <w:rPr>
          <w:rFonts w:hint="eastAsia" w:asciiTheme="minorEastAsia" w:hAnsiTheme="minorEastAsia" w:eastAsiaTheme="minorEastAsia" w:cstheme="minorEastAsia"/>
          <w:color w:val="auto"/>
          <w:szCs w:val="22"/>
          <w:highlight w:val="none"/>
          <w:u w:val="single"/>
        </w:rPr>
        <w:t xml:space="preserve">究        （项目名称）        </w:t>
      </w:r>
      <w:r>
        <w:rPr>
          <w:rFonts w:hint="eastAsia" w:asciiTheme="minorEastAsia" w:hAnsiTheme="minorEastAsia" w:eastAsiaTheme="minorEastAsia" w:cstheme="minorEastAsia"/>
          <w:color w:val="auto"/>
          <w:szCs w:val="22"/>
          <w:highlight w:val="none"/>
        </w:rPr>
        <w:t>招标文件和其它相关文件，并对现场进行深入了解后，我方（即文末签名人），考虑了本企业的实力和特点，愿意接受招标文件的全部内容和条件，兹以人民币（大写）：</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小写：（¥</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）的投标总价竞投本项目。</w:t>
      </w:r>
    </w:p>
    <w:p w14:paraId="5072A5D3">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2. </w:t>
      </w:r>
      <w:r>
        <w:rPr>
          <w:rFonts w:hint="eastAsia" w:asciiTheme="minorEastAsia" w:hAnsiTheme="minorEastAsia" w:eastAsiaTheme="minorEastAsia" w:cstheme="minorEastAsia"/>
          <w:color w:val="auto"/>
          <w:szCs w:val="22"/>
          <w:highlight w:val="none"/>
        </w:rPr>
        <w:t>如果我方中标，我方保证按照合同约定的开工日期开始本项目的设计、施工，本工程设计、施工招标工期为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个日历天</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rPr>
        <w:t>其中：设计工期为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日历天，施工工期为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日历天</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rPr>
        <w:t>内竣工，并确保工程质量达到</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标准和维修其中的任何缺陷</w:t>
      </w:r>
      <w:r>
        <w:rPr>
          <w:rFonts w:hint="eastAsia" w:asciiTheme="minorEastAsia" w:hAnsiTheme="minorEastAsia" w:eastAsiaTheme="minorEastAsia" w:cstheme="minorEastAsia"/>
          <w:snapToGrid w:val="0"/>
          <w:color w:val="auto"/>
          <w:kern w:val="0"/>
          <w:szCs w:val="24"/>
          <w:highlight w:val="none"/>
        </w:rPr>
        <w:t>。</w:t>
      </w:r>
    </w:p>
    <w:p w14:paraId="0A19A04F">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 本投标函在你方接收我方递交的投标文件之日起、到招标文件规定的投标有效期期满前对我方具有约束力。我方随时准备接受你方发出的中标通知书。</w:t>
      </w:r>
    </w:p>
    <w:p w14:paraId="72A4F4F3">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4．我方在此声明，我方不存在本工程招标文件所列示的“禁止投标条款”所列出的任何一种情形，并愿意承担因我方就此弄虚作假所引起的一切法律后果。</w:t>
      </w:r>
    </w:p>
    <w:p w14:paraId="135CB28E">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5．我方在此承诺，所递交投标文件的全部内容均为真实、有效、准确的，并愿意承担因我方就此弄虚作假所引起的一切法律后果，同时理解和同意有可能被要求提供更多的资料。</w:t>
      </w:r>
    </w:p>
    <w:p w14:paraId="4B833900">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 我方理解你方不一定要接纳收到的最低投标总价或任何投标总价的投标人中标，也不要求你方解释我方是否中标的原因。</w:t>
      </w:r>
    </w:p>
    <w:p w14:paraId="73A3D5F4">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p>
    <w:p w14:paraId="29DB08E6">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7813DE58">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法定代表人或其委托代理人：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36658203">
      <w:pPr>
        <w:wordWrap w:val="0"/>
        <w:adjustRightInd w:val="0"/>
        <w:snapToGrid w:val="0"/>
        <w:spacing w:line="440" w:lineRule="exact"/>
        <w:ind w:firstLine="4080" w:firstLineChars="1700"/>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4ABCF19B">
      <w:pPr>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br w:type="page"/>
      </w:r>
    </w:p>
    <w:p w14:paraId="25DEE623">
      <w:pPr>
        <w:jc w:val="left"/>
        <w:rPr>
          <w:rFonts w:hint="eastAsia" w:asciiTheme="minorEastAsia" w:hAnsiTheme="minorEastAsia" w:eastAsiaTheme="minorEastAsia" w:cstheme="minorEastAsia"/>
          <w:snapToGrid w:val="0"/>
          <w:color w:val="auto"/>
          <w:kern w:val="0"/>
          <w:szCs w:val="24"/>
          <w:highlight w:val="none"/>
        </w:rPr>
      </w:pPr>
    </w:p>
    <w:p w14:paraId="6E4478DB">
      <w:pPr>
        <w:pStyle w:val="5"/>
        <w:spacing w:before="260" w:after="260"/>
        <w:jc w:val="center"/>
        <w:outlineLvl w:val="2"/>
        <w:rPr>
          <w:rFonts w:hint="eastAsia" w:asciiTheme="minorEastAsia" w:hAnsiTheme="minorEastAsia" w:eastAsiaTheme="minorEastAsia" w:cstheme="minorEastAsia"/>
          <w:bCs/>
          <w:color w:val="auto"/>
          <w:szCs w:val="24"/>
          <w:highlight w:val="none"/>
        </w:rPr>
      </w:pPr>
      <w:bookmarkStart w:id="503" w:name="_Toc25829"/>
      <w:bookmarkStart w:id="504" w:name="_Toc5052"/>
      <w:bookmarkStart w:id="505" w:name="_Toc453"/>
      <w:bookmarkStart w:id="506" w:name="_Toc31760"/>
      <w:bookmarkStart w:id="507" w:name="_Toc25629"/>
      <w:bookmarkStart w:id="508" w:name="_Toc20338"/>
      <w:bookmarkStart w:id="509" w:name="_Toc7915"/>
      <w:bookmarkStart w:id="510" w:name="_Toc39136364"/>
      <w:r>
        <w:rPr>
          <w:rFonts w:hint="eastAsia" w:asciiTheme="minorEastAsia" w:hAnsiTheme="minorEastAsia" w:eastAsiaTheme="minorEastAsia" w:cstheme="minorEastAsia"/>
          <w:bCs/>
          <w:color w:val="auto"/>
          <w:szCs w:val="24"/>
          <w:highlight w:val="none"/>
        </w:rPr>
        <w:t>工程项目总价表</w:t>
      </w:r>
      <w:bookmarkEnd w:id="503"/>
      <w:bookmarkEnd w:id="504"/>
      <w:bookmarkEnd w:id="505"/>
      <w:bookmarkEnd w:id="506"/>
      <w:bookmarkEnd w:id="507"/>
      <w:bookmarkEnd w:id="508"/>
    </w:p>
    <w:tbl>
      <w:tblPr>
        <w:tblStyle w:val="21"/>
        <w:tblW w:w="94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0"/>
        <w:gridCol w:w="1440"/>
        <w:gridCol w:w="1508"/>
        <w:gridCol w:w="975"/>
        <w:gridCol w:w="1450"/>
        <w:gridCol w:w="3283"/>
      </w:tblGrid>
      <w:tr w14:paraId="1E63E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770" w:type="dxa"/>
            <w:noWrap/>
            <w:vAlign w:val="center"/>
          </w:tcPr>
          <w:p w14:paraId="2306BB58">
            <w:pPr>
              <w:spacing w:line="360" w:lineRule="auto"/>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序号</w:t>
            </w:r>
          </w:p>
        </w:tc>
        <w:tc>
          <w:tcPr>
            <w:tcW w:w="1440" w:type="dxa"/>
            <w:noWrap/>
            <w:vAlign w:val="center"/>
          </w:tcPr>
          <w:p w14:paraId="03AAD750">
            <w:pPr>
              <w:spacing w:line="360" w:lineRule="auto"/>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项目名称</w:t>
            </w:r>
          </w:p>
        </w:tc>
        <w:tc>
          <w:tcPr>
            <w:tcW w:w="1508" w:type="dxa"/>
            <w:noWrap/>
            <w:vAlign w:val="center"/>
          </w:tcPr>
          <w:p w14:paraId="4490D69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计算基数（元）</w:t>
            </w:r>
          </w:p>
        </w:tc>
        <w:tc>
          <w:tcPr>
            <w:tcW w:w="975" w:type="dxa"/>
            <w:noWrap/>
            <w:vAlign w:val="center"/>
          </w:tcPr>
          <w:p w14:paraId="2F4820F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w:t>
            </w:r>
            <w:r>
              <w:rPr>
                <w:rFonts w:hint="eastAsia" w:asciiTheme="minorEastAsia" w:hAnsiTheme="minorEastAsia" w:eastAsiaTheme="minorEastAsia" w:cstheme="minorEastAsia"/>
                <w:color w:val="auto"/>
                <w:sz w:val="21"/>
                <w:szCs w:val="21"/>
                <w:highlight w:val="none"/>
                <w:lang w:val="zh-CN"/>
              </w:rPr>
              <w:t>下</w:t>
            </w:r>
            <w:r>
              <w:rPr>
                <w:rFonts w:hint="eastAsia" w:asciiTheme="minorEastAsia" w:hAnsiTheme="minorEastAsia" w:eastAsiaTheme="minorEastAsia" w:cstheme="minorEastAsia"/>
                <w:color w:val="auto"/>
                <w:sz w:val="21"/>
                <w:szCs w:val="21"/>
                <w:highlight w:val="none"/>
              </w:rPr>
              <w:t>浮率</w:t>
            </w:r>
          </w:p>
        </w:tc>
        <w:tc>
          <w:tcPr>
            <w:tcW w:w="1450" w:type="dxa"/>
            <w:noWrap/>
            <w:vAlign w:val="center"/>
          </w:tcPr>
          <w:p w14:paraId="398AA04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投标报价（元）</w:t>
            </w:r>
          </w:p>
        </w:tc>
        <w:tc>
          <w:tcPr>
            <w:tcW w:w="3283" w:type="dxa"/>
            <w:noWrap/>
            <w:vAlign w:val="center"/>
          </w:tcPr>
          <w:p w14:paraId="00DDD47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1"/>
                <w:sz w:val="21"/>
                <w:szCs w:val="21"/>
                <w:highlight w:val="none"/>
              </w:rPr>
              <w:t>报价要求</w:t>
            </w:r>
          </w:p>
        </w:tc>
      </w:tr>
      <w:tr w14:paraId="61A3C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1" w:hRule="atLeast"/>
          <w:jc w:val="center"/>
        </w:trPr>
        <w:tc>
          <w:tcPr>
            <w:tcW w:w="770" w:type="dxa"/>
            <w:noWrap/>
            <w:vAlign w:val="center"/>
          </w:tcPr>
          <w:p w14:paraId="26E1EEB9">
            <w:pPr>
              <w:spacing w:line="360" w:lineRule="auto"/>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1</w:t>
            </w:r>
          </w:p>
        </w:tc>
        <w:tc>
          <w:tcPr>
            <w:tcW w:w="1440" w:type="dxa"/>
            <w:noWrap/>
            <w:vAlign w:val="center"/>
          </w:tcPr>
          <w:p w14:paraId="4E14EB63">
            <w:pPr>
              <w:spacing w:line="360" w:lineRule="auto"/>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Cs w:val="24"/>
                <w:highlight w:val="none"/>
              </w:rPr>
              <w:t>设计费</w:t>
            </w:r>
          </w:p>
        </w:tc>
        <w:tc>
          <w:tcPr>
            <w:tcW w:w="1508" w:type="dxa"/>
            <w:noWrap/>
            <w:vAlign w:val="center"/>
          </w:tcPr>
          <w:p w14:paraId="33E9E734">
            <w:pPr>
              <w:widowControl/>
              <w:jc w:val="center"/>
              <w:rPr>
                <w:rFonts w:hint="eastAsia" w:asciiTheme="minorEastAsia" w:hAnsiTheme="minorEastAsia" w:eastAsiaTheme="minorEastAsia" w:cstheme="minorEastAsia"/>
                <w:color w:val="auto"/>
                <w:sz w:val="21"/>
                <w:szCs w:val="21"/>
                <w:highlight w:val="none"/>
              </w:rPr>
            </w:pPr>
          </w:p>
        </w:tc>
        <w:tc>
          <w:tcPr>
            <w:tcW w:w="975" w:type="dxa"/>
            <w:noWrap/>
            <w:vAlign w:val="center"/>
          </w:tcPr>
          <w:p w14:paraId="72103BF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w:t>
            </w:r>
          </w:p>
        </w:tc>
        <w:tc>
          <w:tcPr>
            <w:tcW w:w="1450" w:type="dxa"/>
            <w:noWrap/>
            <w:vAlign w:val="center"/>
          </w:tcPr>
          <w:p w14:paraId="506CA2A7">
            <w:pPr>
              <w:spacing w:line="360" w:lineRule="auto"/>
              <w:jc w:val="center"/>
              <w:rPr>
                <w:rFonts w:hint="eastAsia" w:asciiTheme="minorEastAsia" w:hAnsiTheme="minorEastAsia" w:eastAsiaTheme="minorEastAsia" w:cstheme="minorEastAsia"/>
                <w:color w:val="auto"/>
                <w:sz w:val="21"/>
                <w:szCs w:val="21"/>
                <w:highlight w:val="none"/>
              </w:rPr>
            </w:pPr>
          </w:p>
        </w:tc>
        <w:tc>
          <w:tcPr>
            <w:tcW w:w="3283" w:type="dxa"/>
            <w:noWrap/>
            <w:vAlign w:val="center"/>
          </w:tcPr>
          <w:p w14:paraId="5F0FA6A0">
            <w:pPr>
              <w:wordWrap w:val="0"/>
              <w:adjustRightInd w:val="0"/>
              <w:snapToGrid w:val="0"/>
              <w:spacing w:line="360" w:lineRule="auto"/>
              <w:ind w:firstLine="48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设计费自行报价，结算按设计费的中标价包干不作任何调整。设计费的报价应包含各个不同专业的设计费用、进行优化设计或修改设计所增加的设计费用、各项专家评审的专家费用、预算编制费等。</w:t>
            </w:r>
          </w:p>
        </w:tc>
      </w:tr>
      <w:tr w14:paraId="1149D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770" w:type="dxa"/>
            <w:noWrap/>
            <w:vAlign w:val="center"/>
          </w:tcPr>
          <w:p w14:paraId="4FAD2253">
            <w:pPr>
              <w:spacing w:line="360" w:lineRule="auto"/>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2</w:t>
            </w:r>
          </w:p>
        </w:tc>
        <w:tc>
          <w:tcPr>
            <w:tcW w:w="1440" w:type="dxa"/>
            <w:noWrap/>
            <w:vAlign w:val="center"/>
          </w:tcPr>
          <w:p w14:paraId="1CCD115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1"/>
                <w:szCs w:val="24"/>
                <w:highlight w:val="none"/>
              </w:rPr>
              <w:t>建安工程费</w:t>
            </w:r>
          </w:p>
        </w:tc>
        <w:tc>
          <w:tcPr>
            <w:tcW w:w="1508" w:type="dxa"/>
            <w:noWrap/>
            <w:vAlign w:val="center"/>
          </w:tcPr>
          <w:p w14:paraId="1ECAF30E">
            <w:pPr>
              <w:spacing w:line="360" w:lineRule="auto"/>
              <w:jc w:val="center"/>
              <w:rPr>
                <w:rFonts w:hint="eastAsia" w:asciiTheme="minorEastAsia" w:hAnsiTheme="minorEastAsia" w:eastAsiaTheme="minorEastAsia" w:cstheme="minorEastAsia"/>
                <w:color w:val="auto"/>
                <w:sz w:val="21"/>
                <w:szCs w:val="21"/>
                <w:highlight w:val="none"/>
              </w:rPr>
            </w:pPr>
          </w:p>
        </w:tc>
        <w:tc>
          <w:tcPr>
            <w:tcW w:w="975" w:type="dxa"/>
            <w:noWrap/>
            <w:vAlign w:val="center"/>
          </w:tcPr>
          <w:p w14:paraId="798BE061">
            <w:pPr>
              <w:spacing w:line="360" w:lineRule="auto"/>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szCs w:val="24"/>
                <w:highlight w:val="none"/>
                <w:u w:val="single"/>
                <w:lang w:val="en-US" w:eastAsia="zh-CN"/>
              </w:rPr>
              <w:t xml:space="preserve"> </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tc>
        <w:tc>
          <w:tcPr>
            <w:tcW w:w="1450" w:type="dxa"/>
            <w:noWrap/>
            <w:vAlign w:val="center"/>
          </w:tcPr>
          <w:p w14:paraId="17D2899E">
            <w:pPr>
              <w:spacing w:line="360" w:lineRule="auto"/>
              <w:jc w:val="center"/>
              <w:rPr>
                <w:rFonts w:hint="eastAsia" w:asciiTheme="minorEastAsia" w:hAnsiTheme="minorEastAsia" w:eastAsiaTheme="minorEastAsia" w:cstheme="minorEastAsia"/>
                <w:color w:val="auto"/>
                <w:kern w:val="1"/>
                <w:sz w:val="21"/>
                <w:szCs w:val="21"/>
                <w:highlight w:val="none"/>
              </w:rPr>
            </w:pPr>
          </w:p>
        </w:tc>
        <w:tc>
          <w:tcPr>
            <w:tcW w:w="3283" w:type="dxa"/>
            <w:noWrap/>
            <w:vAlign w:val="center"/>
          </w:tcPr>
          <w:p w14:paraId="3460361F">
            <w:pPr>
              <w:spacing w:line="360" w:lineRule="auto"/>
              <w:jc w:val="center"/>
              <w:rPr>
                <w:rFonts w:hint="eastAsia" w:asciiTheme="minorEastAsia" w:hAnsiTheme="minorEastAsia" w:eastAsiaTheme="minorEastAsia" w:cstheme="minorEastAsia"/>
                <w:color w:val="auto"/>
                <w:kern w:val="1"/>
                <w:sz w:val="21"/>
                <w:szCs w:val="21"/>
                <w:highlight w:val="none"/>
                <w:lang w:val="zh-CN"/>
              </w:rPr>
            </w:pPr>
            <w:r>
              <w:rPr>
                <w:rFonts w:hint="eastAsia" w:asciiTheme="minorEastAsia" w:hAnsiTheme="minorEastAsia" w:eastAsiaTheme="minorEastAsia" w:cstheme="minorEastAsia"/>
                <w:color w:val="auto"/>
                <w:szCs w:val="24"/>
                <w:highlight w:val="none"/>
              </w:rPr>
              <w:t>建安工程费下浮率≥</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w:t>
            </w:r>
          </w:p>
        </w:tc>
      </w:tr>
      <w:tr w14:paraId="77721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770" w:type="dxa"/>
            <w:noWrap/>
            <w:vAlign w:val="center"/>
          </w:tcPr>
          <w:p w14:paraId="5B6F7CCA">
            <w:pPr>
              <w:spacing w:line="360" w:lineRule="auto"/>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3</w:t>
            </w:r>
          </w:p>
        </w:tc>
        <w:tc>
          <w:tcPr>
            <w:tcW w:w="1440" w:type="dxa"/>
            <w:noWrap/>
            <w:vAlign w:val="center"/>
          </w:tcPr>
          <w:p w14:paraId="62329DF3">
            <w:pPr>
              <w:spacing w:line="360" w:lineRule="auto"/>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Cs w:val="24"/>
                <w:highlight w:val="none"/>
              </w:rPr>
              <w:t>预备费</w:t>
            </w:r>
          </w:p>
        </w:tc>
        <w:tc>
          <w:tcPr>
            <w:tcW w:w="1508" w:type="dxa"/>
            <w:noWrap/>
            <w:vAlign w:val="center"/>
          </w:tcPr>
          <w:p w14:paraId="7AC1243C">
            <w:pPr>
              <w:spacing w:line="360" w:lineRule="auto"/>
              <w:jc w:val="center"/>
              <w:rPr>
                <w:rFonts w:hint="eastAsia" w:asciiTheme="minorEastAsia" w:hAnsiTheme="minorEastAsia" w:eastAsiaTheme="minorEastAsia" w:cstheme="minorEastAsia"/>
                <w:color w:val="auto"/>
                <w:sz w:val="21"/>
                <w:szCs w:val="21"/>
                <w:highlight w:val="none"/>
              </w:rPr>
            </w:pPr>
          </w:p>
        </w:tc>
        <w:tc>
          <w:tcPr>
            <w:tcW w:w="975" w:type="dxa"/>
            <w:noWrap/>
            <w:vAlign w:val="center"/>
          </w:tcPr>
          <w:p w14:paraId="6495186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1"/>
                <w:szCs w:val="24"/>
                <w:highlight w:val="none"/>
              </w:rPr>
              <w:t>/</w:t>
            </w:r>
          </w:p>
        </w:tc>
        <w:tc>
          <w:tcPr>
            <w:tcW w:w="1450" w:type="dxa"/>
            <w:noWrap/>
            <w:vAlign w:val="center"/>
          </w:tcPr>
          <w:p w14:paraId="3457A630">
            <w:pPr>
              <w:spacing w:line="360" w:lineRule="auto"/>
              <w:jc w:val="center"/>
              <w:rPr>
                <w:rFonts w:hint="eastAsia" w:asciiTheme="minorEastAsia" w:hAnsiTheme="minorEastAsia" w:eastAsiaTheme="minorEastAsia" w:cstheme="minorEastAsia"/>
                <w:color w:val="auto"/>
                <w:sz w:val="21"/>
                <w:szCs w:val="21"/>
                <w:highlight w:val="none"/>
              </w:rPr>
            </w:pPr>
          </w:p>
        </w:tc>
        <w:tc>
          <w:tcPr>
            <w:tcW w:w="3283" w:type="dxa"/>
            <w:noWrap/>
            <w:vAlign w:val="center"/>
          </w:tcPr>
          <w:p w14:paraId="1B1C377F">
            <w:pPr>
              <w:spacing w:line="360" w:lineRule="auto"/>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szCs w:val="24"/>
                <w:highlight w:val="none"/>
              </w:rPr>
              <w:t>统一报价，按实际发生结算。</w:t>
            </w:r>
          </w:p>
        </w:tc>
      </w:tr>
      <w:tr w14:paraId="1C0A3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2210" w:type="dxa"/>
            <w:gridSpan w:val="2"/>
            <w:noWrap/>
            <w:vAlign w:val="center"/>
          </w:tcPr>
          <w:p w14:paraId="445814D7">
            <w:pPr>
              <w:spacing w:line="360" w:lineRule="auto"/>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合计</w:t>
            </w:r>
          </w:p>
        </w:tc>
        <w:tc>
          <w:tcPr>
            <w:tcW w:w="1508" w:type="dxa"/>
            <w:noWrap/>
            <w:vAlign w:val="center"/>
          </w:tcPr>
          <w:p w14:paraId="344A6CE2">
            <w:pPr>
              <w:spacing w:line="360" w:lineRule="auto"/>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w:t>
            </w:r>
          </w:p>
        </w:tc>
        <w:tc>
          <w:tcPr>
            <w:tcW w:w="975" w:type="dxa"/>
            <w:noWrap/>
            <w:vAlign w:val="center"/>
          </w:tcPr>
          <w:p w14:paraId="222A56F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1"/>
                <w:sz w:val="21"/>
                <w:szCs w:val="21"/>
                <w:highlight w:val="none"/>
              </w:rPr>
              <w:t>/</w:t>
            </w:r>
          </w:p>
        </w:tc>
        <w:tc>
          <w:tcPr>
            <w:tcW w:w="1450" w:type="dxa"/>
            <w:noWrap/>
            <w:vAlign w:val="center"/>
          </w:tcPr>
          <w:p w14:paraId="7EEC2A2F">
            <w:pPr>
              <w:spacing w:line="360" w:lineRule="auto"/>
              <w:jc w:val="right"/>
              <w:rPr>
                <w:rFonts w:hint="eastAsia" w:asciiTheme="minorEastAsia" w:hAnsiTheme="minorEastAsia" w:eastAsiaTheme="minorEastAsia" w:cstheme="minorEastAsia"/>
                <w:color w:val="auto"/>
                <w:sz w:val="21"/>
                <w:szCs w:val="21"/>
                <w:highlight w:val="none"/>
              </w:rPr>
            </w:pPr>
          </w:p>
        </w:tc>
        <w:tc>
          <w:tcPr>
            <w:tcW w:w="3283" w:type="dxa"/>
            <w:noWrap/>
            <w:vAlign w:val="center"/>
          </w:tcPr>
          <w:p w14:paraId="74C80023">
            <w:pPr>
              <w:spacing w:line="360" w:lineRule="auto"/>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w:t>
            </w:r>
          </w:p>
        </w:tc>
      </w:tr>
    </w:tbl>
    <w:p w14:paraId="00340545">
      <w:pPr>
        <w:rPr>
          <w:rFonts w:hint="eastAsia" w:asciiTheme="minorEastAsia" w:hAnsiTheme="minorEastAsia" w:eastAsiaTheme="minorEastAsia" w:cstheme="minorEastAsia"/>
          <w:color w:val="auto"/>
          <w:szCs w:val="24"/>
          <w:highlight w:val="none"/>
        </w:rPr>
      </w:pPr>
    </w:p>
    <w:p w14:paraId="1FB19452">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rPr>
      </w:pPr>
      <w:r>
        <w:rPr>
          <w:rFonts w:hint="eastAsia" w:asciiTheme="minorEastAsia" w:hAnsiTheme="minorEastAsia" w:eastAsiaTheme="minorEastAsia" w:cstheme="minorEastAsia"/>
          <w:snapToGrid w:val="0"/>
          <w:color w:val="auto"/>
          <w:szCs w:val="24"/>
          <w:highlight w:val="none"/>
        </w:rPr>
        <w:t>注：投标报价及投标费率均按“四舍五入”原则精确到两位小数，建安工程费投标报价=计算基数×（1-下浮率）。</w:t>
      </w:r>
    </w:p>
    <w:p w14:paraId="4239CE0A">
      <w:pPr>
        <w:pStyle w:val="6"/>
        <w:ind w:firstLine="0"/>
        <w:rPr>
          <w:rFonts w:hint="eastAsia" w:asciiTheme="minorEastAsia" w:hAnsiTheme="minorEastAsia" w:eastAsiaTheme="minorEastAsia" w:cstheme="minorEastAsia"/>
          <w:snapToGrid w:val="0"/>
          <w:color w:val="auto"/>
          <w:sz w:val="24"/>
          <w:szCs w:val="24"/>
          <w:highlight w:val="none"/>
        </w:rPr>
      </w:pPr>
    </w:p>
    <w:p w14:paraId="3B383A35">
      <w:pPr>
        <w:wordWrap w:val="0"/>
        <w:adjustRightInd w:val="0"/>
        <w:snapToGrid w:val="0"/>
        <w:spacing w:line="276" w:lineRule="auto"/>
        <w:jc w:val="right"/>
        <w:rPr>
          <w:rFonts w:hint="eastAsia" w:asciiTheme="minorEastAsia" w:hAnsiTheme="minorEastAsia" w:eastAsiaTheme="minorEastAsia" w:cstheme="minorEastAsia"/>
          <w:snapToGrid w:val="0"/>
          <w:color w:val="auto"/>
          <w:kern w:val="0"/>
          <w:szCs w:val="24"/>
          <w:highlight w:val="none"/>
        </w:rPr>
      </w:pPr>
    </w:p>
    <w:p w14:paraId="51DD2D3A">
      <w:pPr>
        <w:outlineLvl w:val="9"/>
        <w:rPr>
          <w:rFonts w:hint="eastAsia" w:asciiTheme="minorEastAsia" w:hAnsiTheme="minorEastAsia" w:eastAsiaTheme="minorEastAsia" w:cstheme="minorEastAsia"/>
          <w:color w:val="auto"/>
          <w:highlight w:val="none"/>
        </w:rPr>
      </w:pPr>
    </w:p>
    <w:p w14:paraId="3223CC57">
      <w:pPr>
        <w:wordWrap w:val="0"/>
        <w:adjustRightInd w:val="0"/>
        <w:snapToGrid w:val="0"/>
        <w:spacing w:line="276" w:lineRule="auto"/>
        <w:jc w:val="right"/>
        <w:rPr>
          <w:rFonts w:hint="eastAsia" w:ascii="宋体" w:hAnsi="宋体" w:eastAsia="宋体" w:cs="宋体"/>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759658B8">
      <w:pPr>
        <w:wordWrap w:val="0"/>
        <w:adjustRightInd w:val="0"/>
        <w:snapToGrid w:val="0"/>
        <w:spacing w:line="276" w:lineRule="auto"/>
        <w:jc w:val="right"/>
        <w:rPr>
          <w:rFonts w:hint="eastAsia" w:ascii="宋体" w:hAnsi="宋体" w:eastAsia="宋体" w:cs="宋体"/>
          <w:snapToGrid w:val="0"/>
          <w:color w:val="auto"/>
          <w:kern w:val="0"/>
          <w:sz w:val="24"/>
          <w:szCs w:val="24"/>
          <w:highlight w:val="none"/>
        </w:rPr>
      </w:pPr>
    </w:p>
    <w:p w14:paraId="5EFD5C53">
      <w:pPr>
        <w:wordWrap w:val="0"/>
        <w:adjustRightInd w:val="0"/>
        <w:snapToGrid w:val="0"/>
        <w:spacing w:line="276" w:lineRule="auto"/>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2827471C">
      <w:pPr>
        <w:wordWrap w:val="0"/>
        <w:adjustRightInd w:val="0"/>
        <w:snapToGrid w:val="0"/>
        <w:spacing w:line="276" w:lineRule="auto"/>
        <w:ind w:firstLine="480" w:firstLineChars="200"/>
        <w:jc w:val="right"/>
        <w:rPr>
          <w:rFonts w:hint="eastAsia" w:ascii="宋体" w:hAnsi="宋体" w:eastAsia="宋体" w:cs="宋体"/>
          <w:snapToGrid w:val="0"/>
          <w:color w:val="auto"/>
          <w:kern w:val="0"/>
          <w:sz w:val="24"/>
          <w:szCs w:val="24"/>
          <w:highlight w:val="none"/>
        </w:rPr>
      </w:pPr>
    </w:p>
    <w:p w14:paraId="4D5E4054">
      <w:pPr>
        <w:spacing w:line="276" w:lineRule="auto"/>
        <w:rPr>
          <w:rFonts w:hint="eastAsia" w:asciiTheme="minorEastAsia" w:hAnsiTheme="minorEastAsia" w:eastAsiaTheme="minorEastAsia" w:cstheme="minorEastAsia"/>
          <w:color w:val="auto"/>
          <w:szCs w:val="24"/>
          <w:highlight w:val="none"/>
        </w:rPr>
        <w:sectPr>
          <w:endnotePr>
            <w:numFmt w:val="decimal"/>
          </w:endnotePr>
          <w:pgSz w:w="11906" w:h="16838"/>
          <w:pgMar w:top="1701" w:right="1335" w:bottom="1417" w:left="1531" w:header="850" w:footer="992" w:gutter="0"/>
          <w:pgNumType w:fmt="decimal"/>
          <w:cols w:space="720" w:num="1"/>
          <w:docGrid w:linePitch="327" w:charSpace="0"/>
        </w:sect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769EA550">
      <w:pPr>
        <w:pStyle w:val="4"/>
        <w:spacing w:before="120"/>
        <w:rPr>
          <w:rStyle w:val="58"/>
          <w:rFonts w:hint="eastAsia" w:asciiTheme="minorEastAsia" w:hAnsiTheme="minorEastAsia" w:eastAsiaTheme="minorEastAsia" w:cstheme="minorEastAsia"/>
          <w:color w:val="auto"/>
          <w:sz w:val="24"/>
          <w:szCs w:val="24"/>
          <w:highlight w:val="none"/>
        </w:rPr>
      </w:pPr>
      <w:bookmarkStart w:id="511" w:name="_Toc6537"/>
      <w:bookmarkStart w:id="512" w:name="_Toc919"/>
      <w:bookmarkStart w:id="513" w:name="_Toc28529"/>
      <w:bookmarkStart w:id="514" w:name="_Toc20987"/>
      <w:bookmarkStart w:id="515" w:name="_Toc1017"/>
      <w:bookmarkStart w:id="516" w:name="_Toc32555"/>
      <w:bookmarkStart w:id="517" w:name="_Toc21928"/>
      <w:r>
        <w:rPr>
          <w:rStyle w:val="58"/>
          <w:rFonts w:hint="eastAsia" w:asciiTheme="minorEastAsia" w:hAnsiTheme="minorEastAsia" w:eastAsiaTheme="minorEastAsia" w:cstheme="minorEastAsia"/>
          <w:color w:val="auto"/>
          <w:sz w:val="24"/>
          <w:szCs w:val="24"/>
          <w:highlight w:val="none"/>
        </w:rPr>
        <w:t>格式三 各项</w:t>
      </w:r>
      <w:r>
        <w:rPr>
          <w:rFonts w:hint="eastAsia" w:asciiTheme="minorEastAsia" w:hAnsiTheme="minorEastAsia" w:eastAsiaTheme="minorEastAsia" w:cstheme="minorEastAsia"/>
          <w:b/>
          <w:bCs/>
          <w:color w:val="auto"/>
          <w:szCs w:val="24"/>
          <w:highlight w:val="none"/>
        </w:rPr>
        <w:t>承诺</w:t>
      </w:r>
      <w:r>
        <w:rPr>
          <w:rStyle w:val="58"/>
          <w:rFonts w:hint="eastAsia" w:asciiTheme="minorEastAsia" w:hAnsiTheme="minorEastAsia" w:eastAsiaTheme="minorEastAsia" w:cstheme="minorEastAsia"/>
          <w:color w:val="auto"/>
          <w:sz w:val="24"/>
          <w:szCs w:val="24"/>
          <w:highlight w:val="none"/>
        </w:rPr>
        <w:t>一览表</w:t>
      </w:r>
      <w:bookmarkEnd w:id="509"/>
      <w:bookmarkEnd w:id="510"/>
      <w:bookmarkEnd w:id="511"/>
      <w:bookmarkEnd w:id="512"/>
      <w:bookmarkEnd w:id="513"/>
      <w:bookmarkEnd w:id="514"/>
    </w:p>
    <w:bookmarkEnd w:id="515"/>
    <w:bookmarkEnd w:id="516"/>
    <w:bookmarkEnd w:id="517"/>
    <w:p w14:paraId="2507BC48">
      <w:pPr>
        <w:spacing w:line="480" w:lineRule="auto"/>
        <w:jc w:val="center"/>
        <w:rPr>
          <w:rFonts w:hint="eastAsia" w:asciiTheme="minorEastAsia" w:hAnsiTheme="minorEastAsia" w:eastAsiaTheme="minorEastAsia" w:cstheme="minorEastAsia"/>
          <w:b/>
          <w:bCs/>
          <w:color w:val="auto"/>
          <w:szCs w:val="24"/>
          <w:highlight w:val="none"/>
        </w:rPr>
      </w:pPr>
      <w:bookmarkStart w:id="518" w:name="_Toc39136365"/>
      <w:bookmarkStart w:id="519" w:name="_Toc21521"/>
      <w:bookmarkStart w:id="520" w:name="_Toc20729"/>
      <w:bookmarkStart w:id="521" w:name="_Toc30877"/>
      <w:bookmarkStart w:id="522" w:name="_Toc31113"/>
      <w:bookmarkStart w:id="523" w:name="_Toc18136"/>
      <w:bookmarkStart w:id="524" w:name="_Toc16438"/>
      <w:bookmarkStart w:id="525" w:name="_Toc15279"/>
      <w:r>
        <w:rPr>
          <w:rFonts w:hint="eastAsia" w:asciiTheme="minorEastAsia" w:hAnsiTheme="minorEastAsia" w:eastAsiaTheme="minorEastAsia" w:cstheme="minorEastAsia"/>
          <w:b/>
          <w:bCs/>
          <w:color w:val="auto"/>
          <w:szCs w:val="24"/>
          <w:highlight w:val="none"/>
        </w:rPr>
        <w:t>各项承诺一览表</w:t>
      </w:r>
      <w:bookmarkEnd w:id="518"/>
      <w:bookmarkEnd w:id="519"/>
      <w:bookmarkEnd w:id="520"/>
      <w:bookmarkEnd w:id="521"/>
    </w:p>
    <w:bookmarkEnd w:id="522"/>
    <w:bookmarkEnd w:id="523"/>
    <w:bookmarkEnd w:id="524"/>
    <w:bookmarkEnd w:id="525"/>
    <w:tbl>
      <w:tblPr>
        <w:tblStyle w:val="21"/>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7"/>
        <w:gridCol w:w="1133"/>
        <w:gridCol w:w="3166"/>
        <w:gridCol w:w="5022"/>
      </w:tblGrid>
      <w:tr w14:paraId="2FFC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17" w:type="dxa"/>
            <w:noWrap w:val="0"/>
            <w:vAlign w:val="top"/>
          </w:tcPr>
          <w:p w14:paraId="7CBAFC55">
            <w:pPr>
              <w:pStyle w:val="34"/>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133" w:type="dxa"/>
            <w:noWrap w:val="0"/>
            <w:vAlign w:val="top"/>
          </w:tcPr>
          <w:p w14:paraId="27C23E37">
            <w:pPr>
              <w:pStyle w:val="34"/>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承诺标题</w:t>
            </w:r>
          </w:p>
        </w:tc>
        <w:tc>
          <w:tcPr>
            <w:tcW w:w="3166" w:type="dxa"/>
            <w:noWrap w:val="0"/>
            <w:vAlign w:val="top"/>
          </w:tcPr>
          <w:p w14:paraId="59834775">
            <w:pPr>
              <w:pStyle w:val="34"/>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承诺内容</w:t>
            </w:r>
          </w:p>
        </w:tc>
        <w:tc>
          <w:tcPr>
            <w:tcW w:w="5022" w:type="dxa"/>
            <w:tcBorders>
              <w:bottom w:val="single" w:color="auto" w:sz="4" w:space="0"/>
            </w:tcBorders>
            <w:noWrap w:val="0"/>
            <w:vAlign w:val="top"/>
          </w:tcPr>
          <w:p w14:paraId="77ADAA6D">
            <w:pPr>
              <w:pStyle w:val="34"/>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违约承诺</w:t>
            </w:r>
          </w:p>
        </w:tc>
      </w:tr>
      <w:tr w14:paraId="6E90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617" w:type="dxa"/>
            <w:noWrap w:val="0"/>
            <w:vAlign w:val="center"/>
          </w:tcPr>
          <w:p w14:paraId="72CA3988">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33" w:type="dxa"/>
            <w:noWrap w:val="0"/>
            <w:vAlign w:val="center"/>
          </w:tcPr>
          <w:p w14:paraId="255FC931">
            <w:pPr>
              <w:pStyle w:val="60"/>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对招标文件条款自愿接受承诺书</w:t>
            </w:r>
          </w:p>
        </w:tc>
        <w:tc>
          <w:tcPr>
            <w:tcW w:w="3166" w:type="dxa"/>
            <w:noWrap w:val="0"/>
            <w:vAlign w:val="center"/>
          </w:tcPr>
          <w:p w14:paraId="66301793">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我方保证接受招标文件的所有条款，响应招标文件的</w:t>
            </w:r>
            <w:bookmarkStart w:id="526" w:name="_Hlt66510765"/>
            <w:bookmarkEnd w:id="526"/>
            <w:r>
              <w:rPr>
                <w:rFonts w:hint="eastAsia" w:asciiTheme="minorEastAsia" w:hAnsiTheme="minorEastAsia" w:eastAsiaTheme="minorEastAsia" w:cstheme="minorEastAsia"/>
                <w:color w:val="auto"/>
                <w:sz w:val="21"/>
                <w:szCs w:val="21"/>
                <w:highlight w:val="none"/>
              </w:rPr>
              <w:t>所有要求，并同意招标文件为施工承包合同的组成部分</w:t>
            </w:r>
          </w:p>
        </w:tc>
        <w:tc>
          <w:tcPr>
            <w:tcW w:w="5022" w:type="dxa"/>
            <w:tcBorders>
              <w:tr2bl w:val="single" w:color="auto" w:sz="4" w:space="0"/>
            </w:tcBorders>
            <w:noWrap w:val="0"/>
            <w:vAlign w:val="center"/>
          </w:tcPr>
          <w:p w14:paraId="3B14B7AD">
            <w:pPr>
              <w:pStyle w:val="60"/>
              <w:spacing w:line="380" w:lineRule="exact"/>
              <w:ind w:firstLine="420"/>
              <w:rPr>
                <w:rFonts w:hint="eastAsia" w:asciiTheme="minorEastAsia" w:hAnsiTheme="minorEastAsia" w:eastAsiaTheme="minorEastAsia" w:cstheme="minorEastAsia"/>
                <w:color w:val="auto"/>
                <w:sz w:val="21"/>
                <w:szCs w:val="21"/>
                <w:highlight w:val="none"/>
              </w:rPr>
            </w:pPr>
          </w:p>
        </w:tc>
      </w:tr>
      <w:tr w14:paraId="1716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617" w:type="dxa"/>
            <w:noWrap w:val="0"/>
            <w:vAlign w:val="center"/>
          </w:tcPr>
          <w:p w14:paraId="0BF083C7">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33" w:type="dxa"/>
            <w:noWrap w:val="0"/>
            <w:vAlign w:val="center"/>
          </w:tcPr>
          <w:p w14:paraId="6803E9C3">
            <w:pPr>
              <w:pStyle w:val="60"/>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履约保证金承诺书</w:t>
            </w:r>
          </w:p>
        </w:tc>
        <w:tc>
          <w:tcPr>
            <w:tcW w:w="3166" w:type="dxa"/>
            <w:noWrap w:val="0"/>
            <w:vAlign w:val="center"/>
          </w:tcPr>
          <w:p w14:paraId="0303487E">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我方保证按时缴纳全部履约保证金</w:t>
            </w:r>
            <w:bookmarkStart w:id="527" w:name="_Hlt104711307"/>
            <w:bookmarkEnd w:id="527"/>
          </w:p>
        </w:tc>
        <w:tc>
          <w:tcPr>
            <w:tcW w:w="5022" w:type="dxa"/>
            <w:noWrap w:val="0"/>
            <w:vAlign w:val="center"/>
          </w:tcPr>
          <w:p w14:paraId="3656740C">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在施工过程中，如由于我方自身的资金、技术、质量、非不可抗力等原因给招标人造成损失时，或未能按招标文件所承诺的各项承诺完成时，我方同意扣除全部履约保证金，并承担由此引起的所有责任。</w:t>
            </w:r>
          </w:p>
        </w:tc>
      </w:tr>
      <w:tr w14:paraId="6843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0" w:hRule="atLeast"/>
          <w:jc w:val="center"/>
        </w:trPr>
        <w:tc>
          <w:tcPr>
            <w:tcW w:w="617" w:type="dxa"/>
            <w:noWrap w:val="0"/>
            <w:vAlign w:val="center"/>
          </w:tcPr>
          <w:p w14:paraId="05F00EBE">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133" w:type="dxa"/>
            <w:noWrap w:val="0"/>
            <w:vAlign w:val="center"/>
          </w:tcPr>
          <w:p w14:paraId="0665811B">
            <w:pPr>
              <w:pStyle w:val="60"/>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工期、进度承诺书</w:t>
            </w:r>
          </w:p>
        </w:tc>
        <w:tc>
          <w:tcPr>
            <w:tcW w:w="3166" w:type="dxa"/>
            <w:noWrap w:val="0"/>
            <w:vAlign w:val="center"/>
          </w:tcPr>
          <w:p w14:paraId="0257FF99">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我方保证在</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日历天内（其中：设计工期为：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日历天；施工工期为：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日历天内）完成工程设计、施工并通过竣工验收。</w:t>
            </w:r>
          </w:p>
          <w:p w14:paraId="21AFA3B2">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我方保证各分部、分项工程的施工进度按我方投标文件中的施工进度计划完成施工任务。</w:t>
            </w:r>
          </w:p>
        </w:tc>
        <w:tc>
          <w:tcPr>
            <w:tcW w:w="5022" w:type="dxa"/>
            <w:noWrap w:val="0"/>
            <w:vAlign w:val="center"/>
          </w:tcPr>
          <w:p w14:paraId="55DBB1D4">
            <w:pPr>
              <w:pStyle w:val="9"/>
              <w:spacing w:line="360" w:lineRule="exact"/>
              <w:ind w:firstLine="24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若因我方原因，没有按期完成设计任务、工程没有按期竣工时，我方在逾期第壹天起每天分别按设计、施工合同价款的1.5</w:t>
            </w:r>
            <w:r>
              <w:rPr>
                <w:rFonts w:hint="eastAsia" w:asciiTheme="minorEastAsia" w:hAnsiTheme="minorEastAsia" w:eastAsiaTheme="minorEastAsia" w:cstheme="minorEastAsia"/>
                <w:color w:val="auto"/>
                <w:szCs w:val="22"/>
                <w:highlight w:val="none"/>
              </w:rPr>
              <w:t>‰向</w:t>
            </w:r>
            <w:r>
              <w:rPr>
                <w:rFonts w:hint="eastAsia" w:asciiTheme="minorEastAsia" w:hAnsiTheme="minorEastAsia" w:eastAsiaTheme="minorEastAsia" w:cstheme="minorEastAsia"/>
                <w:color w:val="auto"/>
                <w:highlight w:val="none"/>
              </w:rPr>
              <w:t>招标人缴纳逾期违约金，分别累计最高不超过设计、施工合同价款的10%向招标人缴纳逾期违约金。</w:t>
            </w:r>
          </w:p>
          <w:p w14:paraId="273328F8">
            <w:pPr>
              <w:pStyle w:val="9"/>
              <w:spacing w:line="360" w:lineRule="exact"/>
              <w:ind w:firstLine="24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 xml:space="preserve">   若因我方原因，各分部、分项工程的施工进度未能按我方投标文件中的施工进度计划完成施工任务，延期达到30日历天，招标人有权终止合同。我方愿意承担所有由此引起的责任及经济损失。</w:t>
            </w:r>
          </w:p>
        </w:tc>
      </w:tr>
      <w:tr w14:paraId="470B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617" w:type="dxa"/>
            <w:noWrap w:val="0"/>
            <w:vAlign w:val="center"/>
          </w:tcPr>
          <w:p w14:paraId="195638F4">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133" w:type="dxa"/>
            <w:noWrap w:val="0"/>
            <w:vAlign w:val="center"/>
          </w:tcPr>
          <w:p w14:paraId="3784DDAC">
            <w:pPr>
              <w:pStyle w:val="60"/>
              <w:spacing w:line="380" w:lineRule="exact"/>
              <w:ind w:firstLine="0" w:firstLineChars="0"/>
              <w:rPr>
                <w:rFonts w:hint="eastAsia" w:asciiTheme="minorEastAsia" w:hAnsiTheme="minorEastAsia" w:eastAsiaTheme="minorEastAsia" w:cstheme="minorEastAsia"/>
                <w:color w:val="auto"/>
                <w:sz w:val="21"/>
                <w:szCs w:val="21"/>
                <w:highlight w:val="none"/>
              </w:rPr>
            </w:pPr>
            <w:bookmarkStart w:id="528" w:name="_Hlt98038044"/>
            <w:r>
              <w:rPr>
                <w:rFonts w:hint="eastAsia" w:asciiTheme="minorEastAsia" w:hAnsiTheme="minorEastAsia" w:eastAsiaTheme="minorEastAsia" w:cstheme="minorEastAsia"/>
                <w:color w:val="auto"/>
                <w:sz w:val="21"/>
                <w:szCs w:val="21"/>
                <w:highlight w:val="none"/>
              </w:rPr>
              <w:t>安全、文明施工承诺</w:t>
            </w:r>
            <w:bookmarkEnd w:id="528"/>
            <w:r>
              <w:rPr>
                <w:rFonts w:hint="eastAsia" w:asciiTheme="minorEastAsia" w:hAnsiTheme="minorEastAsia" w:eastAsiaTheme="minorEastAsia" w:cstheme="minorEastAsia"/>
                <w:color w:val="auto"/>
                <w:sz w:val="21"/>
                <w:szCs w:val="21"/>
                <w:highlight w:val="none"/>
              </w:rPr>
              <w:t>书</w:t>
            </w:r>
          </w:p>
        </w:tc>
        <w:tc>
          <w:tcPr>
            <w:tcW w:w="3166" w:type="dxa"/>
            <w:noWrap w:val="0"/>
            <w:vAlign w:val="center"/>
          </w:tcPr>
          <w:p w14:paraId="650402F9">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我方保证在施工期间严格遵守国家、省、市有关安全、文明施工规定，确保施工安全和第三者的安全，根据施工现场情况保证绿色施工安全防护措施费投入。</w:t>
            </w:r>
          </w:p>
        </w:tc>
        <w:tc>
          <w:tcPr>
            <w:tcW w:w="5022" w:type="dxa"/>
            <w:noWrap w:val="0"/>
            <w:vAlign w:val="center"/>
          </w:tcPr>
          <w:p w14:paraId="6B396070">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若因我方原因，在施工期间发生安全事故，造成施工人员或第三者的伤亡，我方愿意承担由此造成的一切经济损失和法律责任。</w:t>
            </w:r>
          </w:p>
          <w:p w14:paraId="372D0BE0">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若我方在施工中发生一般事故及以上等级生产安全事故，可扣除相当于所有“绿色施工安全防护措施费”的管理费。</w:t>
            </w:r>
          </w:p>
        </w:tc>
      </w:tr>
      <w:tr w14:paraId="01A6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0" w:hRule="atLeast"/>
          <w:jc w:val="center"/>
        </w:trPr>
        <w:tc>
          <w:tcPr>
            <w:tcW w:w="617" w:type="dxa"/>
            <w:noWrap w:val="0"/>
            <w:vAlign w:val="center"/>
          </w:tcPr>
          <w:p w14:paraId="712FEC47">
            <w:pPr>
              <w:pStyle w:val="47"/>
              <w:wordWrap w:val="0"/>
              <w:adjustRightInd w:val="0"/>
              <w:snapToGrid w:val="0"/>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napToGrid w:val="0"/>
                <w:color w:val="auto"/>
                <w:kern w:val="0"/>
                <w:szCs w:val="21"/>
                <w:highlight w:val="none"/>
              </w:rPr>
              <w:t>5</w:t>
            </w:r>
          </w:p>
        </w:tc>
        <w:tc>
          <w:tcPr>
            <w:tcW w:w="1133" w:type="dxa"/>
            <w:noWrap w:val="0"/>
            <w:vAlign w:val="center"/>
          </w:tcPr>
          <w:p w14:paraId="79252757">
            <w:pPr>
              <w:pStyle w:val="60"/>
              <w:wordWrap w:val="0"/>
              <w:adjustRightInd w:val="0"/>
              <w:snapToGrid w:val="0"/>
              <w:spacing w:line="380" w:lineRule="exact"/>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项目经理</w:t>
            </w:r>
          </w:p>
          <w:p w14:paraId="5249EFB3">
            <w:pPr>
              <w:pStyle w:val="60"/>
              <w:wordWrap w:val="0"/>
              <w:adjustRightInd w:val="0"/>
              <w:snapToGrid w:val="0"/>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任职承诺</w:t>
            </w:r>
          </w:p>
        </w:tc>
        <w:tc>
          <w:tcPr>
            <w:tcW w:w="3166" w:type="dxa"/>
            <w:noWrap w:val="0"/>
            <w:vAlign w:val="center"/>
          </w:tcPr>
          <w:p w14:paraId="4E6CB143">
            <w:pPr>
              <w:pStyle w:val="60"/>
              <w:wordWrap w:val="0"/>
              <w:adjustRightInd w:val="0"/>
              <w:snapToGrid w:val="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我方拟派项目经理现阶段没有担任任何在施（包括已中标或已签订合同未开工、已开工未竣工、已建成未竣工）建设工程项目的项目经理。</w:t>
            </w:r>
          </w:p>
        </w:tc>
        <w:tc>
          <w:tcPr>
            <w:tcW w:w="5022" w:type="dxa"/>
            <w:noWrap w:val="0"/>
            <w:vAlign w:val="center"/>
          </w:tcPr>
          <w:p w14:paraId="740B2BFB">
            <w:pPr>
              <w:pStyle w:val="60"/>
              <w:wordWrap w:val="0"/>
              <w:adjustRightInd w:val="0"/>
              <w:snapToGrid w:val="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如果我方拟派项目经理在本工程招标投标活动期间有担任其他任何在施（包括已中标或已签订合同未开工、已开工未竣工、已建成未竣工）建设工程项目的项目经理，我方接受招标人或其授权的招标代理机构或其组建的评标委员会依据招标文件作出的相应处理以及有关监督部门作出的行政处罚，并承担由此引起的一切法律后果。</w:t>
            </w:r>
          </w:p>
        </w:tc>
      </w:tr>
      <w:tr w14:paraId="4E0A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17" w:type="dxa"/>
            <w:noWrap w:val="0"/>
            <w:vAlign w:val="center"/>
          </w:tcPr>
          <w:p w14:paraId="5B79FC3B">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133" w:type="dxa"/>
            <w:noWrap w:val="0"/>
            <w:vAlign w:val="center"/>
          </w:tcPr>
          <w:p w14:paraId="3A693D7B">
            <w:pPr>
              <w:pStyle w:val="60"/>
              <w:spacing w:line="380" w:lineRule="exact"/>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质量承诺书</w:t>
            </w:r>
          </w:p>
        </w:tc>
        <w:tc>
          <w:tcPr>
            <w:tcW w:w="3166" w:type="dxa"/>
            <w:noWrap w:val="0"/>
            <w:vAlign w:val="center"/>
          </w:tcPr>
          <w:p w14:paraId="416DC998">
            <w:pPr>
              <w:pStyle w:val="34"/>
              <w:spacing w:line="38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我方保证按照现行的国家和广东省的有关施工技术规范及现行标准，达</w:t>
            </w:r>
            <w:bookmarkStart w:id="529" w:name="_Hlt112573700"/>
            <w:bookmarkEnd w:id="529"/>
            <w:r>
              <w:rPr>
                <w:rFonts w:hint="eastAsia" w:asciiTheme="minorEastAsia" w:hAnsiTheme="minorEastAsia" w:eastAsiaTheme="minorEastAsia" w:cstheme="minorEastAsia"/>
                <w:color w:val="auto"/>
                <w:sz w:val="21"/>
                <w:szCs w:val="21"/>
                <w:highlight w:val="none"/>
              </w:rPr>
              <w:t>到合格标准。</w:t>
            </w:r>
          </w:p>
          <w:p w14:paraId="6BD6092E">
            <w:pPr>
              <w:pStyle w:val="34"/>
              <w:spacing w:line="380" w:lineRule="exact"/>
              <w:ind w:firstLine="560"/>
              <w:rPr>
                <w:rFonts w:hint="eastAsia" w:asciiTheme="minorEastAsia" w:hAnsiTheme="minorEastAsia" w:eastAsiaTheme="minorEastAsia" w:cstheme="minorEastAsia"/>
                <w:color w:val="auto"/>
                <w:sz w:val="21"/>
                <w:szCs w:val="21"/>
                <w:highlight w:val="none"/>
              </w:rPr>
            </w:pPr>
          </w:p>
        </w:tc>
        <w:tc>
          <w:tcPr>
            <w:tcW w:w="5022" w:type="dxa"/>
            <w:noWrap w:val="0"/>
            <w:vAlign w:val="center"/>
          </w:tcPr>
          <w:p w14:paraId="280E1CEF">
            <w:pPr>
              <w:pStyle w:val="60"/>
              <w:spacing w:line="380" w:lineRule="exact"/>
              <w:ind w:firstLine="41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若因我方原因，工程在竣工验收或分部分项工程验收时没有达到合格标准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2"/>
                <w:sz w:val="21"/>
                <w:szCs w:val="21"/>
                <w:highlight w:val="none"/>
              </w:rPr>
              <w:t>我方每次（每分部每分项次）验收检查时按</w:t>
            </w:r>
            <w:r>
              <w:rPr>
                <w:rFonts w:hint="eastAsia" w:asciiTheme="minorEastAsia" w:hAnsiTheme="minorEastAsia" w:eastAsiaTheme="minorEastAsia" w:cstheme="minorEastAsia"/>
                <w:color w:val="auto"/>
                <w:sz w:val="21"/>
                <w:szCs w:val="21"/>
                <w:highlight w:val="none"/>
              </w:rPr>
              <w:t>合同价款的</w:t>
            </w:r>
            <w:r>
              <w:rPr>
                <w:rFonts w:hint="eastAsia" w:asciiTheme="minorEastAsia" w:hAnsiTheme="minorEastAsia" w:eastAsiaTheme="minorEastAsia" w:cstheme="minorEastAsia"/>
                <w:color w:val="auto"/>
                <w:sz w:val="21"/>
                <w:szCs w:val="21"/>
                <w:highlight w:val="none"/>
                <w:u w:val="single"/>
              </w:rPr>
              <w:t>1％</w:t>
            </w:r>
            <w:r>
              <w:rPr>
                <w:rFonts w:hint="eastAsia" w:asciiTheme="minorEastAsia" w:hAnsiTheme="minorEastAsia" w:eastAsiaTheme="minorEastAsia" w:cstheme="minorEastAsia"/>
                <w:color w:val="auto"/>
                <w:sz w:val="21"/>
                <w:szCs w:val="21"/>
                <w:highlight w:val="none"/>
              </w:rPr>
              <w:t>向招标人缴纳质量违约金。并达到合格标准为止，同时承担所有的责任及经济损失。</w:t>
            </w:r>
          </w:p>
          <w:p w14:paraId="3EE14BF4">
            <w:pPr>
              <w:pStyle w:val="60"/>
              <w:spacing w:line="38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在建设或监理</w:t>
            </w:r>
            <w:r>
              <w:rPr>
                <w:rFonts w:hint="eastAsia" w:asciiTheme="minorEastAsia" w:hAnsiTheme="minorEastAsia" w:eastAsiaTheme="minorEastAsia" w:cstheme="minorEastAsia"/>
                <w:color w:val="auto"/>
                <w:sz w:val="21"/>
                <w:szCs w:val="24"/>
                <w:highlight w:val="none"/>
                <w:lang w:eastAsia="zh-CN"/>
              </w:rPr>
              <w:t>单位</w:t>
            </w:r>
            <w:r>
              <w:rPr>
                <w:rFonts w:hint="eastAsia" w:asciiTheme="minorEastAsia" w:hAnsiTheme="minorEastAsia" w:eastAsiaTheme="minorEastAsia" w:cstheme="minorEastAsia"/>
                <w:color w:val="auto"/>
                <w:sz w:val="21"/>
                <w:szCs w:val="24"/>
                <w:highlight w:val="none"/>
              </w:rPr>
              <w:t>组织的质量检查中，一次一个分项工程实测或其他项、程序不合格不符合要求的，一次向建设单位交纳质量违约金¥1000元/次项，分部工程不合格的一次、一个分部向建设（委托）单位交纳违约金¥2000元/次、项；</w:t>
            </w:r>
          </w:p>
          <w:p w14:paraId="22511369">
            <w:pPr>
              <w:pStyle w:val="60"/>
              <w:spacing w:line="38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在省、市监管部门抽查、巡查、专项、随机检查中，一次一个分项工程实测或其他项、程序不合格不符合要求的，一次向建设（委托）单位交纳质量违约金¥2000元/次项，分部工程不合格的一次、一个分部向建设（委托）单位交纳违约金¥5000元/次、项；</w:t>
            </w:r>
          </w:p>
          <w:p w14:paraId="515940C0">
            <w:pPr>
              <w:pStyle w:val="62"/>
              <w:spacing w:line="40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未能在限期内完成质量安全隐患整改的，每逾期一天，向建设单位交纳罚金¥1000元；</w:t>
            </w:r>
          </w:p>
          <w:p w14:paraId="4CCD65BC">
            <w:pPr>
              <w:pStyle w:val="62"/>
              <w:spacing w:line="40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未按规定委派专业人员参加检验批、分部分项工程验收，不及时签署验收记录的，一次向建设（委托）单位交纳违约金¥2000元/次、项；</w:t>
            </w:r>
          </w:p>
          <w:p w14:paraId="4C8CA670">
            <w:pPr>
              <w:pStyle w:val="60"/>
              <w:spacing w:line="38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不按规定委派相关人员参加项目竣工验收的，一次向建设单位交纳违约金¥50000元/项，不签署意见的交纳违约金¥50000元。</w:t>
            </w:r>
          </w:p>
        </w:tc>
      </w:tr>
      <w:tr w14:paraId="74F8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617" w:type="dxa"/>
            <w:noWrap w:val="0"/>
            <w:vAlign w:val="center"/>
          </w:tcPr>
          <w:p w14:paraId="2521DFA0">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133" w:type="dxa"/>
            <w:noWrap w:val="0"/>
            <w:vAlign w:val="center"/>
          </w:tcPr>
          <w:p w14:paraId="515C9C7D">
            <w:pPr>
              <w:pStyle w:val="60"/>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账户承诺</w:t>
            </w:r>
          </w:p>
        </w:tc>
        <w:tc>
          <w:tcPr>
            <w:tcW w:w="3166" w:type="dxa"/>
            <w:noWrap w:val="0"/>
            <w:vAlign w:val="center"/>
          </w:tcPr>
          <w:p w14:paraId="2F81A090">
            <w:pPr>
              <w:pStyle w:val="34"/>
              <w:spacing w:line="38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我方保证招标人的资金随时可划入合同中规</w:t>
            </w:r>
            <w:bookmarkStart w:id="530" w:name="_Hlt127094672"/>
            <w:bookmarkEnd w:id="530"/>
            <w:r>
              <w:rPr>
                <w:rFonts w:hint="eastAsia" w:asciiTheme="minorEastAsia" w:hAnsiTheme="minorEastAsia" w:eastAsiaTheme="minorEastAsia" w:cstheme="minorEastAsia"/>
                <w:color w:val="auto"/>
                <w:spacing w:val="-2"/>
                <w:sz w:val="21"/>
                <w:szCs w:val="21"/>
                <w:highlight w:val="none"/>
              </w:rPr>
              <w:t>定的我方</w:t>
            </w:r>
            <w:r>
              <w:rPr>
                <w:rFonts w:hint="eastAsia" w:asciiTheme="minorEastAsia" w:hAnsiTheme="minorEastAsia" w:eastAsiaTheme="minorEastAsia" w:cstheme="minorEastAsia"/>
                <w:color w:val="auto"/>
                <w:sz w:val="21"/>
                <w:szCs w:val="21"/>
                <w:highlight w:val="none"/>
              </w:rPr>
              <w:t>账</w:t>
            </w:r>
            <w:r>
              <w:rPr>
                <w:rFonts w:hint="eastAsia" w:asciiTheme="minorEastAsia" w:hAnsiTheme="minorEastAsia" w:eastAsiaTheme="minorEastAsia" w:cstheme="minorEastAsia"/>
                <w:color w:val="auto"/>
                <w:spacing w:val="-2"/>
                <w:sz w:val="21"/>
                <w:szCs w:val="21"/>
                <w:highlight w:val="none"/>
              </w:rPr>
              <w:t>户。</w:t>
            </w:r>
          </w:p>
        </w:tc>
        <w:tc>
          <w:tcPr>
            <w:tcW w:w="5022" w:type="dxa"/>
            <w:noWrap w:val="0"/>
            <w:vAlign w:val="center"/>
          </w:tcPr>
          <w:p w14:paraId="321E4FB3">
            <w:pPr>
              <w:pStyle w:val="60"/>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若因我方原因造成招标人的资金无法划入合同中规定的我方</w:t>
            </w:r>
            <w:r>
              <w:rPr>
                <w:rFonts w:hint="eastAsia" w:asciiTheme="minorEastAsia" w:hAnsiTheme="minorEastAsia" w:eastAsiaTheme="minorEastAsia" w:cstheme="minorEastAsia"/>
                <w:color w:val="auto"/>
                <w:sz w:val="21"/>
                <w:szCs w:val="21"/>
                <w:highlight w:val="none"/>
              </w:rPr>
              <w:t>账</w:t>
            </w:r>
            <w:r>
              <w:rPr>
                <w:rFonts w:hint="eastAsia" w:asciiTheme="minorEastAsia" w:hAnsiTheme="minorEastAsia" w:eastAsiaTheme="minorEastAsia" w:cstheme="minorEastAsia"/>
                <w:color w:val="auto"/>
                <w:spacing w:val="-2"/>
                <w:sz w:val="21"/>
                <w:szCs w:val="21"/>
                <w:highlight w:val="none"/>
              </w:rPr>
              <w:t>户，如时间达到30日历天，招标人有权终止合同。我方承担由此造成的所有责任及经济损失。</w:t>
            </w:r>
          </w:p>
        </w:tc>
      </w:tr>
      <w:tr w14:paraId="120C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jc w:val="center"/>
        </w:trPr>
        <w:tc>
          <w:tcPr>
            <w:tcW w:w="617" w:type="dxa"/>
            <w:noWrap w:val="0"/>
            <w:vAlign w:val="center"/>
          </w:tcPr>
          <w:p w14:paraId="0DF2C523">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133" w:type="dxa"/>
            <w:noWrap w:val="0"/>
            <w:vAlign w:val="center"/>
          </w:tcPr>
          <w:p w14:paraId="4B6EDDE7">
            <w:pPr>
              <w:pStyle w:val="60"/>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工程的配合服务承诺</w:t>
            </w:r>
          </w:p>
        </w:tc>
        <w:tc>
          <w:tcPr>
            <w:tcW w:w="3166" w:type="dxa"/>
            <w:noWrap w:val="0"/>
            <w:vAlign w:val="center"/>
          </w:tcPr>
          <w:p w14:paraId="7FA5AFD9">
            <w:pPr>
              <w:pStyle w:val="34"/>
              <w:spacing w:line="380" w:lineRule="exact"/>
              <w:ind w:firstLine="56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我方服从业主管理，保证配合与工程承包范围内相关的其他标段（工种、分项）工程施工单位的工程施工，不提出额外增加费用的要求。</w:t>
            </w:r>
          </w:p>
        </w:tc>
        <w:tc>
          <w:tcPr>
            <w:tcW w:w="5022" w:type="dxa"/>
            <w:noWrap w:val="0"/>
            <w:vAlign w:val="center"/>
          </w:tcPr>
          <w:p w14:paraId="7B0D547A">
            <w:pPr>
              <w:pStyle w:val="60"/>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若因我方未及时配合与工程承包范围内相关的其他标段（工种、分项）工程施工单位的工程施工，给招标人或其他施工单位造成损失的，我方承担所有的责任及经济损失。</w:t>
            </w:r>
          </w:p>
        </w:tc>
      </w:tr>
      <w:tr w14:paraId="2415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17" w:type="dxa"/>
            <w:noWrap w:val="0"/>
            <w:vAlign w:val="center"/>
          </w:tcPr>
          <w:p w14:paraId="526CE443">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133" w:type="dxa"/>
            <w:noWrap w:val="0"/>
            <w:vAlign w:val="center"/>
          </w:tcPr>
          <w:p w14:paraId="0556F618">
            <w:pPr>
              <w:pStyle w:val="64"/>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中标人员承诺</w:t>
            </w:r>
          </w:p>
        </w:tc>
        <w:tc>
          <w:tcPr>
            <w:tcW w:w="3166" w:type="dxa"/>
            <w:noWrap w:val="0"/>
            <w:vAlign w:val="center"/>
          </w:tcPr>
          <w:p w14:paraId="4EADC2AB">
            <w:pPr>
              <w:pStyle w:val="64"/>
              <w:spacing w:line="300" w:lineRule="exact"/>
              <w:ind w:firstLine="412" w:firstLineChars="20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我方保证投标文件中所拟派的中标人员全部配合施工现场管理施工。</w:t>
            </w:r>
          </w:p>
        </w:tc>
        <w:tc>
          <w:tcPr>
            <w:tcW w:w="5022" w:type="dxa"/>
            <w:noWrap w:val="0"/>
            <w:vAlign w:val="center"/>
          </w:tcPr>
          <w:p w14:paraId="40564377">
            <w:pPr>
              <w:pStyle w:val="65"/>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设计单位未能在招标人通知的时间内（提前一天通知，紧急情况随时通知）参加设计交底、处理有关设计问题、参加必要部位隐蔽验收和竣工验收等工作，每人次交纳违约金</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snapToGrid w:val="0"/>
                <w:color w:val="auto"/>
                <w:sz w:val="21"/>
                <w:szCs w:val="21"/>
                <w:highlight w:val="none"/>
              </w:rPr>
              <w:t>1000元。</w:t>
            </w:r>
          </w:p>
          <w:p w14:paraId="01CC76DE">
            <w:pPr>
              <w:pStyle w:val="65"/>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设计单位驻韶办公的项目负责人（即投标文件所拟派的项目负责人）必须负责本项目设计全过程（包括施工图设计审查、施工图设计修编、预算跟踪服务、图纸会审和技术交底）。项目负责人未准时参加上述环节工作的，每缺席一次交纳违约金</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snapToGrid w:val="0"/>
                <w:color w:val="auto"/>
                <w:sz w:val="21"/>
                <w:szCs w:val="21"/>
                <w:highlight w:val="none"/>
              </w:rPr>
              <w:t>5000元（以招标人发出的违约通知为准）。</w:t>
            </w:r>
          </w:p>
          <w:p w14:paraId="65E80903">
            <w:pPr>
              <w:pStyle w:val="65"/>
              <w:spacing w:line="300" w:lineRule="exact"/>
              <w:ind w:left="0" w:leftChars="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snapToGrid w:val="0"/>
                <w:color w:val="auto"/>
                <w:sz w:val="21"/>
                <w:szCs w:val="21"/>
                <w:highlight w:val="none"/>
              </w:rPr>
              <w:t>设计单位应委派1名参与并熟悉本项目设计任务，有现场处理经验的设计代表常驻项目现场。中标人应为派驻现场的设计工作人员提供工作、生活及交通等方面的便利条件及准备必要的劳动保护装备。在正常施工阶段，每月应保证最少20天在现场。未经招标人书面许可，缺少1天向建设单位每人每天支付违约金¥2000元/天。</w:t>
            </w:r>
          </w:p>
        </w:tc>
      </w:tr>
      <w:tr w14:paraId="089E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9" w:hRule="atLeast"/>
          <w:jc w:val="center"/>
        </w:trPr>
        <w:tc>
          <w:tcPr>
            <w:tcW w:w="617" w:type="dxa"/>
            <w:noWrap w:val="0"/>
            <w:vAlign w:val="center"/>
          </w:tcPr>
          <w:p w14:paraId="779CFE8F">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133" w:type="dxa"/>
            <w:noWrap w:val="0"/>
            <w:vAlign w:val="center"/>
          </w:tcPr>
          <w:p w14:paraId="2CFC012C">
            <w:pPr>
              <w:pStyle w:val="60"/>
              <w:spacing w:line="380" w:lineRule="exact"/>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项目管理班子人员承诺</w:t>
            </w:r>
          </w:p>
        </w:tc>
        <w:tc>
          <w:tcPr>
            <w:tcW w:w="3166" w:type="dxa"/>
            <w:noWrap w:val="0"/>
            <w:vAlign w:val="center"/>
          </w:tcPr>
          <w:p w14:paraId="06CB0BC2">
            <w:pPr>
              <w:pStyle w:val="34"/>
              <w:spacing w:line="380" w:lineRule="exact"/>
              <w:ind w:firstLine="56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我方保证投标文件中所拟派的项目经理、技术负责人、施工员、质量员、安全员等工程管理人员全部在施工现场管理施工</w:t>
            </w:r>
          </w:p>
        </w:tc>
        <w:tc>
          <w:tcPr>
            <w:tcW w:w="5022" w:type="dxa"/>
            <w:noWrap w:val="0"/>
            <w:vAlign w:val="center"/>
          </w:tcPr>
          <w:p w14:paraId="6E95274F">
            <w:pPr>
              <w:pStyle w:val="60"/>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承诺施工期间如左所叙施工现场管理人员按要求每日办理签到手续，如未经招标人同意未办理签到，向建设单位每人每天支付违约金</w:t>
            </w:r>
            <w:r>
              <w:rPr>
                <w:rFonts w:hint="eastAsia" w:asciiTheme="minorEastAsia" w:hAnsiTheme="minorEastAsia" w:eastAsiaTheme="minorEastAsia" w:cstheme="minorEastAsia"/>
                <w:color w:val="auto"/>
                <w:sz w:val="21"/>
                <w:szCs w:val="24"/>
                <w:highlight w:val="none"/>
              </w:rPr>
              <w:t>¥</w:t>
            </w:r>
            <w:r>
              <w:rPr>
                <w:rFonts w:hint="eastAsia" w:asciiTheme="minorEastAsia" w:hAnsiTheme="minorEastAsia" w:eastAsiaTheme="minorEastAsia" w:cstheme="minorEastAsia"/>
                <w:color w:val="auto"/>
                <w:spacing w:val="-2"/>
                <w:sz w:val="21"/>
                <w:szCs w:val="21"/>
                <w:highlight w:val="none"/>
              </w:rPr>
              <w:t>3000元（项目经理未签到每天支付违约金</w:t>
            </w:r>
            <w:r>
              <w:rPr>
                <w:rFonts w:hint="eastAsia" w:asciiTheme="minorEastAsia" w:hAnsiTheme="minorEastAsia" w:eastAsiaTheme="minorEastAsia" w:cstheme="minorEastAsia"/>
                <w:color w:val="auto"/>
                <w:sz w:val="21"/>
                <w:szCs w:val="24"/>
                <w:highlight w:val="none"/>
              </w:rPr>
              <w:t>¥</w:t>
            </w:r>
            <w:r>
              <w:rPr>
                <w:rFonts w:hint="eastAsia" w:asciiTheme="minorEastAsia" w:hAnsiTheme="minorEastAsia" w:eastAsiaTheme="minorEastAsia" w:cstheme="minorEastAsia"/>
                <w:color w:val="auto"/>
                <w:spacing w:val="-2"/>
                <w:sz w:val="21"/>
                <w:szCs w:val="21"/>
                <w:highlight w:val="none"/>
              </w:rPr>
              <w:t>3000元）；</w:t>
            </w:r>
          </w:p>
          <w:p w14:paraId="31ACCA87">
            <w:pPr>
              <w:pStyle w:val="60"/>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若我方的投标文件中所拟派的如左所述任何一个管理人员未经招标人或招标人同意擅自离岗，在一个月内达到10次/人，或项目经理、技术负责人在施工过程中每月驻场少于22天的，招标人有权终止合同。我方承担由此造成的所有责任及经济损失。</w:t>
            </w:r>
          </w:p>
        </w:tc>
      </w:tr>
      <w:tr w14:paraId="3E1E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jc w:val="center"/>
        </w:trPr>
        <w:tc>
          <w:tcPr>
            <w:tcW w:w="617" w:type="dxa"/>
            <w:noWrap w:val="0"/>
            <w:vAlign w:val="center"/>
          </w:tcPr>
          <w:p w14:paraId="5209A8A7">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133" w:type="dxa"/>
            <w:noWrap w:val="0"/>
            <w:vAlign w:val="center"/>
          </w:tcPr>
          <w:p w14:paraId="7134E208">
            <w:pPr>
              <w:pStyle w:val="60"/>
              <w:spacing w:line="380" w:lineRule="exact"/>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对支付农民工工资的承诺</w:t>
            </w:r>
          </w:p>
        </w:tc>
        <w:tc>
          <w:tcPr>
            <w:tcW w:w="3166" w:type="dxa"/>
            <w:noWrap w:val="0"/>
            <w:vAlign w:val="center"/>
          </w:tcPr>
          <w:p w14:paraId="22BF274A">
            <w:pPr>
              <w:pStyle w:val="60"/>
              <w:spacing w:line="380" w:lineRule="exact"/>
              <w:ind w:firstLine="206"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如我方中标，我方无条件同意按照用工合同支付</w:t>
            </w:r>
            <w:r>
              <w:rPr>
                <w:rFonts w:hint="eastAsia" w:asciiTheme="minorEastAsia" w:hAnsiTheme="minorEastAsia" w:eastAsiaTheme="minorEastAsia" w:cstheme="minorEastAsia"/>
                <w:color w:val="auto"/>
                <w:sz w:val="21"/>
                <w:szCs w:val="21"/>
                <w:highlight w:val="none"/>
              </w:rPr>
              <w:t>农民工工资。</w:t>
            </w:r>
          </w:p>
        </w:tc>
        <w:tc>
          <w:tcPr>
            <w:tcW w:w="5022" w:type="dxa"/>
            <w:noWrap w:val="0"/>
            <w:vAlign w:val="center"/>
          </w:tcPr>
          <w:p w14:paraId="268FFC65">
            <w:pPr>
              <w:pStyle w:val="60"/>
              <w:spacing w:line="380" w:lineRule="exact"/>
              <w:ind w:firstLine="41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如我方中标，我方无条件同意按照用工合同支付</w:t>
            </w:r>
            <w:r>
              <w:rPr>
                <w:rFonts w:hint="eastAsia" w:asciiTheme="minorEastAsia" w:hAnsiTheme="minorEastAsia" w:eastAsiaTheme="minorEastAsia" w:cstheme="minorEastAsia"/>
                <w:color w:val="auto"/>
                <w:sz w:val="21"/>
                <w:szCs w:val="21"/>
                <w:highlight w:val="none"/>
              </w:rPr>
              <w:t>农民工工资。否则，招标人有权终止合同，扣除履约保证金，并由招标人先行垫付农民工被拖欠的工资，数额以未结清的工程数为限。</w:t>
            </w:r>
          </w:p>
        </w:tc>
      </w:tr>
      <w:tr w14:paraId="5C01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617" w:type="dxa"/>
            <w:noWrap w:val="0"/>
            <w:vAlign w:val="center"/>
          </w:tcPr>
          <w:p w14:paraId="2B16B736">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133" w:type="dxa"/>
            <w:noWrap w:val="0"/>
            <w:vAlign w:val="center"/>
          </w:tcPr>
          <w:p w14:paraId="783CB93F">
            <w:pPr>
              <w:pStyle w:val="60"/>
              <w:spacing w:line="380" w:lineRule="exact"/>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施工组织设计承诺</w:t>
            </w:r>
          </w:p>
        </w:tc>
        <w:tc>
          <w:tcPr>
            <w:tcW w:w="3166" w:type="dxa"/>
            <w:noWrap w:val="0"/>
            <w:vAlign w:val="center"/>
          </w:tcPr>
          <w:p w14:paraId="2AC52FC4">
            <w:pPr>
              <w:pStyle w:val="60"/>
              <w:spacing w:line="38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我方保证施工组织设计按照国家省市有关规定进行编写。</w:t>
            </w:r>
          </w:p>
        </w:tc>
        <w:tc>
          <w:tcPr>
            <w:tcW w:w="5022" w:type="dxa"/>
            <w:noWrap w:val="0"/>
            <w:vAlign w:val="center"/>
          </w:tcPr>
          <w:p w14:paraId="7AE77048">
            <w:pPr>
              <w:pStyle w:val="60"/>
              <w:spacing w:line="38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如我方的施工组织设计未根据招标项目情况按照国家省市有关规定进行编写的，扣除全部履约保证金。</w:t>
            </w:r>
          </w:p>
        </w:tc>
      </w:tr>
      <w:tr w14:paraId="400B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5" w:hRule="atLeast"/>
          <w:jc w:val="center"/>
        </w:trPr>
        <w:tc>
          <w:tcPr>
            <w:tcW w:w="617" w:type="dxa"/>
            <w:noWrap w:val="0"/>
            <w:vAlign w:val="center"/>
          </w:tcPr>
          <w:p w14:paraId="794E5C29">
            <w:pPr>
              <w:pStyle w:val="66"/>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1133" w:type="dxa"/>
            <w:noWrap w:val="0"/>
            <w:vAlign w:val="center"/>
          </w:tcPr>
          <w:p w14:paraId="7731BCCD">
            <w:pPr>
              <w:pStyle w:val="66"/>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设计承诺</w:t>
            </w:r>
          </w:p>
        </w:tc>
        <w:tc>
          <w:tcPr>
            <w:tcW w:w="3166" w:type="dxa"/>
            <w:noWrap w:val="0"/>
            <w:vAlign w:val="center"/>
          </w:tcPr>
          <w:p w14:paraId="6E3F944F">
            <w:pPr>
              <w:pStyle w:val="67"/>
              <w:spacing w:line="300" w:lineRule="exact"/>
              <w:ind w:left="0" w:leftChars="0" w:firstLine="41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如我方中标，我方保证按设计规范及有关法律法规进行设计，并准时提供设计文件和施工图预算，相应设计文件经审图机构审查通过</w:t>
            </w:r>
            <w:r>
              <w:rPr>
                <w:rFonts w:hint="eastAsia" w:asciiTheme="minorEastAsia" w:hAnsiTheme="minorEastAsia" w:eastAsiaTheme="minorEastAsia" w:cstheme="minorEastAsia"/>
                <w:color w:val="auto"/>
                <w:sz w:val="21"/>
                <w:szCs w:val="21"/>
                <w:highlight w:val="none"/>
              </w:rPr>
              <w:t>。</w:t>
            </w:r>
          </w:p>
        </w:tc>
        <w:tc>
          <w:tcPr>
            <w:tcW w:w="5022" w:type="dxa"/>
            <w:noWrap w:val="0"/>
            <w:vAlign w:val="center"/>
          </w:tcPr>
          <w:p w14:paraId="1AF9EF99">
            <w:pPr>
              <w:pStyle w:val="67"/>
              <w:spacing w:line="300" w:lineRule="exact"/>
              <w:ind w:left="0" w:leftChars="0" w:firstLine="41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如我方中标，未能按招标文件要求提供设计文件和施工图预算</w:t>
            </w:r>
            <w:r>
              <w:rPr>
                <w:rFonts w:hint="eastAsia" w:asciiTheme="minorEastAsia" w:hAnsiTheme="minorEastAsia" w:eastAsiaTheme="minorEastAsia" w:cstheme="minorEastAsia"/>
                <w:color w:val="auto"/>
                <w:sz w:val="21"/>
                <w:szCs w:val="21"/>
                <w:highlight w:val="none"/>
              </w:rPr>
              <w:t>，招标人有权终止合同，扣除设计费的10%作为违约罚款，并由招标人另行委托相应资质的单位进行设计，其费用由中标人支付，施工工期不予顺延且不另外计取赶工措施费。</w:t>
            </w:r>
          </w:p>
          <w:p w14:paraId="2D495B06">
            <w:pPr>
              <w:pStyle w:val="67"/>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由于设计单位设计工作错误造成工程设计质量事故，根据责任情况，按招标文件及合同相应违约条款的约定处理。负责采取补救措施。</w:t>
            </w:r>
          </w:p>
          <w:p w14:paraId="7DA05AC6">
            <w:pPr>
              <w:pStyle w:val="67"/>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施工期间</w:t>
            </w:r>
            <w:r>
              <w:rPr>
                <w:rFonts w:hint="eastAsia" w:asciiTheme="minorEastAsia" w:hAnsiTheme="minorEastAsia" w:eastAsiaTheme="minorEastAsia" w:cstheme="minorEastAsia"/>
                <w:bCs/>
                <w:snapToGrid w:val="0"/>
                <w:color w:val="auto"/>
                <w:sz w:val="21"/>
                <w:szCs w:val="21"/>
                <w:highlight w:val="none"/>
              </w:rPr>
              <w:t>除招标人要求或特殊地质原因外，</w:t>
            </w:r>
            <w:r>
              <w:rPr>
                <w:rFonts w:hint="eastAsia" w:asciiTheme="minorEastAsia" w:hAnsiTheme="minorEastAsia" w:eastAsiaTheme="minorEastAsia" w:cstheme="minorEastAsia"/>
                <w:snapToGrid w:val="0"/>
                <w:color w:val="auto"/>
                <w:sz w:val="21"/>
                <w:szCs w:val="21"/>
                <w:highlight w:val="none"/>
              </w:rPr>
              <w:t>因设计质量和深度不够的原因引起的工程返工或需要设计变更引起工程造价增加的，每次扣减设计合同价款中设计费的2％，扣完为止。</w:t>
            </w:r>
          </w:p>
          <w:p w14:paraId="5D97075B">
            <w:pPr>
              <w:pStyle w:val="67"/>
              <w:spacing w:line="300" w:lineRule="exact"/>
              <w:ind w:left="0" w:lef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因设计单位自身原因造成工程结算超施工招标中标价的，扣除应付设计合同价款中的余款。</w:t>
            </w:r>
          </w:p>
        </w:tc>
      </w:tr>
      <w:tr w14:paraId="168B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617" w:type="dxa"/>
            <w:noWrap w:val="0"/>
            <w:vAlign w:val="center"/>
          </w:tcPr>
          <w:p w14:paraId="76D4F257">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1133" w:type="dxa"/>
            <w:noWrap w:val="0"/>
            <w:vAlign w:val="center"/>
          </w:tcPr>
          <w:p w14:paraId="773C9773">
            <w:pPr>
              <w:pStyle w:val="60"/>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综合服务能力承诺</w:t>
            </w:r>
          </w:p>
        </w:tc>
        <w:tc>
          <w:tcPr>
            <w:tcW w:w="3166" w:type="dxa"/>
            <w:noWrap w:val="0"/>
            <w:vAlign w:val="center"/>
          </w:tcPr>
          <w:p w14:paraId="673279AF">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我方保证中标后，自行解决施工中遇到的各种外部问题，协调周边企业、村民关系，并承担由此产生</w:t>
            </w:r>
            <w:r>
              <w:rPr>
                <w:rFonts w:hint="eastAsia" w:asciiTheme="minorEastAsia" w:hAnsiTheme="minorEastAsia" w:eastAsiaTheme="minorEastAsia" w:cstheme="minorEastAsia"/>
                <w:color w:val="auto"/>
                <w:sz w:val="21"/>
                <w:szCs w:val="21"/>
                <w:highlight w:val="none"/>
                <w:lang w:eastAsia="zh-CN"/>
              </w:rPr>
              <w:t>的所有责任</w:t>
            </w:r>
            <w:r>
              <w:rPr>
                <w:rFonts w:hint="eastAsia" w:asciiTheme="minorEastAsia" w:hAnsiTheme="minorEastAsia" w:eastAsiaTheme="minorEastAsia" w:cstheme="minorEastAsia"/>
                <w:color w:val="auto"/>
                <w:sz w:val="21"/>
                <w:szCs w:val="21"/>
                <w:highlight w:val="none"/>
              </w:rPr>
              <w:t>及损失。</w:t>
            </w:r>
          </w:p>
        </w:tc>
        <w:tc>
          <w:tcPr>
            <w:tcW w:w="5022" w:type="dxa"/>
            <w:noWrap w:val="0"/>
            <w:vAlign w:val="center"/>
          </w:tcPr>
          <w:p w14:paraId="1E368966">
            <w:pPr>
              <w:pStyle w:val="60"/>
              <w:spacing w:line="380" w:lineRule="exact"/>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若我方未能按招标文件所承诺的各项承诺完成时，我方同意按比例扣除相应履约保证金，并承担由此引起的所有责任。</w:t>
            </w:r>
          </w:p>
        </w:tc>
      </w:tr>
      <w:tr w14:paraId="69F0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jc w:val="center"/>
        </w:trPr>
        <w:tc>
          <w:tcPr>
            <w:tcW w:w="617" w:type="dxa"/>
            <w:noWrap w:val="0"/>
            <w:vAlign w:val="center"/>
          </w:tcPr>
          <w:p w14:paraId="44485943">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1133" w:type="dxa"/>
            <w:noWrap w:val="0"/>
            <w:vAlign w:val="center"/>
          </w:tcPr>
          <w:p w14:paraId="30C32EAB">
            <w:pPr>
              <w:pStyle w:val="60"/>
              <w:spacing w:line="38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廉政承诺</w:t>
            </w:r>
          </w:p>
        </w:tc>
        <w:tc>
          <w:tcPr>
            <w:tcW w:w="3166" w:type="dxa"/>
            <w:noWrap w:val="0"/>
            <w:vAlign w:val="center"/>
          </w:tcPr>
          <w:p w14:paraId="541EC1DB">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如我方中标，我方将严格执行国家、广东省、韶关市有关工程建设廉政的有关法律法规及双方签订的廉政合同。</w:t>
            </w:r>
          </w:p>
        </w:tc>
        <w:tc>
          <w:tcPr>
            <w:tcW w:w="5022" w:type="dxa"/>
            <w:noWrap w:val="0"/>
            <w:vAlign w:val="center"/>
          </w:tcPr>
          <w:p w14:paraId="27684C45">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违反国家、广东省、韶关市有关工程建设廉政的有关法律法规及双方签订的廉政合同，受到相关主管部门的通报或查处，招标人可按规定对我方进行处罚，情节严重时招标人可终止合同，我方承担由此造成的所有责任和经济损失。</w:t>
            </w:r>
          </w:p>
        </w:tc>
      </w:tr>
      <w:tr w14:paraId="0A22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4" w:hRule="atLeast"/>
          <w:jc w:val="center"/>
        </w:trPr>
        <w:tc>
          <w:tcPr>
            <w:tcW w:w="617" w:type="dxa"/>
            <w:noWrap w:val="0"/>
            <w:vAlign w:val="center"/>
          </w:tcPr>
          <w:p w14:paraId="25A62782">
            <w:pPr>
              <w:pStyle w:val="7"/>
              <w:spacing w:line="380" w:lineRule="exact"/>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 w:val="24"/>
                <w:szCs w:val="21"/>
                <w:highlight w:val="none"/>
                <w:lang w:val="en-US" w:eastAsia="zh-CN"/>
              </w:rPr>
              <w:t>16</w:t>
            </w:r>
          </w:p>
        </w:tc>
        <w:tc>
          <w:tcPr>
            <w:tcW w:w="1133" w:type="dxa"/>
            <w:noWrap w:val="0"/>
            <w:vAlign w:val="center"/>
          </w:tcPr>
          <w:p w14:paraId="15B2AB27">
            <w:pPr>
              <w:pStyle w:val="60"/>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w:t>
            </w:r>
          </w:p>
          <w:p w14:paraId="07300574">
            <w:pPr>
              <w:pStyle w:val="60"/>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信息公开承诺</w:t>
            </w:r>
          </w:p>
        </w:tc>
        <w:tc>
          <w:tcPr>
            <w:tcW w:w="3166" w:type="dxa"/>
            <w:noWrap w:val="0"/>
            <w:vAlign w:val="center"/>
          </w:tcPr>
          <w:p w14:paraId="0FBD6635">
            <w:pPr>
              <w:pStyle w:val="60"/>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我方提供完整的电子文件。如</w:t>
            </w:r>
            <w:r>
              <w:rPr>
                <w:rFonts w:hint="eastAsia" w:asciiTheme="minorEastAsia" w:hAnsiTheme="minorEastAsia" w:eastAsiaTheme="minorEastAsia" w:cstheme="minorEastAsia"/>
                <w:color w:val="auto"/>
                <w:sz w:val="21"/>
                <w:szCs w:val="21"/>
                <w:highlight w:val="none"/>
                <w:lang w:eastAsia="zh-CN"/>
              </w:rPr>
              <w:t>果</w:t>
            </w:r>
            <w:r>
              <w:rPr>
                <w:rFonts w:hint="eastAsia" w:asciiTheme="minorEastAsia" w:hAnsiTheme="minorEastAsia" w:eastAsiaTheme="minorEastAsia" w:cstheme="minorEastAsia"/>
                <w:color w:val="auto"/>
                <w:sz w:val="21"/>
                <w:szCs w:val="21"/>
                <w:highlight w:val="none"/>
              </w:rPr>
              <w:t>我方成为本项目中标候选人，我方同意并授权招标人</w:t>
            </w:r>
            <w:r>
              <w:rPr>
                <w:rFonts w:hint="eastAsia" w:asciiTheme="minorEastAsia" w:hAnsiTheme="minorEastAsia" w:eastAsiaTheme="minorEastAsia" w:cstheme="minorEastAsia"/>
                <w:color w:val="auto"/>
                <w:sz w:val="21"/>
                <w:szCs w:val="21"/>
                <w:highlight w:val="none"/>
                <w:lang w:eastAsia="zh-CN"/>
              </w:rPr>
              <w:t>在评标结果公示期内公开</w:t>
            </w:r>
            <w:r>
              <w:rPr>
                <w:rFonts w:hint="eastAsia" w:asciiTheme="minorEastAsia" w:hAnsiTheme="minorEastAsia" w:eastAsiaTheme="minorEastAsia" w:cstheme="minorEastAsia"/>
                <w:color w:val="auto"/>
                <w:sz w:val="21"/>
                <w:szCs w:val="21"/>
                <w:highlight w:val="none"/>
              </w:rPr>
              <w:t>我方商务部分的</w:t>
            </w:r>
            <w:r>
              <w:rPr>
                <w:rFonts w:hint="eastAsia" w:asciiTheme="minorEastAsia" w:hAnsiTheme="minorEastAsia" w:eastAsiaTheme="minorEastAsia" w:cstheme="minorEastAsia"/>
                <w:color w:val="auto"/>
                <w:sz w:val="21"/>
                <w:szCs w:val="21"/>
                <w:highlight w:val="none"/>
                <w:lang w:eastAsia="zh-CN"/>
              </w:rPr>
              <w:t>全部</w:t>
            </w:r>
            <w:r>
              <w:rPr>
                <w:rFonts w:hint="eastAsia" w:asciiTheme="minorEastAsia" w:hAnsiTheme="minorEastAsia" w:eastAsiaTheme="minorEastAsia" w:cstheme="minorEastAsia"/>
                <w:color w:val="auto"/>
                <w:sz w:val="21"/>
                <w:szCs w:val="21"/>
                <w:highlight w:val="none"/>
              </w:rPr>
              <w:t>内容。</w:t>
            </w:r>
          </w:p>
        </w:tc>
        <w:tc>
          <w:tcPr>
            <w:tcW w:w="5022" w:type="dxa"/>
            <w:noWrap w:val="0"/>
            <w:vAlign w:val="center"/>
            <mc:AlternateContent>
              <mc:Choice Requires="wpsCustomData">
                <wpsCustomData:diagonals>
                  <wpsCustomData:diagonal from="20000" to="0">
                    <wpsCustomData:border w:val="single" w:color="auto" w:sz="4" w:space="0"/>
                  </wpsCustomData:diagonal>
                </wpsCustomData:diagonals>
              </mc:Choice>
            </mc:AlternateContent>
          </w:tcPr>
          <w:p w14:paraId="00BCE3D4">
            <w:pPr>
              <w:pStyle w:val="60"/>
              <w:snapToGrid w:val="0"/>
              <w:spacing w:line="240" w:lineRule="auto"/>
              <w:ind w:left="0" w:leftChars="0" w:firstLine="0" w:firstLineChars="0"/>
              <mc:AlternateContent>
                <mc:Choice Requires="wpsCustomData">
                  <wpsCustomData:diagonalParaType/>
                </mc:Choice>
              </mc:AlternateContent>
              <w:rPr>
                <w:rFonts w:hint="eastAsia" w:asciiTheme="minorEastAsia" w:hAnsiTheme="minorEastAsia" w:eastAsiaTheme="minorEastAsia" w:cstheme="minorEastAsia"/>
                <w:color w:val="auto"/>
                <w:sz w:val="21"/>
                <w:szCs w:val="21"/>
                <w:highlight w:val="none"/>
              </w:rPr>
            </w:pPr>
          </w:p>
          <w:p w14:paraId="5185CE97">
            <w:pPr>
              <w:pStyle w:val="60"/>
              <w:snapToGrid w:val="0"/>
              <w:spacing w:line="400" w:lineRule="exact"/>
              <w:ind w:left="0" w:leftChars="0" w:firstLine="0" w:firstLineChars="0"/>
              <w:rPr>
                <w:rFonts w:hint="eastAsia" w:asciiTheme="minorEastAsia" w:hAnsiTheme="minorEastAsia" w:eastAsiaTheme="minorEastAsia" w:cstheme="minorEastAsia"/>
                <w:color w:val="auto"/>
                <w:sz w:val="21"/>
                <w:szCs w:val="21"/>
                <w:highlight w:val="none"/>
              </w:rPr>
            </w:pPr>
          </w:p>
        </w:tc>
      </w:tr>
      <w:tr w14:paraId="7D58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1" w:hRule="atLeast"/>
          <w:jc w:val="center"/>
        </w:trPr>
        <w:tc>
          <w:tcPr>
            <w:tcW w:w="617" w:type="dxa"/>
            <w:noWrap w:val="0"/>
            <w:vAlign w:val="center"/>
          </w:tcPr>
          <w:p w14:paraId="15478D8B">
            <w:pPr>
              <w:pStyle w:val="7"/>
              <w:spacing w:line="380" w:lineRule="exact"/>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 w:val="24"/>
                <w:szCs w:val="21"/>
                <w:highlight w:val="none"/>
                <w:lang w:val="en-US" w:eastAsia="zh-CN"/>
              </w:rPr>
              <w:t>17</w:t>
            </w:r>
          </w:p>
        </w:tc>
        <w:tc>
          <w:tcPr>
            <w:tcW w:w="1133" w:type="dxa"/>
            <w:noWrap w:val="0"/>
            <w:vAlign w:val="center"/>
          </w:tcPr>
          <w:p w14:paraId="6754F9F5">
            <w:pPr>
              <w:pStyle w:val="60"/>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质量安全受检承诺</w:t>
            </w:r>
          </w:p>
        </w:tc>
        <w:tc>
          <w:tcPr>
            <w:tcW w:w="3166" w:type="dxa"/>
            <w:noWrap w:val="0"/>
            <w:vAlign w:val="center"/>
          </w:tcPr>
          <w:p w14:paraId="30C7A5BB">
            <w:pPr>
              <w:pStyle w:val="60"/>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我方中标，我方承诺本项目在建设过程中，设计及施工的质量安全等相关实施内容按照业主单位、发包单位的相关管理规定和质量安全考核要求，随时接受业主单位、发包单位自行或委托的第三方的监督检查及考核，我方保证无条件配合。</w:t>
            </w:r>
          </w:p>
        </w:tc>
        <w:tc>
          <w:tcPr>
            <w:tcW w:w="5022" w:type="dxa"/>
            <w:noWrap w:val="0"/>
            <w:vAlign w:val="center"/>
          </w:tcPr>
          <w:p w14:paraId="775B6AFC">
            <w:pPr>
              <w:pStyle w:val="60"/>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如我方不配合或未通过相关的监督检查及考核，我方承诺接受业主单位、发包单位的相关管理规定和处罚，并承担相应的责任。</w:t>
            </w:r>
          </w:p>
        </w:tc>
      </w:tr>
      <w:tr w14:paraId="381D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7" w:type="dxa"/>
            <w:noWrap w:val="0"/>
            <w:vAlign w:val="center"/>
          </w:tcPr>
          <w:p w14:paraId="02DB5EE3">
            <w:pPr>
              <w:pStyle w:val="7"/>
              <w:spacing w:line="380" w:lineRule="exact"/>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 w:val="24"/>
                <w:szCs w:val="21"/>
                <w:highlight w:val="none"/>
                <w:lang w:val="en-US" w:eastAsia="zh-CN"/>
              </w:rPr>
              <w:t>18</w:t>
            </w:r>
          </w:p>
        </w:tc>
        <w:tc>
          <w:tcPr>
            <w:tcW w:w="1133" w:type="dxa"/>
            <w:noWrap w:val="0"/>
            <w:vAlign w:val="center"/>
          </w:tcPr>
          <w:p w14:paraId="2D5D31F6">
            <w:pPr>
              <w:pStyle w:val="60"/>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对工程预付款的使用承诺</w:t>
            </w:r>
          </w:p>
        </w:tc>
        <w:tc>
          <w:tcPr>
            <w:tcW w:w="3166" w:type="dxa"/>
            <w:noWrap w:val="0"/>
            <w:vAlign w:val="center"/>
          </w:tcPr>
          <w:p w14:paraId="4717544C">
            <w:pPr>
              <w:pStyle w:val="60"/>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我方保证工程预付款用于主要建筑材料的备料及支付工人工资。</w:t>
            </w:r>
          </w:p>
        </w:tc>
        <w:tc>
          <w:tcPr>
            <w:tcW w:w="5022" w:type="dxa"/>
            <w:noWrap w:val="0"/>
            <w:vAlign w:val="center"/>
          </w:tcPr>
          <w:p w14:paraId="7D932B23">
            <w:pPr>
              <w:pStyle w:val="60"/>
              <w:snapToGrid w:val="0"/>
              <w:spacing w:line="400" w:lineRule="exact"/>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highlight w:val="none"/>
              </w:rPr>
              <w:pict>
                <v:line id="直线 18" o:spid="_x0000_s1030" o:spt="20" style="position:absolute;left:0pt;flip:y;margin-left:1.2pt;margin-top:3.95pt;height:64.25pt;width:240.6pt;z-index:251664384;mso-width-relative:page;mso-height-relative:page;" filled="f" stroked="t" coordsize="21600,21600" o:gfxdata="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E8N8HVAAAABwEAAA8AAAAAAAAAAQAgAAAAIgAAAGRycy9kb3ducmV2LnhtbFBLAQIUABQA&#10;AAAIAIdO4kDSQgNq8wEAAOsDAAAOAAAAAAAAAAEAIAAAACQBAABkcnMvZTJvRG9jLnhtbFBLBQYA&#10;AAAABgAGAFkBAACJBQAAAAA=&#10;">
                  <v:path arrowok="t"/>
                  <v:fill on="f" focussize="0,0"/>
                  <v:stroke color="#000000" joinstyle="round"/>
                  <v:imagedata o:title=""/>
                  <o:lock v:ext="edit" aspectratio="f"/>
                </v:line>
              </w:pict>
            </w:r>
          </w:p>
        </w:tc>
      </w:tr>
    </w:tbl>
    <w:p w14:paraId="48243121">
      <w:pPr>
        <w:pStyle w:val="68"/>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注：所有违约金均从中标人的进度款中扣除，最终结算以扣除违约金总数后的金额为准。</w:t>
      </w:r>
    </w:p>
    <w:p w14:paraId="4F109FDC">
      <w:pPr>
        <w:pStyle w:val="34"/>
        <w:spacing w:line="400" w:lineRule="exact"/>
        <w:jc w:val="left"/>
        <w:rPr>
          <w:rFonts w:hint="eastAsia" w:asciiTheme="minorEastAsia" w:hAnsiTheme="minorEastAsia" w:eastAsiaTheme="minorEastAsia" w:cstheme="minorEastAsia"/>
          <w:color w:val="auto"/>
          <w:szCs w:val="24"/>
          <w:highlight w:val="none"/>
        </w:rPr>
      </w:pPr>
    </w:p>
    <w:p w14:paraId="0BE4A8C5">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6DF638EC">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p>
    <w:p w14:paraId="275CDFC8">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7E57DB37">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p>
    <w:p w14:paraId="6A141A49">
      <w:pPr>
        <w:widowControl/>
        <w:jc w:val="right"/>
        <w:rPr>
          <w:rFonts w:hint="eastAsia" w:asciiTheme="minorEastAsia" w:hAnsiTheme="minorEastAsia" w:eastAsiaTheme="minorEastAsia" w:cstheme="minorEastAsia"/>
          <w:b/>
          <w:bCs/>
          <w:snapToGrid w:val="0"/>
          <w:color w:val="auto"/>
          <w:kern w:val="0"/>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Theme="minorEastAsia" w:hAnsiTheme="minorEastAsia" w:eastAsiaTheme="minorEastAsia" w:cstheme="minorEastAsia"/>
          <w:b/>
          <w:bCs/>
          <w:snapToGrid w:val="0"/>
          <w:color w:val="auto"/>
          <w:kern w:val="0"/>
          <w:szCs w:val="24"/>
          <w:highlight w:val="none"/>
        </w:rPr>
        <w:br w:type="page"/>
      </w:r>
    </w:p>
    <w:p w14:paraId="4B19F682">
      <w:pPr>
        <w:pStyle w:val="4"/>
        <w:spacing w:before="120"/>
        <w:rPr>
          <w:rFonts w:hint="eastAsia" w:asciiTheme="minorEastAsia" w:hAnsiTheme="minorEastAsia" w:eastAsiaTheme="minorEastAsia" w:cstheme="minorEastAsia"/>
          <w:b/>
          <w:bCs/>
          <w:color w:val="auto"/>
          <w:szCs w:val="24"/>
          <w:highlight w:val="none"/>
        </w:rPr>
      </w:pPr>
      <w:bookmarkStart w:id="531" w:name="_Toc26384"/>
      <w:bookmarkStart w:id="532" w:name="_Toc6896"/>
      <w:bookmarkStart w:id="533" w:name="_Toc30764"/>
      <w:bookmarkStart w:id="534" w:name="_Toc30463"/>
      <w:bookmarkStart w:id="535" w:name="_Toc10981"/>
      <w:r>
        <w:rPr>
          <w:rFonts w:hint="eastAsia" w:asciiTheme="minorEastAsia" w:hAnsiTheme="minorEastAsia" w:eastAsiaTheme="minorEastAsia" w:cstheme="minorEastAsia"/>
          <w:b/>
          <w:bCs/>
          <w:color w:val="auto"/>
          <w:szCs w:val="24"/>
          <w:highlight w:val="none"/>
        </w:rPr>
        <w:t>格式四 授权委托书</w:t>
      </w:r>
      <w:bookmarkEnd w:id="531"/>
      <w:bookmarkEnd w:id="532"/>
      <w:bookmarkEnd w:id="533"/>
      <w:bookmarkEnd w:id="534"/>
      <w:bookmarkEnd w:id="535"/>
    </w:p>
    <w:p w14:paraId="3ADCFDEF">
      <w:pPr>
        <w:wordWrap w:val="0"/>
        <w:adjustRightInd w:val="0"/>
        <w:snapToGrid w:val="0"/>
        <w:spacing w:line="440" w:lineRule="exact"/>
        <w:rPr>
          <w:rFonts w:hint="eastAsia" w:asciiTheme="minorEastAsia" w:hAnsiTheme="minorEastAsia" w:eastAsiaTheme="minorEastAsia" w:cstheme="minorEastAsia"/>
          <w:b/>
          <w:bCs/>
          <w:snapToGrid w:val="0"/>
          <w:color w:val="auto"/>
          <w:kern w:val="0"/>
          <w:szCs w:val="24"/>
          <w:highlight w:val="none"/>
        </w:rPr>
      </w:pPr>
    </w:p>
    <w:p w14:paraId="34CFB3DC">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授权委托书</w:t>
      </w:r>
    </w:p>
    <w:p w14:paraId="78AFEB40">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17103A9E">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本人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（姓名）系</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（投标人名称）的法定代表人，现委托</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（姓名）为我方代理人。代理人根据授权，以我方名义签署、澄清、说明、补正、递交、撤回、修改</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（项目名称）投标文件、签订合同和处理有关事宜，其法律后果由我方承担。</w:t>
      </w:r>
    </w:p>
    <w:p w14:paraId="35025E8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委托期限：至</w:t>
      </w:r>
      <w:r>
        <w:rPr>
          <w:rFonts w:hint="eastAsia" w:asciiTheme="minorEastAsia" w:hAnsiTheme="minorEastAsia" w:eastAsiaTheme="minorEastAsia" w:cstheme="minorEastAsia"/>
          <w:snapToGrid w:val="0"/>
          <w:color w:val="auto"/>
          <w:kern w:val="0"/>
          <w:szCs w:val="24"/>
          <w:highlight w:val="none"/>
          <w:u w:val="single"/>
        </w:rPr>
        <w:t xml:space="preserve">     年   月   日</w:t>
      </w:r>
      <w:r>
        <w:rPr>
          <w:rFonts w:hint="eastAsia" w:asciiTheme="minorEastAsia" w:hAnsiTheme="minorEastAsia" w:eastAsiaTheme="minorEastAsia" w:cstheme="minorEastAsia"/>
          <w:i/>
          <w:iCs/>
          <w:snapToGrid w:val="0"/>
          <w:color w:val="auto"/>
          <w:kern w:val="0"/>
          <w:szCs w:val="24"/>
          <w:highlight w:val="none"/>
          <w:u w:val="single"/>
        </w:rPr>
        <w:t>（不得短于招标文件规定的投标有效期）</w:t>
      </w:r>
      <w:r>
        <w:rPr>
          <w:rFonts w:hint="eastAsia" w:asciiTheme="minorEastAsia" w:hAnsiTheme="minorEastAsia" w:eastAsiaTheme="minorEastAsia" w:cstheme="minorEastAsia"/>
          <w:snapToGrid w:val="0"/>
          <w:color w:val="auto"/>
          <w:kern w:val="0"/>
          <w:szCs w:val="24"/>
          <w:highlight w:val="none"/>
        </w:rPr>
        <w:t xml:space="preserve"> 。</w:t>
      </w:r>
    </w:p>
    <w:p w14:paraId="388E33EC">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代理人无转委托权。</w:t>
      </w:r>
    </w:p>
    <w:p w14:paraId="4790C8F1">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048F8D5A">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379CDA10">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  标  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47178EF4">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p>
    <w:p w14:paraId="34910192">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3731AF0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p>
    <w:p w14:paraId="1F477B2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639A250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45F4FEDC">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6B3334F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322DA21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21CDB063">
      <w:pPr>
        <w:wordWrap w:val="0"/>
        <w:adjustRightInd w:val="0"/>
        <w:snapToGrid w:val="0"/>
        <w:ind w:firstLine="5520" w:firstLineChars="23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u w:val="single"/>
        </w:rPr>
        <w:pict>
          <v:shape id="_x0000_s1028" o:spid="_x0000_s1028" o:spt="176" type="#_x0000_t176" style="position:absolute;left:0pt;margin-left:115.5pt;margin-top:2.6pt;height:124.75pt;width:251.25pt;z-index:251663360;mso-width-relative:page;mso-height-relative:page;"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J9Os2AAAAAkBAAAPAAAAAAAAAAEAIAAAACIAAABkcnMvZG93&#10;bnJldi54bWxQSwECFAAUAAAACACHTuJAsfZZWzkCAABuBAAADgAAAAAAAAABACAAAAAnAQAAZHJz&#10;L2Uyb0RvYy54bWxQSwUGAAAAAAYABgBZAQAA0gUAAAAA&#10;">
            <v:path/>
            <v:fill focussize="0,0"/>
            <v:stroke joinstyle="miter"/>
            <v:imagedata o:title=""/>
            <o:lock v:ext="edit"/>
            <v:textbox>
              <w:txbxContent>
                <w:p w14:paraId="6212300E">
                  <w:pPr>
                    <w:jc w:val="center"/>
                    <w:rPr>
                      <w:rFonts w:hint="default"/>
                      <w:szCs w:val="21"/>
                    </w:rPr>
                  </w:pPr>
                </w:p>
                <w:p w14:paraId="392B6583">
                  <w:pPr>
                    <w:jc w:val="center"/>
                    <w:rPr>
                      <w:rFonts w:hint="default"/>
                      <w:szCs w:val="21"/>
                    </w:rPr>
                  </w:pPr>
                </w:p>
                <w:p w14:paraId="3A12F76C">
                  <w:pPr>
                    <w:jc w:val="center"/>
                    <w:rPr>
                      <w:rFonts w:hint="default"/>
                      <w:szCs w:val="21"/>
                    </w:rPr>
                  </w:pPr>
                </w:p>
                <w:p w14:paraId="76520C7F">
                  <w:pPr>
                    <w:jc w:val="center"/>
                    <w:rPr>
                      <w:rFonts w:hint="eastAsia" w:ascii="宋体" w:hAnsi="宋体" w:eastAsia="宋体" w:cs="宋体"/>
                      <w:szCs w:val="21"/>
                    </w:rPr>
                  </w:pPr>
                  <w:r>
                    <w:rPr>
                      <w:rFonts w:hint="eastAsia" w:ascii="宋体" w:hAnsi="宋体" w:eastAsia="宋体" w:cs="宋体"/>
                      <w:szCs w:val="21"/>
                    </w:rPr>
                    <w:t>委托代理人身份证彩色扫描件正、反面</w:t>
                  </w:r>
                </w:p>
              </w:txbxContent>
            </v:textbox>
          </v:shape>
        </w:pict>
      </w:r>
    </w:p>
    <w:p w14:paraId="435F828D">
      <w:pPr>
        <w:pStyle w:val="8"/>
        <w:wordWrap w:val="0"/>
        <w:adjustRightInd w:val="0"/>
        <w:snapToGrid w:val="0"/>
        <w:rPr>
          <w:rFonts w:hint="eastAsia" w:asciiTheme="minorEastAsia" w:hAnsiTheme="minorEastAsia" w:eastAsiaTheme="minorEastAsia" w:cstheme="minorEastAsia"/>
          <w:snapToGrid w:val="0"/>
          <w:color w:val="auto"/>
          <w:kern w:val="0"/>
          <w:szCs w:val="24"/>
          <w:highlight w:val="none"/>
        </w:rPr>
      </w:pPr>
    </w:p>
    <w:p w14:paraId="4A72F4A7">
      <w:pPr>
        <w:rPr>
          <w:rFonts w:hint="eastAsia" w:asciiTheme="minorEastAsia" w:hAnsiTheme="minorEastAsia" w:eastAsiaTheme="minorEastAsia" w:cstheme="minorEastAsia"/>
          <w:color w:val="auto"/>
          <w:szCs w:val="24"/>
          <w:highlight w:val="none"/>
        </w:rPr>
      </w:pPr>
    </w:p>
    <w:p w14:paraId="2707642F">
      <w:pPr>
        <w:wordWrap w:val="0"/>
        <w:adjustRightInd w:val="0"/>
        <w:snapToGrid w:val="0"/>
        <w:rPr>
          <w:rFonts w:hint="eastAsia" w:asciiTheme="minorEastAsia" w:hAnsiTheme="minorEastAsia" w:eastAsiaTheme="minorEastAsia" w:cstheme="minorEastAsia"/>
          <w:snapToGrid w:val="0"/>
          <w:color w:val="auto"/>
          <w:kern w:val="0"/>
          <w:szCs w:val="24"/>
          <w:highlight w:val="none"/>
        </w:rPr>
        <w:sectPr>
          <w:headerReference r:id="rId6" w:type="default"/>
          <w:footerReference r:id="rId7" w:type="default"/>
          <w:endnotePr>
            <w:numFmt w:val="decimal"/>
          </w:endnotePr>
          <w:pgSz w:w="11906" w:h="16838"/>
          <w:pgMar w:top="1701" w:right="1531" w:bottom="1417" w:left="1531" w:header="850" w:footer="737" w:gutter="0"/>
          <w:pgNumType w:fmt="decimal"/>
          <w:cols w:space="720" w:num="1"/>
          <w:docGrid w:linePitch="327" w:charSpace="0"/>
        </w:sectPr>
      </w:pPr>
    </w:p>
    <w:p w14:paraId="3FD84A81">
      <w:pPr>
        <w:pStyle w:val="4"/>
        <w:spacing w:before="120"/>
        <w:rPr>
          <w:rFonts w:hint="eastAsia" w:asciiTheme="minorEastAsia" w:hAnsiTheme="minorEastAsia" w:eastAsiaTheme="minorEastAsia" w:cstheme="minorEastAsia"/>
          <w:b/>
          <w:bCs/>
          <w:color w:val="auto"/>
          <w:szCs w:val="24"/>
          <w:highlight w:val="none"/>
        </w:rPr>
      </w:pPr>
      <w:bookmarkStart w:id="536" w:name="_Toc12031"/>
      <w:bookmarkStart w:id="537" w:name="_Toc16283"/>
      <w:r>
        <w:rPr>
          <w:rFonts w:hint="eastAsia" w:asciiTheme="minorEastAsia" w:hAnsiTheme="minorEastAsia" w:eastAsiaTheme="minorEastAsia" w:cstheme="minorEastAsia"/>
          <w:b/>
          <w:bCs/>
          <w:color w:val="auto"/>
          <w:szCs w:val="24"/>
          <w:highlight w:val="none"/>
        </w:rPr>
        <w:t>格式五 法定代表人身份证明</w:t>
      </w:r>
      <w:bookmarkEnd w:id="536"/>
      <w:bookmarkEnd w:id="537"/>
    </w:p>
    <w:p w14:paraId="4516AF38">
      <w:pPr>
        <w:wordWrap w:val="0"/>
        <w:adjustRightInd w:val="0"/>
        <w:snapToGrid w:val="0"/>
        <w:spacing w:line="440" w:lineRule="exact"/>
        <w:rPr>
          <w:rFonts w:hint="eastAsia" w:asciiTheme="minorEastAsia" w:hAnsiTheme="minorEastAsia" w:eastAsiaTheme="minorEastAsia" w:cstheme="minorEastAsia"/>
          <w:b/>
          <w:snapToGrid w:val="0"/>
          <w:color w:val="auto"/>
          <w:kern w:val="0"/>
          <w:szCs w:val="24"/>
          <w:highlight w:val="none"/>
        </w:rPr>
      </w:pPr>
    </w:p>
    <w:p w14:paraId="450DC350">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法定代表人身份证明</w:t>
      </w:r>
    </w:p>
    <w:p w14:paraId="2809809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33E481A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u w:val="single"/>
        </w:rPr>
      </w:pPr>
      <w:r>
        <w:rPr>
          <w:rFonts w:hint="eastAsia" w:asciiTheme="minorEastAsia" w:hAnsiTheme="minorEastAsia" w:eastAsiaTheme="minorEastAsia" w:cstheme="minorEastAsia"/>
          <w:snapToGrid w:val="0"/>
          <w:color w:val="auto"/>
          <w:kern w:val="0"/>
          <w:szCs w:val="24"/>
          <w:highlight w:val="none"/>
        </w:rPr>
        <w:t>投标人名称：</w:t>
      </w:r>
      <w:r>
        <w:rPr>
          <w:rFonts w:hint="eastAsia" w:asciiTheme="minorEastAsia" w:hAnsiTheme="minorEastAsia" w:eastAsiaTheme="minorEastAsia" w:cstheme="minorEastAsia"/>
          <w:snapToGrid w:val="0"/>
          <w:color w:val="auto"/>
          <w:kern w:val="0"/>
          <w:szCs w:val="24"/>
          <w:highlight w:val="none"/>
          <w:u w:val="single"/>
        </w:rPr>
        <w:t xml:space="preserve">                  </w:t>
      </w:r>
    </w:p>
    <w:p w14:paraId="47A92B0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u w:val="single"/>
        </w:rPr>
      </w:pPr>
      <w:r>
        <w:rPr>
          <w:rFonts w:hint="eastAsia" w:asciiTheme="minorEastAsia" w:hAnsiTheme="minorEastAsia" w:eastAsiaTheme="minorEastAsia" w:cstheme="minorEastAsia"/>
          <w:snapToGrid w:val="0"/>
          <w:color w:val="auto"/>
          <w:kern w:val="0"/>
          <w:szCs w:val="24"/>
          <w:highlight w:val="none"/>
        </w:rPr>
        <w:t>姓名：</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性别：</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年龄：</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职务：</w:t>
      </w:r>
      <w:r>
        <w:rPr>
          <w:rFonts w:hint="eastAsia" w:asciiTheme="minorEastAsia" w:hAnsiTheme="minorEastAsia" w:eastAsiaTheme="minorEastAsia" w:cstheme="minorEastAsia"/>
          <w:snapToGrid w:val="0"/>
          <w:color w:val="auto"/>
          <w:kern w:val="0"/>
          <w:szCs w:val="24"/>
          <w:highlight w:val="none"/>
          <w:u w:val="single"/>
        </w:rPr>
        <w:t xml:space="preserve">           </w:t>
      </w:r>
    </w:p>
    <w:p w14:paraId="7119E73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系</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（投标人名称）的法定代表人。</w:t>
      </w:r>
    </w:p>
    <w:p w14:paraId="67B4367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特此证明。</w:t>
      </w:r>
    </w:p>
    <w:p w14:paraId="414C0FFF">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4B7156C0">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16BC1EBC">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13245FAD">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02C82B7B">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5640E0DA">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1A9F4A29">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075875AC">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 xml:space="preserve">日       </w:t>
      </w:r>
    </w:p>
    <w:p w14:paraId="3E7BE46F">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auto"/>
          <w:kern w:val="0"/>
          <w:szCs w:val="24"/>
          <w:highlight w:val="none"/>
        </w:rPr>
      </w:pPr>
    </w:p>
    <w:p w14:paraId="23E4B240">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auto"/>
          <w:kern w:val="0"/>
          <w:szCs w:val="24"/>
          <w:highlight w:val="none"/>
        </w:rPr>
      </w:pPr>
    </w:p>
    <w:p w14:paraId="659C4946">
      <w:pPr>
        <w:wordWrap w:val="0"/>
        <w:adjustRightInd w:val="0"/>
        <w:snapToGrid w:val="0"/>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pict>
          <v:shape id="_x0000_s1027" o:spid="_x0000_s1027" o:spt="176" type="#_x0000_t176" style="position:absolute;left:0pt;margin-left:127.5pt;margin-top:1.6pt;height:124.75pt;width:222.45pt;z-index:251662336;mso-width-relative:page;mso-height-relative:page;"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hXUptgAAAAJAQAADwAAAAAAAAABACAAAAAiAAAAZHJzL2Rvd25y&#10;ZXYueG1sUEsBAhQAFAAAAAgAh07iQEz7asY3AgAAbAQAAA4AAAAAAAAAAQAgAAAAJwEAAGRycy9l&#10;Mm9Eb2MueG1sUEsFBgAAAAAGAAYAWQEAANAFAAAAAA==&#10;">
            <v:path/>
            <v:fill focussize="0,0"/>
            <v:stroke joinstyle="miter"/>
            <v:imagedata o:title=""/>
            <o:lock v:ext="edit"/>
            <v:textbox>
              <w:txbxContent>
                <w:p w14:paraId="30EDDE0C">
                  <w:pPr>
                    <w:jc w:val="center"/>
                    <w:rPr>
                      <w:rFonts w:hint="default"/>
                      <w:szCs w:val="21"/>
                    </w:rPr>
                  </w:pPr>
                </w:p>
                <w:p w14:paraId="68574360">
                  <w:pPr>
                    <w:jc w:val="center"/>
                    <w:rPr>
                      <w:rFonts w:hint="default"/>
                      <w:szCs w:val="21"/>
                    </w:rPr>
                  </w:pPr>
                </w:p>
                <w:p w14:paraId="4719C687">
                  <w:pPr>
                    <w:jc w:val="center"/>
                    <w:rPr>
                      <w:rFonts w:hint="default"/>
                      <w:szCs w:val="21"/>
                    </w:rPr>
                  </w:pPr>
                </w:p>
                <w:p w14:paraId="07B3FA8F">
                  <w:pPr>
                    <w:jc w:val="center"/>
                    <w:rPr>
                      <w:rFonts w:hint="eastAsia" w:ascii="宋体" w:hAnsi="宋体" w:eastAsia="宋体" w:cs="宋体"/>
                      <w:szCs w:val="21"/>
                    </w:rPr>
                  </w:pPr>
                  <w:r>
                    <w:rPr>
                      <w:rFonts w:hint="eastAsia" w:ascii="宋体" w:hAnsi="宋体" w:eastAsia="宋体" w:cs="宋体"/>
                      <w:szCs w:val="21"/>
                    </w:rPr>
                    <w:t>法定代表人身份证彩色扫描件正、反面</w:t>
                  </w:r>
                </w:p>
              </w:txbxContent>
            </v:textbox>
          </v:shape>
        </w:pict>
      </w:r>
    </w:p>
    <w:p w14:paraId="2E318E0B">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asciiTheme="minorEastAsia" w:hAnsiTheme="minorEastAsia" w:eastAsiaTheme="minorEastAsia" w:cstheme="minorEastAsia"/>
          <w:snapToGrid w:val="0"/>
          <w:color w:val="auto"/>
          <w:kern w:val="0"/>
          <w:szCs w:val="24"/>
          <w:highlight w:val="none"/>
        </w:rPr>
      </w:pPr>
    </w:p>
    <w:p w14:paraId="0A652531">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pPr>
    </w:p>
    <w:p w14:paraId="633E6118">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pPr>
    </w:p>
    <w:p w14:paraId="2BAD6532">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06BC645D">
      <w:pPr>
        <w:pStyle w:val="4"/>
        <w:spacing w:before="120"/>
        <w:rPr>
          <w:rFonts w:hint="eastAsia" w:asciiTheme="minorEastAsia" w:hAnsiTheme="minorEastAsia" w:eastAsiaTheme="minorEastAsia" w:cstheme="minorEastAsia"/>
          <w:b/>
          <w:bCs/>
          <w:color w:val="auto"/>
          <w:szCs w:val="24"/>
          <w:highlight w:val="none"/>
        </w:rPr>
      </w:pPr>
      <w:bookmarkStart w:id="538" w:name="_Toc6600"/>
      <w:bookmarkStart w:id="539" w:name="_Toc16430"/>
      <w:bookmarkStart w:id="540" w:name="_Toc30665"/>
      <w:bookmarkStart w:id="541" w:name="_Toc26395"/>
      <w:bookmarkStart w:id="542" w:name="_Toc26875"/>
      <w:r>
        <w:rPr>
          <w:rFonts w:hint="eastAsia" w:asciiTheme="minorEastAsia" w:hAnsiTheme="minorEastAsia" w:eastAsiaTheme="minorEastAsia" w:cstheme="minorEastAsia"/>
          <w:b/>
          <w:bCs/>
          <w:color w:val="auto"/>
          <w:szCs w:val="24"/>
          <w:highlight w:val="none"/>
        </w:rPr>
        <w:t>格式六 联合体协议书</w:t>
      </w:r>
      <w:bookmarkEnd w:id="538"/>
      <w:bookmarkEnd w:id="539"/>
      <w:bookmarkEnd w:id="540"/>
      <w:bookmarkEnd w:id="541"/>
      <w:bookmarkEnd w:id="542"/>
    </w:p>
    <w:p w14:paraId="1E169E49">
      <w:pPr>
        <w:pStyle w:val="46"/>
        <w:widowControl w:val="0"/>
        <w:wordWrap w:val="0"/>
        <w:adjustRightInd w:val="0"/>
        <w:snapToGrid w:val="0"/>
        <w:spacing w:before="240" w:after="240" w:line="440" w:lineRule="exact"/>
        <w:ind w:firstLine="0"/>
        <w:jc w:val="center"/>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联合体协议书</w:t>
      </w:r>
    </w:p>
    <w:p w14:paraId="48A14098">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4B559640">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5FAA8F32">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牵头人名称：</w:t>
      </w:r>
      <w:r>
        <w:rPr>
          <w:rFonts w:hint="eastAsia" w:asciiTheme="minorEastAsia" w:hAnsiTheme="minorEastAsia" w:eastAsiaTheme="minorEastAsia" w:cstheme="minorEastAsia"/>
          <w:snapToGrid w:val="0"/>
          <w:color w:val="auto"/>
          <w:sz w:val="24"/>
          <w:szCs w:val="24"/>
          <w:highlight w:val="none"/>
          <w:u w:val="single"/>
        </w:rPr>
        <w:t xml:space="preserve">                                                  </w:t>
      </w:r>
    </w:p>
    <w:p w14:paraId="7FCF3D52">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法定代表人：</w:t>
      </w:r>
      <w:r>
        <w:rPr>
          <w:rFonts w:hint="eastAsia" w:asciiTheme="minorEastAsia" w:hAnsiTheme="minorEastAsia" w:eastAsiaTheme="minorEastAsia" w:cstheme="minorEastAsia"/>
          <w:snapToGrid w:val="0"/>
          <w:color w:val="auto"/>
          <w:sz w:val="24"/>
          <w:szCs w:val="24"/>
          <w:highlight w:val="none"/>
          <w:u w:val="single"/>
        </w:rPr>
        <w:t xml:space="preserve">                                                  </w:t>
      </w:r>
    </w:p>
    <w:p w14:paraId="7468D4F1">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法定住所：</w:t>
      </w:r>
      <w:r>
        <w:rPr>
          <w:rFonts w:hint="eastAsia" w:asciiTheme="minorEastAsia" w:hAnsiTheme="minorEastAsia" w:eastAsiaTheme="minorEastAsia" w:cstheme="minorEastAsia"/>
          <w:snapToGrid w:val="0"/>
          <w:color w:val="auto"/>
          <w:sz w:val="24"/>
          <w:szCs w:val="24"/>
          <w:highlight w:val="none"/>
          <w:u w:val="single"/>
        </w:rPr>
        <w:t xml:space="preserve">                                                    </w:t>
      </w:r>
    </w:p>
    <w:p w14:paraId="39290C7A">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564B1A82">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成员二名称：</w:t>
      </w:r>
      <w:r>
        <w:rPr>
          <w:rFonts w:hint="eastAsia" w:asciiTheme="minorEastAsia" w:hAnsiTheme="minorEastAsia" w:eastAsiaTheme="minorEastAsia" w:cstheme="minorEastAsia"/>
          <w:snapToGrid w:val="0"/>
          <w:color w:val="auto"/>
          <w:sz w:val="24"/>
          <w:szCs w:val="24"/>
          <w:highlight w:val="none"/>
          <w:u w:val="single"/>
        </w:rPr>
        <w:t xml:space="preserve">                                                  </w:t>
      </w:r>
    </w:p>
    <w:p w14:paraId="614174E7">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法定代表人：</w:t>
      </w:r>
      <w:r>
        <w:rPr>
          <w:rFonts w:hint="eastAsia" w:asciiTheme="minorEastAsia" w:hAnsiTheme="minorEastAsia" w:eastAsiaTheme="minorEastAsia" w:cstheme="minorEastAsia"/>
          <w:snapToGrid w:val="0"/>
          <w:color w:val="auto"/>
          <w:sz w:val="24"/>
          <w:szCs w:val="24"/>
          <w:highlight w:val="none"/>
          <w:u w:val="single"/>
        </w:rPr>
        <w:t xml:space="preserve">                                                  </w:t>
      </w:r>
    </w:p>
    <w:p w14:paraId="660DA1A9">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法定住所：</w:t>
      </w:r>
      <w:r>
        <w:rPr>
          <w:rFonts w:hint="eastAsia" w:asciiTheme="minorEastAsia" w:hAnsiTheme="minorEastAsia" w:eastAsiaTheme="minorEastAsia" w:cstheme="minorEastAsia"/>
          <w:snapToGrid w:val="0"/>
          <w:color w:val="auto"/>
          <w:sz w:val="24"/>
          <w:szCs w:val="24"/>
          <w:highlight w:val="none"/>
          <w:u w:val="single"/>
        </w:rPr>
        <w:t xml:space="preserve">                                                    </w:t>
      </w:r>
    </w:p>
    <w:p w14:paraId="32D7A4E0">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4CC9F319">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07BD02E7">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w:t>
      </w:r>
    </w:p>
    <w:p w14:paraId="44FA1284">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上述各成员单位经过友好协商，自愿组成联合体，共同参加</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（项目名称）（以下简称“本项目”）的投标并争取赢得本项目EPC总承包合同（以下简称合同）。现就联合体投标事宜订立如下协议：</w:t>
      </w:r>
    </w:p>
    <w:p w14:paraId="719956F5">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1．</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（某成员单位名称）为联合体牵头人。</w:t>
      </w:r>
    </w:p>
    <w:p w14:paraId="437C48FA">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506AF19F">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相关责任。</w:t>
      </w:r>
    </w:p>
    <w:p w14:paraId="682E636A">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4．联合体各成员单位内部的职责分工如下：</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w:t>
      </w:r>
    </w:p>
    <w:p w14:paraId="1F0E38FD">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5．投标工作和联合体在中标后工程实施过程中的有关费用按各自承担的工作量分摊。</w:t>
      </w:r>
    </w:p>
    <w:p w14:paraId="4AF650F6">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6．联合体中标后，本联合体协议是合同的附件，对联合体各成员单位有合同约束力。</w:t>
      </w:r>
    </w:p>
    <w:p w14:paraId="3904DBFB">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7．本协议书自签署之日起生效，联合体未中标或者中标时合同履行完毕后自动失效。</w:t>
      </w:r>
    </w:p>
    <w:p w14:paraId="4F0D01DD">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8．本协议书一式</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份，联合体成员和招标人各执一份。</w:t>
      </w:r>
    </w:p>
    <w:p w14:paraId="6B5D6CF6">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3EEB2D15">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23A4F23C">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牵头人名称：</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（盖单位章）</w:t>
      </w:r>
    </w:p>
    <w:p w14:paraId="5678A31B">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w:t>
      </w:r>
    </w:p>
    <w:p w14:paraId="75EE1DF6">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法定代表人或其委托代理人：</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（签字或盖章）</w:t>
      </w:r>
    </w:p>
    <w:p w14:paraId="698C4154">
      <w:pPr>
        <w:pStyle w:val="46"/>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auto"/>
          <w:sz w:val="24"/>
          <w:szCs w:val="24"/>
          <w:highlight w:val="none"/>
        </w:rPr>
      </w:pPr>
    </w:p>
    <w:p w14:paraId="5475F658">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成员二名称：</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（盖单位章）</w:t>
      </w:r>
    </w:p>
    <w:p w14:paraId="3D484E5F">
      <w:pPr>
        <w:pStyle w:val="46"/>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auto"/>
          <w:sz w:val="24"/>
          <w:szCs w:val="24"/>
          <w:highlight w:val="none"/>
        </w:rPr>
      </w:pPr>
    </w:p>
    <w:p w14:paraId="384A654B">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法定代表人或其委托代理人：</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（签字或盖章）</w:t>
      </w:r>
    </w:p>
    <w:p w14:paraId="533ECC54">
      <w:pPr>
        <w:pStyle w:val="46"/>
        <w:widowControl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p>
    <w:p w14:paraId="3A01DDEF">
      <w:pPr>
        <w:pStyle w:val="46"/>
        <w:widowControl w:val="0"/>
        <w:wordWrap w:val="0"/>
        <w:adjustRightInd w:val="0"/>
        <w:snapToGrid w:val="0"/>
        <w:spacing w:line="440" w:lineRule="exact"/>
        <w:ind w:firstLine="3840" w:firstLineChars="16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w:t>
      </w:r>
    </w:p>
    <w:p w14:paraId="3E94A3B6">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61178B74">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年</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月</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u w:val="single"/>
          <w:lang w:eastAsia="zh-CN"/>
        </w:rPr>
        <w:t>日</w:t>
      </w:r>
    </w:p>
    <w:p w14:paraId="114BFA46">
      <w:pPr>
        <w:pStyle w:val="46"/>
        <w:widowControl w:val="0"/>
        <w:wordWrap w:val="0"/>
        <w:adjustRightInd w:val="0"/>
        <w:snapToGrid w:val="0"/>
        <w:spacing w:line="440" w:lineRule="exact"/>
        <w:jc w:val="center"/>
        <w:rPr>
          <w:rFonts w:hint="eastAsia" w:asciiTheme="minorEastAsia" w:hAnsiTheme="minorEastAsia" w:eastAsiaTheme="minorEastAsia" w:cstheme="minorEastAsia"/>
          <w:snapToGrid w:val="0"/>
          <w:color w:val="auto"/>
          <w:sz w:val="24"/>
          <w:szCs w:val="24"/>
          <w:highlight w:val="none"/>
        </w:rPr>
      </w:pPr>
    </w:p>
    <w:p w14:paraId="79F84F11">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4712C5B5">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7503721D">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25E89DE6">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说明：《联合体协议书》由委托代理人签字或盖章的，应附法定代表人签字或盖章的授权委托书。</w:t>
      </w:r>
    </w:p>
    <w:p w14:paraId="6AFC06D8">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4F4448E0">
      <w:pPr>
        <w:pStyle w:val="4"/>
        <w:spacing w:before="120"/>
        <w:rPr>
          <w:rFonts w:hint="eastAsia" w:asciiTheme="minorEastAsia" w:hAnsiTheme="minorEastAsia" w:eastAsiaTheme="minorEastAsia" w:cstheme="minorEastAsia"/>
          <w:b/>
          <w:bCs/>
          <w:color w:val="auto"/>
          <w:szCs w:val="24"/>
          <w:highlight w:val="none"/>
        </w:rPr>
      </w:pPr>
      <w:bookmarkStart w:id="543" w:name="_Toc31264"/>
      <w:bookmarkStart w:id="544" w:name="_Toc10817"/>
      <w:r>
        <w:rPr>
          <w:rFonts w:hint="eastAsia" w:asciiTheme="minorEastAsia" w:hAnsiTheme="minorEastAsia" w:eastAsiaTheme="minorEastAsia" w:cstheme="minorEastAsia"/>
          <w:b/>
          <w:bCs/>
          <w:color w:val="auto"/>
          <w:szCs w:val="24"/>
          <w:highlight w:val="none"/>
        </w:rPr>
        <w:t>格式七 投标人基本情况表</w:t>
      </w:r>
      <w:bookmarkEnd w:id="543"/>
      <w:bookmarkEnd w:id="544"/>
    </w:p>
    <w:p w14:paraId="244162F3">
      <w:pPr>
        <w:pStyle w:val="46"/>
        <w:widowControl w:val="0"/>
        <w:wordWrap w:val="0"/>
        <w:adjustRightInd w:val="0"/>
        <w:snapToGrid w:val="0"/>
        <w:spacing w:before="260" w:after="260" w:line="400" w:lineRule="exact"/>
        <w:ind w:firstLine="0"/>
        <w:jc w:val="center"/>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投标人基本情况表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41"/>
        <w:gridCol w:w="1140"/>
        <w:gridCol w:w="833"/>
        <w:gridCol w:w="460"/>
        <w:gridCol w:w="832"/>
        <w:gridCol w:w="269"/>
        <w:gridCol w:w="735"/>
        <w:gridCol w:w="1470"/>
      </w:tblGrid>
      <w:tr w14:paraId="13AF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17031DA0">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投标人名称</w:t>
            </w:r>
          </w:p>
        </w:tc>
        <w:tc>
          <w:tcPr>
            <w:tcW w:w="7280" w:type="dxa"/>
            <w:gridSpan w:val="8"/>
            <w:noWrap/>
            <w:vAlign w:val="center"/>
          </w:tcPr>
          <w:p w14:paraId="2922417B">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1ACB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60196E6A">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注册地址</w:t>
            </w:r>
          </w:p>
        </w:tc>
        <w:tc>
          <w:tcPr>
            <w:tcW w:w="3514" w:type="dxa"/>
            <w:gridSpan w:val="3"/>
            <w:noWrap/>
            <w:vAlign w:val="center"/>
          </w:tcPr>
          <w:p w14:paraId="2534C5BC">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28151D48">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邮政编码</w:t>
            </w:r>
          </w:p>
        </w:tc>
        <w:tc>
          <w:tcPr>
            <w:tcW w:w="2474" w:type="dxa"/>
            <w:gridSpan w:val="3"/>
            <w:noWrap/>
            <w:vAlign w:val="center"/>
          </w:tcPr>
          <w:p w14:paraId="648CA5B4">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6A5A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restart"/>
            <w:noWrap/>
            <w:vAlign w:val="center"/>
          </w:tcPr>
          <w:p w14:paraId="77005BE7">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联系方式</w:t>
            </w:r>
          </w:p>
        </w:tc>
        <w:tc>
          <w:tcPr>
            <w:tcW w:w="1541" w:type="dxa"/>
            <w:noWrap/>
            <w:vAlign w:val="center"/>
          </w:tcPr>
          <w:p w14:paraId="6DA39D2A">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联系人</w:t>
            </w:r>
          </w:p>
        </w:tc>
        <w:tc>
          <w:tcPr>
            <w:tcW w:w="1973" w:type="dxa"/>
            <w:gridSpan w:val="2"/>
            <w:noWrap/>
            <w:vAlign w:val="center"/>
          </w:tcPr>
          <w:p w14:paraId="220FDAEB">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3F88FF07">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  话</w:t>
            </w:r>
          </w:p>
        </w:tc>
        <w:tc>
          <w:tcPr>
            <w:tcW w:w="2474" w:type="dxa"/>
            <w:gridSpan w:val="3"/>
            <w:noWrap/>
            <w:vAlign w:val="center"/>
          </w:tcPr>
          <w:p w14:paraId="78E42A51">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3A46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continue"/>
            <w:noWrap/>
            <w:vAlign w:val="center"/>
          </w:tcPr>
          <w:p w14:paraId="30DD40AE">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541" w:type="dxa"/>
            <w:noWrap/>
            <w:vAlign w:val="center"/>
          </w:tcPr>
          <w:p w14:paraId="2D42253D">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传  真</w:t>
            </w:r>
          </w:p>
        </w:tc>
        <w:tc>
          <w:tcPr>
            <w:tcW w:w="1973" w:type="dxa"/>
            <w:gridSpan w:val="2"/>
            <w:noWrap/>
            <w:vAlign w:val="center"/>
          </w:tcPr>
          <w:p w14:paraId="0A57192B">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7D8EAB59">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电子邮箱</w:t>
            </w:r>
          </w:p>
        </w:tc>
        <w:tc>
          <w:tcPr>
            <w:tcW w:w="2474" w:type="dxa"/>
            <w:gridSpan w:val="3"/>
            <w:noWrap/>
            <w:vAlign w:val="center"/>
          </w:tcPr>
          <w:p w14:paraId="44C31D6F">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46A9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13BED66B">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单位性质</w:t>
            </w:r>
          </w:p>
        </w:tc>
        <w:tc>
          <w:tcPr>
            <w:tcW w:w="7280" w:type="dxa"/>
            <w:gridSpan w:val="8"/>
            <w:noWrap/>
            <w:vAlign w:val="center"/>
          </w:tcPr>
          <w:p w14:paraId="18E12F01">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54AA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5041117">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法定代表人</w:t>
            </w:r>
          </w:p>
        </w:tc>
        <w:tc>
          <w:tcPr>
            <w:tcW w:w="1541" w:type="dxa"/>
            <w:noWrap/>
            <w:vAlign w:val="center"/>
          </w:tcPr>
          <w:p w14:paraId="3C89A138">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姓名</w:t>
            </w:r>
          </w:p>
        </w:tc>
        <w:tc>
          <w:tcPr>
            <w:tcW w:w="1140" w:type="dxa"/>
            <w:noWrap/>
            <w:vAlign w:val="center"/>
          </w:tcPr>
          <w:p w14:paraId="692AF9CB">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noWrap/>
            <w:vAlign w:val="center"/>
          </w:tcPr>
          <w:p w14:paraId="2074D5CA">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技术职称</w:t>
            </w:r>
          </w:p>
        </w:tc>
        <w:tc>
          <w:tcPr>
            <w:tcW w:w="1101" w:type="dxa"/>
            <w:gridSpan w:val="2"/>
            <w:noWrap/>
            <w:vAlign w:val="center"/>
          </w:tcPr>
          <w:p w14:paraId="5520AFAA">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735" w:type="dxa"/>
            <w:noWrap/>
            <w:vAlign w:val="center"/>
          </w:tcPr>
          <w:p w14:paraId="3E1A2552">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电话</w:t>
            </w:r>
          </w:p>
        </w:tc>
        <w:tc>
          <w:tcPr>
            <w:tcW w:w="1470" w:type="dxa"/>
            <w:noWrap/>
            <w:vAlign w:val="center"/>
          </w:tcPr>
          <w:p w14:paraId="46DEE77C">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5F28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03DF737B">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成立时间</w:t>
            </w:r>
          </w:p>
        </w:tc>
        <w:tc>
          <w:tcPr>
            <w:tcW w:w="2681" w:type="dxa"/>
            <w:gridSpan w:val="2"/>
            <w:noWrap/>
            <w:vAlign w:val="center"/>
          </w:tcPr>
          <w:p w14:paraId="5D1CC060">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4599" w:type="dxa"/>
            <w:gridSpan w:val="6"/>
            <w:noWrap/>
            <w:vAlign w:val="center"/>
          </w:tcPr>
          <w:p w14:paraId="547C094B">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员工总人数（个）：</w:t>
            </w:r>
          </w:p>
        </w:tc>
      </w:tr>
      <w:tr w14:paraId="360E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540" w:type="dxa"/>
            <w:noWrap/>
            <w:vAlign w:val="center"/>
          </w:tcPr>
          <w:p w14:paraId="43C9CD15">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企业资质</w:t>
            </w:r>
          </w:p>
          <w:p w14:paraId="2DA599A3">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类型和等级</w:t>
            </w:r>
          </w:p>
        </w:tc>
        <w:tc>
          <w:tcPr>
            <w:tcW w:w="2681" w:type="dxa"/>
            <w:gridSpan w:val="2"/>
            <w:noWrap/>
            <w:vAlign w:val="center"/>
          </w:tcPr>
          <w:p w14:paraId="435587D3">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restart"/>
            <w:noWrap/>
            <w:vAlign w:val="center"/>
          </w:tcPr>
          <w:p w14:paraId="64161980">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其中</w:t>
            </w:r>
          </w:p>
        </w:tc>
        <w:tc>
          <w:tcPr>
            <w:tcW w:w="1836" w:type="dxa"/>
            <w:gridSpan w:val="3"/>
            <w:noWrap/>
            <w:vAlign w:val="center"/>
          </w:tcPr>
          <w:p w14:paraId="1585BAA8">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项目经理</w:t>
            </w:r>
          </w:p>
        </w:tc>
        <w:tc>
          <w:tcPr>
            <w:tcW w:w="1470" w:type="dxa"/>
            <w:noWrap/>
            <w:vAlign w:val="center"/>
          </w:tcPr>
          <w:p w14:paraId="33668F7C">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1633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64B8632">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营业执照号</w:t>
            </w:r>
          </w:p>
        </w:tc>
        <w:tc>
          <w:tcPr>
            <w:tcW w:w="2681" w:type="dxa"/>
            <w:gridSpan w:val="2"/>
            <w:noWrap/>
            <w:vAlign w:val="center"/>
          </w:tcPr>
          <w:p w14:paraId="3661E2AE">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1E22C194">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206E84F0">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高级职称人员</w:t>
            </w:r>
          </w:p>
        </w:tc>
        <w:tc>
          <w:tcPr>
            <w:tcW w:w="1470" w:type="dxa"/>
            <w:noWrap/>
            <w:vAlign w:val="center"/>
          </w:tcPr>
          <w:p w14:paraId="0C76BE91">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5008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407B426D">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注册资金</w:t>
            </w:r>
          </w:p>
        </w:tc>
        <w:tc>
          <w:tcPr>
            <w:tcW w:w="2681" w:type="dxa"/>
            <w:gridSpan w:val="2"/>
            <w:noWrap/>
            <w:vAlign w:val="center"/>
          </w:tcPr>
          <w:p w14:paraId="275B6FE6">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71E4C8E1">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6596F59D">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中级职称人员</w:t>
            </w:r>
          </w:p>
        </w:tc>
        <w:tc>
          <w:tcPr>
            <w:tcW w:w="1470" w:type="dxa"/>
            <w:noWrap/>
            <w:vAlign w:val="center"/>
          </w:tcPr>
          <w:p w14:paraId="443F8464">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26FC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40" w:type="dxa"/>
            <w:noWrap/>
            <w:vAlign w:val="center"/>
          </w:tcPr>
          <w:p w14:paraId="5CD56260">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基本账户</w:t>
            </w:r>
          </w:p>
          <w:p w14:paraId="5E6EFF70">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开户银行</w:t>
            </w:r>
          </w:p>
        </w:tc>
        <w:tc>
          <w:tcPr>
            <w:tcW w:w="2681" w:type="dxa"/>
            <w:gridSpan w:val="2"/>
            <w:noWrap/>
            <w:vAlign w:val="center"/>
          </w:tcPr>
          <w:p w14:paraId="35963BB3">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451799AF">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1C90B777">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初级职称人员</w:t>
            </w:r>
          </w:p>
        </w:tc>
        <w:tc>
          <w:tcPr>
            <w:tcW w:w="1470" w:type="dxa"/>
            <w:noWrap/>
            <w:vAlign w:val="center"/>
          </w:tcPr>
          <w:p w14:paraId="5185F20C">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1A1E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540" w:type="dxa"/>
            <w:noWrap/>
            <w:vAlign w:val="center"/>
          </w:tcPr>
          <w:p w14:paraId="5F1EB85C">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基本账户</w:t>
            </w:r>
          </w:p>
          <w:p w14:paraId="59540401">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银行账号</w:t>
            </w:r>
          </w:p>
        </w:tc>
        <w:tc>
          <w:tcPr>
            <w:tcW w:w="2681" w:type="dxa"/>
            <w:gridSpan w:val="2"/>
            <w:noWrap/>
            <w:vAlign w:val="center"/>
          </w:tcPr>
          <w:p w14:paraId="6EEEA4D0">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730649CA">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283128EF">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技术员</w:t>
            </w:r>
          </w:p>
        </w:tc>
        <w:tc>
          <w:tcPr>
            <w:tcW w:w="1470" w:type="dxa"/>
            <w:noWrap/>
            <w:vAlign w:val="center"/>
          </w:tcPr>
          <w:p w14:paraId="13BB8B81">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7745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540" w:type="dxa"/>
            <w:noWrap/>
            <w:vAlign w:val="center"/>
          </w:tcPr>
          <w:p w14:paraId="653E3CAE">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经营范围</w:t>
            </w:r>
          </w:p>
        </w:tc>
        <w:tc>
          <w:tcPr>
            <w:tcW w:w="7280" w:type="dxa"/>
            <w:gridSpan w:val="8"/>
            <w:noWrap/>
            <w:vAlign w:val="center"/>
          </w:tcPr>
          <w:p w14:paraId="790185DB">
            <w:pPr>
              <w:pStyle w:val="42"/>
              <w:wordWrap w:val="0"/>
              <w:adjustRightInd w:val="0"/>
              <w:snapToGrid w:val="0"/>
              <w:jc w:val="left"/>
              <w:rPr>
                <w:rFonts w:hint="eastAsia" w:asciiTheme="minorEastAsia" w:hAnsiTheme="minorEastAsia" w:eastAsiaTheme="minorEastAsia" w:cstheme="minorEastAsia"/>
                <w:snapToGrid w:val="0"/>
                <w:color w:val="auto"/>
                <w:kern w:val="0"/>
                <w:sz w:val="24"/>
                <w:highlight w:val="none"/>
              </w:rPr>
            </w:pPr>
          </w:p>
        </w:tc>
      </w:tr>
      <w:tr w14:paraId="1CCB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540" w:type="dxa"/>
            <w:noWrap/>
            <w:vAlign w:val="center"/>
          </w:tcPr>
          <w:p w14:paraId="2BB6AB5C">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关联企业情况</w:t>
            </w:r>
          </w:p>
        </w:tc>
        <w:tc>
          <w:tcPr>
            <w:tcW w:w="7280" w:type="dxa"/>
            <w:gridSpan w:val="8"/>
            <w:noWrap/>
            <w:vAlign w:val="center"/>
          </w:tcPr>
          <w:p w14:paraId="6EE38209">
            <w:pPr>
              <w:pStyle w:val="42"/>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包括但不限于与投标人存在以下关系的不同单位：</w:t>
            </w:r>
          </w:p>
          <w:p w14:paraId="1844A97D">
            <w:pPr>
              <w:pStyle w:val="42"/>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1．法定代表人为同一人的。</w:t>
            </w:r>
          </w:p>
          <w:p w14:paraId="643D42A4">
            <w:pPr>
              <w:pStyle w:val="42"/>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2．存在控股、管理关系的。</w:t>
            </w:r>
          </w:p>
          <w:p w14:paraId="1EAED253">
            <w:pPr>
              <w:pStyle w:val="42"/>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3．主要人员相互任职的。</w:t>
            </w:r>
          </w:p>
        </w:tc>
      </w:tr>
      <w:tr w14:paraId="7A1C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40" w:type="dxa"/>
            <w:noWrap/>
            <w:vAlign w:val="center"/>
          </w:tcPr>
          <w:p w14:paraId="1D753AD6">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备注</w:t>
            </w:r>
          </w:p>
        </w:tc>
        <w:tc>
          <w:tcPr>
            <w:tcW w:w="7280" w:type="dxa"/>
            <w:gridSpan w:val="8"/>
            <w:noWrap/>
            <w:vAlign w:val="center"/>
          </w:tcPr>
          <w:p w14:paraId="6D279D12">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bl>
    <w:p w14:paraId="7B89B98D">
      <w:pPr>
        <w:pStyle w:val="42"/>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说明：</w:t>
      </w:r>
    </w:p>
    <w:bookmarkEnd w:id="487"/>
    <w:bookmarkEnd w:id="488"/>
    <w:bookmarkEnd w:id="489"/>
    <w:bookmarkEnd w:id="490"/>
    <w:bookmarkEnd w:id="491"/>
    <w:p w14:paraId="3825431F">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bookmarkStart w:id="545" w:name="_Toc1659"/>
      <w:bookmarkStart w:id="546" w:name="_Toc535300004"/>
      <w:bookmarkStart w:id="547" w:name="_Toc118541763"/>
      <w:bookmarkStart w:id="548" w:name="_Toc210101349"/>
      <w:bookmarkStart w:id="549" w:name="_Toc48547015"/>
      <w:bookmarkStart w:id="550" w:name="_Toc534641863"/>
      <w:r>
        <w:rPr>
          <w:rFonts w:hint="eastAsia" w:asciiTheme="minorEastAsia" w:hAnsiTheme="minorEastAsia" w:eastAsiaTheme="minorEastAsia" w:cstheme="minorEastAsia"/>
          <w:snapToGrid w:val="0"/>
          <w:color w:val="auto"/>
          <w:sz w:val="21"/>
          <w:szCs w:val="21"/>
          <w:highlight w:val="none"/>
        </w:rPr>
        <w:t>1．《投标人基本情况表》后应附以下资料：</w:t>
      </w:r>
    </w:p>
    <w:p w14:paraId="663DA07C">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（1）企业营业执照、资质证书、安全生产许可证的</w:t>
      </w:r>
      <w:r>
        <w:rPr>
          <w:rFonts w:hint="eastAsia" w:asciiTheme="minorEastAsia" w:hAnsiTheme="minorEastAsia" w:eastAsiaTheme="minorEastAsia" w:cstheme="minorEastAsia"/>
          <w:snapToGrid w:val="0"/>
          <w:color w:val="auto"/>
          <w:sz w:val="21"/>
          <w:szCs w:val="21"/>
          <w:highlight w:val="none"/>
          <w:lang w:val="en-US" w:eastAsia="zh-CN"/>
        </w:rPr>
        <w:t>扫描</w:t>
      </w:r>
      <w:r>
        <w:rPr>
          <w:rFonts w:hint="eastAsia" w:asciiTheme="minorEastAsia" w:hAnsiTheme="minorEastAsia" w:eastAsiaTheme="minorEastAsia" w:cstheme="minorEastAsia"/>
          <w:snapToGrid w:val="0"/>
          <w:color w:val="auto"/>
          <w:sz w:val="21"/>
          <w:szCs w:val="21"/>
          <w:highlight w:val="none"/>
        </w:rPr>
        <w:t>件</w:t>
      </w:r>
      <w:r>
        <w:rPr>
          <w:rFonts w:hint="eastAsia" w:asciiTheme="minorEastAsia" w:hAnsiTheme="minorEastAsia" w:eastAsiaTheme="minorEastAsia" w:cstheme="minorEastAsia"/>
          <w:b/>
          <w:bCs/>
          <w:snapToGrid w:val="0"/>
          <w:color w:val="auto"/>
          <w:sz w:val="21"/>
          <w:szCs w:val="21"/>
          <w:highlight w:val="none"/>
        </w:rPr>
        <w:t>（因推行电子证照，企业的营业执照、资质证书等可以提供电子证照。为实时掌握项目投标单位的是否具备企业安全生产条件，企业的安全生产许可证需提供企业实时网页查询页，实时查询页的打印时间应在项目招标公告发布之日起至开标前。如中标后，投标单位安全生产许可证发生被暂扣情形，需双方另行协商）；</w:t>
      </w:r>
    </w:p>
    <w:p w14:paraId="21234B0F">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（2）外省建筑企业须提供“进粤企业和人员诚信信息登记平台”企业信息情况打印页。</w:t>
      </w:r>
    </w:p>
    <w:p w14:paraId="4D00A3DC">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2．联合体投标的，联合体成员单位均应填写《投标人基本情况表》并提供以上所需资料。</w:t>
      </w:r>
    </w:p>
    <w:p w14:paraId="3BBC35B7">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sectPr>
          <w:endnotePr>
            <w:numFmt w:val="decimal"/>
          </w:endnotePr>
          <w:pgSz w:w="11906" w:h="16838"/>
          <w:pgMar w:top="122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auto"/>
          <w:sz w:val="21"/>
          <w:szCs w:val="21"/>
          <w:highlight w:val="none"/>
        </w:rPr>
        <w:t>3.《法人和非法人组织公共信用信息报告》打印件（在“信用中国”网站企业查询界面中下载）。</w:t>
      </w:r>
    </w:p>
    <w:p w14:paraId="046ADA4A">
      <w:pPr>
        <w:pStyle w:val="4"/>
        <w:spacing w:before="120"/>
        <w:rPr>
          <w:rFonts w:hint="eastAsia" w:asciiTheme="minorEastAsia" w:hAnsiTheme="minorEastAsia" w:eastAsiaTheme="minorEastAsia" w:cstheme="minorEastAsia"/>
          <w:b/>
          <w:bCs/>
          <w:color w:val="auto"/>
          <w:szCs w:val="24"/>
          <w:highlight w:val="none"/>
        </w:rPr>
      </w:pPr>
      <w:bookmarkStart w:id="551" w:name="_Toc31876"/>
      <w:r>
        <w:rPr>
          <w:rFonts w:hint="eastAsia" w:asciiTheme="minorEastAsia" w:hAnsiTheme="minorEastAsia" w:eastAsiaTheme="minorEastAsia" w:cstheme="minorEastAsia"/>
          <w:b/>
          <w:bCs/>
          <w:color w:val="auto"/>
          <w:szCs w:val="24"/>
          <w:highlight w:val="none"/>
        </w:rPr>
        <w:t>格式八 项目经理简历表</w:t>
      </w:r>
      <w:bookmarkEnd w:id="545"/>
      <w:bookmarkEnd w:id="551"/>
    </w:p>
    <w:p w14:paraId="2B375A7A">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215F8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5B88326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FBC687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1876908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3DC7EB0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EDD0DF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34CF2A2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58E7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051D1AC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49D4F7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2973DA6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08BFF83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77F32BD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2B93C2F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7F0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9DBFC4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7DDA83C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6FCC032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2458BC5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2050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356F285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以项目经理身份参与过的主要业绩（已完工项目）</w:t>
            </w:r>
          </w:p>
        </w:tc>
      </w:tr>
      <w:tr w14:paraId="6921A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27B6F9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013625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32CF8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76DA2E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57C2FD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FD45D7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468EC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763A7F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A59F68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45A565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24272EC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BF3CA6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1F4CE40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1681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2E4B55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1926A2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4FDAD4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41946C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CC1054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A57807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A98C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1F63A0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EA7951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428B5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A8DF59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31B0AE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475A699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B29A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D8206F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7F91A0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DB8876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58EC9B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4316668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7E1304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0B0BEAF0">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项目经理简历表</w:t>
      </w:r>
    </w:p>
    <w:p w14:paraId="598C1A20">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p>
    <w:p w14:paraId="44DC5543">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40A8A1A7">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项目经理：</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5E163C89">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596E09A4">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5CD3B3E0">
      <w:pPr>
        <w:outlineLvl w:val="9"/>
        <w:rPr>
          <w:rFonts w:hint="eastAsia"/>
          <w:color w:val="auto"/>
          <w:highlight w:val="none"/>
        </w:rPr>
      </w:pPr>
    </w:p>
    <w:p w14:paraId="39724635">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说明：《项目经理简历表》后应附拟派项目经理以下资料：</w:t>
      </w:r>
    </w:p>
    <w:p w14:paraId="234E50E1">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1．身份证彩色扫描件；</w:t>
      </w:r>
    </w:p>
    <w:p w14:paraId="62F97137">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2．建造师电子注册证书（在使用有效期内的有效电子证书）彩色扫描件；</w:t>
      </w:r>
    </w:p>
    <w:p w14:paraId="24918F13">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3．B类安全生产考核合格证书彩色扫描件或广东省建筑施工企业管理人员安全生产考核系统考核合格信息彩色扫描件；</w:t>
      </w:r>
    </w:p>
    <w:p w14:paraId="01350D00">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4．在本单位缴纳社保的证明（至少</w:t>
      </w:r>
      <w:r>
        <w:rPr>
          <w:rFonts w:hint="eastAsia" w:asciiTheme="minorEastAsia" w:hAnsiTheme="minorEastAsia" w:eastAsiaTheme="minorEastAsia" w:cstheme="minorEastAsia"/>
          <w:snapToGrid w:val="0"/>
          <w:color w:val="auto"/>
          <w:kern w:val="0"/>
          <w:szCs w:val="24"/>
          <w:highlight w:val="none"/>
          <w:lang w:val="en-US" w:eastAsia="zh-CN"/>
        </w:rPr>
        <w:t>一</w:t>
      </w:r>
      <w:r>
        <w:rPr>
          <w:rFonts w:hint="eastAsia" w:asciiTheme="minorEastAsia" w:hAnsiTheme="minorEastAsia" w:eastAsiaTheme="minorEastAsia" w:cstheme="minorEastAsia"/>
          <w:snapToGrid w:val="0"/>
          <w:color w:val="auto"/>
          <w:kern w:val="0"/>
          <w:szCs w:val="24"/>
          <w:highlight w:val="none"/>
        </w:rPr>
        <w:t>个月，其中必须有</w:t>
      </w:r>
      <w:r>
        <w:rPr>
          <w:rFonts w:hint="eastAsia" w:asciiTheme="minorEastAsia" w:hAnsiTheme="minorEastAsia" w:eastAsiaTheme="minorEastAsia" w:cstheme="minorEastAsia"/>
          <w:snapToGrid w:val="0"/>
          <w:color w:val="auto"/>
          <w:kern w:val="0"/>
          <w:szCs w:val="24"/>
          <w:highlight w:val="none"/>
          <w:lang w:val="en-US" w:eastAsia="zh-CN"/>
        </w:rPr>
        <w:t>2024</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lang w:val="en-US" w:eastAsia="zh-CN"/>
        </w:rPr>
        <w:t>9</w:t>
      </w:r>
      <w:r>
        <w:rPr>
          <w:rFonts w:hint="eastAsia" w:asciiTheme="minorEastAsia" w:hAnsiTheme="minorEastAsia" w:eastAsiaTheme="minorEastAsia" w:cstheme="minorEastAsia"/>
          <w:snapToGrid w:val="0"/>
          <w:color w:val="auto"/>
          <w:kern w:val="0"/>
          <w:szCs w:val="24"/>
          <w:highlight w:val="none"/>
        </w:rPr>
        <w:t>月）彩色扫描件；拟派项目经理为退休返聘人员无法提供社保证明的，提供退休证和劳动合同彩色扫描件。</w:t>
      </w:r>
    </w:p>
    <w:p w14:paraId="2AC22EA4">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722A95E1">
      <w:pPr>
        <w:pStyle w:val="4"/>
        <w:spacing w:before="120"/>
        <w:rPr>
          <w:rFonts w:hint="eastAsia" w:asciiTheme="minorEastAsia" w:hAnsiTheme="minorEastAsia" w:eastAsiaTheme="minorEastAsia" w:cstheme="minorEastAsia"/>
          <w:b/>
          <w:bCs/>
          <w:color w:val="auto"/>
          <w:szCs w:val="24"/>
          <w:highlight w:val="none"/>
        </w:rPr>
      </w:pPr>
      <w:bookmarkStart w:id="552" w:name="_Toc6303"/>
      <w:r>
        <w:rPr>
          <w:rFonts w:hint="eastAsia" w:asciiTheme="minorEastAsia" w:hAnsiTheme="minorEastAsia" w:eastAsiaTheme="minorEastAsia" w:cstheme="minorEastAsia"/>
          <w:b/>
          <w:bCs/>
          <w:color w:val="auto"/>
          <w:szCs w:val="24"/>
          <w:highlight w:val="none"/>
        </w:rPr>
        <w:t>格式九 项目经理任职声明</w:t>
      </w:r>
      <w:bookmarkEnd w:id="552"/>
    </w:p>
    <w:p w14:paraId="4ADE852D">
      <w:pPr>
        <w:wordWrap w:val="0"/>
        <w:adjustRightInd w:val="0"/>
        <w:snapToGrid w:val="0"/>
        <w:spacing w:line="440" w:lineRule="exact"/>
        <w:jc w:val="left"/>
        <w:rPr>
          <w:rFonts w:hint="eastAsia" w:asciiTheme="minorEastAsia" w:hAnsiTheme="minorEastAsia" w:eastAsiaTheme="minorEastAsia" w:cstheme="minorEastAsia"/>
          <w:b/>
          <w:snapToGrid w:val="0"/>
          <w:color w:val="auto"/>
          <w:kern w:val="0"/>
          <w:szCs w:val="24"/>
          <w:highlight w:val="none"/>
        </w:rPr>
      </w:pPr>
    </w:p>
    <w:p w14:paraId="5B39C3F5">
      <w:pPr>
        <w:wordWrap w:val="0"/>
        <w:adjustRightInd w:val="0"/>
        <w:snapToGrid w:val="0"/>
        <w:spacing w:before="260" w:after="260" w:line="440" w:lineRule="exact"/>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项目经理任职声明</w:t>
      </w:r>
    </w:p>
    <w:p w14:paraId="5BBE975C">
      <w:pPr>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Cs w:val="24"/>
          <w:highlight w:val="none"/>
        </w:rPr>
      </w:pPr>
    </w:p>
    <w:p w14:paraId="364C715F">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bookmarkStart w:id="553" w:name="_Toc21599"/>
      <w:r>
        <w:rPr>
          <w:rFonts w:hint="eastAsia" w:asciiTheme="minorEastAsia" w:hAnsiTheme="minorEastAsia" w:eastAsiaTheme="minorEastAsia" w:cstheme="minorEastAsia"/>
          <w:snapToGrid w:val="0"/>
          <w:color w:val="auto"/>
          <w:kern w:val="0"/>
          <w:szCs w:val="24"/>
          <w:highlight w:val="none"/>
        </w:rPr>
        <w:t>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（招标人名称）：</w:t>
      </w:r>
    </w:p>
    <w:p w14:paraId="4B31BB2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我方在此声明，我方拟派往</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（项目名称）的项目经理</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（项目经理姓名）现阶段没有担任任何在施（包括已中标未开工、已开工未竣工）建设工程项目的项目经理。</w:t>
      </w:r>
    </w:p>
    <w:p w14:paraId="243E9439">
      <w:pPr>
        <w:wordWrap w:val="0"/>
        <w:adjustRightInd w:val="0"/>
        <w:snapToGrid w:val="0"/>
        <w:spacing w:line="440" w:lineRule="exact"/>
        <w:ind w:firstLine="48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我方保证上述信息的真实和准确，并愿意承担因我方就此弄虚作假所引起的一切法律后果。</w:t>
      </w:r>
    </w:p>
    <w:p w14:paraId="5CFC49FD">
      <w:pPr>
        <w:wordWrap w:val="0"/>
        <w:adjustRightInd w:val="0"/>
        <w:snapToGrid w:val="0"/>
        <w:spacing w:line="440" w:lineRule="exact"/>
        <w:ind w:firstLine="48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42D74EF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特此承诺　　</w:t>
      </w:r>
    </w:p>
    <w:p w14:paraId="741114B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2024B23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142252A1">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4F2DA4C9">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0B18FAC1">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7DEBFFFA">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法定代表人或其委托代理人：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2E059885">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0210DF30">
      <w:pPr>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06228FEA">
      <w:pPr>
        <w:spacing w:before="120"/>
        <w:outlineLvl w:val="9"/>
        <w:rPr>
          <w:rFonts w:hint="eastAsia" w:asciiTheme="minorEastAsia" w:hAnsiTheme="minorEastAsia" w:eastAsiaTheme="minorEastAsia" w:cstheme="minorEastAsia"/>
          <w:b/>
          <w:bCs/>
          <w:color w:val="auto"/>
          <w:szCs w:val="24"/>
          <w:highlight w:val="none"/>
        </w:rPr>
      </w:pPr>
    </w:p>
    <w:p w14:paraId="206BB2EB">
      <w:pPr>
        <w:spacing w:before="120"/>
        <w:outlineLvl w:val="9"/>
        <w:rPr>
          <w:rFonts w:hint="eastAsia" w:asciiTheme="minorEastAsia" w:hAnsiTheme="minorEastAsia" w:eastAsiaTheme="minorEastAsia" w:cstheme="minorEastAsia"/>
          <w:b/>
          <w:bCs/>
          <w:color w:val="auto"/>
          <w:szCs w:val="24"/>
          <w:highlight w:val="none"/>
        </w:rPr>
      </w:pPr>
    </w:p>
    <w:p w14:paraId="64164BC2">
      <w:pPr>
        <w:spacing w:before="120"/>
        <w:outlineLvl w:val="9"/>
        <w:rPr>
          <w:rFonts w:hint="eastAsia" w:asciiTheme="minorEastAsia" w:hAnsiTheme="minorEastAsia" w:eastAsiaTheme="minorEastAsia" w:cstheme="minorEastAsia"/>
          <w:b/>
          <w:bCs/>
          <w:color w:val="auto"/>
          <w:szCs w:val="24"/>
          <w:highlight w:val="none"/>
        </w:rPr>
      </w:pPr>
    </w:p>
    <w:p w14:paraId="32026C24">
      <w:pPr>
        <w:spacing w:before="120"/>
        <w:outlineLvl w:val="9"/>
        <w:rPr>
          <w:rFonts w:hint="eastAsia" w:asciiTheme="minorEastAsia" w:hAnsiTheme="minorEastAsia" w:eastAsiaTheme="minorEastAsia" w:cstheme="minorEastAsia"/>
          <w:b/>
          <w:bCs/>
          <w:color w:val="auto"/>
          <w:szCs w:val="24"/>
          <w:highlight w:val="none"/>
        </w:rPr>
      </w:pPr>
    </w:p>
    <w:p w14:paraId="6BFF4F88">
      <w:pPr>
        <w:spacing w:before="120"/>
        <w:outlineLvl w:val="9"/>
        <w:rPr>
          <w:rFonts w:hint="eastAsia" w:asciiTheme="minorEastAsia" w:hAnsiTheme="minorEastAsia" w:eastAsiaTheme="minorEastAsia" w:cstheme="minorEastAsia"/>
          <w:b/>
          <w:bCs/>
          <w:color w:val="auto"/>
          <w:szCs w:val="24"/>
          <w:highlight w:val="none"/>
        </w:rPr>
      </w:pPr>
    </w:p>
    <w:p w14:paraId="1FF9C360">
      <w:pPr>
        <w:spacing w:before="120"/>
        <w:outlineLvl w:val="9"/>
        <w:rPr>
          <w:rFonts w:hint="eastAsia" w:asciiTheme="minorEastAsia" w:hAnsiTheme="minorEastAsia" w:eastAsiaTheme="minorEastAsia" w:cstheme="minorEastAsia"/>
          <w:b/>
          <w:bCs/>
          <w:color w:val="auto"/>
          <w:szCs w:val="24"/>
          <w:highlight w:val="none"/>
        </w:rPr>
      </w:pPr>
    </w:p>
    <w:p w14:paraId="49DCFF06">
      <w:pPr>
        <w:spacing w:before="120"/>
        <w:outlineLvl w:val="9"/>
        <w:rPr>
          <w:rFonts w:hint="eastAsia" w:asciiTheme="minorEastAsia" w:hAnsiTheme="minorEastAsia" w:eastAsiaTheme="minorEastAsia" w:cstheme="minorEastAsia"/>
          <w:b/>
          <w:bCs/>
          <w:color w:val="auto"/>
          <w:szCs w:val="24"/>
          <w:highlight w:val="none"/>
        </w:rPr>
      </w:pPr>
    </w:p>
    <w:p w14:paraId="14DCA274">
      <w:pPr>
        <w:spacing w:before="120"/>
        <w:outlineLvl w:val="9"/>
        <w:rPr>
          <w:rFonts w:hint="eastAsia" w:asciiTheme="minorEastAsia" w:hAnsiTheme="minorEastAsia" w:eastAsiaTheme="minorEastAsia" w:cstheme="minorEastAsia"/>
          <w:b/>
          <w:bCs/>
          <w:color w:val="auto"/>
          <w:szCs w:val="24"/>
          <w:highlight w:val="none"/>
        </w:rPr>
      </w:pPr>
    </w:p>
    <w:p w14:paraId="4724D5AB">
      <w:pPr>
        <w:spacing w:before="120"/>
        <w:outlineLvl w:val="9"/>
        <w:rPr>
          <w:rFonts w:hint="eastAsia" w:asciiTheme="minorEastAsia" w:hAnsiTheme="minorEastAsia" w:eastAsiaTheme="minorEastAsia" w:cstheme="minorEastAsia"/>
          <w:b/>
          <w:bCs/>
          <w:color w:val="auto"/>
          <w:szCs w:val="24"/>
          <w:highlight w:val="none"/>
        </w:rPr>
      </w:pPr>
    </w:p>
    <w:p w14:paraId="46560B8D">
      <w:pPr>
        <w:pStyle w:val="4"/>
        <w:spacing w:before="120"/>
        <w:rPr>
          <w:rFonts w:hint="eastAsia" w:asciiTheme="minorEastAsia" w:hAnsiTheme="minorEastAsia" w:eastAsiaTheme="minorEastAsia" w:cstheme="minorEastAsia"/>
          <w:b/>
          <w:bCs/>
          <w:color w:val="auto"/>
          <w:szCs w:val="24"/>
          <w:highlight w:val="none"/>
        </w:rPr>
      </w:pPr>
      <w:bookmarkStart w:id="554" w:name="_Toc29139"/>
      <w:r>
        <w:rPr>
          <w:rFonts w:hint="eastAsia" w:asciiTheme="minorEastAsia" w:hAnsiTheme="minorEastAsia" w:eastAsiaTheme="minorEastAsia" w:cstheme="minorEastAsia"/>
          <w:b/>
          <w:bCs/>
          <w:color w:val="auto"/>
          <w:szCs w:val="24"/>
          <w:highlight w:val="none"/>
        </w:rPr>
        <w:t>格式十 项目技术负责人简历表</w:t>
      </w:r>
      <w:bookmarkEnd w:id="553"/>
      <w:bookmarkEnd w:id="554"/>
    </w:p>
    <w:p w14:paraId="69C790BB">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38EB5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D6AA48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683FD6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68A7925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27A4DC8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38B8580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58D6116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86C6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476F06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69F66E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7097239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7ADE524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311479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2B67543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8548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46B699E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69DF1E0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44B5375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0E5C094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F85F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1F832E2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以项目技术负责人身份参与过的主要业绩（已完工项目）</w:t>
            </w:r>
          </w:p>
        </w:tc>
      </w:tr>
      <w:tr w14:paraId="1EF5A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AC1144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1D03FE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44A4AD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8E3363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6DE2BB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CD231E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019F1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A06DF5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16BB8E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1503D2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B84B5A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15D18C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71F479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8DD6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B24CEB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1B8832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C54A9D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2EA8091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A69EDA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879669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5ACF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1CC66C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D86993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70942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813A8E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50C1E0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6A8E26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D832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26EFD5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9310F2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FF2122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4736BC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3D7711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7EBDB3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0B95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92E004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4A1762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F7719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3DA3EA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B15926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A64157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371C6CAC">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项目技术负责人简历表</w:t>
      </w:r>
    </w:p>
    <w:p w14:paraId="17AC5CE6">
      <w:pPr>
        <w:pStyle w:val="47"/>
        <w:wordWrap w:val="0"/>
        <w:adjustRightInd w:val="0"/>
        <w:snapToGrid w:val="0"/>
        <w:spacing w:line="440" w:lineRule="exact"/>
        <w:jc w:val="both"/>
        <w:rPr>
          <w:rFonts w:hint="eastAsia" w:asciiTheme="minorEastAsia" w:hAnsiTheme="minorEastAsia" w:eastAsiaTheme="minorEastAsia" w:cstheme="minorEastAsia"/>
          <w:snapToGrid w:val="0"/>
          <w:color w:val="auto"/>
          <w:kern w:val="0"/>
          <w:sz w:val="24"/>
          <w:szCs w:val="24"/>
          <w:highlight w:val="none"/>
        </w:rPr>
      </w:pPr>
    </w:p>
    <w:p w14:paraId="15757182">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4D95344E">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项目技术负责人：</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2C0A8BBB">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71B8FEEF">
      <w:pPr>
        <w:pStyle w:val="47"/>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B25A8B4">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31204AF5">
      <w:pPr>
        <w:pStyle w:val="47"/>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p>
    <w:p w14:paraId="25C04728">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699FB7EE">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说明：《项目技术负责人简历表》后应附拟派项目技术负责人以下资料：</w:t>
      </w:r>
    </w:p>
    <w:p w14:paraId="46370442">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1．身份证彩色扫描件；</w:t>
      </w:r>
    </w:p>
    <w:p w14:paraId="333723B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2．职称证彩色扫描件；</w:t>
      </w:r>
    </w:p>
    <w:p w14:paraId="63D71F00">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auto"/>
          <w:kern w:val="0"/>
          <w:szCs w:val="24"/>
          <w:highlight w:val="none"/>
        </w:rPr>
        <w:t>3．在本单位缴纳社保的证明（至少</w:t>
      </w:r>
      <w:r>
        <w:rPr>
          <w:rFonts w:hint="eastAsia" w:asciiTheme="minorEastAsia" w:hAnsiTheme="minorEastAsia" w:eastAsiaTheme="minorEastAsia" w:cstheme="minorEastAsia"/>
          <w:snapToGrid w:val="0"/>
          <w:color w:val="auto"/>
          <w:kern w:val="0"/>
          <w:szCs w:val="24"/>
          <w:highlight w:val="none"/>
          <w:lang w:val="en-US" w:eastAsia="zh-CN"/>
        </w:rPr>
        <w:t>一</w:t>
      </w:r>
      <w:r>
        <w:rPr>
          <w:rFonts w:hint="eastAsia" w:asciiTheme="minorEastAsia" w:hAnsiTheme="minorEastAsia" w:eastAsiaTheme="minorEastAsia" w:cstheme="minorEastAsia"/>
          <w:snapToGrid w:val="0"/>
          <w:color w:val="auto"/>
          <w:kern w:val="0"/>
          <w:szCs w:val="24"/>
          <w:highlight w:val="none"/>
        </w:rPr>
        <w:t>个月，其中必须有</w:t>
      </w:r>
      <w:r>
        <w:rPr>
          <w:rFonts w:hint="eastAsia" w:asciiTheme="minorEastAsia" w:hAnsiTheme="minorEastAsia" w:eastAsiaTheme="minorEastAsia" w:cstheme="minorEastAsia"/>
          <w:snapToGrid w:val="0"/>
          <w:color w:val="auto"/>
          <w:kern w:val="0"/>
          <w:szCs w:val="24"/>
          <w:highlight w:val="none"/>
          <w:lang w:val="en-US" w:eastAsia="zh-CN"/>
        </w:rPr>
        <w:t>2024</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lang w:val="en-US" w:eastAsia="zh-CN"/>
        </w:rPr>
        <w:t>9</w:t>
      </w:r>
      <w:r>
        <w:rPr>
          <w:rFonts w:hint="eastAsia" w:asciiTheme="minorEastAsia" w:hAnsiTheme="minorEastAsia" w:eastAsiaTheme="minorEastAsia" w:cstheme="minorEastAsia"/>
          <w:snapToGrid w:val="0"/>
          <w:color w:val="auto"/>
          <w:kern w:val="0"/>
          <w:szCs w:val="24"/>
          <w:highlight w:val="none"/>
        </w:rPr>
        <w:t>月）彩色扫描件；拟派技术负责人为退休返聘人员无法提供社保证明的，提供退休证和劳动合同彩色扫描件。</w:t>
      </w:r>
    </w:p>
    <w:p w14:paraId="7F2BF5ED">
      <w:pPr>
        <w:pStyle w:val="4"/>
        <w:spacing w:before="120"/>
        <w:rPr>
          <w:rFonts w:hint="eastAsia" w:asciiTheme="minorEastAsia" w:hAnsiTheme="minorEastAsia" w:eastAsiaTheme="minorEastAsia" w:cstheme="minorEastAsia"/>
          <w:b/>
          <w:bCs/>
          <w:color w:val="auto"/>
          <w:szCs w:val="24"/>
          <w:highlight w:val="none"/>
        </w:rPr>
      </w:pPr>
      <w:bookmarkStart w:id="555" w:name="_Toc27418"/>
      <w:bookmarkStart w:id="556" w:name="_Toc31518"/>
      <w:r>
        <w:rPr>
          <w:rFonts w:hint="eastAsia" w:asciiTheme="minorEastAsia" w:hAnsiTheme="minorEastAsia" w:eastAsiaTheme="minorEastAsia" w:cstheme="minorEastAsia"/>
          <w:b/>
          <w:bCs/>
          <w:color w:val="auto"/>
          <w:szCs w:val="24"/>
          <w:highlight w:val="none"/>
        </w:rPr>
        <w:t>格式十一 项目设计负责人简历表</w:t>
      </w:r>
      <w:bookmarkEnd w:id="555"/>
      <w:bookmarkEnd w:id="556"/>
    </w:p>
    <w:p w14:paraId="6BE0E100">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7959C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31D87E5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110D74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1E67DD1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0F58B60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0E75D2C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36CA4E5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1D55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7B359A3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4730A62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24DA3C3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4BC2079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6601887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412EF28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F946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63345B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0D984A0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26FDD63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39EAC85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5F36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0D17669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以项目设计负责人身份参与过的主要业绩（已完工项目）</w:t>
            </w:r>
          </w:p>
        </w:tc>
      </w:tr>
      <w:tr w14:paraId="4F4E9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266138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D7CE1F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21C204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0E6D81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42CA1BE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A33B00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6BEE2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3C2747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0C26B5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3E20D6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976D5B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FE87C2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B39C68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5E97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49D15E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9DB314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7931EE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0AF41E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166BA8F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CDE6FC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C35C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01E4D0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CD1A4B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27DED1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7B6C6B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3E7EC7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16CC8DC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161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A89ECF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CCC90C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24051D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93B20A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D28771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7B1062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D1B4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75FF3B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7AFE78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A4A0CD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488E2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8B644F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7F4709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04EB943A">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项目设计负责人简历表</w:t>
      </w:r>
    </w:p>
    <w:p w14:paraId="3506B618">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p>
    <w:p w14:paraId="0A8464B6">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25F73BA2">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项目技术负责人：</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10647B72">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74901679">
      <w:pPr>
        <w:pStyle w:val="47"/>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01884584">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59F06DFC">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054F7E9E">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说明：《项目设计负责人简历表》后应附拟派项目设计负责人以下资料：</w:t>
      </w:r>
    </w:p>
    <w:p w14:paraId="4B633D08">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1．身份证彩色扫描件；</w:t>
      </w:r>
    </w:p>
    <w:p w14:paraId="586E437A">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2．职称证彩色扫描件；</w:t>
      </w:r>
    </w:p>
    <w:p w14:paraId="0B22D139">
      <w:pPr>
        <w:wordWrap w:val="0"/>
        <w:adjustRightInd w:val="0"/>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3．在本单位缴纳社保的证明（至少</w:t>
      </w:r>
      <w:r>
        <w:rPr>
          <w:rFonts w:hint="eastAsia" w:asciiTheme="minorEastAsia" w:hAnsiTheme="minorEastAsia" w:eastAsiaTheme="minorEastAsia" w:cstheme="minorEastAsia"/>
          <w:snapToGrid w:val="0"/>
          <w:color w:val="auto"/>
          <w:kern w:val="0"/>
          <w:szCs w:val="24"/>
          <w:highlight w:val="none"/>
          <w:lang w:val="en-US" w:eastAsia="zh-CN"/>
        </w:rPr>
        <w:t>一</w:t>
      </w:r>
      <w:r>
        <w:rPr>
          <w:rFonts w:hint="eastAsia" w:asciiTheme="minorEastAsia" w:hAnsiTheme="minorEastAsia" w:eastAsiaTheme="minorEastAsia" w:cstheme="minorEastAsia"/>
          <w:snapToGrid w:val="0"/>
          <w:color w:val="auto"/>
          <w:kern w:val="0"/>
          <w:szCs w:val="24"/>
          <w:highlight w:val="none"/>
        </w:rPr>
        <w:t>个月，其中必须有</w:t>
      </w:r>
      <w:r>
        <w:rPr>
          <w:rFonts w:hint="eastAsia" w:asciiTheme="minorEastAsia" w:hAnsiTheme="minorEastAsia" w:eastAsiaTheme="minorEastAsia" w:cstheme="minorEastAsia"/>
          <w:snapToGrid w:val="0"/>
          <w:color w:val="auto"/>
          <w:kern w:val="0"/>
          <w:szCs w:val="24"/>
          <w:highlight w:val="none"/>
          <w:lang w:val="en-US" w:eastAsia="zh-CN"/>
        </w:rPr>
        <w:t>2024</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lang w:val="en-US" w:eastAsia="zh-CN"/>
        </w:rPr>
        <w:t>9</w:t>
      </w:r>
      <w:r>
        <w:rPr>
          <w:rFonts w:hint="eastAsia" w:asciiTheme="minorEastAsia" w:hAnsiTheme="minorEastAsia" w:eastAsiaTheme="minorEastAsia" w:cstheme="minorEastAsia"/>
          <w:snapToGrid w:val="0"/>
          <w:color w:val="auto"/>
          <w:kern w:val="0"/>
          <w:szCs w:val="24"/>
          <w:highlight w:val="none"/>
        </w:rPr>
        <w:t>月）彩色扫描件；拟派设计负责人为退休返聘人员无法提供社保证明的，提供退休证和劳动合同彩色扫描件。</w:t>
      </w:r>
      <w:bookmarkEnd w:id="546"/>
      <w:bookmarkEnd w:id="547"/>
      <w:bookmarkEnd w:id="548"/>
      <w:bookmarkEnd w:id="549"/>
      <w:bookmarkEnd w:id="550"/>
    </w:p>
    <w:p w14:paraId="6E013105">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4．“进粤企业和人员诚信信息登记平台”个人信息情况截图。（适用于省外建筑企业）。</w:t>
      </w:r>
    </w:p>
    <w:p w14:paraId="5B71362B">
      <w:pPr>
        <w:pStyle w:val="4"/>
        <w:spacing w:before="120"/>
        <w:rPr>
          <w:rFonts w:hint="eastAsia" w:asciiTheme="minorEastAsia" w:hAnsiTheme="minorEastAsia" w:eastAsiaTheme="minorEastAsia" w:cstheme="minorEastAsia"/>
          <w:bCs/>
          <w:snapToGrid w:val="0"/>
          <w:color w:val="auto"/>
          <w:szCs w:val="24"/>
          <w:highlight w:val="none"/>
        </w:rPr>
      </w:pPr>
      <w:r>
        <w:rPr>
          <w:rFonts w:hint="eastAsia" w:asciiTheme="minorEastAsia" w:hAnsiTheme="minorEastAsia" w:eastAsiaTheme="minorEastAsia" w:cstheme="minorEastAsia"/>
          <w:bCs/>
          <w:color w:val="auto"/>
          <w:szCs w:val="24"/>
          <w:highlight w:val="none"/>
        </w:rPr>
        <w:br w:type="page"/>
      </w:r>
      <w:bookmarkStart w:id="557" w:name="_Toc2126"/>
      <w:bookmarkStart w:id="558" w:name="_Toc10080"/>
      <w:bookmarkStart w:id="559" w:name="_Toc8264"/>
      <w:r>
        <w:rPr>
          <w:rFonts w:hint="eastAsia" w:asciiTheme="minorEastAsia" w:hAnsiTheme="minorEastAsia" w:eastAsiaTheme="minorEastAsia" w:cstheme="minorEastAsia"/>
          <w:b/>
          <w:snapToGrid w:val="0"/>
          <w:color w:val="auto"/>
          <w:szCs w:val="24"/>
          <w:highlight w:val="none"/>
        </w:rPr>
        <w:t>格式十二 项目管理机构组成表</w:t>
      </w:r>
      <w:bookmarkEnd w:id="557"/>
      <w:bookmarkEnd w:id="558"/>
    </w:p>
    <w:p w14:paraId="6AB277B4">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项目管理机构组成表</w:t>
      </w:r>
    </w:p>
    <w:tbl>
      <w:tblPr>
        <w:tblStyle w:val="21"/>
        <w:tblW w:w="89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4"/>
        <w:gridCol w:w="1424"/>
        <w:gridCol w:w="1358"/>
        <w:gridCol w:w="902"/>
        <w:gridCol w:w="819"/>
        <w:gridCol w:w="1541"/>
        <w:gridCol w:w="2169"/>
      </w:tblGrid>
      <w:tr w14:paraId="4266F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0" w:hRule="atLeast"/>
        </w:trPr>
        <w:tc>
          <w:tcPr>
            <w:tcW w:w="744" w:type="dxa"/>
            <w:tcBorders>
              <w:top w:val="single" w:color="auto" w:sz="6" w:space="0"/>
              <w:left w:val="single" w:color="auto" w:sz="6" w:space="0"/>
              <w:bottom w:val="single" w:color="auto" w:sz="6" w:space="0"/>
              <w:right w:val="single" w:color="auto" w:sz="6" w:space="0"/>
            </w:tcBorders>
            <w:noWrap/>
            <w:vAlign w:val="center"/>
          </w:tcPr>
          <w:p w14:paraId="605DFE1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424" w:type="dxa"/>
            <w:tcBorders>
              <w:top w:val="single" w:color="auto" w:sz="6" w:space="0"/>
              <w:left w:val="single" w:color="auto" w:sz="6" w:space="0"/>
              <w:bottom w:val="single" w:color="auto" w:sz="6" w:space="0"/>
              <w:right w:val="single" w:color="auto" w:sz="6" w:space="0"/>
            </w:tcBorders>
            <w:noWrap/>
            <w:vAlign w:val="center"/>
          </w:tcPr>
          <w:p w14:paraId="1A40264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职务</w:t>
            </w:r>
          </w:p>
        </w:tc>
        <w:tc>
          <w:tcPr>
            <w:tcW w:w="1358" w:type="dxa"/>
            <w:tcBorders>
              <w:top w:val="single" w:color="auto" w:sz="6" w:space="0"/>
              <w:left w:val="single" w:color="auto" w:sz="6" w:space="0"/>
              <w:bottom w:val="single" w:color="auto" w:sz="6" w:space="0"/>
              <w:right w:val="single" w:color="auto" w:sz="6" w:space="0"/>
            </w:tcBorders>
            <w:noWrap/>
            <w:vAlign w:val="center"/>
          </w:tcPr>
          <w:p w14:paraId="008A8A2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姓名</w:t>
            </w:r>
          </w:p>
        </w:tc>
        <w:tc>
          <w:tcPr>
            <w:tcW w:w="902" w:type="dxa"/>
            <w:tcBorders>
              <w:top w:val="single" w:color="auto" w:sz="6" w:space="0"/>
              <w:left w:val="single" w:color="auto" w:sz="6" w:space="0"/>
              <w:bottom w:val="single" w:color="auto" w:sz="6" w:space="0"/>
              <w:right w:val="single" w:color="auto" w:sz="6" w:space="0"/>
            </w:tcBorders>
            <w:noWrap/>
            <w:vAlign w:val="center"/>
          </w:tcPr>
          <w:p w14:paraId="0EA3C27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性别</w:t>
            </w:r>
          </w:p>
        </w:tc>
        <w:tc>
          <w:tcPr>
            <w:tcW w:w="819" w:type="dxa"/>
            <w:tcBorders>
              <w:top w:val="single" w:color="auto" w:sz="6" w:space="0"/>
              <w:left w:val="single" w:color="auto" w:sz="6" w:space="0"/>
              <w:bottom w:val="single" w:color="auto" w:sz="6" w:space="0"/>
              <w:right w:val="single" w:color="auto" w:sz="6" w:space="0"/>
            </w:tcBorders>
            <w:noWrap/>
            <w:vAlign w:val="center"/>
          </w:tcPr>
          <w:p w14:paraId="16E7F36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年龄</w:t>
            </w:r>
          </w:p>
        </w:tc>
        <w:tc>
          <w:tcPr>
            <w:tcW w:w="1541" w:type="dxa"/>
            <w:tcBorders>
              <w:top w:val="single" w:color="auto" w:sz="6" w:space="0"/>
              <w:left w:val="single" w:color="auto" w:sz="6" w:space="0"/>
              <w:bottom w:val="single" w:color="auto" w:sz="6" w:space="0"/>
              <w:right w:val="single" w:color="auto" w:sz="6" w:space="0"/>
            </w:tcBorders>
            <w:noWrap/>
            <w:vAlign w:val="center"/>
          </w:tcPr>
          <w:p w14:paraId="1AAB057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职称</w:t>
            </w:r>
          </w:p>
        </w:tc>
        <w:tc>
          <w:tcPr>
            <w:tcW w:w="2169" w:type="dxa"/>
            <w:tcBorders>
              <w:top w:val="single" w:color="auto" w:sz="6" w:space="0"/>
              <w:left w:val="single" w:color="auto" w:sz="6" w:space="0"/>
              <w:bottom w:val="single" w:color="auto" w:sz="6" w:space="0"/>
              <w:right w:val="single" w:color="auto" w:sz="6" w:space="0"/>
            </w:tcBorders>
            <w:noWrap/>
            <w:vAlign w:val="center"/>
          </w:tcPr>
          <w:p w14:paraId="6E76902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备注</w:t>
            </w:r>
          </w:p>
        </w:tc>
      </w:tr>
      <w:tr w14:paraId="19940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2" w:hRule="exact"/>
        </w:trPr>
        <w:tc>
          <w:tcPr>
            <w:tcW w:w="744" w:type="dxa"/>
            <w:tcBorders>
              <w:top w:val="single" w:color="auto" w:sz="6" w:space="0"/>
              <w:left w:val="single" w:color="auto" w:sz="6" w:space="0"/>
              <w:right w:val="single" w:color="auto" w:sz="6" w:space="0"/>
            </w:tcBorders>
            <w:noWrap/>
            <w:vAlign w:val="center"/>
          </w:tcPr>
          <w:p w14:paraId="256C31E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424" w:type="dxa"/>
            <w:tcBorders>
              <w:top w:val="single" w:color="auto" w:sz="6" w:space="0"/>
              <w:left w:val="single" w:color="auto" w:sz="6" w:space="0"/>
              <w:right w:val="single" w:color="auto" w:sz="6" w:space="0"/>
            </w:tcBorders>
            <w:noWrap/>
            <w:vAlign w:val="center"/>
          </w:tcPr>
          <w:p w14:paraId="5AA3CDF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项目经理</w:t>
            </w:r>
          </w:p>
        </w:tc>
        <w:tc>
          <w:tcPr>
            <w:tcW w:w="1358" w:type="dxa"/>
            <w:tcBorders>
              <w:top w:val="single" w:color="auto" w:sz="6" w:space="0"/>
              <w:left w:val="single" w:color="auto" w:sz="6" w:space="0"/>
              <w:bottom w:val="single" w:color="auto" w:sz="6" w:space="0"/>
              <w:right w:val="single" w:color="auto" w:sz="6" w:space="0"/>
            </w:tcBorders>
            <w:noWrap/>
            <w:vAlign w:val="center"/>
          </w:tcPr>
          <w:p w14:paraId="5529107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D46A7D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3F7343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30A522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56F953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91D4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59B3CC8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424" w:type="dxa"/>
            <w:tcBorders>
              <w:top w:val="single" w:color="auto" w:sz="6" w:space="0"/>
              <w:left w:val="single" w:color="auto" w:sz="6" w:space="0"/>
              <w:right w:val="single" w:color="auto" w:sz="6" w:space="0"/>
            </w:tcBorders>
            <w:noWrap/>
            <w:vAlign w:val="center"/>
          </w:tcPr>
          <w:p w14:paraId="0A21FE6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项目技术</w:t>
            </w:r>
          </w:p>
          <w:p w14:paraId="093217D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1968084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CB37C2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4597E1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FD97D6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C8D292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1857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710297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w:t>
            </w:r>
          </w:p>
        </w:tc>
        <w:tc>
          <w:tcPr>
            <w:tcW w:w="1424" w:type="dxa"/>
            <w:tcBorders>
              <w:top w:val="single" w:color="auto" w:sz="6" w:space="0"/>
              <w:left w:val="single" w:color="auto" w:sz="6" w:space="0"/>
              <w:right w:val="single" w:color="auto" w:sz="6" w:space="0"/>
            </w:tcBorders>
            <w:noWrap/>
            <w:vAlign w:val="center"/>
          </w:tcPr>
          <w:p w14:paraId="2AC5FBA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项目设计</w:t>
            </w:r>
          </w:p>
          <w:p w14:paraId="3294081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721184F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FC7128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49E38B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543D8F2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81A542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B40E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0E90B66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w:t>
            </w:r>
          </w:p>
        </w:tc>
        <w:tc>
          <w:tcPr>
            <w:tcW w:w="1424" w:type="dxa"/>
            <w:tcBorders>
              <w:top w:val="single" w:color="auto" w:sz="6" w:space="0"/>
              <w:left w:val="single" w:color="auto" w:sz="6" w:space="0"/>
              <w:bottom w:val="single" w:color="auto" w:sz="6" w:space="0"/>
              <w:right w:val="single" w:color="auto" w:sz="6" w:space="0"/>
            </w:tcBorders>
            <w:noWrap/>
            <w:vAlign w:val="center"/>
          </w:tcPr>
          <w:p w14:paraId="70A1A83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专职安全员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7A6AEF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E0D289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4A77DE2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54A6BD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1BA0822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0793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765709FC">
            <w:pPr>
              <w:wordWrap w:val="0"/>
              <w:adjustRightInd w:val="0"/>
              <w:snapToGrid w:val="0"/>
              <w:ind w:firstLine="360" w:firstLineChars="15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w:t>
            </w:r>
          </w:p>
        </w:tc>
        <w:tc>
          <w:tcPr>
            <w:tcW w:w="1424" w:type="dxa"/>
            <w:tcBorders>
              <w:top w:val="single" w:color="auto" w:sz="6" w:space="0"/>
              <w:left w:val="single" w:color="auto" w:sz="6" w:space="0"/>
              <w:bottom w:val="single" w:color="auto" w:sz="6" w:space="0"/>
              <w:right w:val="single" w:color="auto" w:sz="6" w:space="0"/>
            </w:tcBorders>
            <w:noWrap/>
            <w:vAlign w:val="center"/>
          </w:tcPr>
          <w:p w14:paraId="30A1CB3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施工员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2AD16D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F5043C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976571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708130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D2D9B4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F5BF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7C19DB7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w:t>
            </w:r>
          </w:p>
        </w:tc>
        <w:tc>
          <w:tcPr>
            <w:tcW w:w="1424" w:type="dxa"/>
            <w:tcBorders>
              <w:top w:val="single" w:color="auto" w:sz="6" w:space="0"/>
              <w:left w:val="single" w:color="auto" w:sz="6" w:space="0"/>
              <w:bottom w:val="single" w:color="auto" w:sz="6" w:space="0"/>
              <w:right w:val="single" w:color="auto" w:sz="6" w:space="0"/>
            </w:tcBorders>
            <w:noWrap/>
            <w:vAlign w:val="center"/>
          </w:tcPr>
          <w:p w14:paraId="4E33F5D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34FA99D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7957E63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FE400D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1BB1A0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81F071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91D0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4404A19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w:t>
            </w:r>
          </w:p>
        </w:tc>
        <w:tc>
          <w:tcPr>
            <w:tcW w:w="1424" w:type="dxa"/>
            <w:tcBorders>
              <w:top w:val="single" w:color="auto" w:sz="6" w:space="0"/>
              <w:left w:val="single" w:color="auto" w:sz="6" w:space="0"/>
              <w:bottom w:val="single" w:color="auto" w:sz="6" w:space="0"/>
              <w:right w:val="single" w:color="auto" w:sz="6" w:space="0"/>
            </w:tcBorders>
            <w:noWrap/>
            <w:vAlign w:val="center"/>
          </w:tcPr>
          <w:p w14:paraId="6A32E8C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材料员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74891E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C08C0D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F2EA53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29BF67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3109CBA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E4F6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230E99B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8</w:t>
            </w:r>
          </w:p>
        </w:tc>
        <w:tc>
          <w:tcPr>
            <w:tcW w:w="1424" w:type="dxa"/>
            <w:tcBorders>
              <w:top w:val="single" w:color="auto" w:sz="6" w:space="0"/>
              <w:left w:val="single" w:color="auto" w:sz="6" w:space="0"/>
              <w:bottom w:val="single" w:color="auto" w:sz="6" w:space="0"/>
              <w:right w:val="single" w:color="auto" w:sz="6" w:space="0"/>
            </w:tcBorders>
            <w:noWrap/>
            <w:vAlign w:val="center"/>
          </w:tcPr>
          <w:p w14:paraId="3CDC75F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资料员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001F7A4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1C3B98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6626CA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175409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2CAE6B7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E7D3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4F05068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9</w:t>
            </w:r>
          </w:p>
        </w:tc>
        <w:tc>
          <w:tcPr>
            <w:tcW w:w="1424" w:type="dxa"/>
            <w:tcBorders>
              <w:top w:val="single" w:color="auto" w:sz="6" w:space="0"/>
              <w:left w:val="single" w:color="auto" w:sz="6" w:space="0"/>
              <w:bottom w:val="single" w:color="auto" w:sz="6" w:space="0"/>
              <w:right w:val="single" w:color="auto" w:sz="6" w:space="0"/>
            </w:tcBorders>
            <w:noWrap/>
            <w:vAlign w:val="center"/>
          </w:tcPr>
          <w:p w14:paraId="27E94E0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造价员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1B640D7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723C7C9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423D90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A46F5B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8DBB99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8F69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6"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3E5DA71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5B4D2DB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358" w:type="dxa"/>
            <w:tcBorders>
              <w:top w:val="single" w:color="auto" w:sz="6" w:space="0"/>
              <w:left w:val="single" w:color="auto" w:sz="6" w:space="0"/>
              <w:bottom w:val="single" w:color="auto" w:sz="6" w:space="0"/>
              <w:right w:val="single" w:color="auto" w:sz="6" w:space="0"/>
            </w:tcBorders>
            <w:noWrap/>
            <w:vAlign w:val="center"/>
          </w:tcPr>
          <w:p w14:paraId="4CFE553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917E9B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E9B9D4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1A0BCD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8EA27D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bookmarkEnd w:id="559"/>
    </w:tbl>
    <w:p w14:paraId="0E14ED67">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bookmarkStart w:id="560" w:name="_Toc25577"/>
      <w:bookmarkStart w:id="561" w:name="_Toc36804690"/>
      <w:bookmarkStart w:id="562" w:name="_Toc8648"/>
    </w:p>
    <w:p w14:paraId="24A36270">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说明：</w:t>
      </w:r>
    </w:p>
    <w:p w14:paraId="66447872">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1．《项目管理机构组成表》后应附表中拟派人员（项目经理、项目技术负责人、项目设计负责人除外）以下资料：</w:t>
      </w:r>
    </w:p>
    <w:p w14:paraId="772B27CA">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（1）身份证证彩色扫描件；</w:t>
      </w:r>
    </w:p>
    <w:p w14:paraId="1944BBE8">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（2）职称证或岗位证或培训证彩色扫描件；</w:t>
      </w:r>
    </w:p>
    <w:p w14:paraId="076B6F6A">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（3）专职安全员须提供C类安全生产考核合格证书证彩色扫描件或“广东省建筑施工企业管理人员安全生产考核系统”考核合格信息打印页；</w:t>
      </w:r>
    </w:p>
    <w:p w14:paraId="2CA76E52">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（4）在本单位缴纳社保的证明（至少</w:t>
      </w:r>
      <w:r>
        <w:rPr>
          <w:rFonts w:hint="eastAsia" w:asciiTheme="minorEastAsia" w:hAnsiTheme="minorEastAsia" w:eastAsiaTheme="minorEastAsia" w:cstheme="minorEastAsia"/>
          <w:snapToGrid w:val="0"/>
          <w:color w:val="auto"/>
          <w:kern w:val="0"/>
          <w:szCs w:val="24"/>
          <w:highlight w:val="none"/>
          <w:lang w:val="en-US" w:eastAsia="zh-CN"/>
        </w:rPr>
        <w:t>一</w:t>
      </w:r>
      <w:r>
        <w:rPr>
          <w:rFonts w:hint="eastAsia" w:asciiTheme="minorEastAsia" w:hAnsiTheme="minorEastAsia" w:eastAsiaTheme="minorEastAsia" w:cstheme="minorEastAsia"/>
          <w:snapToGrid w:val="0"/>
          <w:color w:val="auto"/>
          <w:kern w:val="0"/>
          <w:szCs w:val="24"/>
          <w:highlight w:val="none"/>
        </w:rPr>
        <w:t>个月，其中必须有</w:t>
      </w:r>
      <w:r>
        <w:rPr>
          <w:rFonts w:hint="eastAsia" w:asciiTheme="minorEastAsia" w:hAnsiTheme="minorEastAsia" w:eastAsiaTheme="minorEastAsia" w:cstheme="minorEastAsia"/>
          <w:snapToGrid w:val="0"/>
          <w:color w:val="auto"/>
          <w:kern w:val="0"/>
          <w:szCs w:val="24"/>
          <w:highlight w:val="none"/>
          <w:lang w:val="en-US" w:eastAsia="zh-CN"/>
        </w:rPr>
        <w:t>2024</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lang w:val="en-US" w:eastAsia="zh-CN"/>
        </w:rPr>
        <w:t>9</w:t>
      </w:r>
      <w:r>
        <w:rPr>
          <w:rFonts w:hint="eastAsia" w:asciiTheme="minorEastAsia" w:hAnsiTheme="minorEastAsia" w:eastAsiaTheme="minorEastAsia" w:cstheme="minorEastAsia"/>
          <w:snapToGrid w:val="0"/>
          <w:color w:val="auto"/>
          <w:kern w:val="0"/>
          <w:szCs w:val="24"/>
          <w:highlight w:val="none"/>
        </w:rPr>
        <w:t>月）彩色扫描件；拟派人员为退休返聘人员无法提供社保证明的，提供退休证和劳动合同彩色扫描件；</w:t>
      </w:r>
    </w:p>
    <w:p w14:paraId="0714650D">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（5）“进粤企业和人员诚信信息登记平台”个人信息情况截图。（适用于省外建筑企业）。</w:t>
      </w:r>
    </w:p>
    <w:p w14:paraId="7D66C205">
      <w:pPr>
        <w:wordWrap w:val="0"/>
        <w:adjustRightInd w:val="0"/>
        <w:snapToGrid w:val="0"/>
        <w:spacing w:line="400" w:lineRule="exac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 xml:space="preserve">    2．联合体投标的，《项目管理机构组成表》应包括联合体成员单位参与项目管理机构的人员，并提供以上所需资料。</w:t>
      </w:r>
    </w:p>
    <w:p w14:paraId="58133A92">
      <w:pPr>
        <w:spacing w:before="136"/>
        <w:outlineLvl w:val="9"/>
        <w:rPr>
          <w:rFonts w:hint="eastAsia" w:asciiTheme="minorEastAsia" w:hAnsiTheme="minorEastAsia" w:eastAsiaTheme="minorEastAsia" w:cstheme="minorEastAsia"/>
          <w:b/>
          <w:bCs/>
          <w:color w:val="auto"/>
          <w:szCs w:val="24"/>
          <w:highlight w:val="none"/>
        </w:rPr>
      </w:pPr>
    </w:p>
    <w:p w14:paraId="3E7D8623">
      <w:pPr>
        <w:spacing w:before="136"/>
        <w:outlineLvl w:val="9"/>
        <w:rPr>
          <w:rFonts w:hint="eastAsia" w:asciiTheme="minorEastAsia" w:hAnsiTheme="minorEastAsia" w:eastAsiaTheme="minorEastAsia" w:cstheme="minorEastAsia"/>
          <w:b/>
          <w:bCs/>
          <w:color w:val="auto"/>
          <w:szCs w:val="24"/>
          <w:highlight w:val="none"/>
        </w:rPr>
      </w:pPr>
    </w:p>
    <w:p w14:paraId="1BC61B8E">
      <w:pPr>
        <w:pStyle w:val="4"/>
        <w:spacing w:before="136"/>
        <w:rPr>
          <w:rFonts w:hint="eastAsia" w:asciiTheme="minorEastAsia" w:hAnsiTheme="minorEastAsia" w:eastAsiaTheme="minorEastAsia" w:cstheme="minorEastAsia"/>
          <w:b/>
          <w:bCs/>
          <w:color w:val="auto"/>
          <w:szCs w:val="24"/>
          <w:highlight w:val="none"/>
        </w:rPr>
      </w:pPr>
      <w:bookmarkStart w:id="563" w:name="_Toc3719"/>
      <w:r>
        <w:rPr>
          <w:rFonts w:hint="eastAsia" w:asciiTheme="minorEastAsia" w:hAnsiTheme="minorEastAsia" w:eastAsiaTheme="minorEastAsia" w:cstheme="minorEastAsia"/>
          <w:b/>
          <w:bCs/>
          <w:color w:val="auto"/>
          <w:szCs w:val="24"/>
          <w:highlight w:val="none"/>
        </w:rPr>
        <w:t>格式十三 原件一览表</w:t>
      </w:r>
      <w:bookmarkEnd w:id="560"/>
      <w:bookmarkEnd w:id="561"/>
      <w:bookmarkEnd w:id="562"/>
      <w:bookmarkEnd w:id="563"/>
    </w:p>
    <w:p w14:paraId="483AC83E">
      <w:pPr>
        <w:spacing w:line="336" w:lineRule="auto"/>
        <w:contextualSpacing/>
        <w:jc w:val="left"/>
        <w:rPr>
          <w:rFonts w:hint="eastAsia" w:asciiTheme="minorEastAsia" w:hAnsiTheme="minorEastAsia" w:eastAsiaTheme="minorEastAsia" w:cstheme="minorEastAsia"/>
          <w:color w:val="auto"/>
          <w:szCs w:val="24"/>
          <w:highlight w:val="none"/>
        </w:rPr>
      </w:pPr>
    </w:p>
    <w:tbl>
      <w:tblPr>
        <w:tblStyle w:val="21"/>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0"/>
        <w:gridCol w:w="1505"/>
        <w:gridCol w:w="623"/>
        <w:gridCol w:w="1369"/>
        <w:gridCol w:w="1623"/>
        <w:gridCol w:w="753"/>
        <w:gridCol w:w="957"/>
        <w:gridCol w:w="1570"/>
      </w:tblGrid>
      <w:tr w14:paraId="133A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100" w:type="dxa"/>
            <w:gridSpan w:val="8"/>
            <w:noWrap/>
            <w:tcMar>
              <w:left w:w="108" w:type="dxa"/>
              <w:right w:w="108" w:type="dxa"/>
            </w:tcMar>
            <w:vAlign w:val="center"/>
          </w:tcPr>
          <w:p w14:paraId="7A1E61B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原件一览表</w:t>
            </w:r>
          </w:p>
        </w:tc>
      </w:tr>
      <w:tr w14:paraId="11C1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6AA5542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工程名称</w:t>
            </w:r>
          </w:p>
        </w:tc>
        <w:tc>
          <w:tcPr>
            <w:tcW w:w="6272" w:type="dxa"/>
            <w:gridSpan w:val="5"/>
            <w:noWrap/>
            <w:tcMar>
              <w:left w:w="108" w:type="dxa"/>
              <w:right w:w="108" w:type="dxa"/>
            </w:tcMar>
            <w:vAlign w:val="center"/>
          </w:tcPr>
          <w:p w14:paraId="6B407179">
            <w:pPr>
              <w:jc w:val="center"/>
              <w:rPr>
                <w:rFonts w:hint="eastAsia" w:asciiTheme="minorEastAsia" w:hAnsiTheme="minorEastAsia" w:eastAsiaTheme="minorEastAsia" w:cstheme="minorEastAsia"/>
                <w:color w:val="auto"/>
                <w:szCs w:val="24"/>
                <w:highlight w:val="none"/>
              </w:rPr>
            </w:pPr>
          </w:p>
        </w:tc>
      </w:tr>
      <w:tr w14:paraId="6E9E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388CAC0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投标人名称                （请务必填写单位全称）</w:t>
            </w:r>
          </w:p>
        </w:tc>
        <w:tc>
          <w:tcPr>
            <w:tcW w:w="6272" w:type="dxa"/>
            <w:gridSpan w:val="5"/>
            <w:noWrap/>
            <w:tcMar>
              <w:left w:w="108" w:type="dxa"/>
              <w:right w:w="108" w:type="dxa"/>
            </w:tcMar>
            <w:vAlign w:val="center"/>
          </w:tcPr>
          <w:p w14:paraId="31AA044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4D25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051B511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投标人法定代表人或其</w:t>
            </w:r>
          </w:p>
          <w:p w14:paraId="1B2DB12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委托代理人签名</w:t>
            </w:r>
          </w:p>
        </w:tc>
        <w:tc>
          <w:tcPr>
            <w:tcW w:w="2992" w:type="dxa"/>
            <w:gridSpan w:val="2"/>
            <w:noWrap/>
            <w:tcMar>
              <w:left w:w="108" w:type="dxa"/>
              <w:right w:w="108" w:type="dxa"/>
            </w:tcMar>
            <w:vAlign w:val="center"/>
          </w:tcPr>
          <w:p w14:paraId="5DF9AB8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c>
          <w:tcPr>
            <w:tcW w:w="753" w:type="dxa"/>
            <w:noWrap/>
            <w:tcMar>
              <w:left w:w="108" w:type="dxa"/>
              <w:right w:w="108" w:type="dxa"/>
            </w:tcMar>
            <w:vAlign w:val="center"/>
          </w:tcPr>
          <w:p w14:paraId="5064241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手机号码</w:t>
            </w:r>
          </w:p>
        </w:tc>
        <w:tc>
          <w:tcPr>
            <w:tcW w:w="2527" w:type="dxa"/>
            <w:gridSpan w:val="2"/>
            <w:noWrap/>
            <w:tcMar>
              <w:left w:w="108" w:type="dxa"/>
              <w:right w:w="108" w:type="dxa"/>
            </w:tcMar>
            <w:vAlign w:val="center"/>
          </w:tcPr>
          <w:p w14:paraId="17F4AE2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5483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100" w:type="dxa"/>
            <w:gridSpan w:val="8"/>
            <w:noWrap/>
            <w:tcMar>
              <w:left w:w="108" w:type="dxa"/>
              <w:right w:w="108" w:type="dxa"/>
            </w:tcMar>
            <w:vAlign w:val="center"/>
          </w:tcPr>
          <w:p w14:paraId="24B9911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递交的证明材料原件如下：</w:t>
            </w:r>
          </w:p>
        </w:tc>
      </w:tr>
      <w:tr w14:paraId="2C9B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577EA55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序号</w:t>
            </w:r>
          </w:p>
        </w:tc>
        <w:tc>
          <w:tcPr>
            <w:tcW w:w="5120" w:type="dxa"/>
            <w:gridSpan w:val="4"/>
            <w:noWrap/>
            <w:tcMar>
              <w:left w:w="108" w:type="dxa"/>
              <w:right w:w="108" w:type="dxa"/>
            </w:tcMar>
            <w:vAlign w:val="center"/>
          </w:tcPr>
          <w:p w14:paraId="59AC212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证明材料原件名称</w:t>
            </w:r>
          </w:p>
        </w:tc>
        <w:tc>
          <w:tcPr>
            <w:tcW w:w="1710" w:type="dxa"/>
            <w:gridSpan w:val="2"/>
            <w:noWrap/>
            <w:tcMar>
              <w:left w:w="108" w:type="dxa"/>
              <w:right w:w="108" w:type="dxa"/>
            </w:tcMar>
            <w:vAlign w:val="center"/>
          </w:tcPr>
          <w:p w14:paraId="68DB2E0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单位</w:t>
            </w:r>
          </w:p>
        </w:tc>
        <w:tc>
          <w:tcPr>
            <w:tcW w:w="1570" w:type="dxa"/>
            <w:noWrap/>
            <w:tcMar>
              <w:left w:w="108" w:type="dxa"/>
              <w:right w:w="108" w:type="dxa"/>
            </w:tcMar>
            <w:vAlign w:val="center"/>
          </w:tcPr>
          <w:p w14:paraId="09C2EA9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数量</w:t>
            </w:r>
          </w:p>
        </w:tc>
      </w:tr>
      <w:tr w14:paraId="7B13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CE9AF0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5120" w:type="dxa"/>
            <w:gridSpan w:val="4"/>
            <w:noWrap/>
            <w:tcMar>
              <w:left w:w="108" w:type="dxa"/>
              <w:right w:w="108" w:type="dxa"/>
            </w:tcMar>
            <w:vAlign w:val="center"/>
          </w:tcPr>
          <w:p w14:paraId="6AA9A8AA">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551C0982">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6592B39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5A23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3C983A5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c>
          <w:tcPr>
            <w:tcW w:w="5120" w:type="dxa"/>
            <w:gridSpan w:val="4"/>
            <w:noWrap/>
            <w:tcMar>
              <w:left w:w="108" w:type="dxa"/>
              <w:right w:w="108" w:type="dxa"/>
            </w:tcMar>
            <w:vAlign w:val="center"/>
          </w:tcPr>
          <w:p w14:paraId="3F676136">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6D6CEDA0">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2DD7533B">
            <w:pPr>
              <w:jc w:val="center"/>
              <w:rPr>
                <w:rFonts w:hint="eastAsia" w:asciiTheme="minorEastAsia" w:hAnsiTheme="minorEastAsia" w:eastAsiaTheme="minorEastAsia" w:cstheme="minorEastAsia"/>
                <w:color w:val="auto"/>
                <w:szCs w:val="24"/>
                <w:highlight w:val="none"/>
              </w:rPr>
            </w:pPr>
          </w:p>
        </w:tc>
      </w:tr>
      <w:tr w14:paraId="1D9C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1DAC6AE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p>
        </w:tc>
        <w:tc>
          <w:tcPr>
            <w:tcW w:w="5120" w:type="dxa"/>
            <w:gridSpan w:val="4"/>
            <w:noWrap/>
            <w:tcMar>
              <w:left w:w="108" w:type="dxa"/>
              <w:right w:w="108" w:type="dxa"/>
            </w:tcMar>
            <w:vAlign w:val="center"/>
          </w:tcPr>
          <w:p w14:paraId="44D0A20E">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3488AB50">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7C087D9E">
            <w:pPr>
              <w:jc w:val="center"/>
              <w:rPr>
                <w:rFonts w:hint="eastAsia" w:asciiTheme="minorEastAsia" w:hAnsiTheme="minorEastAsia" w:eastAsiaTheme="minorEastAsia" w:cstheme="minorEastAsia"/>
                <w:color w:val="auto"/>
                <w:szCs w:val="24"/>
                <w:highlight w:val="none"/>
              </w:rPr>
            </w:pPr>
          </w:p>
        </w:tc>
      </w:tr>
      <w:tr w14:paraId="2CAE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4F799F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w:t>
            </w:r>
          </w:p>
        </w:tc>
        <w:tc>
          <w:tcPr>
            <w:tcW w:w="5120" w:type="dxa"/>
            <w:gridSpan w:val="4"/>
            <w:noWrap/>
            <w:tcMar>
              <w:left w:w="108" w:type="dxa"/>
              <w:right w:w="108" w:type="dxa"/>
            </w:tcMar>
            <w:vAlign w:val="center"/>
          </w:tcPr>
          <w:p w14:paraId="1659CA85">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3DA24B9B">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155705C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3F24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8" w:hRule="atLeast"/>
        </w:trPr>
        <w:tc>
          <w:tcPr>
            <w:tcW w:w="700" w:type="dxa"/>
            <w:noWrap/>
            <w:tcMar>
              <w:left w:w="108" w:type="dxa"/>
              <w:right w:w="108" w:type="dxa"/>
            </w:tcMar>
            <w:vAlign w:val="center"/>
          </w:tcPr>
          <w:p w14:paraId="08DE73B5">
            <w:pPr>
              <w:ind w:left="8" w:hanging="94"/>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注意：</w:t>
            </w:r>
          </w:p>
        </w:tc>
        <w:tc>
          <w:tcPr>
            <w:tcW w:w="8400" w:type="dxa"/>
            <w:gridSpan w:val="7"/>
            <w:noWrap/>
            <w:tcMar>
              <w:left w:w="108" w:type="dxa"/>
              <w:right w:w="108" w:type="dxa"/>
            </w:tcMar>
            <w:vAlign w:val="center"/>
          </w:tcPr>
          <w:p w14:paraId="39011553">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713E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atLeast"/>
        </w:trPr>
        <w:tc>
          <w:tcPr>
            <w:tcW w:w="2205" w:type="dxa"/>
            <w:gridSpan w:val="2"/>
            <w:noWrap/>
            <w:tcMar>
              <w:left w:w="108" w:type="dxa"/>
              <w:right w:w="108" w:type="dxa"/>
            </w:tcMar>
            <w:vAlign w:val="center"/>
          </w:tcPr>
          <w:p w14:paraId="03248E8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接收原件经办人（招标代理）：</w:t>
            </w:r>
          </w:p>
        </w:tc>
        <w:tc>
          <w:tcPr>
            <w:tcW w:w="1992" w:type="dxa"/>
            <w:gridSpan w:val="2"/>
            <w:noWrap/>
            <w:tcMar>
              <w:left w:w="108" w:type="dxa"/>
              <w:right w:w="108" w:type="dxa"/>
            </w:tcMar>
            <w:vAlign w:val="center"/>
          </w:tcPr>
          <w:p w14:paraId="5BCE5A61">
            <w:pPr>
              <w:jc w:val="center"/>
              <w:rPr>
                <w:rFonts w:hint="eastAsia" w:asciiTheme="minorEastAsia" w:hAnsiTheme="minorEastAsia" w:eastAsiaTheme="minorEastAsia" w:cstheme="minorEastAsia"/>
                <w:color w:val="auto"/>
                <w:szCs w:val="24"/>
                <w:highlight w:val="none"/>
              </w:rPr>
            </w:pPr>
          </w:p>
        </w:tc>
        <w:tc>
          <w:tcPr>
            <w:tcW w:w="1623" w:type="dxa"/>
            <w:noWrap/>
            <w:tcMar>
              <w:left w:w="108" w:type="dxa"/>
              <w:right w:w="108" w:type="dxa"/>
            </w:tcMar>
            <w:vAlign w:val="center"/>
          </w:tcPr>
          <w:p w14:paraId="43254EA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接收时间：</w:t>
            </w:r>
          </w:p>
        </w:tc>
        <w:tc>
          <w:tcPr>
            <w:tcW w:w="3280" w:type="dxa"/>
            <w:gridSpan w:val="3"/>
            <w:noWrap/>
            <w:tcMar>
              <w:left w:w="108" w:type="dxa"/>
              <w:right w:w="108" w:type="dxa"/>
            </w:tcMar>
            <w:vAlign w:val="center"/>
          </w:tcPr>
          <w:p w14:paraId="6922A9E2">
            <w:pPr>
              <w:ind w:firstLine="720" w:firstLineChars="3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年   月   日   时  分</w:t>
            </w:r>
          </w:p>
        </w:tc>
      </w:tr>
      <w:tr w14:paraId="44B1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9" w:hRule="atLeast"/>
        </w:trPr>
        <w:tc>
          <w:tcPr>
            <w:tcW w:w="2205" w:type="dxa"/>
            <w:gridSpan w:val="2"/>
            <w:noWrap/>
            <w:tcMar>
              <w:left w:w="108" w:type="dxa"/>
              <w:right w:w="108" w:type="dxa"/>
            </w:tcMar>
            <w:vAlign w:val="center"/>
          </w:tcPr>
          <w:p w14:paraId="1772F5D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退还原件接收人（投标人）：</w:t>
            </w:r>
          </w:p>
        </w:tc>
        <w:tc>
          <w:tcPr>
            <w:tcW w:w="1992" w:type="dxa"/>
            <w:gridSpan w:val="2"/>
            <w:noWrap/>
            <w:tcMar>
              <w:left w:w="108" w:type="dxa"/>
              <w:right w:w="108" w:type="dxa"/>
            </w:tcMar>
            <w:vAlign w:val="center"/>
          </w:tcPr>
          <w:p w14:paraId="74892C54">
            <w:pPr>
              <w:jc w:val="center"/>
              <w:rPr>
                <w:rFonts w:hint="eastAsia" w:asciiTheme="minorEastAsia" w:hAnsiTheme="minorEastAsia" w:eastAsiaTheme="minorEastAsia" w:cstheme="minorEastAsia"/>
                <w:color w:val="auto"/>
                <w:szCs w:val="24"/>
                <w:highlight w:val="none"/>
              </w:rPr>
            </w:pPr>
          </w:p>
        </w:tc>
        <w:tc>
          <w:tcPr>
            <w:tcW w:w="1623" w:type="dxa"/>
            <w:noWrap/>
            <w:tcMar>
              <w:left w:w="108" w:type="dxa"/>
              <w:right w:w="108" w:type="dxa"/>
            </w:tcMar>
            <w:vAlign w:val="center"/>
          </w:tcPr>
          <w:p w14:paraId="3627CE0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退还时间：</w:t>
            </w:r>
          </w:p>
        </w:tc>
        <w:tc>
          <w:tcPr>
            <w:tcW w:w="3280" w:type="dxa"/>
            <w:gridSpan w:val="3"/>
            <w:noWrap/>
            <w:tcMar>
              <w:left w:w="108" w:type="dxa"/>
              <w:right w:w="108" w:type="dxa"/>
            </w:tcMar>
            <w:vAlign w:val="center"/>
          </w:tcPr>
          <w:p w14:paraId="425E27C0">
            <w:pPr>
              <w:ind w:firstLine="720" w:firstLineChars="3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年   月   日   时   分</w:t>
            </w:r>
          </w:p>
        </w:tc>
      </w:tr>
    </w:tbl>
    <w:p w14:paraId="75A82B2E">
      <w:pPr>
        <w:snapToGrid w:val="0"/>
        <w:spacing w:line="440" w:lineRule="exac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snapToGrid w:val="0"/>
          <w:color w:val="auto"/>
          <w:highlight w:val="none"/>
        </w:rPr>
        <w:br w:type="page"/>
      </w:r>
    </w:p>
    <w:p w14:paraId="2082FE14">
      <w:pPr>
        <w:pStyle w:val="3"/>
        <w:jc w:val="center"/>
        <w:rPr>
          <w:rFonts w:hint="eastAsia" w:asciiTheme="minorEastAsia" w:hAnsiTheme="minorEastAsia" w:eastAsiaTheme="minorEastAsia" w:cstheme="minorEastAsia"/>
          <w:b/>
          <w:color w:val="auto"/>
          <w:kern w:val="44"/>
          <w:szCs w:val="30"/>
          <w:highlight w:val="none"/>
        </w:rPr>
      </w:pPr>
      <w:bookmarkStart w:id="564" w:name="_Toc8121"/>
      <w:bookmarkStart w:id="565" w:name="_Toc26622"/>
      <w:bookmarkStart w:id="566" w:name="_Toc26638"/>
      <w:bookmarkStart w:id="567" w:name="_Toc23446"/>
      <w:bookmarkStart w:id="568" w:name="_Toc8821"/>
      <w:bookmarkStart w:id="569" w:name="_Toc6918"/>
      <w:bookmarkStart w:id="570" w:name="_Toc14224"/>
      <w:bookmarkStart w:id="571" w:name="_Toc9816"/>
      <w:bookmarkStart w:id="572" w:name="_Toc22541"/>
      <w:r>
        <w:rPr>
          <w:rFonts w:hint="eastAsia" w:asciiTheme="minorEastAsia" w:hAnsiTheme="minorEastAsia" w:eastAsiaTheme="minorEastAsia" w:cstheme="minorEastAsia"/>
          <w:b/>
          <w:color w:val="auto"/>
          <w:kern w:val="44"/>
          <w:szCs w:val="30"/>
          <w:highlight w:val="none"/>
        </w:rPr>
        <w:t>第</w:t>
      </w:r>
      <w:r>
        <w:rPr>
          <w:rFonts w:hint="eastAsia" w:asciiTheme="minorEastAsia" w:hAnsiTheme="minorEastAsia" w:eastAsiaTheme="minorEastAsia" w:cstheme="minorEastAsia"/>
          <w:b/>
          <w:color w:val="auto"/>
          <w:kern w:val="44"/>
          <w:szCs w:val="30"/>
          <w:highlight w:val="none"/>
          <w:lang w:val="en-US" w:eastAsia="zh-CN"/>
        </w:rPr>
        <w:t>七</w:t>
      </w:r>
      <w:r>
        <w:rPr>
          <w:rFonts w:hint="eastAsia" w:asciiTheme="minorEastAsia" w:hAnsiTheme="minorEastAsia" w:eastAsiaTheme="minorEastAsia" w:cstheme="minorEastAsia"/>
          <w:b/>
          <w:color w:val="auto"/>
          <w:kern w:val="44"/>
          <w:szCs w:val="30"/>
          <w:highlight w:val="none"/>
        </w:rPr>
        <w:t>章  廉政合同、履约保函、预付款保函、支付保函</w:t>
      </w:r>
      <w:bookmarkEnd w:id="564"/>
      <w:bookmarkEnd w:id="565"/>
      <w:bookmarkEnd w:id="566"/>
      <w:bookmarkEnd w:id="567"/>
      <w:bookmarkEnd w:id="568"/>
      <w:bookmarkEnd w:id="569"/>
      <w:bookmarkEnd w:id="570"/>
      <w:bookmarkEnd w:id="571"/>
      <w:bookmarkEnd w:id="572"/>
    </w:p>
    <w:p w14:paraId="172855D5">
      <w:pPr>
        <w:rPr>
          <w:rFonts w:hint="eastAsia" w:asciiTheme="minorEastAsia" w:hAnsiTheme="minorEastAsia" w:eastAsiaTheme="minorEastAsia" w:cstheme="minorEastAsia"/>
          <w:color w:val="auto"/>
          <w:highlight w:val="none"/>
        </w:rPr>
      </w:pPr>
    </w:p>
    <w:p w14:paraId="192C8A41">
      <w:pPr>
        <w:pStyle w:val="5"/>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573" w:name="_Toc5870"/>
      <w:bookmarkStart w:id="574" w:name="_Toc30503"/>
      <w:bookmarkStart w:id="575" w:name="_Toc29713"/>
      <w:bookmarkStart w:id="576" w:name="_Toc5845"/>
      <w:bookmarkStart w:id="577" w:name="_Toc2994"/>
      <w:bookmarkStart w:id="578" w:name="_Toc20232"/>
      <w:bookmarkStart w:id="579" w:name="_Toc18884"/>
      <w:bookmarkStart w:id="580" w:name="_Toc10193"/>
      <w:bookmarkStart w:id="581" w:name="_Toc32046"/>
      <w:bookmarkStart w:id="582" w:name="_Toc16029"/>
      <w:bookmarkStart w:id="583" w:name="_Toc10603"/>
      <w:r>
        <w:rPr>
          <w:rFonts w:hint="eastAsia" w:asciiTheme="minorEastAsia" w:hAnsiTheme="minorEastAsia" w:eastAsiaTheme="minorEastAsia" w:cstheme="minorEastAsia"/>
          <w:bCs/>
          <w:color w:val="auto"/>
          <w:sz w:val="32"/>
          <w:szCs w:val="32"/>
          <w:highlight w:val="none"/>
        </w:rPr>
        <w:t>廉政合同</w:t>
      </w:r>
      <w:bookmarkEnd w:id="573"/>
      <w:bookmarkEnd w:id="574"/>
      <w:bookmarkEnd w:id="575"/>
      <w:bookmarkEnd w:id="576"/>
      <w:bookmarkEnd w:id="577"/>
      <w:bookmarkEnd w:id="578"/>
      <w:bookmarkEnd w:id="579"/>
      <w:bookmarkEnd w:id="580"/>
      <w:bookmarkEnd w:id="581"/>
      <w:bookmarkEnd w:id="582"/>
      <w:bookmarkEnd w:id="583"/>
    </w:p>
    <w:p w14:paraId="4CEB01C0">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招标人：（全称）</w:t>
      </w:r>
      <w:r>
        <w:rPr>
          <w:rFonts w:hint="eastAsia" w:asciiTheme="minorEastAsia" w:hAnsiTheme="minorEastAsia" w:eastAsiaTheme="minorEastAsia" w:cstheme="minorEastAsia"/>
          <w:color w:val="auto"/>
          <w:kern w:val="0"/>
          <w:highlight w:val="none"/>
          <w:u w:val="single"/>
        </w:rPr>
        <w:tab/>
      </w:r>
    </w:p>
    <w:p w14:paraId="767DC3F8">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中标人：（全称）</w:t>
      </w:r>
      <w:r>
        <w:rPr>
          <w:rFonts w:hint="eastAsia" w:asciiTheme="minorEastAsia" w:hAnsiTheme="minorEastAsia" w:eastAsiaTheme="minorEastAsia" w:cstheme="minorEastAsia"/>
          <w:color w:val="auto"/>
          <w:kern w:val="0"/>
          <w:highlight w:val="none"/>
          <w:u w:val="single"/>
        </w:rPr>
        <w:tab/>
      </w:r>
    </w:p>
    <w:p w14:paraId="110241E6">
      <w:pPr>
        <w:autoSpaceDE w:val="0"/>
        <w:autoSpaceDN w:val="0"/>
        <w:adjustRightInd w:val="0"/>
        <w:spacing w:before="6" w:line="150" w:lineRule="exact"/>
        <w:jc w:val="left"/>
        <w:rPr>
          <w:rFonts w:hint="eastAsia" w:asciiTheme="minorEastAsia" w:hAnsiTheme="minorEastAsia" w:eastAsiaTheme="minorEastAsia" w:cstheme="minorEastAsia"/>
          <w:color w:val="auto"/>
          <w:kern w:val="0"/>
          <w:szCs w:val="15"/>
          <w:highlight w:val="none"/>
        </w:rPr>
      </w:pPr>
    </w:p>
    <w:p w14:paraId="30964C20">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1F3807F3">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44F84AE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position w:val="-3"/>
          <w:highlight w:val="none"/>
        </w:rPr>
        <w:t>根据国家、省有关廉政建设的规定，为做好合同工程的廉政建设，保证工程质量与施工安</w:t>
      </w:r>
      <w:r>
        <w:rPr>
          <w:rFonts w:hint="eastAsia" w:asciiTheme="minorEastAsia" w:hAnsiTheme="minorEastAsia" w:eastAsiaTheme="minorEastAsia" w:cstheme="minorEastAsia"/>
          <w:color w:val="auto"/>
          <w:kern w:val="0"/>
          <w:highlight w:val="none"/>
        </w:rPr>
        <w:t>全，提高建设资金的有效使用和投资效益，合同双方当事人就加强合同工程的廉政建设，订立本合同。</w:t>
      </w:r>
    </w:p>
    <w:p w14:paraId="3524FAB7">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1</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双方权利和义务</w:t>
      </w:r>
    </w:p>
    <w:p w14:paraId="545CBDD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严格遵守国家、省有关法律法规的规定。</w:t>
      </w:r>
    </w:p>
    <w:p w14:paraId="7DF0856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严格执行合同工程一切合同文件，自觉按合同办事。</w:t>
      </w:r>
    </w:p>
    <w:p w14:paraId="7DF08E7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合同双方当事人的业务活动应坚持公平</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公开</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公正和诚信的原</w:t>
      </w:r>
      <w:r>
        <w:rPr>
          <w:rFonts w:hint="eastAsia" w:asciiTheme="minorEastAsia" w:hAnsiTheme="minorEastAsia" w:eastAsiaTheme="minorEastAsia" w:cstheme="minorEastAsia"/>
          <w:color w:val="auto"/>
          <w:spacing w:val="-12"/>
          <w:kern w:val="0"/>
          <w:highlight w:val="none"/>
        </w:rPr>
        <w:t>则</w:t>
      </w:r>
      <w:r>
        <w:rPr>
          <w:rFonts w:hint="eastAsia" w:asciiTheme="minorEastAsia" w:hAnsiTheme="minorEastAsia" w:eastAsiaTheme="minorEastAsia" w:cstheme="minorEastAsia"/>
          <w:color w:val="auto"/>
          <w:kern w:val="0"/>
          <w:highlight w:val="none"/>
        </w:rPr>
        <w:t>（法律认定的商业 秘密和合同文件另有规定除外</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，不得损害国家和集体利益，不得违反工程建设管理规章制度。</w:t>
      </w:r>
    </w:p>
    <w:p w14:paraId="1BBA8BB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1.4</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建立健全廉政制度</w:t>
      </w:r>
      <w:r>
        <w:rPr>
          <w:rFonts w:hint="eastAsia" w:asciiTheme="minorEastAsia" w:hAnsiTheme="minorEastAsia" w:eastAsiaTheme="minorEastAsia" w:cstheme="minorEastAsia"/>
          <w:color w:val="auto"/>
          <w:spacing w:val="-10"/>
          <w:kern w:val="0"/>
          <w:highlight w:val="none"/>
        </w:rPr>
        <w:t>，</w:t>
      </w:r>
      <w:r>
        <w:rPr>
          <w:rFonts w:hint="eastAsia" w:asciiTheme="minorEastAsia" w:hAnsiTheme="minorEastAsia" w:eastAsiaTheme="minorEastAsia" w:cstheme="minorEastAsia"/>
          <w:color w:val="auto"/>
          <w:kern w:val="0"/>
          <w:highlight w:val="none"/>
        </w:rPr>
        <w:t>开展廉政教育</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设立廉政告示牌</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公布举报电话</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监督并认真查 处违法违纪行为。</w:t>
      </w:r>
    </w:p>
    <w:p w14:paraId="394BCC7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发现对方在业务活动中有违反廉政建设规定的行为，应及时给予提醒和纠正。</w:t>
      </w:r>
    </w:p>
    <w:p w14:paraId="3A3CCFA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1.6</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发现对方严重违反合同的行为</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有向其上级部门举报</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建议给予处理并要求告知处理 结果的权利。没有上级部门的，可按本合同第二部分《通用条款》第87 条规定处理。</w:t>
      </w:r>
    </w:p>
    <w:p w14:paraId="7D2BCF75">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2</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招标人义务</w:t>
      </w:r>
    </w:p>
    <w:p w14:paraId="250A128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招标人及其工作人员不得索取或接受中标人的礼金</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有价证券和贵重物品</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不得在承 包人报销任何应由招标人或其工作人员个人支付的费用。</w:t>
      </w:r>
    </w:p>
    <w:p w14:paraId="224220B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招标人及其工作人员不得参加中标人安排的宴</w:t>
      </w:r>
      <w:r>
        <w:rPr>
          <w:rFonts w:hint="eastAsia" w:asciiTheme="minorEastAsia" w:hAnsiTheme="minorEastAsia" w:eastAsiaTheme="minorEastAsia" w:cstheme="minorEastAsia"/>
          <w:color w:val="auto"/>
          <w:spacing w:val="-12"/>
          <w:kern w:val="0"/>
          <w:highlight w:val="none"/>
        </w:rPr>
        <w:t>请</w:t>
      </w:r>
      <w:r>
        <w:rPr>
          <w:rFonts w:hint="eastAsia" w:asciiTheme="minorEastAsia" w:hAnsiTheme="minorEastAsia" w:eastAsiaTheme="minorEastAsia" w:cstheme="minorEastAsia"/>
          <w:color w:val="auto"/>
          <w:kern w:val="0"/>
          <w:highlight w:val="none"/>
        </w:rPr>
        <w:t>（工作餐除外</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和娱乐活动</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不得接受中标人提供的通讯、交通工具和高档办公用品等物品。</w:t>
      </w:r>
    </w:p>
    <w:p w14:paraId="5F6DD46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position w:val="-2"/>
          <w:highlight w:val="none"/>
        </w:rPr>
        <w:t>2.3</w:t>
      </w:r>
      <w:r>
        <w:rPr>
          <w:rFonts w:hint="eastAsia" w:asciiTheme="minorEastAsia" w:hAnsiTheme="minorEastAsia" w:eastAsiaTheme="minorEastAsia" w:cstheme="minorEastAsia"/>
          <w:color w:val="auto"/>
          <w:kern w:val="0"/>
          <w:position w:val="-2"/>
          <w:highlight w:val="none"/>
        </w:rPr>
        <w:tab/>
      </w:r>
      <w:r>
        <w:rPr>
          <w:rFonts w:hint="eastAsia" w:asciiTheme="minorEastAsia" w:hAnsiTheme="minorEastAsia" w:eastAsiaTheme="minorEastAsia" w:cstheme="minorEastAsia"/>
          <w:color w:val="auto"/>
          <w:kern w:val="0"/>
          <w:position w:val="-2"/>
          <w:highlight w:val="none"/>
        </w:rPr>
        <w:t>招标人及其工作人员不得要求或者接受中标人为其住房装修</w:t>
      </w:r>
      <w:r>
        <w:rPr>
          <w:rFonts w:hint="eastAsia" w:asciiTheme="minorEastAsia" w:hAnsiTheme="minorEastAsia" w:eastAsiaTheme="minorEastAsia" w:cstheme="minorEastAsia"/>
          <w:color w:val="auto"/>
          <w:spacing w:val="-18"/>
          <w:kern w:val="0"/>
          <w:position w:val="-2"/>
          <w:highlight w:val="none"/>
        </w:rPr>
        <w:t>、</w:t>
      </w:r>
      <w:r>
        <w:rPr>
          <w:rFonts w:hint="eastAsia" w:asciiTheme="minorEastAsia" w:hAnsiTheme="minorEastAsia" w:eastAsiaTheme="minorEastAsia" w:cstheme="minorEastAsia"/>
          <w:color w:val="auto"/>
          <w:kern w:val="0"/>
          <w:position w:val="-2"/>
          <w:highlight w:val="none"/>
        </w:rPr>
        <w:t>婚丧嫁娶活动</w:t>
      </w:r>
      <w:r>
        <w:rPr>
          <w:rFonts w:hint="eastAsia" w:asciiTheme="minorEastAsia" w:hAnsiTheme="minorEastAsia" w:eastAsiaTheme="minorEastAsia" w:cstheme="minorEastAsia"/>
          <w:color w:val="auto"/>
          <w:spacing w:val="-18"/>
          <w:kern w:val="0"/>
          <w:position w:val="-2"/>
          <w:highlight w:val="none"/>
        </w:rPr>
        <w:t>、</w:t>
      </w:r>
      <w:r>
        <w:rPr>
          <w:rFonts w:hint="eastAsia" w:asciiTheme="minorEastAsia" w:hAnsiTheme="minorEastAsia" w:eastAsiaTheme="minorEastAsia" w:cstheme="minorEastAsia"/>
          <w:color w:val="auto"/>
          <w:kern w:val="0"/>
          <w:position w:val="-2"/>
          <w:highlight w:val="none"/>
        </w:rPr>
        <w:t>配偶子</w:t>
      </w:r>
      <w:r>
        <w:rPr>
          <w:rFonts w:hint="eastAsia" w:asciiTheme="minorEastAsia" w:hAnsiTheme="minorEastAsia" w:eastAsiaTheme="minorEastAsia" w:cstheme="minorEastAsia"/>
          <w:color w:val="auto"/>
          <w:kern w:val="0"/>
          <w:highlight w:val="none"/>
        </w:rPr>
        <w:t>女工作安排以及出国出境、旅游等提供方便。</w:t>
      </w:r>
    </w:p>
    <w:p w14:paraId="346DF012">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2.4 </w:t>
      </w:r>
      <w:r>
        <w:rPr>
          <w:rFonts w:hint="eastAsia" w:asciiTheme="minorEastAsia" w:hAnsiTheme="minorEastAsia" w:eastAsiaTheme="minorEastAsia" w:cstheme="minorEastAsia"/>
          <w:color w:val="auto"/>
          <w:spacing w:val="2"/>
          <w:kern w:val="0"/>
          <w:highlight w:val="none"/>
        </w:rPr>
        <w:t>招标人及其工作人员不得以任何理由向中标人推荐</w:t>
      </w:r>
      <w:r>
        <w:rPr>
          <w:rFonts w:hint="eastAsia" w:asciiTheme="minorEastAsia" w:hAnsiTheme="minorEastAsia" w:eastAsiaTheme="minorEastAsia" w:cstheme="minorEastAsia"/>
          <w:color w:val="auto"/>
          <w:spacing w:val="1"/>
          <w:kern w:val="0"/>
          <w:highlight w:val="none"/>
        </w:rPr>
        <w:t>分</w:t>
      </w:r>
      <w:r>
        <w:rPr>
          <w:rFonts w:hint="eastAsia" w:asciiTheme="minorEastAsia" w:hAnsiTheme="minorEastAsia" w:eastAsiaTheme="minorEastAsia" w:cstheme="minorEastAsia"/>
          <w:color w:val="auto"/>
          <w:spacing w:val="2"/>
          <w:kern w:val="0"/>
          <w:highlight w:val="none"/>
        </w:rPr>
        <w:t xml:space="preserve">包人、推销材料和工程设备，不 </w:t>
      </w:r>
      <w:r>
        <w:rPr>
          <w:rFonts w:hint="eastAsia" w:asciiTheme="minorEastAsia" w:hAnsiTheme="minorEastAsia" w:eastAsiaTheme="minorEastAsia" w:cstheme="minorEastAsia"/>
          <w:color w:val="auto"/>
          <w:kern w:val="0"/>
          <w:highlight w:val="none"/>
        </w:rPr>
        <w:t>得要求中标人购买合同以外的材料和工程设备。</w:t>
      </w:r>
    </w:p>
    <w:p w14:paraId="14AA02E8">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招标人及其工作人员要秉公办事</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不准营私舞弊</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不准利用职权私自为合同工程安排 施工队伍，也不得从事与合同工程有关的各种有偿中介活动。</w:t>
      </w:r>
    </w:p>
    <w:p w14:paraId="3B719603">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2.6 </w:t>
      </w:r>
      <w:r>
        <w:rPr>
          <w:rFonts w:hint="eastAsia" w:asciiTheme="minorEastAsia" w:hAnsiTheme="minorEastAsia" w:eastAsiaTheme="minorEastAsia" w:cstheme="minorEastAsia"/>
          <w:color w:val="auto"/>
          <w:spacing w:val="2"/>
          <w:kern w:val="0"/>
          <w:highlight w:val="none"/>
        </w:rPr>
        <w:t>招标人及其工作人员（含其配偶、子女）不得从事</w:t>
      </w:r>
      <w:r>
        <w:rPr>
          <w:rFonts w:hint="eastAsia" w:asciiTheme="minorEastAsia" w:hAnsiTheme="minorEastAsia" w:eastAsiaTheme="minorEastAsia" w:cstheme="minorEastAsia"/>
          <w:color w:val="auto"/>
          <w:spacing w:val="1"/>
          <w:kern w:val="0"/>
          <w:highlight w:val="none"/>
        </w:rPr>
        <w:t>与</w:t>
      </w:r>
      <w:r>
        <w:rPr>
          <w:rFonts w:hint="eastAsia" w:asciiTheme="minorEastAsia" w:hAnsiTheme="minorEastAsia" w:eastAsiaTheme="minorEastAsia" w:cstheme="minorEastAsia"/>
          <w:color w:val="auto"/>
          <w:spacing w:val="2"/>
          <w:kern w:val="0"/>
          <w:highlight w:val="none"/>
        </w:rPr>
        <w:t xml:space="preserve">合同工程有关的材料和工程设备 </w:t>
      </w:r>
      <w:r>
        <w:rPr>
          <w:rFonts w:hint="eastAsia" w:asciiTheme="minorEastAsia" w:hAnsiTheme="minorEastAsia" w:eastAsiaTheme="minorEastAsia" w:cstheme="minorEastAsia"/>
          <w:color w:val="auto"/>
          <w:kern w:val="0"/>
          <w:highlight w:val="none"/>
        </w:rPr>
        <w:t>供应、工程分包、劳务等经济活动。</w:t>
      </w:r>
    </w:p>
    <w:p w14:paraId="4D9BB120">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3</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中标人义务</w:t>
      </w:r>
    </w:p>
    <w:p w14:paraId="394B952F">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中标人不得以任何理由向招标人及其工作人员行贿或馈赠礼金</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有价证券</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贵重礼品。</w:t>
      </w:r>
    </w:p>
    <w:p w14:paraId="63B51EC7">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spacing w:val="5"/>
          <w:kern w:val="0"/>
          <w:highlight w:val="none"/>
        </w:rPr>
        <w:t>中标人不得以任何名义为招标人及其</w:t>
      </w:r>
      <w:r>
        <w:rPr>
          <w:rFonts w:hint="eastAsia" w:asciiTheme="minorEastAsia" w:hAnsiTheme="minorEastAsia" w:eastAsiaTheme="minorEastAsia" w:cstheme="minorEastAsia"/>
          <w:color w:val="auto"/>
          <w:spacing w:val="4"/>
          <w:kern w:val="0"/>
          <w:highlight w:val="none"/>
        </w:rPr>
        <w:t>工</w:t>
      </w:r>
      <w:r>
        <w:rPr>
          <w:rFonts w:hint="eastAsia" w:asciiTheme="minorEastAsia" w:hAnsiTheme="minorEastAsia" w:eastAsiaTheme="minorEastAsia" w:cstheme="minorEastAsia"/>
          <w:color w:val="auto"/>
          <w:spacing w:val="6"/>
          <w:kern w:val="0"/>
          <w:highlight w:val="none"/>
        </w:rPr>
        <w:t xml:space="preserve">作人员报销应由招标人或其工作人员个人支 </w:t>
      </w:r>
      <w:r>
        <w:rPr>
          <w:rFonts w:hint="eastAsia" w:asciiTheme="minorEastAsia" w:hAnsiTheme="minorEastAsia" w:eastAsiaTheme="minorEastAsia" w:cstheme="minorEastAsia"/>
          <w:color w:val="auto"/>
          <w:kern w:val="0"/>
          <w:highlight w:val="none"/>
        </w:rPr>
        <w:t>付的任何费用。</w:t>
      </w:r>
    </w:p>
    <w:p w14:paraId="644D8D3B">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3.3</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中标人不得以任何理由安排招标人及其工作人员参加宴</w:t>
      </w:r>
      <w:r>
        <w:rPr>
          <w:rFonts w:hint="eastAsia" w:asciiTheme="minorEastAsia" w:hAnsiTheme="minorEastAsia" w:eastAsiaTheme="minorEastAsia" w:cstheme="minorEastAsia"/>
          <w:color w:val="auto"/>
          <w:spacing w:val="-78"/>
          <w:kern w:val="0"/>
          <w:highlight w:val="none"/>
        </w:rPr>
        <w:t>请</w:t>
      </w:r>
      <w:r>
        <w:rPr>
          <w:rFonts w:hint="eastAsia" w:asciiTheme="minorEastAsia" w:hAnsiTheme="minorEastAsia" w:eastAsiaTheme="minorEastAsia" w:cstheme="minorEastAsia"/>
          <w:color w:val="auto"/>
          <w:kern w:val="0"/>
          <w:highlight w:val="none"/>
        </w:rPr>
        <w:t>（工作餐除外</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及娱乐活动。</w:t>
      </w:r>
    </w:p>
    <w:p w14:paraId="27DD60F2">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中标人不得为招标人和个人购置或提供通讯、交通工具和高档办公用品等物品。</w:t>
      </w:r>
    </w:p>
    <w:p w14:paraId="57149C64">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中标人不得为招标人及其工作人员的住房装修</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婚丧嫁娶活动</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配偶子女工作安排以 及出国出境、旅游等提供方便。</w:t>
      </w:r>
    </w:p>
    <w:p w14:paraId="0EC4B34F">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4</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违约责任</w:t>
      </w:r>
    </w:p>
    <w:p w14:paraId="7B8FD472">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招标人及其工作人员违反本合同第1 条和第2 条规定</w:t>
      </w:r>
      <w:r>
        <w:rPr>
          <w:rFonts w:hint="eastAsia" w:asciiTheme="minorEastAsia" w:hAnsiTheme="minorEastAsia" w:eastAsiaTheme="minorEastAsia" w:cstheme="minorEastAsia"/>
          <w:color w:val="auto"/>
          <w:spacing w:val="-36"/>
          <w:kern w:val="0"/>
          <w:highlight w:val="none"/>
        </w:rPr>
        <w:t>，</w:t>
      </w:r>
      <w:r>
        <w:rPr>
          <w:rFonts w:hint="eastAsia" w:asciiTheme="minorEastAsia" w:hAnsiTheme="minorEastAsia" w:eastAsiaTheme="minorEastAsia" w:cstheme="minorEastAsia"/>
          <w:color w:val="auto"/>
          <w:kern w:val="0"/>
          <w:highlight w:val="none"/>
        </w:rPr>
        <w:t>应按照廉政建设的有关规定给 予处分；涉嫌犯罪的，移交司法机关追究刑事责任；给中标人造成损失的，应予赔偿。</w:t>
      </w:r>
    </w:p>
    <w:p w14:paraId="34408EEB">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中标人及其工作人员违反本合同第1 条和第3 条规定</w:t>
      </w:r>
      <w:r>
        <w:rPr>
          <w:rFonts w:hint="eastAsia" w:asciiTheme="minorEastAsia" w:hAnsiTheme="minorEastAsia" w:eastAsiaTheme="minorEastAsia" w:cstheme="minorEastAsia"/>
          <w:color w:val="auto"/>
          <w:spacing w:val="-36"/>
          <w:kern w:val="0"/>
          <w:highlight w:val="none"/>
        </w:rPr>
        <w:t>，</w:t>
      </w:r>
      <w:r>
        <w:rPr>
          <w:rFonts w:hint="eastAsia" w:asciiTheme="minorEastAsia" w:hAnsiTheme="minorEastAsia" w:eastAsiaTheme="minorEastAsia" w:cstheme="minorEastAsia"/>
          <w:color w:val="auto"/>
          <w:kern w:val="0"/>
          <w:highlight w:val="none"/>
        </w:rPr>
        <w:t>应按照廉政建设的有关规定给 予处分</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情节严重的</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给予中标人1～3 年内不得进入工程建设市场的处罚</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涉嫌犯罪的</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移交 司法机关追究刑事责任；给招标人造成损失的，应予赔偿；</w:t>
      </w:r>
    </w:p>
    <w:p w14:paraId="731F24BE">
      <w:pPr>
        <w:autoSpaceDE w:val="0"/>
        <w:autoSpaceDN w:val="0"/>
        <w:adjustRightInd w:val="0"/>
        <w:spacing w:before="16" w:line="360" w:lineRule="auto"/>
        <w:jc w:val="left"/>
        <w:rPr>
          <w:rFonts w:hint="eastAsia"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b/>
          <w:bCs/>
          <w:color w:val="auto"/>
          <w:kern w:val="0"/>
          <w:szCs w:val="28"/>
          <w:highlight w:val="none"/>
        </w:rPr>
        <w:t xml:space="preserve">    5</w:t>
      </w:r>
      <w:r>
        <w:rPr>
          <w:rFonts w:hint="eastAsia" w:asciiTheme="minorEastAsia" w:hAnsiTheme="minorEastAsia" w:eastAsiaTheme="minorEastAsia" w:cstheme="minorEastAsia"/>
          <w:b/>
          <w:bCs/>
          <w:color w:val="auto"/>
          <w:spacing w:val="1"/>
          <w:kern w:val="0"/>
          <w:szCs w:val="28"/>
          <w:highlight w:val="none"/>
        </w:rPr>
        <w:t>双方约定</w:t>
      </w:r>
    </w:p>
    <w:p w14:paraId="655B6D52">
      <w:pPr>
        <w:autoSpaceDE w:val="0"/>
        <w:autoSpaceDN w:val="0"/>
        <w:adjustRightInd w:val="0"/>
        <w:spacing w:line="360" w:lineRule="auto"/>
        <w:ind w:right="184" w:firstLine="484"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spacing w:val="1"/>
          <w:kern w:val="0"/>
          <w:highlight w:val="none"/>
        </w:rPr>
        <w:t>本合同由合同双方当事人或其上</w:t>
      </w:r>
      <w:r>
        <w:rPr>
          <w:rFonts w:hint="eastAsia" w:asciiTheme="minorEastAsia" w:hAnsiTheme="minorEastAsia" w:eastAsiaTheme="minorEastAsia" w:cstheme="minorEastAsia"/>
          <w:color w:val="auto"/>
          <w:kern w:val="0"/>
          <w:highlight w:val="none"/>
        </w:rPr>
        <w:t>级</w:t>
      </w:r>
      <w:r>
        <w:rPr>
          <w:rFonts w:hint="eastAsia" w:asciiTheme="minorEastAsia" w:hAnsiTheme="minorEastAsia" w:eastAsiaTheme="minorEastAsia" w:cstheme="minorEastAsia"/>
          <w:color w:val="auto"/>
          <w:spacing w:val="1"/>
          <w:kern w:val="0"/>
          <w:highlight w:val="none"/>
        </w:rPr>
        <w:t>部门负责监督执行，并由合</w:t>
      </w:r>
      <w:r>
        <w:rPr>
          <w:rFonts w:hint="eastAsia" w:asciiTheme="minorEastAsia" w:hAnsiTheme="minorEastAsia" w:eastAsiaTheme="minorEastAsia" w:cstheme="minorEastAsia"/>
          <w:color w:val="auto"/>
          <w:kern w:val="0"/>
          <w:highlight w:val="none"/>
        </w:rPr>
        <w:t>同</w:t>
      </w:r>
      <w:r>
        <w:rPr>
          <w:rFonts w:hint="eastAsia" w:asciiTheme="minorEastAsia" w:hAnsiTheme="minorEastAsia" w:eastAsiaTheme="minorEastAsia" w:cstheme="minorEastAsia"/>
          <w:color w:val="auto"/>
          <w:spacing w:val="1"/>
          <w:kern w:val="0"/>
          <w:highlight w:val="none"/>
        </w:rPr>
        <w:t xml:space="preserve">双方当事人或其上级部门 </w:t>
      </w:r>
      <w:r>
        <w:rPr>
          <w:rFonts w:hint="eastAsia" w:asciiTheme="minorEastAsia" w:hAnsiTheme="minorEastAsia" w:eastAsiaTheme="minorEastAsia" w:cstheme="minorEastAsia"/>
          <w:color w:val="auto"/>
          <w:kern w:val="0"/>
          <w:highlight w:val="none"/>
        </w:rPr>
        <w:t>相互约请对本合同执行情况进行检查。</w:t>
      </w:r>
    </w:p>
    <w:p w14:paraId="08A9DD8D">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b/>
          <w:bCs/>
          <w:color w:val="auto"/>
          <w:kern w:val="0"/>
          <w:szCs w:val="28"/>
          <w:highlight w:val="none"/>
        </w:rPr>
      </w:pPr>
      <w:r>
        <w:rPr>
          <w:rFonts w:hint="eastAsia" w:asciiTheme="minorEastAsia" w:hAnsiTheme="minorEastAsia" w:eastAsiaTheme="minorEastAsia" w:cstheme="minorEastAsia"/>
          <w:b/>
          <w:bCs/>
          <w:color w:val="auto"/>
          <w:kern w:val="0"/>
          <w:szCs w:val="28"/>
          <w:highlight w:val="none"/>
        </w:rPr>
        <w:t>6</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kern w:val="0"/>
          <w:szCs w:val="28"/>
          <w:highlight w:val="none"/>
        </w:rPr>
        <w:t xml:space="preserve"> 合同法律效力</w:t>
      </w:r>
    </w:p>
    <w:p w14:paraId="2A7B8DB8">
      <w:pPr>
        <w:autoSpaceDE w:val="0"/>
        <w:autoSpaceDN w:val="0"/>
        <w:adjustRightInd w:val="0"/>
        <w:spacing w:line="360" w:lineRule="auto"/>
        <w:ind w:right="184"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本合同作为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bCs/>
          <w:color w:val="auto"/>
          <w:szCs w:val="28"/>
          <w:highlight w:val="none"/>
          <w:u w:val="single"/>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（工程名称） 工程施工合同的附件，与施工合同具有同等的法律效力。</w:t>
      </w:r>
    </w:p>
    <w:p w14:paraId="2BAC4CB3">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b/>
          <w:bCs/>
          <w:color w:val="auto"/>
          <w:kern w:val="0"/>
          <w:szCs w:val="28"/>
          <w:highlight w:val="none"/>
        </w:rPr>
        <w:t>7</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合同生效</w:t>
      </w:r>
    </w:p>
    <w:p w14:paraId="134C56E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本合同自合同双方当事人签署之日起生效，至合同工程竣工验收合格之日后失效。</w:t>
      </w:r>
    </w:p>
    <w:p w14:paraId="1A78F3FF">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8</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合同份数</w:t>
      </w:r>
    </w:p>
    <w:p w14:paraId="3A8DD19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本合同一</w:t>
      </w:r>
      <w:r>
        <w:rPr>
          <w:rFonts w:hint="eastAsia" w:asciiTheme="minorEastAsia" w:hAnsiTheme="minorEastAsia" w:eastAsiaTheme="minorEastAsia" w:cstheme="minorEastAsia"/>
          <w:color w:val="auto"/>
          <w:spacing w:val="1"/>
          <w:kern w:val="0"/>
          <w:highlight w:val="none"/>
        </w:rPr>
        <w:t>式</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份，合同双方当事人各</w:t>
      </w:r>
      <w:r>
        <w:rPr>
          <w:rFonts w:hint="eastAsia" w:asciiTheme="minorEastAsia" w:hAnsiTheme="minorEastAsia" w:eastAsiaTheme="minorEastAsia" w:cstheme="minorEastAsia"/>
          <w:color w:val="auto"/>
          <w:spacing w:val="2"/>
          <w:kern w:val="0"/>
          <w:highlight w:val="none"/>
        </w:rPr>
        <w:t>执</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spacing w:val="1"/>
          <w:kern w:val="0"/>
          <w:highlight w:val="none"/>
        </w:rPr>
        <w:t>份。有上级部门的，合同双方当事人应各送</w:t>
      </w:r>
      <w:r>
        <w:rPr>
          <w:rFonts w:hint="eastAsia" w:asciiTheme="minorEastAsia" w:hAnsiTheme="minorEastAsia" w:eastAsiaTheme="minorEastAsia" w:cstheme="minorEastAsia"/>
          <w:color w:val="auto"/>
          <w:kern w:val="0"/>
          <w:highlight w:val="none"/>
        </w:rPr>
        <w:t>交其上级部门一份。</w:t>
      </w:r>
    </w:p>
    <w:p w14:paraId="0C0C2F81">
      <w:pPr>
        <w:autoSpaceDE w:val="0"/>
        <w:autoSpaceDN w:val="0"/>
        <w:adjustRightInd w:val="0"/>
        <w:spacing w:before="3" w:line="130" w:lineRule="exact"/>
        <w:jc w:val="left"/>
        <w:rPr>
          <w:rFonts w:hint="eastAsia" w:asciiTheme="minorEastAsia" w:hAnsiTheme="minorEastAsia" w:eastAsiaTheme="minorEastAsia" w:cstheme="minorEastAsia"/>
          <w:color w:val="auto"/>
          <w:kern w:val="0"/>
          <w:szCs w:val="13"/>
          <w:highlight w:val="none"/>
        </w:rPr>
      </w:pPr>
    </w:p>
    <w:p w14:paraId="5C8AC97B">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322891EE">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2BCE59F3">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062C1492">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6303B017">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04BE5EA4">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2B51DA5E">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0A1B5A90">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0DFF45E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发 包 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（公章）</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 xml:space="preserve">                    承 包 人 </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 xml:space="preserve">（公章） </w:t>
      </w:r>
    </w:p>
    <w:p w14:paraId="019529E9">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法定代表人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（签字）</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 xml:space="preserve">                 法定代表人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 xml:space="preserve">（签字） </w:t>
      </w:r>
    </w:p>
    <w:p w14:paraId="0BA17DB5">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kern w:val="0"/>
          <w:highlight w:val="none"/>
        </w:rPr>
        <w:t xml:space="preserve">     联系电话：</w:t>
      </w:r>
      <w:r>
        <w:rPr>
          <w:rFonts w:hint="eastAsia" w:asciiTheme="minorEastAsia" w:hAnsiTheme="minorEastAsia" w:eastAsiaTheme="minorEastAsia" w:cstheme="minorEastAsia"/>
          <w:color w:val="auto"/>
          <w:kern w:val="0"/>
          <w:highlight w:val="none"/>
          <w:u w:val="single"/>
        </w:rPr>
        <w:tab/>
      </w:r>
      <w:r>
        <w:rPr>
          <w:rFonts w:hint="eastAsia" w:asciiTheme="minorEastAsia" w:hAnsiTheme="minorEastAsia" w:eastAsiaTheme="minorEastAsia" w:cstheme="minorEastAsia"/>
          <w:color w:val="auto"/>
          <w:kern w:val="0"/>
          <w:highlight w:val="none"/>
          <w:u w:val="single"/>
        </w:rPr>
        <w:tab/>
      </w:r>
      <w:r>
        <w:rPr>
          <w:rFonts w:hint="eastAsia" w:asciiTheme="minorEastAsia" w:hAnsiTheme="minorEastAsia" w:eastAsiaTheme="minorEastAsia" w:cstheme="minorEastAsia"/>
          <w:color w:val="auto"/>
          <w:kern w:val="0"/>
          <w:highlight w:val="none"/>
        </w:rPr>
        <w:t xml:space="preserve">                     联系电话：</w:t>
      </w:r>
    </w:p>
    <w:p w14:paraId="15F9B04F">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上级部门：（公章）                     上级部门：（公章）</w:t>
      </w:r>
    </w:p>
    <w:p w14:paraId="044AF42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p>
    <w:p w14:paraId="7A1987DD">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p>
    <w:p w14:paraId="19C15AC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年   月    日                                年   月   日</w:t>
      </w:r>
    </w:p>
    <w:p w14:paraId="461225E5">
      <w:pPr>
        <w:spacing w:line="360" w:lineRule="auto"/>
        <w:rPr>
          <w:rFonts w:hint="eastAsia" w:asciiTheme="minorEastAsia" w:hAnsiTheme="minorEastAsia" w:eastAsiaTheme="minorEastAsia" w:cstheme="minorEastAsia"/>
          <w:b/>
          <w:bCs/>
          <w:color w:val="auto"/>
          <w:sz w:val="32"/>
          <w:szCs w:val="32"/>
          <w:highlight w:val="none"/>
        </w:rPr>
      </w:pPr>
    </w:p>
    <w:p w14:paraId="4480BB62">
      <w:pPr>
        <w:pStyle w:val="5"/>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584" w:name="_Toc29017"/>
      <w:bookmarkStart w:id="585" w:name="_Toc20715"/>
      <w:bookmarkStart w:id="586" w:name="_Toc6897"/>
      <w:bookmarkStart w:id="587" w:name="_Toc18530"/>
      <w:bookmarkStart w:id="588" w:name="_Toc126"/>
      <w:bookmarkStart w:id="589" w:name="_Toc11559"/>
      <w:bookmarkStart w:id="590" w:name="_Toc28513"/>
      <w:bookmarkStart w:id="591" w:name="_Toc24859"/>
      <w:r>
        <w:rPr>
          <w:rFonts w:hint="eastAsia" w:asciiTheme="minorEastAsia" w:hAnsiTheme="minorEastAsia" w:eastAsiaTheme="minorEastAsia" w:cstheme="minorEastAsia"/>
          <w:bCs/>
          <w:color w:val="auto"/>
          <w:sz w:val="32"/>
          <w:szCs w:val="32"/>
          <w:highlight w:val="none"/>
        </w:rPr>
        <w:br w:type="page"/>
      </w:r>
      <w:bookmarkStart w:id="592" w:name="_Toc30796"/>
      <w:bookmarkStart w:id="593" w:name="_Toc10245"/>
      <w:bookmarkStart w:id="594" w:name="_Toc27113"/>
      <w:r>
        <w:rPr>
          <w:rFonts w:hint="eastAsia" w:asciiTheme="minorEastAsia" w:hAnsiTheme="minorEastAsia" w:eastAsiaTheme="minorEastAsia" w:cstheme="minorEastAsia"/>
          <w:bCs/>
          <w:color w:val="auto"/>
          <w:sz w:val="32"/>
          <w:szCs w:val="32"/>
          <w:highlight w:val="none"/>
        </w:rPr>
        <w:t>履约保函</w:t>
      </w:r>
      <w:bookmarkEnd w:id="584"/>
      <w:bookmarkEnd w:id="585"/>
      <w:bookmarkEnd w:id="586"/>
      <w:bookmarkEnd w:id="587"/>
      <w:bookmarkEnd w:id="588"/>
      <w:bookmarkEnd w:id="589"/>
      <w:bookmarkEnd w:id="590"/>
      <w:bookmarkEnd w:id="591"/>
      <w:bookmarkEnd w:id="592"/>
      <w:bookmarkEnd w:id="593"/>
      <w:bookmarkEnd w:id="594"/>
    </w:p>
    <w:p w14:paraId="3B9F6898">
      <w:pPr>
        <w:spacing w:line="360" w:lineRule="auto"/>
        <w:jc w:val="center"/>
        <w:rPr>
          <w:rFonts w:hint="eastAsia" w:asciiTheme="minorEastAsia" w:hAnsiTheme="minorEastAsia" w:eastAsiaTheme="minorEastAsia" w:cstheme="minorEastAsia"/>
          <w:b/>
          <w:bCs/>
          <w:color w:val="auto"/>
          <w:sz w:val="32"/>
          <w:szCs w:val="32"/>
          <w:highlight w:val="none"/>
        </w:rPr>
      </w:pPr>
    </w:p>
    <w:p w14:paraId="221D34C8">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1DEC7C4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6D23A14C">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739ED372">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1240D116">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2374388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4329233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78C9AAC9">
      <w:pPr>
        <w:spacing w:line="360" w:lineRule="auto"/>
        <w:rPr>
          <w:rFonts w:hint="eastAsia" w:asciiTheme="minorEastAsia" w:hAnsiTheme="minorEastAsia" w:eastAsiaTheme="minorEastAsia" w:cstheme="minorEastAsia"/>
          <w:color w:val="auto"/>
          <w:szCs w:val="24"/>
          <w:highlight w:val="none"/>
        </w:rPr>
      </w:pPr>
    </w:p>
    <w:p w14:paraId="1900612E">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p w14:paraId="7A1B804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基础合同了解到申请人为基础合同项下之中标人，受益人为基础合同项下之招标人，基于申请人的请求，我方同意就申请人履行与贵方签订的基础合同项下的义务，向贵方提供不可撤销、不可转让的见索即付独立保函（以下简称“本保函”）。 </w:t>
      </w:r>
    </w:p>
    <w:p w14:paraId="0539FD0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一、本保函担保范围：中标人未按照基础合同的约定履行义务，应当向贵方承担的违约责任和赔偿因此造成的损失、利息、律师费、诉讼费用等实现债权的费用。</w:t>
      </w:r>
    </w:p>
    <w:p w14:paraId="59B1FBF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670D9D6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三、本保函有效期自开立之日起至基础合同约定的缺陷责任期后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日。 </w:t>
      </w:r>
    </w:p>
    <w:p w14:paraId="5CD8E593">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3068B7B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123CE61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1430F2D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28A18F3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7909BCE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4A12453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27CF41E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0732B51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071B8B5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29A0E54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481E583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九、本保函自我方法定代表人或授权代表签字并加盖公章之日起生效。 </w:t>
      </w:r>
    </w:p>
    <w:p w14:paraId="4A73354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045BD6A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29DFEFD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21D4725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6A252FB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4C1423B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58AA204F">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 xml:space="preserve">开立时间：      年      月    </w:t>
      </w:r>
    </w:p>
    <w:p w14:paraId="5B7FBBB5">
      <w:pPr>
        <w:spacing w:line="374" w:lineRule="auto"/>
        <w:ind w:left="698" w:right="524"/>
        <w:jc w:val="left"/>
        <w:rPr>
          <w:rFonts w:hint="eastAsia" w:asciiTheme="minorEastAsia" w:hAnsiTheme="minorEastAsia" w:eastAsiaTheme="minorEastAsia" w:cstheme="minorEastAsia"/>
          <w:strike/>
          <w:color w:val="auto"/>
          <w:szCs w:val="24"/>
          <w:highlight w:val="none"/>
        </w:rPr>
        <w:sectPr>
          <w:headerReference r:id="rId8" w:type="default"/>
          <w:footerReference r:id="rId9" w:type="default"/>
          <w:pgSz w:w="11907" w:h="16840"/>
          <w:pgMar w:top="1247" w:right="1474" w:bottom="1247" w:left="1361" w:header="680" w:footer="680" w:gutter="0"/>
          <w:pgNumType w:fmt="decimal"/>
          <w:cols w:space="720" w:num="1"/>
        </w:sectPr>
      </w:pPr>
    </w:p>
    <w:p w14:paraId="56D93505">
      <w:pPr>
        <w:pStyle w:val="60"/>
        <w:spacing w:line="440" w:lineRule="exact"/>
        <w:ind w:firstLine="0" w:firstLineChars="0"/>
        <w:rPr>
          <w:rFonts w:hint="eastAsia" w:asciiTheme="minorEastAsia" w:hAnsiTheme="minorEastAsia" w:eastAsiaTheme="minorEastAsia" w:cstheme="minorEastAsia"/>
          <w:dstrike/>
          <w:color w:val="auto"/>
          <w:kern w:val="0"/>
          <w:highlight w:val="none"/>
        </w:rPr>
      </w:pPr>
    </w:p>
    <w:p w14:paraId="598954D0">
      <w:pPr>
        <w:pStyle w:val="5"/>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595" w:name="_Toc2375"/>
      <w:bookmarkStart w:id="596" w:name="_Toc24975"/>
      <w:bookmarkStart w:id="597" w:name="_Toc26369"/>
      <w:bookmarkStart w:id="598" w:name="_Toc4768"/>
      <w:bookmarkStart w:id="599" w:name="_Toc20309"/>
      <w:bookmarkStart w:id="600" w:name="_Toc18730"/>
      <w:bookmarkStart w:id="601" w:name="_Toc3712"/>
      <w:bookmarkStart w:id="602" w:name="_Toc31569"/>
      <w:bookmarkStart w:id="603" w:name="_Toc3541"/>
      <w:bookmarkStart w:id="604" w:name="_Toc15298"/>
      <w:bookmarkStart w:id="605" w:name="_Toc19146"/>
      <w:r>
        <w:rPr>
          <w:rFonts w:hint="eastAsia" w:asciiTheme="minorEastAsia" w:hAnsiTheme="minorEastAsia" w:eastAsiaTheme="minorEastAsia" w:cstheme="minorEastAsia"/>
          <w:bCs/>
          <w:color w:val="auto"/>
          <w:sz w:val="32"/>
          <w:szCs w:val="32"/>
          <w:highlight w:val="none"/>
        </w:rPr>
        <w:t>预付款保函</w:t>
      </w:r>
      <w:bookmarkEnd w:id="595"/>
      <w:bookmarkEnd w:id="596"/>
      <w:bookmarkEnd w:id="597"/>
      <w:bookmarkEnd w:id="598"/>
      <w:bookmarkEnd w:id="599"/>
      <w:bookmarkEnd w:id="600"/>
      <w:bookmarkEnd w:id="601"/>
      <w:bookmarkEnd w:id="602"/>
      <w:bookmarkEnd w:id="603"/>
      <w:bookmarkEnd w:id="604"/>
      <w:bookmarkEnd w:id="605"/>
    </w:p>
    <w:p w14:paraId="1C67E614">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181634F3">
      <w:pPr>
        <w:spacing w:line="360" w:lineRule="auto"/>
        <w:rPr>
          <w:rFonts w:hint="eastAsia" w:asciiTheme="minorEastAsia" w:hAnsiTheme="minorEastAsia" w:eastAsiaTheme="minorEastAsia" w:cstheme="minorEastAsia"/>
          <w:color w:val="auto"/>
          <w:szCs w:val="24"/>
          <w:highlight w:val="none"/>
        </w:rPr>
      </w:pPr>
    </w:p>
    <w:p w14:paraId="49B56C3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6F85FA7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561D870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1AFCAA2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0AC8256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3C2D6EC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508EFD47">
      <w:pPr>
        <w:spacing w:line="360" w:lineRule="auto"/>
        <w:rPr>
          <w:rFonts w:hint="eastAsia" w:asciiTheme="minorEastAsia" w:hAnsiTheme="minorEastAsia" w:eastAsiaTheme="minorEastAsia" w:cstheme="minorEastAsia"/>
          <w:color w:val="auto"/>
          <w:szCs w:val="24"/>
          <w:highlight w:val="none"/>
        </w:rPr>
      </w:pPr>
    </w:p>
    <w:p w14:paraId="6396C4E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p w14:paraId="551E53E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主合同了解到申请人为主合同项下之中标人，受益人为主合同项下之招标人，基于申请人的请求，我方同意就申请人按照合同约定正确和合理地为合同目的使用预付款，向贵方提供不可撤销、不可转让的见索即付独立保函（以下简称“本保函”）。 </w:t>
      </w:r>
    </w:p>
    <w:p w14:paraId="22B4A50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一、本保函担保范围：申请人未按照合同约定正确和合理地为合同目的使用预付款，应当向贵方承担的违约责任和赔偿因此造成的损失、利息、律师费、诉讼费用等实现债权的费用。</w:t>
      </w:r>
    </w:p>
    <w:p w14:paraId="2A69F37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3A329F1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三、本保函有效期自开立之日起至招标人全额扣回预付款后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w:t>
      </w:r>
    </w:p>
    <w:p w14:paraId="4793DA5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164254A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0F9939A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5217755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6E2F569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5683766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091CD43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24AFE5C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6319DED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2AF21A0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236310A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4513A14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九、本保函自我方法定代表人或授权代表签字并加盖公章之日起生效。 </w:t>
      </w:r>
    </w:p>
    <w:p w14:paraId="28DEE951">
      <w:pPr>
        <w:spacing w:line="360" w:lineRule="auto"/>
        <w:ind w:firstLine="480" w:firstLineChars="200"/>
        <w:rPr>
          <w:rFonts w:hint="eastAsia" w:asciiTheme="minorEastAsia" w:hAnsiTheme="minorEastAsia" w:eastAsiaTheme="minorEastAsia" w:cstheme="minorEastAsia"/>
          <w:color w:val="auto"/>
          <w:szCs w:val="24"/>
          <w:highlight w:val="none"/>
        </w:rPr>
      </w:pPr>
    </w:p>
    <w:p w14:paraId="37C060BF">
      <w:pPr>
        <w:spacing w:line="360" w:lineRule="auto"/>
        <w:ind w:firstLine="480" w:firstLineChars="200"/>
        <w:rPr>
          <w:rFonts w:hint="eastAsia" w:asciiTheme="minorEastAsia" w:hAnsiTheme="minorEastAsia" w:eastAsiaTheme="minorEastAsia" w:cstheme="minorEastAsia"/>
          <w:color w:val="auto"/>
          <w:szCs w:val="24"/>
          <w:highlight w:val="none"/>
        </w:rPr>
      </w:pPr>
    </w:p>
    <w:p w14:paraId="57122C8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29B6781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7C2D208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67E18D1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260AD82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05B2D61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5B834146">
      <w:pPr>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开立时间：      年      月        日</w:t>
      </w:r>
    </w:p>
    <w:p w14:paraId="5D072775">
      <w:pPr>
        <w:ind w:firstLine="480" w:firstLineChars="200"/>
        <w:rPr>
          <w:rFonts w:hint="eastAsia" w:asciiTheme="minorEastAsia" w:hAnsiTheme="minorEastAsia" w:eastAsiaTheme="minorEastAsia" w:cstheme="minorEastAsia"/>
          <w:color w:val="auto"/>
          <w:szCs w:val="24"/>
          <w:highlight w:val="none"/>
        </w:rPr>
      </w:pPr>
    </w:p>
    <w:p w14:paraId="643B20B7">
      <w:pPr>
        <w:rPr>
          <w:rFonts w:hint="eastAsia" w:asciiTheme="minorEastAsia" w:hAnsiTheme="minorEastAsia" w:eastAsiaTheme="minorEastAsia" w:cstheme="minorEastAsia"/>
          <w:color w:val="auto"/>
          <w:highlight w:val="none"/>
        </w:rPr>
      </w:pPr>
    </w:p>
    <w:p w14:paraId="371FFDF7">
      <w:pPr>
        <w:rPr>
          <w:rFonts w:hint="eastAsia" w:asciiTheme="minorEastAsia" w:hAnsiTheme="minorEastAsia" w:eastAsiaTheme="minorEastAsia" w:cstheme="minorEastAsia"/>
          <w:color w:val="auto"/>
          <w:highlight w:val="none"/>
        </w:rPr>
      </w:pPr>
    </w:p>
    <w:p w14:paraId="73554A24">
      <w:pPr>
        <w:rPr>
          <w:rFonts w:hint="eastAsia" w:asciiTheme="minorEastAsia" w:hAnsiTheme="minorEastAsia" w:eastAsiaTheme="minorEastAsia" w:cstheme="minorEastAsia"/>
          <w:color w:val="auto"/>
          <w:highlight w:val="none"/>
        </w:rPr>
      </w:pPr>
      <w:bookmarkStart w:id="606" w:name="_Toc6524"/>
    </w:p>
    <w:p w14:paraId="0388EE1B">
      <w:pPr>
        <w:rPr>
          <w:rFonts w:hint="eastAsia" w:asciiTheme="minorEastAsia" w:hAnsiTheme="minorEastAsia" w:eastAsiaTheme="minorEastAsia" w:cstheme="minorEastAsia"/>
          <w:color w:val="auto"/>
          <w:highlight w:val="none"/>
        </w:rPr>
      </w:pPr>
    </w:p>
    <w:p w14:paraId="1A83B68F">
      <w:pPr>
        <w:pStyle w:val="5"/>
        <w:ind w:left="3488" w:leftChars="174" w:hanging="3070" w:hangingChars="1274"/>
        <w:jc w:val="center"/>
        <w:rPr>
          <w:rFonts w:hint="eastAsia" w:asciiTheme="minorEastAsia" w:hAnsiTheme="minorEastAsia" w:eastAsiaTheme="minorEastAsia" w:cstheme="minorEastAsia"/>
          <w:bCs/>
          <w:color w:val="auto"/>
          <w:szCs w:val="32"/>
          <w:highlight w:val="none"/>
        </w:rPr>
      </w:pPr>
      <w:bookmarkStart w:id="607" w:name="_Toc27131"/>
      <w:bookmarkStart w:id="608" w:name="_Toc18000"/>
      <w:bookmarkStart w:id="609" w:name="_Toc12376"/>
      <w:bookmarkStart w:id="610" w:name="_Toc1401"/>
      <w:bookmarkStart w:id="611" w:name="_Toc25691"/>
      <w:bookmarkStart w:id="612" w:name="_Toc1606"/>
      <w:bookmarkStart w:id="613" w:name="_Toc3493"/>
      <w:bookmarkStart w:id="614" w:name="_Toc7920"/>
      <w:r>
        <w:rPr>
          <w:rFonts w:hint="eastAsia" w:asciiTheme="minorEastAsia" w:hAnsiTheme="minorEastAsia" w:eastAsiaTheme="minorEastAsia" w:cstheme="minorEastAsia"/>
          <w:color w:val="auto"/>
          <w:highlight w:val="none"/>
        </w:rPr>
        <w:br w:type="page"/>
      </w:r>
      <w:bookmarkStart w:id="615" w:name="_Toc24713"/>
      <w:bookmarkStart w:id="616" w:name="_Toc9772"/>
      <w:bookmarkStart w:id="617" w:name="_Toc14563"/>
      <w:r>
        <w:rPr>
          <w:rFonts w:hint="eastAsia" w:asciiTheme="minorEastAsia" w:hAnsiTheme="minorEastAsia" w:eastAsiaTheme="minorEastAsia" w:cstheme="minorEastAsia"/>
          <w:bCs/>
          <w:color w:val="auto"/>
          <w:sz w:val="32"/>
          <w:szCs w:val="32"/>
          <w:highlight w:val="none"/>
        </w:rPr>
        <w:t>支付保函</w:t>
      </w:r>
      <w:bookmarkEnd w:id="606"/>
      <w:bookmarkEnd w:id="607"/>
      <w:bookmarkEnd w:id="608"/>
      <w:bookmarkEnd w:id="609"/>
      <w:bookmarkEnd w:id="610"/>
      <w:bookmarkEnd w:id="611"/>
      <w:bookmarkEnd w:id="612"/>
      <w:bookmarkEnd w:id="613"/>
      <w:bookmarkEnd w:id="614"/>
      <w:bookmarkEnd w:id="615"/>
      <w:bookmarkEnd w:id="616"/>
      <w:bookmarkEnd w:id="617"/>
    </w:p>
    <w:p w14:paraId="607F1C3F">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1D883AF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3571A6A2">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09A1257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32252B3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0E36229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1DE9EC3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395CEEE5">
      <w:pPr>
        <w:spacing w:line="360" w:lineRule="auto"/>
        <w:rPr>
          <w:rFonts w:hint="eastAsia" w:asciiTheme="minorEastAsia" w:hAnsiTheme="minorEastAsia" w:eastAsiaTheme="minorEastAsia" w:cstheme="minorEastAsia"/>
          <w:color w:val="auto"/>
          <w:szCs w:val="24"/>
          <w:highlight w:val="none"/>
        </w:rPr>
      </w:pPr>
    </w:p>
    <w:p w14:paraId="1530C631">
      <w:pPr>
        <w:spacing w:line="360" w:lineRule="auto"/>
        <w:rPr>
          <w:rFonts w:hint="eastAsia" w:asciiTheme="minorEastAsia" w:hAnsiTheme="minorEastAsia" w:eastAsiaTheme="minorEastAsia" w:cstheme="minorEastAsia"/>
          <w:color w:val="auto"/>
          <w:szCs w:val="24"/>
          <w:highlight w:val="none"/>
        </w:rPr>
      </w:pPr>
      <w:bookmarkStart w:id="618" w:name="_Hlk40355074"/>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bookmarkEnd w:id="618"/>
    <w:p w14:paraId="605C041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基础合同了解到申请人为基础合同项下之招标人，受益人为基础合同项下之中标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5074AB7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一、本保函担保范围：申请人未履行基础合同约定的工程款支付义务，应当向贵方承担的违约责任和赔偿因此造成的损失、利息、律师费、诉讼费用等实现债权的费用。</w:t>
      </w:r>
    </w:p>
    <w:p w14:paraId="267D714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66B3D93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三、本保函有效期自开立之日起至基础合同约定的除工程质量保修金以外的全部工程结算款项支付之日后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日。 </w:t>
      </w:r>
    </w:p>
    <w:p w14:paraId="68ACDA2C">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36E9387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16604FC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185C230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6E90FF6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0B42AB5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1D58AEF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2B69039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03F6F6B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708B291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1BB365E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342C2E4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九、本保函自我方法定代表人</w:t>
      </w:r>
      <w:bookmarkStart w:id="619" w:name="_Hlk58487855"/>
      <w:r>
        <w:rPr>
          <w:rFonts w:hint="eastAsia" w:asciiTheme="minorEastAsia" w:hAnsiTheme="minorEastAsia" w:eastAsiaTheme="minorEastAsia" w:cstheme="minorEastAsia"/>
          <w:color w:val="auto"/>
          <w:szCs w:val="24"/>
          <w:highlight w:val="none"/>
        </w:rPr>
        <w:t>或授权代表</w:t>
      </w:r>
      <w:bookmarkEnd w:id="619"/>
      <w:r>
        <w:rPr>
          <w:rFonts w:hint="eastAsia" w:asciiTheme="minorEastAsia" w:hAnsiTheme="minorEastAsia" w:eastAsiaTheme="minorEastAsia" w:cstheme="minorEastAsia"/>
          <w:color w:val="auto"/>
          <w:szCs w:val="24"/>
          <w:highlight w:val="none"/>
        </w:rPr>
        <w:t xml:space="preserve">签字并加盖公章之日起生效。 </w:t>
      </w:r>
    </w:p>
    <w:p w14:paraId="669B9000">
      <w:pPr>
        <w:spacing w:line="360" w:lineRule="auto"/>
        <w:ind w:firstLine="480" w:firstLineChars="200"/>
        <w:rPr>
          <w:rFonts w:hint="eastAsia" w:asciiTheme="minorEastAsia" w:hAnsiTheme="minorEastAsia" w:eastAsiaTheme="minorEastAsia" w:cstheme="minorEastAsia"/>
          <w:color w:val="auto"/>
          <w:szCs w:val="24"/>
          <w:highlight w:val="none"/>
        </w:rPr>
      </w:pPr>
    </w:p>
    <w:p w14:paraId="6FCFA165">
      <w:pPr>
        <w:spacing w:line="360" w:lineRule="auto"/>
        <w:ind w:firstLine="480" w:firstLineChars="200"/>
        <w:rPr>
          <w:rFonts w:hint="eastAsia" w:asciiTheme="minorEastAsia" w:hAnsiTheme="minorEastAsia" w:eastAsiaTheme="minorEastAsia" w:cstheme="minorEastAsia"/>
          <w:color w:val="auto"/>
          <w:szCs w:val="24"/>
          <w:highlight w:val="none"/>
        </w:rPr>
      </w:pPr>
    </w:p>
    <w:p w14:paraId="3DDD303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3E91148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708DD72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0308D6B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59CD7EE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73F9AA0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4C1BA48D">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开立时间：      年      月        日</w:t>
      </w:r>
    </w:p>
    <w:p w14:paraId="2A47D1DD">
      <w:pPr>
        <w:spacing w:line="374" w:lineRule="auto"/>
        <w:ind w:left="698" w:right="524"/>
        <w:jc w:val="left"/>
        <w:rPr>
          <w:rFonts w:hint="eastAsia" w:asciiTheme="minorEastAsia" w:hAnsiTheme="minorEastAsia" w:eastAsiaTheme="minorEastAsia" w:cstheme="minorEastAsia"/>
          <w:color w:val="auto"/>
          <w:szCs w:val="24"/>
          <w:highlight w:val="none"/>
        </w:rPr>
      </w:pPr>
    </w:p>
    <w:p w14:paraId="15FBFA56">
      <w:pPr>
        <w:pStyle w:val="30"/>
        <w:rPr>
          <w:rFonts w:hint="eastAsia" w:asciiTheme="minorEastAsia" w:hAnsiTheme="minorEastAsia" w:eastAsiaTheme="minorEastAsia" w:cstheme="minorEastAsia"/>
          <w:color w:val="auto"/>
          <w:sz w:val="24"/>
          <w:highlight w:val="none"/>
        </w:rPr>
      </w:pPr>
    </w:p>
    <w:p w14:paraId="7C8AF6FC">
      <w:pPr>
        <w:rPr>
          <w:rFonts w:hint="eastAsia" w:asciiTheme="minorEastAsia" w:hAnsiTheme="minorEastAsia" w:eastAsiaTheme="minorEastAsia" w:cstheme="minorEastAsia"/>
          <w:color w:val="auto"/>
          <w:highlight w:val="none"/>
        </w:rPr>
      </w:pPr>
    </w:p>
    <w:p w14:paraId="5F5A5F2E">
      <w:pPr>
        <w:pStyle w:val="30"/>
        <w:rPr>
          <w:rFonts w:hint="eastAsia" w:asciiTheme="minorEastAsia" w:hAnsiTheme="minorEastAsia" w:eastAsiaTheme="minorEastAsia" w:cstheme="minorEastAsia"/>
          <w:color w:val="auto"/>
          <w:sz w:val="24"/>
          <w:highlight w:val="none"/>
        </w:rPr>
      </w:pPr>
    </w:p>
    <w:p w14:paraId="54C9F0E0">
      <w:pPr>
        <w:spacing w:line="374" w:lineRule="auto"/>
        <w:ind w:left="698" w:right="524"/>
        <w:jc w:val="left"/>
        <w:rPr>
          <w:rFonts w:hint="eastAsia" w:asciiTheme="minorEastAsia" w:hAnsiTheme="minorEastAsia" w:eastAsiaTheme="minorEastAsia" w:cstheme="minorEastAsia"/>
          <w:strike/>
          <w:color w:val="auto"/>
          <w:szCs w:val="24"/>
          <w:highlight w:val="none"/>
        </w:rPr>
      </w:pPr>
    </w:p>
    <w:p w14:paraId="251FA75B">
      <w:pPr>
        <w:rPr>
          <w:rFonts w:hint="eastAsia" w:asciiTheme="minorEastAsia" w:hAnsiTheme="minorEastAsia" w:eastAsiaTheme="minorEastAsia" w:cstheme="minorEastAsia"/>
          <w:color w:val="auto"/>
          <w:highlight w:val="none"/>
        </w:rPr>
        <w:sectPr>
          <w:pgSz w:w="11907" w:h="16840"/>
          <w:pgMar w:top="1247" w:right="1474" w:bottom="1247" w:left="1361" w:header="680" w:footer="680" w:gutter="0"/>
          <w:pgNumType w:fmt="decimal"/>
          <w:cols w:space="720" w:num="1"/>
        </w:sectPr>
      </w:pPr>
    </w:p>
    <w:p w14:paraId="30942E89">
      <w:pPr>
        <w:pStyle w:val="60"/>
        <w:spacing w:line="440" w:lineRule="exact"/>
        <w:ind w:firstLine="0" w:firstLineChars="0"/>
        <w:rPr>
          <w:rFonts w:hint="eastAsia" w:asciiTheme="minorEastAsia" w:hAnsiTheme="minorEastAsia" w:eastAsiaTheme="minorEastAsia" w:cstheme="minorEastAsia"/>
          <w:color w:val="auto"/>
          <w:szCs w:val="32"/>
          <w:highlight w:val="none"/>
        </w:rPr>
      </w:pPr>
    </w:p>
    <w:p w14:paraId="7205DE45">
      <w:pPr>
        <w:pStyle w:val="3"/>
        <w:jc w:val="center"/>
        <w:rPr>
          <w:rFonts w:hint="eastAsia" w:asciiTheme="minorEastAsia" w:hAnsiTheme="minorEastAsia" w:eastAsiaTheme="minorEastAsia" w:cstheme="minorEastAsia"/>
          <w:b/>
          <w:color w:val="auto"/>
          <w:kern w:val="44"/>
          <w:sz w:val="36"/>
          <w:szCs w:val="36"/>
          <w:highlight w:val="none"/>
        </w:rPr>
      </w:pPr>
      <w:bookmarkStart w:id="620" w:name="_Toc466640622"/>
      <w:bookmarkStart w:id="621" w:name="_Toc9802"/>
      <w:bookmarkStart w:id="622" w:name="_Toc19434"/>
      <w:bookmarkStart w:id="623" w:name="_Toc26594"/>
      <w:bookmarkStart w:id="624" w:name="_Toc24183"/>
      <w:bookmarkStart w:id="625" w:name="_Toc3894"/>
      <w:bookmarkStart w:id="626" w:name="_Toc1879"/>
      <w:bookmarkStart w:id="627" w:name="_Toc13641"/>
      <w:bookmarkStart w:id="628" w:name="_Toc420"/>
      <w:bookmarkStart w:id="629" w:name="_Toc3242"/>
      <w:r>
        <w:rPr>
          <w:rFonts w:hint="eastAsia" w:asciiTheme="minorEastAsia" w:hAnsiTheme="minorEastAsia" w:eastAsiaTheme="minorEastAsia" w:cstheme="minorEastAsia"/>
          <w:b/>
          <w:color w:val="auto"/>
          <w:kern w:val="44"/>
          <w:sz w:val="36"/>
          <w:szCs w:val="36"/>
          <w:highlight w:val="none"/>
        </w:rPr>
        <w:t>第</w:t>
      </w:r>
      <w:r>
        <w:rPr>
          <w:rFonts w:hint="eastAsia" w:asciiTheme="minorEastAsia" w:hAnsiTheme="minorEastAsia" w:eastAsiaTheme="minorEastAsia" w:cstheme="minorEastAsia"/>
          <w:b/>
          <w:color w:val="auto"/>
          <w:kern w:val="44"/>
          <w:sz w:val="36"/>
          <w:szCs w:val="36"/>
          <w:highlight w:val="none"/>
          <w:lang w:val="en-US" w:eastAsia="zh-CN"/>
        </w:rPr>
        <w:t>八</w:t>
      </w:r>
      <w:r>
        <w:rPr>
          <w:rFonts w:hint="eastAsia" w:asciiTheme="minorEastAsia" w:hAnsiTheme="minorEastAsia" w:eastAsiaTheme="minorEastAsia" w:cstheme="minorEastAsia"/>
          <w:b/>
          <w:color w:val="auto"/>
          <w:kern w:val="44"/>
          <w:sz w:val="36"/>
          <w:szCs w:val="36"/>
          <w:highlight w:val="none"/>
        </w:rPr>
        <w:t xml:space="preserve">章  </w:t>
      </w:r>
      <w:bookmarkEnd w:id="471"/>
      <w:bookmarkEnd w:id="472"/>
      <w:bookmarkEnd w:id="473"/>
      <w:bookmarkEnd w:id="474"/>
      <w:bookmarkEnd w:id="620"/>
      <w:r>
        <w:rPr>
          <w:rFonts w:hint="eastAsia" w:asciiTheme="minorEastAsia" w:hAnsiTheme="minorEastAsia" w:eastAsiaTheme="minorEastAsia" w:cstheme="minorEastAsia"/>
          <w:b/>
          <w:color w:val="auto"/>
          <w:kern w:val="44"/>
          <w:sz w:val="36"/>
          <w:szCs w:val="36"/>
          <w:highlight w:val="none"/>
        </w:rPr>
        <w:t>建设工程合同</w:t>
      </w:r>
      <w:bookmarkEnd w:id="621"/>
      <w:bookmarkEnd w:id="622"/>
      <w:bookmarkEnd w:id="623"/>
      <w:bookmarkEnd w:id="624"/>
      <w:bookmarkEnd w:id="625"/>
      <w:bookmarkEnd w:id="626"/>
      <w:bookmarkEnd w:id="627"/>
      <w:bookmarkEnd w:id="628"/>
      <w:bookmarkEnd w:id="629"/>
    </w:p>
    <w:p w14:paraId="2B1FD30E">
      <w:pPr>
        <w:rPr>
          <w:rFonts w:hint="eastAsia" w:asciiTheme="minorEastAsia" w:hAnsiTheme="minorEastAsia" w:eastAsiaTheme="minorEastAsia" w:cstheme="minorEastAsia"/>
          <w:color w:val="auto"/>
          <w:highlight w:val="none"/>
        </w:rPr>
      </w:pPr>
    </w:p>
    <w:bookmarkEnd w:id="475"/>
    <w:bookmarkEnd w:id="476"/>
    <w:p w14:paraId="429AE63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略。总承包合同参照住房城乡建设部、国家工商行政管理总局制定的《建设项目工程总承包合同（示范文本）》GF-2020-0216。</w:t>
      </w:r>
    </w:p>
    <w:p w14:paraId="33E0752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施工合同按广东省建设厅《广东省建设工程标准施工合同》范本（2009）执行。</w:t>
      </w:r>
    </w:p>
    <w:p w14:paraId="36D352A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设计合同按住房城乡建设部、国家工商行政管理总局制定《建设工程设计合同示范文本（市政公用工程）》（GF-2015-0209）、《建设工程设计合同示范文本（专业建设工程）》（GF-2015-0210）执行。 </w:t>
      </w:r>
    </w:p>
    <w:p w14:paraId="388C85E6">
      <w:pPr>
        <w:spacing w:line="420" w:lineRule="atLeast"/>
        <w:ind w:firstLine="480" w:firstLineChars="200"/>
        <w:rPr>
          <w:rFonts w:hint="eastAsia" w:asciiTheme="minorEastAsia" w:hAnsiTheme="minorEastAsia" w:eastAsiaTheme="minorEastAsia" w:cstheme="minorEastAsia"/>
          <w:color w:val="auto"/>
          <w:highlight w:val="none"/>
        </w:rPr>
      </w:pPr>
    </w:p>
    <w:p w14:paraId="6D486A02">
      <w:pPr>
        <w:spacing w:line="420" w:lineRule="atLeast"/>
        <w:ind w:firstLine="480" w:firstLineChars="200"/>
        <w:rPr>
          <w:rFonts w:hint="eastAsia" w:asciiTheme="minorEastAsia" w:hAnsiTheme="minorEastAsia" w:eastAsiaTheme="minorEastAsia" w:cstheme="minorEastAsia"/>
          <w:color w:val="auto"/>
          <w:highlight w:val="none"/>
        </w:rPr>
      </w:pPr>
    </w:p>
    <w:p w14:paraId="3084AB20">
      <w:pPr>
        <w:rPr>
          <w:rFonts w:hint="eastAsia" w:asciiTheme="minorEastAsia" w:hAnsiTheme="minorEastAsia" w:eastAsiaTheme="minorEastAsia" w:cstheme="minorEastAsia"/>
          <w:color w:val="auto"/>
          <w:highlight w:val="none"/>
        </w:rPr>
      </w:pPr>
    </w:p>
    <w:sectPr>
      <w:endnotePr>
        <w:numFmt w:val="decimal"/>
      </w:endnotePr>
      <w:pgSz w:w="11907" w:h="16840"/>
      <w:pgMar w:top="1134" w:right="1134" w:bottom="1021" w:left="1418" w:header="567" w:footer="510" w:gutter="0"/>
      <w:pgNumType w:fmt="decimal"/>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Bodoni MT">
    <w:altName w:val="Segoe Print"/>
    <w:panose1 w:val="02070603080606020203"/>
    <w:charset w:val="00"/>
    <w:family w:val="roman"/>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91F8">
    <w:pPr>
      <w:pStyle w:val="69"/>
      <w:tabs>
        <w:tab w:val="left" w:pos="4803"/>
        <w:tab w:val="clear" w:pos="4153"/>
      </w:tabs>
    </w:pPr>
    <w:r>
      <w:rPr>
        <w:rFonts w:hint="eastAsia"/>
      </w:rPr>
      <w:tab/>
    </w:r>
  </w:p>
  <w:p w14:paraId="4AFCE7F2">
    <w:pPr>
      <w:pStyle w:val="6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DE61">
    <w:pPr>
      <w:pStyle w:val="69"/>
      <w:tabs>
        <w:tab w:val="left" w:pos="4803"/>
        <w:tab w:val="clear" w:pos="4153"/>
      </w:tabs>
    </w:pPr>
    <w:r>
      <w:rPr>
        <w:rFonts w:hint="eastAsia"/>
      </w:rPr>
      <w:tab/>
    </w:r>
  </w:p>
  <w:p w14:paraId="686904C8">
    <w:pPr>
      <w:pStyle w:val="6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45C18">
    <w:pPr>
      <w:pStyle w:val="69"/>
      <w:tabs>
        <w:tab w:val="left" w:pos="4803"/>
        <w:tab w:val="clear" w:pos="4153"/>
      </w:tabs>
    </w:pPr>
    <w:r>
      <w:rPr>
        <w:sz w:val="18"/>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70430D3">
                <w:pPr>
                  <w:pStyle w:val="13"/>
                </w:pPr>
                <w:r>
                  <w:fldChar w:fldCharType="begin"/>
                </w:r>
                <w:r>
                  <w:instrText xml:space="preserve"> PAGE  \* MERGEFORMAT </w:instrText>
                </w:r>
                <w:r>
                  <w:fldChar w:fldCharType="separate"/>
                </w:r>
                <w:r>
                  <w:t>1</w:t>
                </w:r>
                <w:r>
                  <w:fldChar w:fldCharType="end"/>
                </w:r>
              </w:p>
            </w:txbxContent>
          </v:textbox>
        </v:shape>
      </w:pict>
    </w:r>
    <w:r>
      <w:rPr>
        <w:rFonts w:hint="eastAsia"/>
      </w:rPr>
      <w:tab/>
    </w:r>
  </w:p>
  <w:p w14:paraId="5C7F47BF">
    <w:pPr>
      <w:pStyle w:val="6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FD58">
    <w:pPr>
      <w:pStyle w:val="69"/>
      <w:tabs>
        <w:tab w:val="left" w:pos="4803"/>
        <w:tab w:val="clear" w:pos="4153"/>
      </w:tabs>
    </w:pPr>
    <w:r>
      <w:rPr>
        <w:sz w:val="18"/>
      </w:rP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01000AA">
                <w:pPr>
                  <w:pStyle w:val="13"/>
                </w:pPr>
                <w:r>
                  <w:fldChar w:fldCharType="begin"/>
                </w:r>
                <w:r>
                  <w:instrText xml:space="preserve"> PAGE  \* MERGEFORMAT </w:instrText>
                </w:r>
                <w:r>
                  <w:fldChar w:fldCharType="separate"/>
                </w:r>
                <w:r>
                  <w:t>105</w:t>
                </w:r>
                <w:r>
                  <w:fldChar w:fldCharType="end"/>
                </w:r>
              </w:p>
            </w:txbxContent>
          </v:textbox>
        </v:shape>
      </w:pict>
    </w:r>
    <w:r>
      <w:rPr>
        <w:rFonts w:hint="eastAsia"/>
      </w:rPr>
      <w:tab/>
    </w:r>
  </w:p>
  <w:p w14:paraId="73FD3302">
    <w:pPr>
      <w:pStyle w:val="6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BD87">
    <w:pPr>
      <w:pStyle w:val="13"/>
      <w:jc w:val="center"/>
      <w:rPr>
        <w:rFonts w:hint="default"/>
        <w:szCs w:val="24"/>
      </w:rPr>
    </w:pPr>
    <w:r>
      <w:rPr>
        <w:sz w:val="18"/>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1D0D853">
                <w:pPr>
                  <w:pStyle w:val="13"/>
                </w:pPr>
                <w:r>
                  <w:fldChar w:fldCharType="begin"/>
                </w:r>
                <w:r>
                  <w:instrText xml:space="preserve"> PAGE  \* MERGEFORMAT </w:instrText>
                </w:r>
                <w:r>
                  <w:fldChar w:fldCharType="separate"/>
                </w:r>
                <w:r>
                  <w:t>117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1C487">
    <w:pPr>
      <w:jc w:val="center"/>
      <w:rPr>
        <w:rFonts w:hint="default"/>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4B371">
    <w:pPr>
      <w:pStyle w:val="14"/>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2DEF9"/>
    <w:multiLevelType w:val="singleLevel"/>
    <w:tmpl w:val="8152DEF9"/>
    <w:lvl w:ilvl="0" w:tentative="0">
      <w:start w:val="1"/>
      <w:numFmt w:val="decimal"/>
      <w:suff w:val="nothing"/>
      <w:lvlText w:val="（%1）"/>
      <w:lvlJc w:val="left"/>
    </w:lvl>
  </w:abstractNum>
  <w:abstractNum w:abstractNumId="1">
    <w:nsid w:val="9A22DE3C"/>
    <w:multiLevelType w:val="singleLevel"/>
    <w:tmpl w:val="9A22DE3C"/>
    <w:lvl w:ilvl="0" w:tentative="0">
      <w:start w:val="5"/>
      <w:numFmt w:val="decimal"/>
      <w:suff w:val="space"/>
      <w:lvlText w:val="%1."/>
      <w:lvlJc w:val="left"/>
    </w:lvl>
  </w:abstractNum>
  <w:abstractNum w:abstractNumId="2">
    <w:nsid w:val="C099E3A4"/>
    <w:multiLevelType w:val="singleLevel"/>
    <w:tmpl w:val="C099E3A4"/>
    <w:lvl w:ilvl="0" w:tentative="0">
      <w:start w:val="1"/>
      <w:numFmt w:val="chineseCounting"/>
      <w:suff w:val="nothing"/>
      <w:lvlText w:val="第%1、"/>
      <w:lvlJc w:val="left"/>
      <w:rPr>
        <w:rFonts w:hint="eastAsia"/>
      </w:rPr>
    </w:lvl>
  </w:abstractNum>
  <w:abstractNum w:abstractNumId="3">
    <w:nsid w:val="CFABDD9F"/>
    <w:multiLevelType w:val="singleLevel"/>
    <w:tmpl w:val="CFABDD9F"/>
    <w:lvl w:ilvl="0" w:tentative="0">
      <w:start w:val="1"/>
      <w:numFmt w:val="decimal"/>
      <w:suff w:val="nothing"/>
      <w:lvlText w:val="（%1）"/>
      <w:lvlJc w:val="left"/>
    </w:lvl>
  </w:abstractNum>
  <w:abstractNum w:abstractNumId="4">
    <w:nsid w:val="00000009"/>
    <w:multiLevelType w:val="multilevel"/>
    <w:tmpl w:val="00000009"/>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473934C1"/>
    <w:multiLevelType w:val="singleLevel"/>
    <w:tmpl w:val="473934C1"/>
    <w:lvl w:ilvl="0" w:tentative="0">
      <w:start w:val="1"/>
      <w:numFmt w:val="decimal"/>
      <w:suff w:val="nothing"/>
      <w:lvlText w:val="%1．"/>
      <w:lvlJc w:val="left"/>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Y0ZmRiNTk0MzQwN2FiNGY5MGZmNzJjNmZjYWQ0YjMifQ=="/>
    <w:docVar w:name="KSO_WPS_MARK_KEY" w:val="2b56eff9-4bef-4219-8874-9567fb1cde91"/>
  </w:docVars>
  <w:rsids>
    <w:rsidRoot w:val="4C5944B1"/>
    <w:rsid w:val="000F7646"/>
    <w:rsid w:val="0011760F"/>
    <w:rsid w:val="001E0850"/>
    <w:rsid w:val="00281ECB"/>
    <w:rsid w:val="002F176F"/>
    <w:rsid w:val="003A1942"/>
    <w:rsid w:val="003B643A"/>
    <w:rsid w:val="003E2709"/>
    <w:rsid w:val="0055689E"/>
    <w:rsid w:val="005E6BB8"/>
    <w:rsid w:val="0064163D"/>
    <w:rsid w:val="007C3F91"/>
    <w:rsid w:val="008C4168"/>
    <w:rsid w:val="00901845"/>
    <w:rsid w:val="00936991"/>
    <w:rsid w:val="00943625"/>
    <w:rsid w:val="00954357"/>
    <w:rsid w:val="00954A54"/>
    <w:rsid w:val="00A322B9"/>
    <w:rsid w:val="00A80EA7"/>
    <w:rsid w:val="00AF685C"/>
    <w:rsid w:val="00B16179"/>
    <w:rsid w:val="00B37196"/>
    <w:rsid w:val="00C04E0C"/>
    <w:rsid w:val="00CB07F4"/>
    <w:rsid w:val="00CD4D5B"/>
    <w:rsid w:val="00D561CD"/>
    <w:rsid w:val="00DA5A23"/>
    <w:rsid w:val="00E60A9C"/>
    <w:rsid w:val="00E76514"/>
    <w:rsid w:val="00ED4B12"/>
    <w:rsid w:val="00F95669"/>
    <w:rsid w:val="01284AF4"/>
    <w:rsid w:val="012C10F1"/>
    <w:rsid w:val="016A5229"/>
    <w:rsid w:val="01A93FA3"/>
    <w:rsid w:val="01E704A0"/>
    <w:rsid w:val="02665093"/>
    <w:rsid w:val="029933CC"/>
    <w:rsid w:val="02D84414"/>
    <w:rsid w:val="033923C2"/>
    <w:rsid w:val="0348159A"/>
    <w:rsid w:val="03724869"/>
    <w:rsid w:val="0385459C"/>
    <w:rsid w:val="03C50E3C"/>
    <w:rsid w:val="03F46BE4"/>
    <w:rsid w:val="041A1188"/>
    <w:rsid w:val="042E69E2"/>
    <w:rsid w:val="04360B53"/>
    <w:rsid w:val="049727D9"/>
    <w:rsid w:val="049F51EA"/>
    <w:rsid w:val="04EA57F9"/>
    <w:rsid w:val="0694486B"/>
    <w:rsid w:val="06F37A6F"/>
    <w:rsid w:val="06FF1426"/>
    <w:rsid w:val="07147A1C"/>
    <w:rsid w:val="083E11BD"/>
    <w:rsid w:val="08915791"/>
    <w:rsid w:val="08C47915"/>
    <w:rsid w:val="092752BD"/>
    <w:rsid w:val="09B554AF"/>
    <w:rsid w:val="09C86F91"/>
    <w:rsid w:val="0A560A40"/>
    <w:rsid w:val="0A873975"/>
    <w:rsid w:val="0AD7112E"/>
    <w:rsid w:val="0B633415"/>
    <w:rsid w:val="0BDA37C7"/>
    <w:rsid w:val="0C183B2E"/>
    <w:rsid w:val="0C3C08C2"/>
    <w:rsid w:val="0C5C7E64"/>
    <w:rsid w:val="0C7358DA"/>
    <w:rsid w:val="0CBC40CB"/>
    <w:rsid w:val="0CC53C5B"/>
    <w:rsid w:val="0CDD0FA5"/>
    <w:rsid w:val="0D2B56E9"/>
    <w:rsid w:val="0D5374B9"/>
    <w:rsid w:val="0D724D63"/>
    <w:rsid w:val="0DA63A8D"/>
    <w:rsid w:val="0DB937C0"/>
    <w:rsid w:val="0DC53787"/>
    <w:rsid w:val="0DDA28D6"/>
    <w:rsid w:val="0DE6650F"/>
    <w:rsid w:val="0DF73507"/>
    <w:rsid w:val="0DFA207C"/>
    <w:rsid w:val="0EC742BE"/>
    <w:rsid w:val="0F0A0D37"/>
    <w:rsid w:val="0F4E10F7"/>
    <w:rsid w:val="0F930041"/>
    <w:rsid w:val="0FB24E29"/>
    <w:rsid w:val="0FE90846"/>
    <w:rsid w:val="101C0036"/>
    <w:rsid w:val="10264A11"/>
    <w:rsid w:val="10725EA8"/>
    <w:rsid w:val="10BD6F35"/>
    <w:rsid w:val="10CD6B01"/>
    <w:rsid w:val="11845E93"/>
    <w:rsid w:val="123E21E9"/>
    <w:rsid w:val="13156E63"/>
    <w:rsid w:val="131F5532"/>
    <w:rsid w:val="13426006"/>
    <w:rsid w:val="13FB4D03"/>
    <w:rsid w:val="143C0CA7"/>
    <w:rsid w:val="14E1675A"/>
    <w:rsid w:val="1525173B"/>
    <w:rsid w:val="161F586A"/>
    <w:rsid w:val="16201F02"/>
    <w:rsid w:val="164E4741"/>
    <w:rsid w:val="16E178E4"/>
    <w:rsid w:val="175E7186"/>
    <w:rsid w:val="17AF3CDA"/>
    <w:rsid w:val="17B40B54"/>
    <w:rsid w:val="17B73663"/>
    <w:rsid w:val="17FF3E14"/>
    <w:rsid w:val="18770500"/>
    <w:rsid w:val="18AE7C99"/>
    <w:rsid w:val="191B0AB0"/>
    <w:rsid w:val="19212219"/>
    <w:rsid w:val="199D6886"/>
    <w:rsid w:val="19B600B0"/>
    <w:rsid w:val="19DF79E6"/>
    <w:rsid w:val="1A04743A"/>
    <w:rsid w:val="1A241393"/>
    <w:rsid w:val="1A3B37AF"/>
    <w:rsid w:val="1A495ECC"/>
    <w:rsid w:val="1A937147"/>
    <w:rsid w:val="1AA650CC"/>
    <w:rsid w:val="1AC63078"/>
    <w:rsid w:val="1ACF42A1"/>
    <w:rsid w:val="1B1742F2"/>
    <w:rsid w:val="1B690B70"/>
    <w:rsid w:val="1B754A9E"/>
    <w:rsid w:val="1B8076CB"/>
    <w:rsid w:val="1BC03F6C"/>
    <w:rsid w:val="1BC05D1A"/>
    <w:rsid w:val="1BC11A92"/>
    <w:rsid w:val="1BC62A56"/>
    <w:rsid w:val="1BF80445"/>
    <w:rsid w:val="1C4C1CA3"/>
    <w:rsid w:val="1C6061C5"/>
    <w:rsid w:val="1C8F1025"/>
    <w:rsid w:val="1CDD25B2"/>
    <w:rsid w:val="1CDD28FB"/>
    <w:rsid w:val="1CDE71ED"/>
    <w:rsid w:val="1D750002"/>
    <w:rsid w:val="1DB7314C"/>
    <w:rsid w:val="1DC85359"/>
    <w:rsid w:val="1DEB51E9"/>
    <w:rsid w:val="1E480248"/>
    <w:rsid w:val="1E5310C7"/>
    <w:rsid w:val="1E6952E1"/>
    <w:rsid w:val="1E787E3F"/>
    <w:rsid w:val="1E896032"/>
    <w:rsid w:val="1ED02718"/>
    <w:rsid w:val="1F505606"/>
    <w:rsid w:val="1F7F413E"/>
    <w:rsid w:val="1F9951FF"/>
    <w:rsid w:val="1FBD45F2"/>
    <w:rsid w:val="20012DA5"/>
    <w:rsid w:val="20315438"/>
    <w:rsid w:val="206C46C2"/>
    <w:rsid w:val="20941E5C"/>
    <w:rsid w:val="20B144DF"/>
    <w:rsid w:val="20EF49EE"/>
    <w:rsid w:val="211D59BC"/>
    <w:rsid w:val="21933ED0"/>
    <w:rsid w:val="21A460DD"/>
    <w:rsid w:val="225278E7"/>
    <w:rsid w:val="225A40A6"/>
    <w:rsid w:val="22A26860"/>
    <w:rsid w:val="22E42C35"/>
    <w:rsid w:val="230C5CE8"/>
    <w:rsid w:val="235F6EB5"/>
    <w:rsid w:val="23BE3486"/>
    <w:rsid w:val="242F6132"/>
    <w:rsid w:val="24491954"/>
    <w:rsid w:val="24704055"/>
    <w:rsid w:val="24EE1B49"/>
    <w:rsid w:val="25153BB3"/>
    <w:rsid w:val="253B5A69"/>
    <w:rsid w:val="2578303A"/>
    <w:rsid w:val="257D5076"/>
    <w:rsid w:val="25972C96"/>
    <w:rsid w:val="25BF256F"/>
    <w:rsid w:val="25C1100C"/>
    <w:rsid w:val="25D36F91"/>
    <w:rsid w:val="25E8104B"/>
    <w:rsid w:val="266F2816"/>
    <w:rsid w:val="268F110A"/>
    <w:rsid w:val="26D27249"/>
    <w:rsid w:val="271D6716"/>
    <w:rsid w:val="272F01F7"/>
    <w:rsid w:val="27462BA9"/>
    <w:rsid w:val="27AC35F6"/>
    <w:rsid w:val="27EB411E"/>
    <w:rsid w:val="28335AC5"/>
    <w:rsid w:val="28461C9C"/>
    <w:rsid w:val="28FD4CC9"/>
    <w:rsid w:val="297D16EE"/>
    <w:rsid w:val="2A475858"/>
    <w:rsid w:val="2A793900"/>
    <w:rsid w:val="2A7F1496"/>
    <w:rsid w:val="2A994305"/>
    <w:rsid w:val="2AA85E3B"/>
    <w:rsid w:val="2AAA4765"/>
    <w:rsid w:val="2AB90504"/>
    <w:rsid w:val="2AD02F33"/>
    <w:rsid w:val="2AEA4B61"/>
    <w:rsid w:val="2BA456FE"/>
    <w:rsid w:val="2BEF49DC"/>
    <w:rsid w:val="2C1B0D4A"/>
    <w:rsid w:val="2C302A48"/>
    <w:rsid w:val="2C5D5807"/>
    <w:rsid w:val="2C733DC5"/>
    <w:rsid w:val="2C861EB2"/>
    <w:rsid w:val="2CD57184"/>
    <w:rsid w:val="2D145EC5"/>
    <w:rsid w:val="2D6A1F89"/>
    <w:rsid w:val="2E222864"/>
    <w:rsid w:val="2E5A3DAC"/>
    <w:rsid w:val="2EB975E0"/>
    <w:rsid w:val="2F34284F"/>
    <w:rsid w:val="2F7E7F6E"/>
    <w:rsid w:val="2F7F0633"/>
    <w:rsid w:val="2F8530AA"/>
    <w:rsid w:val="2FC35981"/>
    <w:rsid w:val="30890978"/>
    <w:rsid w:val="315947EF"/>
    <w:rsid w:val="31C91C1F"/>
    <w:rsid w:val="31FB42D0"/>
    <w:rsid w:val="32696CB3"/>
    <w:rsid w:val="326B7E18"/>
    <w:rsid w:val="32830F54"/>
    <w:rsid w:val="3286265A"/>
    <w:rsid w:val="329A44C1"/>
    <w:rsid w:val="33784CD4"/>
    <w:rsid w:val="33B71CA0"/>
    <w:rsid w:val="33CD3272"/>
    <w:rsid w:val="33E800AC"/>
    <w:rsid w:val="33F87B2A"/>
    <w:rsid w:val="33FB1B8D"/>
    <w:rsid w:val="342B1D46"/>
    <w:rsid w:val="34833930"/>
    <w:rsid w:val="34A55F9D"/>
    <w:rsid w:val="34A5706F"/>
    <w:rsid w:val="34AB28E5"/>
    <w:rsid w:val="34FA62E8"/>
    <w:rsid w:val="35325511"/>
    <w:rsid w:val="360F7B72"/>
    <w:rsid w:val="365437D6"/>
    <w:rsid w:val="3670318E"/>
    <w:rsid w:val="36D13957"/>
    <w:rsid w:val="36D466C5"/>
    <w:rsid w:val="36F11025"/>
    <w:rsid w:val="37691503"/>
    <w:rsid w:val="377C4D93"/>
    <w:rsid w:val="37AF33BA"/>
    <w:rsid w:val="37D70CAE"/>
    <w:rsid w:val="37ED2BA2"/>
    <w:rsid w:val="37FC5ED4"/>
    <w:rsid w:val="384358B1"/>
    <w:rsid w:val="38B44A00"/>
    <w:rsid w:val="390E5CB1"/>
    <w:rsid w:val="39657AA9"/>
    <w:rsid w:val="397321C6"/>
    <w:rsid w:val="39F8091D"/>
    <w:rsid w:val="3A0A0D7C"/>
    <w:rsid w:val="3A21319F"/>
    <w:rsid w:val="3AAF722D"/>
    <w:rsid w:val="3AD959D6"/>
    <w:rsid w:val="3B2154F6"/>
    <w:rsid w:val="3B286FE0"/>
    <w:rsid w:val="3B3E2DB3"/>
    <w:rsid w:val="3C3001B4"/>
    <w:rsid w:val="3CA52FDE"/>
    <w:rsid w:val="3CC22946"/>
    <w:rsid w:val="3CD01F3B"/>
    <w:rsid w:val="3CE753A4"/>
    <w:rsid w:val="3CF96E86"/>
    <w:rsid w:val="3D112421"/>
    <w:rsid w:val="3D204801"/>
    <w:rsid w:val="3D361E88"/>
    <w:rsid w:val="3D697A37"/>
    <w:rsid w:val="3D754533"/>
    <w:rsid w:val="3D9646D4"/>
    <w:rsid w:val="3DC95243"/>
    <w:rsid w:val="3DE073F9"/>
    <w:rsid w:val="3DE07FF0"/>
    <w:rsid w:val="3E015F74"/>
    <w:rsid w:val="3E06185A"/>
    <w:rsid w:val="3E0D42F0"/>
    <w:rsid w:val="3E2961D4"/>
    <w:rsid w:val="3E3363C7"/>
    <w:rsid w:val="3E976956"/>
    <w:rsid w:val="3F073ADC"/>
    <w:rsid w:val="3FB672B0"/>
    <w:rsid w:val="3FEA0D08"/>
    <w:rsid w:val="3FEB51AC"/>
    <w:rsid w:val="400242A3"/>
    <w:rsid w:val="40582115"/>
    <w:rsid w:val="40A435AC"/>
    <w:rsid w:val="410B1343"/>
    <w:rsid w:val="41626E05"/>
    <w:rsid w:val="41DD28D2"/>
    <w:rsid w:val="42114C71"/>
    <w:rsid w:val="421C10AE"/>
    <w:rsid w:val="425D3A13"/>
    <w:rsid w:val="42B44D10"/>
    <w:rsid w:val="42BA41B0"/>
    <w:rsid w:val="42C13FA2"/>
    <w:rsid w:val="430C15CB"/>
    <w:rsid w:val="430C699F"/>
    <w:rsid w:val="437943F5"/>
    <w:rsid w:val="439E2535"/>
    <w:rsid w:val="43A80694"/>
    <w:rsid w:val="43B6162D"/>
    <w:rsid w:val="43DF5FA7"/>
    <w:rsid w:val="43F403A7"/>
    <w:rsid w:val="44220A07"/>
    <w:rsid w:val="442C7B41"/>
    <w:rsid w:val="445F5FF9"/>
    <w:rsid w:val="44A578BE"/>
    <w:rsid w:val="44BA339E"/>
    <w:rsid w:val="44CA5C04"/>
    <w:rsid w:val="45280308"/>
    <w:rsid w:val="45967968"/>
    <w:rsid w:val="46144D30"/>
    <w:rsid w:val="46893028"/>
    <w:rsid w:val="46A02C50"/>
    <w:rsid w:val="46C40504"/>
    <w:rsid w:val="46E77832"/>
    <w:rsid w:val="47617388"/>
    <w:rsid w:val="484418FD"/>
    <w:rsid w:val="487429ED"/>
    <w:rsid w:val="48C37705"/>
    <w:rsid w:val="48D6451F"/>
    <w:rsid w:val="48FA020D"/>
    <w:rsid w:val="493E5947"/>
    <w:rsid w:val="497004D0"/>
    <w:rsid w:val="49A53A73"/>
    <w:rsid w:val="49BA59AE"/>
    <w:rsid w:val="4A080708"/>
    <w:rsid w:val="4A17094B"/>
    <w:rsid w:val="4B524331"/>
    <w:rsid w:val="4C1E4213"/>
    <w:rsid w:val="4C5944B1"/>
    <w:rsid w:val="4C6F3A23"/>
    <w:rsid w:val="4C8F5C62"/>
    <w:rsid w:val="4D0168EA"/>
    <w:rsid w:val="4D355CB8"/>
    <w:rsid w:val="4D4001B9"/>
    <w:rsid w:val="4D4B557E"/>
    <w:rsid w:val="4DB320D6"/>
    <w:rsid w:val="4DEB3918"/>
    <w:rsid w:val="4E267A1C"/>
    <w:rsid w:val="4E74636C"/>
    <w:rsid w:val="4EA9414C"/>
    <w:rsid w:val="4EEF1E97"/>
    <w:rsid w:val="4F244236"/>
    <w:rsid w:val="4F802EB1"/>
    <w:rsid w:val="4FF63749"/>
    <w:rsid w:val="50526B81"/>
    <w:rsid w:val="507408A5"/>
    <w:rsid w:val="508A67B9"/>
    <w:rsid w:val="519544C5"/>
    <w:rsid w:val="51E073BF"/>
    <w:rsid w:val="52181704"/>
    <w:rsid w:val="5237602E"/>
    <w:rsid w:val="52741030"/>
    <w:rsid w:val="52923265"/>
    <w:rsid w:val="52B551A5"/>
    <w:rsid w:val="52ED43B9"/>
    <w:rsid w:val="53084363"/>
    <w:rsid w:val="53BF452D"/>
    <w:rsid w:val="543A0058"/>
    <w:rsid w:val="545A24A8"/>
    <w:rsid w:val="54A454D1"/>
    <w:rsid w:val="54B83CC6"/>
    <w:rsid w:val="54BD723D"/>
    <w:rsid w:val="54DE6C35"/>
    <w:rsid w:val="558772CD"/>
    <w:rsid w:val="55985036"/>
    <w:rsid w:val="55F07786"/>
    <w:rsid w:val="55FE3948"/>
    <w:rsid w:val="56290384"/>
    <w:rsid w:val="56B20706"/>
    <w:rsid w:val="56DC0F52"/>
    <w:rsid w:val="56F73FDE"/>
    <w:rsid w:val="574A6804"/>
    <w:rsid w:val="577C3646"/>
    <w:rsid w:val="579730CB"/>
    <w:rsid w:val="57D91936"/>
    <w:rsid w:val="585A4825"/>
    <w:rsid w:val="58C232BB"/>
    <w:rsid w:val="58D04CC8"/>
    <w:rsid w:val="58D77C23"/>
    <w:rsid w:val="58EF1411"/>
    <w:rsid w:val="590B1FC3"/>
    <w:rsid w:val="59725B9E"/>
    <w:rsid w:val="59B166C6"/>
    <w:rsid w:val="59DD570D"/>
    <w:rsid w:val="5AE34FA5"/>
    <w:rsid w:val="5AE66844"/>
    <w:rsid w:val="5B1D63D9"/>
    <w:rsid w:val="5B2E3D47"/>
    <w:rsid w:val="5BA1276A"/>
    <w:rsid w:val="5BA32F4B"/>
    <w:rsid w:val="5BC22E0D"/>
    <w:rsid w:val="5C0C052C"/>
    <w:rsid w:val="5C0E3D80"/>
    <w:rsid w:val="5C6A0DAE"/>
    <w:rsid w:val="5CE943C9"/>
    <w:rsid w:val="5D6F2B20"/>
    <w:rsid w:val="5DE828D3"/>
    <w:rsid w:val="5E062D59"/>
    <w:rsid w:val="5E677C9B"/>
    <w:rsid w:val="5F217E4A"/>
    <w:rsid w:val="60885E2E"/>
    <w:rsid w:val="613B0F6B"/>
    <w:rsid w:val="61B72CE8"/>
    <w:rsid w:val="6256605D"/>
    <w:rsid w:val="62774225"/>
    <w:rsid w:val="62AD76C0"/>
    <w:rsid w:val="62C507C9"/>
    <w:rsid w:val="62D11B87"/>
    <w:rsid w:val="63272A98"/>
    <w:rsid w:val="63422A85"/>
    <w:rsid w:val="634405AB"/>
    <w:rsid w:val="63655027"/>
    <w:rsid w:val="6390559E"/>
    <w:rsid w:val="63B30F2E"/>
    <w:rsid w:val="63B53257"/>
    <w:rsid w:val="640C1C55"/>
    <w:rsid w:val="64557053"/>
    <w:rsid w:val="647E0D38"/>
    <w:rsid w:val="64A60857"/>
    <w:rsid w:val="65041398"/>
    <w:rsid w:val="650A75D2"/>
    <w:rsid w:val="65D5198E"/>
    <w:rsid w:val="66E77BCB"/>
    <w:rsid w:val="674E6C15"/>
    <w:rsid w:val="675114E9"/>
    <w:rsid w:val="67867202"/>
    <w:rsid w:val="67A96C2F"/>
    <w:rsid w:val="67AE2497"/>
    <w:rsid w:val="67AF7FBD"/>
    <w:rsid w:val="67C63C85"/>
    <w:rsid w:val="67E450CE"/>
    <w:rsid w:val="688A4CB2"/>
    <w:rsid w:val="68DE4FFE"/>
    <w:rsid w:val="68E32614"/>
    <w:rsid w:val="68F13666"/>
    <w:rsid w:val="693410C2"/>
    <w:rsid w:val="693B7312"/>
    <w:rsid w:val="6949691B"/>
    <w:rsid w:val="697274F4"/>
    <w:rsid w:val="69787200"/>
    <w:rsid w:val="697F233D"/>
    <w:rsid w:val="69B2159C"/>
    <w:rsid w:val="6A060AF0"/>
    <w:rsid w:val="6A542DAB"/>
    <w:rsid w:val="6ABE0C43"/>
    <w:rsid w:val="6B3158B9"/>
    <w:rsid w:val="6B601CFA"/>
    <w:rsid w:val="6C3F4006"/>
    <w:rsid w:val="6C4F72C1"/>
    <w:rsid w:val="6C946959"/>
    <w:rsid w:val="6CB9494B"/>
    <w:rsid w:val="6CEB1A97"/>
    <w:rsid w:val="6CF84455"/>
    <w:rsid w:val="6D390A55"/>
    <w:rsid w:val="6D4A2C62"/>
    <w:rsid w:val="6DFD5F26"/>
    <w:rsid w:val="6E105C5A"/>
    <w:rsid w:val="6E290AC9"/>
    <w:rsid w:val="6E4006B2"/>
    <w:rsid w:val="6E427DDD"/>
    <w:rsid w:val="6E62222D"/>
    <w:rsid w:val="6ED02021"/>
    <w:rsid w:val="6EE449F0"/>
    <w:rsid w:val="6F1060F6"/>
    <w:rsid w:val="6F541B76"/>
    <w:rsid w:val="6F7E1B58"/>
    <w:rsid w:val="6F8B7B20"/>
    <w:rsid w:val="6FE0165C"/>
    <w:rsid w:val="6FE74798"/>
    <w:rsid w:val="70633D9B"/>
    <w:rsid w:val="70B76860"/>
    <w:rsid w:val="70CE7706"/>
    <w:rsid w:val="70FA04FB"/>
    <w:rsid w:val="710E3FA6"/>
    <w:rsid w:val="71765B16"/>
    <w:rsid w:val="725325B9"/>
    <w:rsid w:val="725351DA"/>
    <w:rsid w:val="72987FCC"/>
    <w:rsid w:val="72D54D7C"/>
    <w:rsid w:val="72E41463"/>
    <w:rsid w:val="72EA7879"/>
    <w:rsid w:val="7343262D"/>
    <w:rsid w:val="73B9469D"/>
    <w:rsid w:val="73DD1399"/>
    <w:rsid w:val="741B274C"/>
    <w:rsid w:val="74356371"/>
    <w:rsid w:val="74485A21"/>
    <w:rsid w:val="74885923"/>
    <w:rsid w:val="752244C4"/>
    <w:rsid w:val="75623F7A"/>
    <w:rsid w:val="75862CA5"/>
    <w:rsid w:val="76257DC8"/>
    <w:rsid w:val="768A40CF"/>
    <w:rsid w:val="76EA0007"/>
    <w:rsid w:val="77130569"/>
    <w:rsid w:val="771A5453"/>
    <w:rsid w:val="77784870"/>
    <w:rsid w:val="77B358A8"/>
    <w:rsid w:val="77C83101"/>
    <w:rsid w:val="77FC724F"/>
    <w:rsid w:val="78BF0CEF"/>
    <w:rsid w:val="78FE2050"/>
    <w:rsid w:val="79664F44"/>
    <w:rsid w:val="79FA5A10"/>
    <w:rsid w:val="7A067F11"/>
    <w:rsid w:val="7A2544C3"/>
    <w:rsid w:val="7A37631C"/>
    <w:rsid w:val="7A401675"/>
    <w:rsid w:val="7A5F1662"/>
    <w:rsid w:val="7A603412"/>
    <w:rsid w:val="7A955AA3"/>
    <w:rsid w:val="7AB17498"/>
    <w:rsid w:val="7AB20E73"/>
    <w:rsid w:val="7AD126FD"/>
    <w:rsid w:val="7AEB57A3"/>
    <w:rsid w:val="7B4231CA"/>
    <w:rsid w:val="7B62481E"/>
    <w:rsid w:val="7BB63A0E"/>
    <w:rsid w:val="7C137C33"/>
    <w:rsid w:val="7C35324A"/>
    <w:rsid w:val="7C5E5EE7"/>
    <w:rsid w:val="7C7C270C"/>
    <w:rsid w:val="7C857813"/>
    <w:rsid w:val="7CBE4AD3"/>
    <w:rsid w:val="7CC9189C"/>
    <w:rsid w:val="7CDC31AB"/>
    <w:rsid w:val="7CF60710"/>
    <w:rsid w:val="7D7F551F"/>
    <w:rsid w:val="7D9B4867"/>
    <w:rsid w:val="7E2F3AA9"/>
    <w:rsid w:val="7E68119A"/>
    <w:rsid w:val="7EDE145C"/>
    <w:rsid w:val="7EEA1BAF"/>
    <w:rsid w:val="7F231565"/>
    <w:rsid w:val="7F631961"/>
    <w:rsid w:val="7F9E2999"/>
    <w:rsid w:val="7FCA5830"/>
    <w:rsid w:val="7FE42AA2"/>
    <w:rsid w:val="7FF27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宋体" w:hAnsi="等线" w:eastAsia="等线" w:cs="Times New Roman"/>
      <w:kern w:val="2"/>
      <w:sz w:val="24"/>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30"/>
    </w:rPr>
  </w:style>
  <w:style w:type="paragraph" w:styleId="4">
    <w:name w:val="heading 2"/>
    <w:basedOn w:val="1"/>
    <w:next w:val="1"/>
    <w:qFormat/>
    <w:uiPriority w:val="0"/>
    <w:pPr>
      <w:autoSpaceDE w:val="0"/>
      <w:autoSpaceDN w:val="0"/>
      <w:adjustRightInd w:val="0"/>
      <w:jc w:val="left"/>
      <w:outlineLvl w:val="1"/>
    </w:pPr>
    <w:rPr>
      <w:kern w:val="0"/>
    </w:rPr>
  </w:style>
  <w:style w:type="paragraph" w:styleId="5">
    <w:name w:val="heading 3"/>
    <w:basedOn w:val="1"/>
    <w:next w:val="1"/>
    <w:link w:val="49"/>
    <w:qFormat/>
    <w:uiPriority w:val="0"/>
    <w:pPr>
      <w:keepNext/>
      <w:keepLines/>
      <w:outlineLvl w:val="2"/>
    </w:pPr>
    <w:rPr>
      <w:rFonts w:hint="default" w:ascii="Times New Roman" w:hAnsi="Times New Roman" w:eastAsia="宋体"/>
      <w:b/>
    </w:rPr>
  </w:style>
  <w:style w:type="paragraph" w:styleId="2">
    <w:name w:val="heading 4"/>
    <w:basedOn w:val="1"/>
    <w:next w:val="1"/>
    <w:qFormat/>
    <w:uiPriority w:val="0"/>
    <w:pPr>
      <w:keepNext/>
      <w:keepLines/>
      <w:spacing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annotation text"/>
    <w:basedOn w:val="1"/>
    <w:next w:val="1"/>
    <w:qFormat/>
    <w:uiPriority w:val="0"/>
    <w:pPr>
      <w:jc w:val="left"/>
    </w:pPr>
    <w:rPr>
      <w:rFonts w:hint="default" w:ascii="Times New Roman" w:hAnsi="Times New Roman" w:eastAsia="宋体"/>
      <w:sz w:val="21"/>
    </w:rPr>
  </w:style>
  <w:style w:type="paragraph" w:styleId="8">
    <w:name w:val="Body Text"/>
    <w:basedOn w:val="1"/>
    <w:qFormat/>
    <w:uiPriority w:val="0"/>
  </w:style>
  <w:style w:type="paragraph" w:styleId="9">
    <w:name w:val="Body Text Indent"/>
    <w:basedOn w:val="1"/>
    <w:qFormat/>
    <w:uiPriority w:val="0"/>
    <w:pPr>
      <w:ind w:firstLine="560" w:firstLineChars="200"/>
    </w:pPr>
  </w:style>
  <w:style w:type="paragraph" w:styleId="10">
    <w:name w:val="toc 3"/>
    <w:basedOn w:val="1"/>
    <w:next w:val="1"/>
    <w:qFormat/>
    <w:uiPriority w:val="39"/>
    <w:pPr>
      <w:ind w:left="840" w:leftChars="400"/>
    </w:pPr>
  </w:style>
  <w:style w:type="paragraph" w:styleId="11">
    <w:name w:val="Body Text Indent 2"/>
    <w:basedOn w:val="1"/>
    <w:qFormat/>
    <w:uiPriority w:val="0"/>
    <w:pPr>
      <w:spacing w:line="480" w:lineRule="auto"/>
      <w:ind w:firstLine="561"/>
    </w:pPr>
  </w:style>
  <w:style w:type="paragraph" w:styleId="12">
    <w:name w:val="Balloon Text"/>
    <w:basedOn w:val="1"/>
    <w:link w:val="70"/>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5">
    <w:name w:val="toc 1"/>
    <w:basedOn w:val="16"/>
    <w:next w:val="1"/>
    <w:qFormat/>
    <w:uiPriority w:val="39"/>
  </w:style>
  <w:style w:type="paragraph" w:styleId="16">
    <w:name w:val="index 1"/>
    <w:basedOn w:val="1"/>
    <w:next w:val="1"/>
    <w:unhideWhenUsed/>
    <w:qFormat/>
    <w:uiPriority w:val="0"/>
  </w:style>
  <w:style w:type="paragraph" w:styleId="17">
    <w:name w:val="toc 4"/>
    <w:basedOn w:val="1"/>
    <w:next w:val="1"/>
    <w:qFormat/>
    <w:uiPriority w:val="0"/>
    <w:pPr>
      <w:ind w:left="1260" w:leftChars="600"/>
    </w:pPr>
  </w:style>
  <w:style w:type="paragraph" w:styleId="18">
    <w:name w:val="toc 2"/>
    <w:basedOn w:val="1"/>
    <w:next w:val="1"/>
    <w:qFormat/>
    <w:uiPriority w:val="39"/>
    <w:pPr>
      <w:ind w:left="420" w:leftChars="200"/>
    </w:pPr>
  </w:style>
  <w:style w:type="paragraph" w:styleId="19">
    <w:name w:val="Body Text 2"/>
    <w:basedOn w:val="1"/>
    <w:qFormat/>
    <w:uiPriority w:val="0"/>
    <w:pPr>
      <w:spacing w:line="500" w:lineRule="exact"/>
    </w:pPr>
  </w:style>
  <w:style w:type="paragraph" w:styleId="20">
    <w:name w:val="Normal (Web)"/>
    <w:basedOn w:val="1"/>
    <w:qFormat/>
    <w:uiPriority w:val="0"/>
    <w:pPr>
      <w:widowControl/>
      <w:spacing w:beforeAutospacing="1" w:afterAutospacing="1"/>
      <w:jc w:val="left"/>
    </w:pPr>
    <w:rPr>
      <w:rFonts w:hAnsi="宋体" w:cs="宋体"/>
      <w:color w:val="000000"/>
      <w:kern w:val="0"/>
      <w:szCs w:val="24"/>
    </w:rPr>
  </w:style>
  <w:style w:type="character" w:styleId="23">
    <w:name w:val="Strong"/>
    <w:basedOn w:val="22"/>
    <w:qFormat/>
    <w:uiPriority w:val="0"/>
    <w:rPr>
      <w:b/>
    </w:rPr>
  </w:style>
  <w:style w:type="character" w:styleId="24">
    <w:name w:val="FollowedHyperlink"/>
    <w:basedOn w:val="22"/>
    <w:qFormat/>
    <w:uiPriority w:val="0"/>
    <w:rPr>
      <w:color w:val="333333"/>
      <w:u w:val="none"/>
    </w:rPr>
  </w:style>
  <w:style w:type="character" w:styleId="25">
    <w:name w:val="Emphasis"/>
    <w:basedOn w:val="22"/>
    <w:qFormat/>
    <w:uiPriority w:val="0"/>
    <w:rPr>
      <w:i/>
    </w:rPr>
  </w:style>
  <w:style w:type="character" w:styleId="26">
    <w:name w:val="HTML Variable"/>
    <w:basedOn w:val="22"/>
    <w:qFormat/>
    <w:uiPriority w:val="0"/>
    <w:rPr>
      <w:i/>
    </w:rPr>
  </w:style>
  <w:style w:type="character" w:styleId="27">
    <w:name w:val="Hyperlink"/>
    <w:basedOn w:val="22"/>
    <w:qFormat/>
    <w:uiPriority w:val="0"/>
    <w:rPr>
      <w:color w:val="333333"/>
      <w:u w:val="none"/>
    </w:rPr>
  </w:style>
  <w:style w:type="character" w:styleId="28">
    <w:name w:val="HTML Code"/>
    <w:basedOn w:val="22"/>
    <w:qFormat/>
    <w:uiPriority w:val="0"/>
    <w:rPr>
      <w:rFonts w:ascii="Courier New" w:hAnsi="Courier New"/>
      <w:sz w:val="20"/>
    </w:rPr>
  </w:style>
  <w:style w:type="character" w:styleId="29">
    <w:name w:val="HTML Cite"/>
    <w:basedOn w:val="22"/>
    <w:qFormat/>
    <w:uiPriority w:val="0"/>
    <w:rPr>
      <w:i/>
    </w:rPr>
  </w:style>
  <w:style w:type="paragraph" w:customStyle="1" w:styleId="30">
    <w:name w:val="样式 宋体 行距: 1.5 倍行距"/>
    <w:basedOn w:val="31"/>
    <w:next w:val="1"/>
    <w:qFormat/>
    <w:uiPriority w:val="0"/>
    <w:pPr>
      <w:jc w:val="center"/>
    </w:pPr>
    <w:rPr>
      <w:rFonts w:ascii="Times New Roman" w:hAnsi="Times New Roman" w:cs="Times New Roman"/>
      <w:b/>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0"/>
    <w:qFormat/>
    <w:uiPriority w:val="0"/>
    <w:pPr>
      <w:widowControl w:val="0"/>
      <w:jc w:val="both"/>
    </w:pPr>
    <w:rPr>
      <w:rFonts w:ascii="Calibri" w:hAnsi="Calibri" w:eastAsia="宋体" w:cs="黑体"/>
      <w:kern w:val="2"/>
      <w:sz w:val="21"/>
      <w:szCs w:val="24"/>
      <w:lang w:val="en-US" w:eastAsia="zh-CN" w:bidi="ar-SA"/>
    </w:rPr>
  </w:style>
  <w:style w:type="paragraph" w:customStyle="1" w:styleId="32">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3">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4">
    <w:name w:val="正文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5">
    <w:name w:val="标题 1 New"/>
    <w:basedOn w:val="34"/>
    <w:next w:val="34"/>
    <w:qFormat/>
    <w:uiPriority w:val="0"/>
    <w:pPr>
      <w:autoSpaceDE w:val="0"/>
      <w:autoSpaceDN w:val="0"/>
      <w:adjustRightInd w:val="0"/>
      <w:jc w:val="left"/>
      <w:outlineLvl w:val="0"/>
    </w:pPr>
    <w:rPr>
      <w:kern w:val="0"/>
      <w:sz w:val="30"/>
    </w:rPr>
  </w:style>
  <w:style w:type="paragraph" w:customStyle="1" w:styleId="36">
    <w:name w:val="标题 2 New New"/>
    <w:basedOn w:val="34"/>
    <w:next w:val="34"/>
    <w:qFormat/>
    <w:uiPriority w:val="0"/>
    <w:pPr>
      <w:autoSpaceDE w:val="0"/>
      <w:autoSpaceDN w:val="0"/>
      <w:adjustRightInd w:val="0"/>
      <w:jc w:val="left"/>
      <w:outlineLvl w:val="1"/>
    </w:pPr>
    <w:rPr>
      <w:kern w:val="0"/>
    </w:rPr>
  </w:style>
  <w:style w:type="paragraph" w:customStyle="1" w:styleId="3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 Indent1"/>
    <w:basedOn w:val="1"/>
    <w:qFormat/>
    <w:uiPriority w:val="0"/>
    <w:pPr>
      <w:widowControl/>
      <w:spacing w:line="360" w:lineRule="auto"/>
      <w:ind w:firstLine="420"/>
      <w:jc w:val="left"/>
    </w:pPr>
    <w:rPr>
      <w:rFonts w:hAnsi="Times New Roman"/>
      <w:kern w:val="0"/>
      <w:sz w:val="20"/>
    </w:rPr>
  </w:style>
  <w:style w:type="paragraph" w:customStyle="1" w:styleId="39">
    <w:name w:val="正文缩进1"/>
    <w:basedOn w:val="1"/>
    <w:qFormat/>
    <w:uiPriority w:val="0"/>
    <w:pPr>
      <w:widowControl/>
      <w:spacing w:line="360" w:lineRule="auto"/>
      <w:ind w:firstLine="420"/>
      <w:jc w:val="left"/>
    </w:pPr>
    <w:rPr>
      <w:rFonts w:hAnsi="Times New Roman"/>
      <w:kern w:val="0"/>
      <w:sz w:val="20"/>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0"/>
    <w:qFormat/>
    <w:uiPriority w:val="0"/>
    <w:pPr>
      <w:widowControl w:val="0"/>
      <w:jc w:val="both"/>
    </w:pPr>
    <w:rPr>
      <w:rFonts w:ascii="Calibri" w:hAnsi="Calibri" w:eastAsia="宋体" w:cs="黑体"/>
      <w:kern w:val="2"/>
      <w:sz w:val="21"/>
      <w:szCs w:val="24"/>
      <w:lang w:val="en-US" w:eastAsia="zh-CN" w:bidi="ar-SA"/>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30"/>
    <w:qFormat/>
    <w:uiPriority w:val="0"/>
    <w:pPr>
      <w:widowControl w:val="0"/>
      <w:jc w:val="both"/>
    </w:pPr>
    <w:rPr>
      <w:rFonts w:ascii="Calibri" w:hAnsi="Calibri" w:eastAsia="宋体" w:cs="黑体"/>
      <w:kern w:val="2"/>
      <w:sz w:val="21"/>
      <w:szCs w:val="24"/>
      <w:lang w:val="en-US" w:eastAsia="zh-CN" w:bidi="ar-SA"/>
    </w:rPr>
  </w:style>
  <w:style w:type="paragraph" w:customStyle="1" w:styleId="42">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Bodoni MT" w:hAnsi="Bodoni MT" w:eastAsia="宋体" w:cs="Bodoni MT"/>
      <w:kern w:val="2"/>
      <w:sz w:val="21"/>
      <w:szCs w:val="24"/>
      <w:lang w:val="en-US" w:eastAsia="zh-CN" w:bidi="ar-SA"/>
    </w:rPr>
  </w:style>
  <w:style w:type="paragraph" w:customStyle="1" w:styleId="43">
    <w:name w:val="正文文本缩进 New New"/>
    <w:basedOn w:val="34"/>
    <w:qFormat/>
    <w:uiPriority w:val="0"/>
    <w:pPr>
      <w:ind w:firstLine="560" w:firstLineChars="200"/>
    </w:pPr>
  </w:style>
  <w:style w:type="paragraph" w:customStyle="1" w:styleId="44">
    <w:name w:val="正文文本缩进 3 New"/>
    <w:basedOn w:val="34"/>
    <w:qFormat/>
    <w:uiPriority w:val="0"/>
    <w:pPr>
      <w:ind w:firstLine="560"/>
    </w:pPr>
    <w:rPr>
      <w:color w:val="FF0000"/>
    </w:rPr>
  </w:style>
  <w:style w:type="paragraph" w:customStyle="1" w:styleId="45">
    <w:name w:val="标题 3 New New New"/>
    <w:basedOn w:val="46"/>
    <w:next w:val="46"/>
    <w:qFormat/>
    <w:uiPriority w:val="0"/>
    <w:pPr>
      <w:keepNext/>
      <w:keepLines/>
      <w:jc w:val="center"/>
      <w:outlineLvl w:val="2"/>
    </w:pPr>
    <w:rPr>
      <w:sz w:val="24"/>
    </w:rPr>
  </w:style>
  <w:style w:type="paragraph" w:customStyle="1" w:styleId="46">
    <w:name w:val="正文缩进 New"/>
    <w:basedOn w:val="47"/>
    <w:qFormat/>
    <w:uiPriority w:val="0"/>
    <w:pPr>
      <w:widowControl/>
      <w:ind w:firstLine="420"/>
      <w:jc w:val="left"/>
    </w:pPr>
    <w:rPr>
      <w:kern w:val="0"/>
      <w:sz w:val="20"/>
    </w:rPr>
  </w:style>
  <w:style w:type="paragraph" w:customStyle="1" w:styleId="47">
    <w:name w:val="正文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8">
    <w:name w:val="正文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49">
    <w:name w:val="标题 3 Char"/>
    <w:link w:val="5"/>
    <w:qFormat/>
    <w:uiPriority w:val="0"/>
    <w:rPr>
      <w:rFonts w:hint="default" w:ascii="Times New Roman" w:hAnsi="Times New Roman" w:eastAsia="宋体"/>
      <w:b/>
    </w:rPr>
  </w:style>
  <w:style w:type="character" w:customStyle="1" w:styleId="50">
    <w:name w:val="NormalCharacter"/>
    <w:semiHidden/>
    <w:qFormat/>
    <w:uiPriority w:val="0"/>
    <w:rPr>
      <w:rFonts w:ascii="宋体"/>
      <w:kern w:val="2"/>
      <w:sz w:val="24"/>
      <w:lang w:val="en-US" w:eastAsia="zh-CN" w:bidi="ar-SA"/>
    </w:rPr>
  </w:style>
  <w:style w:type="paragraph" w:customStyle="1" w:styleId="51">
    <w:name w:val="标题 2 New New New"/>
    <w:basedOn w:val="52"/>
    <w:next w:val="52"/>
    <w:qFormat/>
    <w:uiPriority w:val="0"/>
    <w:pPr>
      <w:autoSpaceDE w:val="0"/>
      <w:autoSpaceDN w:val="0"/>
      <w:adjustRightInd w:val="0"/>
      <w:jc w:val="left"/>
      <w:outlineLvl w:val="1"/>
    </w:pPr>
  </w:style>
  <w:style w:type="paragraph" w:customStyle="1" w:styleId="52">
    <w:name w:val="正文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3">
    <w:name w:val="普通(网站) New"/>
    <w:basedOn w:val="54"/>
    <w:qFormat/>
    <w:uiPriority w:val="0"/>
    <w:rPr>
      <w:sz w:val="24"/>
    </w:rPr>
  </w:style>
  <w:style w:type="paragraph" w:customStyle="1" w:styleId="54">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6">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8">
    <w:name w:val="YJ22 Char"/>
    <w:link w:val="59"/>
    <w:qFormat/>
    <w:uiPriority w:val="0"/>
    <w:rPr>
      <w:rFonts w:ascii="Times New Roman" w:hAnsi="宋体"/>
      <w:b/>
      <w:kern w:val="0"/>
      <w:sz w:val="20"/>
    </w:rPr>
  </w:style>
  <w:style w:type="paragraph" w:customStyle="1" w:styleId="59">
    <w:name w:val="YJ22"/>
    <w:basedOn w:val="34"/>
    <w:next w:val="34"/>
    <w:link w:val="58"/>
    <w:qFormat/>
    <w:uiPriority w:val="0"/>
    <w:pPr>
      <w:autoSpaceDE w:val="0"/>
      <w:autoSpaceDN w:val="0"/>
      <w:adjustRightInd w:val="0"/>
      <w:jc w:val="left"/>
      <w:outlineLvl w:val="1"/>
    </w:pPr>
    <w:rPr>
      <w:rFonts w:ascii="Times New Roman" w:hAnsi="宋体"/>
      <w:b/>
      <w:kern w:val="0"/>
      <w:sz w:val="20"/>
    </w:rPr>
  </w:style>
  <w:style w:type="paragraph" w:customStyle="1" w:styleId="60">
    <w:name w:val="正文文本缩进 New"/>
    <w:basedOn w:val="61"/>
    <w:qFormat/>
    <w:uiPriority w:val="0"/>
    <w:pPr>
      <w:ind w:firstLine="560" w:firstLineChars="200"/>
    </w:pPr>
  </w:style>
  <w:style w:type="paragraph" w:customStyle="1" w:styleId="61">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2">
    <w:name w:val="正文文本缩进 New New New New"/>
    <w:basedOn w:val="63"/>
    <w:qFormat/>
    <w:uiPriority w:val="0"/>
    <w:pPr>
      <w:ind w:firstLine="560" w:firstLineChars="200"/>
    </w:pPr>
    <w:rPr>
      <w:szCs w:val="28"/>
    </w:rPr>
  </w:style>
  <w:style w:type="paragraph" w:customStyle="1" w:styleId="63">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64">
    <w:name w:val="正文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5">
    <w:name w:val="正文文本缩进 New New New New New New New"/>
    <w:basedOn w:val="64"/>
    <w:qFormat/>
    <w:uiPriority w:val="0"/>
    <w:pPr>
      <w:ind w:left="420" w:leftChars="200"/>
    </w:pPr>
    <w:rPr>
      <w:szCs w:val="24"/>
    </w:rPr>
  </w:style>
  <w:style w:type="paragraph" w:customStyle="1" w:styleId="66">
    <w:name w:val="正文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7">
    <w:name w:val="正文文本缩进 New New New New New New New New"/>
    <w:basedOn w:val="66"/>
    <w:qFormat/>
    <w:uiPriority w:val="0"/>
    <w:pPr>
      <w:ind w:left="420" w:leftChars="200"/>
    </w:pPr>
    <w:rPr>
      <w:szCs w:val="24"/>
    </w:rPr>
  </w:style>
  <w:style w:type="paragraph" w:customStyle="1" w:styleId="68">
    <w:name w:val="正文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9">
    <w:name w:val="页脚 New"/>
    <w:basedOn w:val="34"/>
    <w:qFormat/>
    <w:uiPriority w:val="0"/>
    <w:pPr>
      <w:widowControl/>
      <w:tabs>
        <w:tab w:val="center" w:pos="4153"/>
        <w:tab w:val="right" w:pos="8306"/>
      </w:tabs>
      <w:snapToGrid w:val="0"/>
      <w:jc w:val="left"/>
    </w:pPr>
    <w:rPr>
      <w:kern w:val="0"/>
      <w:sz w:val="18"/>
    </w:rPr>
  </w:style>
  <w:style w:type="character" w:customStyle="1" w:styleId="70">
    <w:name w:val="批注框文本 Char"/>
    <w:basedOn w:val="22"/>
    <w:link w:val="12"/>
    <w:qFormat/>
    <w:uiPriority w:val="0"/>
    <w:rPr>
      <w:rFonts w:ascii="宋体" w:hAnsi="等线" w:eastAsia="等线" w:cs="Times New Roman"/>
      <w:kern w:val="2"/>
      <w:sz w:val="18"/>
      <w:szCs w:val="18"/>
    </w:rPr>
  </w:style>
  <w:style w:type="character" w:customStyle="1" w:styleId="71">
    <w:name w:val="hover21"/>
    <w:basedOn w:val="22"/>
    <w:qFormat/>
    <w:uiPriority w:val="0"/>
    <w:rPr>
      <w:color w:val="5FB878"/>
    </w:rPr>
  </w:style>
  <w:style w:type="character" w:customStyle="1" w:styleId="72">
    <w:name w:val="hover22"/>
    <w:basedOn w:val="22"/>
    <w:qFormat/>
    <w:uiPriority w:val="0"/>
    <w:rPr>
      <w:color w:val="5FB878"/>
    </w:rPr>
  </w:style>
  <w:style w:type="character" w:customStyle="1" w:styleId="73">
    <w:name w:val="hover23"/>
    <w:basedOn w:val="22"/>
    <w:qFormat/>
    <w:uiPriority w:val="0"/>
    <w:rPr>
      <w:color w:val="FFFFFF"/>
    </w:rPr>
  </w:style>
  <w:style w:type="paragraph" w:customStyle="1" w:styleId="74">
    <w:name w:val="正文1"/>
    <w:basedOn w:val="1"/>
    <w:qFormat/>
    <w:uiPriority w:val="0"/>
    <w:rPr>
      <w:rFonts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2" textRotate="1"/>
    <customShpInfo spid="_x0000_s2053" textRotate="1"/>
    <customShpInfo spid="_x0000_s2054" textRotate="1"/>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113</Pages>
  <Words>74593</Words>
  <Characters>78324</Characters>
  <Lines>731</Lines>
  <Paragraphs>205</Paragraphs>
  <TotalTime>10</TotalTime>
  <ScaleCrop>false</ScaleCrop>
  <LinksUpToDate>false</LinksUpToDate>
  <CharactersWithSpaces>82094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2023-11-10T02:36:00Z</dcterms:created>
  <dc:creator>Chen~小璇</dc:creator>
  <cp:lastModifiedBy>Chen~小璇</cp:lastModifiedBy>
  <cp:lastPrinted>2024-09-29T05:07:00Z</cp:lastPrinted>
  <dcterms:modified xsi:type="dcterms:W3CDTF">2024-10-12T01:31:00Z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F8C0C499CCDE48ADAE0B85793CB5FE1E_11</vt:lpwstr>
  </property>
</Properties>
</file>