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646BC">
      <w:pPr>
        <w:spacing w:line="800" w:lineRule="exact"/>
        <w:jc w:val="center"/>
        <w:rPr>
          <w:rFonts w:hint="eastAsia" w:asciiTheme="minorEastAsia" w:hAnsiTheme="minorEastAsia" w:eastAsiaTheme="minorEastAsia" w:cstheme="minorEastAsia"/>
          <w:b/>
          <w:color w:val="000000" w:themeColor="text1"/>
          <w:sz w:val="40"/>
          <w:szCs w:val="40"/>
          <w:highlight w:val="none"/>
          <w:lang w:eastAsia="zh-CN"/>
          <w14:textFill>
            <w14:solidFill>
              <w14:schemeClr w14:val="tx1"/>
            </w14:solidFill>
          </w14:textFill>
        </w:rPr>
      </w:pPr>
      <w:r>
        <w:rPr>
          <w:rFonts w:hint="eastAsia" w:asciiTheme="minorEastAsia" w:hAnsiTheme="minorEastAsia" w:eastAsiaTheme="minorEastAsia" w:cstheme="minorEastAsia"/>
          <w:b/>
          <w:color w:val="000000" w:themeColor="text1"/>
          <w:sz w:val="48"/>
          <w:szCs w:val="48"/>
          <w:highlight w:val="none"/>
          <w:lang w:eastAsia="zh-CN"/>
          <w14:textFill>
            <w14:solidFill>
              <w14:schemeClr w14:val="tx1"/>
            </w14:solidFill>
          </w14:textFill>
        </w:rPr>
        <w:t>始兴县2025年老旧小区（基础设施）改造提升项目勘察、设计、施工总承包</w:t>
      </w:r>
    </w:p>
    <w:p w14:paraId="372BE266">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491B7975">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E8011C0">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630" w:name="_GoBack"/>
      <w:bookmarkEnd w:id="630"/>
    </w:p>
    <w:p w14:paraId="7D582DFF">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6284F61">
      <w:pPr>
        <w:pStyle w:val="1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4780B1F3">
      <w:pPr>
        <w:pStyle w:val="33"/>
        <w:spacing w:line="360" w:lineRule="auto"/>
        <w:jc w:val="cente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26"/>
          <w:sz w:val="84"/>
          <w:szCs w:val="84"/>
          <w:highlight w:val="none"/>
          <w14:textFill>
            <w14:solidFill>
              <w14:schemeClr w14:val="tx1"/>
            </w14:solidFill>
          </w14:textFill>
        </w:rPr>
        <w:t>招标文件</w:t>
      </w:r>
    </w:p>
    <w:p w14:paraId="584A1C28">
      <w:pPr>
        <w:spacing w:line="360" w:lineRule="auto"/>
        <w:ind w:left="240" w:leftChars="100"/>
        <w:jc w:val="center"/>
        <w:rPr>
          <w:rFonts w:hint="eastAsia" w:asciiTheme="minorEastAsia" w:hAnsiTheme="minorEastAsia" w:eastAsiaTheme="minorEastAsia" w:cstheme="minorEastAsia"/>
          <w:b/>
          <w:color w:val="000000" w:themeColor="text1"/>
          <w:sz w:val="32"/>
          <w:szCs w:val="32"/>
          <w:highlight w:val="none"/>
          <w14:textFill>
            <w14:solidFill>
              <w14:schemeClr w14:val="tx1"/>
            </w14:solidFill>
          </w14:textFill>
        </w:rPr>
      </w:pPr>
    </w:p>
    <w:tbl>
      <w:tblPr>
        <w:tblStyle w:val="21"/>
        <w:tblpPr w:leftFromText="180" w:rightFromText="180" w:vertAnchor="text" w:horzAnchor="page" w:tblpX="1372" w:tblpY="753"/>
        <w:tblW w:w="9799" w:type="dxa"/>
        <w:tblInd w:w="0" w:type="dxa"/>
        <w:tblLayout w:type="fixed"/>
        <w:tblCellMar>
          <w:top w:w="0" w:type="dxa"/>
          <w:left w:w="0" w:type="dxa"/>
          <w:bottom w:w="0" w:type="dxa"/>
          <w:right w:w="0" w:type="dxa"/>
        </w:tblCellMar>
      </w:tblPr>
      <w:tblGrid>
        <w:gridCol w:w="4671"/>
        <w:gridCol w:w="5128"/>
      </w:tblGrid>
      <w:tr w14:paraId="1528C84C">
        <w:tblPrEx>
          <w:tblCellMar>
            <w:top w:w="0" w:type="dxa"/>
            <w:left w:w="0" w:type="dxa"/>
            <w:bottom w:w="0" w:type="dxa"/>
            <w:right w:w="0" w:type="dxa"/>
          </w:tblCellMar>
        </w:tblPrEx>
        <w:trPr>
          <w:trHeight w:val="935" w:hRule="atLeast"/>
        </w:trPr>
        <w:tc>
          <w:tcPr>
            <w:tcW w:w="4671" w:type="dxa"/>
            <w:noWrap/>
            <w:vAlign w:val="center"/>
          </w:tcPr>
          <w:p w14:paraId="5A4A7A02">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人（盖单位章）：</w:t>
            </w:r>
          </w:p>
        </w:tc>
        <w:tc>
          <w:tcPr>
            <w:tcW w:w="5128" w:type="dxa"/>
            <w:noWrap/>
            <w:vAlign w:val="center"/>
          </w:tcPr>
          <w:p w14:paraId="43941704">
            <w:pPr>
              <w:pStyle w:val="34"/>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t>始兴县住房和城乡建设管理局</w:t>
            </w:r>
          </w:p>
        </w:tc>
      </w:tr>
      <w:tr w14:paraId="227807CE">
        <w:tblPrEx>
          <w:tblCellMar>
            <w:top w:w="0" w:type="dxa"/>
            <w:left w:w="0" w:type="dxa"/>
            <w:bottom w:w="0" w:type="dxa"/>
            <w:right w:w="0" w:type="dxa"/>
          </w:tblCellMar>
        </w:tblPrEx>
        <w:trPr>
          <w:trHeight w:val="1059" w:hRule="atLeast"/>
        </w:trPr>
        <w:tc>
          <w:tcPr>
            <w:tcW w:w="4671" w:type="dxa"/>
            <w:noWrap/>
            <w:vAlign w:val="center"/>
          </w:tcPr>
          <w:p w14:paraId="24C6A423">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招标人工作领导小组负责人（签字）：</w:t>
            </w:r>
          </w:p>
        </w:tc>
        <w:tc>
          <w:tcPr>
            <w:tcW w:w="5128" w:type="dxa"/>
            <w:noWrap/>
            <w:vAlign w:val="center"/>
          </w:tcPr>
          <w:p w14:paraId="321EF2C7">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554BBDBB">
        <w:tblPrEx>
          <w:tblCellMar>
            <w:top w:w="0" w:type="dxa"/>
            <w:left w:w="0" w:type="dxa"/>
            <w:bottom w:w="0" w:type="dxa"/>
            <w:right w:w="0" w:type="dxa"/>
          </w:tblCellMar>
        </w:tblPrEx>
        <w:trPr>
          <w:trHeight w:val="1031" w:hRule="atLeast"/>
        </w:trPr>
        <w:tc>
          <w:tcPr>
            <w:tcW w:w="4671" w:type="dxa"/>
            <w:noWrap/>
            <w:vAlign w:val="center"/>
          </w:tcPr>
          <w:p w14:paraId="1FB24DC0">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 标 代 理 机 构 （盖章）：</w:t>
            </w:r>
          </w:p>
        </w:tc>
        <w:tc>
          <w:tcPr>
            <w:tcW w:w="5128" w:type="dxa"/>
            <w:noWrap/>
            <w:vAlign w:val="center"/>
          </w:tcPr>
          <w:p w14:paraId="01B58229">
            <w:pPr>
              <w:pStyle w:val="34"/>
              <w:rPr>
                <w:rFonts w:hint="eastAsia" w:asciiTheme="minorEastAsia" w:hAnsiTheme="minorEastAsia" w:eastAsiaTheme="minorEastAsia" w:cstheme="minorEastAsia"/>
                <w:color w:val="000000" w:themeColor="text1"/>
                <w:sz w:val="28"/>
                <w:szCs w:val="28"/>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8"/>
                <w:szCs w:val="28"/>
                <w:highlight w:val="none"/>
                <w:lang w:eastAsia="zh-CN"/>
                <w14:textFill>
                  <w14:solidFill>
                    <w14:schemeClr w14:val="tx1"/>
                  </w14:solidFill>
                </w14:textFill>
              </w:rPr>
              <w:t>广东宝骏工程咨询有限公司</w:t>
            </w:r>
          </w:p>
        </w:tc>
      </w:tr>
      <w:tr w14:paraId="2BFDF3E4">
        <w:tblPrEx>
          <w:tblCellMar>
            <w:top w:w="0" w:type="dxa"/>
            <w:left w:w="0" w:type="dxa"/>
            <w:bottom w:w="0" w:type="dxa"/>
            <w:right w:w="0" w:type="dxa"/>
          </w:tblCellMar>
        </w:tblPrEx>
        <w:trPr>
          <w:trHeight w:val="809" w:hRule="atLeast"/>
        </w:trPr>
        <w:tc>
          <w:tcPr>
            <w:tcW w:w="4671" w:type="dxa"/>
            <w:noWrap/>
            <w:vAlign w:val="center"/>
          </w:tcPr>
          <w:p w14:paraId="65101364">
            <w:pPr>
              <w:pStyle w:val="34"/>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招标文件编制人（签字）：</w:t>
            </w:r>
          </w:p>
        </w:tc>
        <w:tc>
          <w:tcPr>
            <w:tcW w:w="5128" w:type="dxa"/>
            <w:noWrap/>
            <w:vAlign w:val="center"/>
          </w:tcPr>
          <w:p w14:paraId="18AAEBD4">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2F0F3FF4">
        <w:tblPrEx>
          <w:tblCellMar>
            <w:top w:w="0" w:type="dxa"/>
            <w:left w:w="0" w:type="dxa"/>
            <w:bottom w:w="0" w:type="dxa"/>
            <w:right w:w="0" w:type="dxa"/>
          </w:tblCellMar>
        </w:tblPrEx>
        <w:trPr>
          <w:trHeight w:val="863" w:hRule="atLeast"/>
        </w:trPr>
        <w:tc>
          <w:tcPr>
            <w:tcW w:w="4671" w:type="dxa"/>
            <w:noWrap/>
            <w:vAlign w:val="center"/>
          </w:tcPr>
          <w:p w14:paraId="1B395422">
            <w:pPr>
              <w:pStyle w:val="34"/>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招标代理机构项目负责人（签字）：</w:t>
            </w:r>
          </w:p>
        </w:tc>
        <w:tc>
          <w:tcPr>
            <w:tcW w:w="5128" w:type="dxa"/>
            <w:noWrap/>
            <w:vAlign w:val="center"/>
          </w:tcPr>
          <w:p w14:paraId="5972A199">
            <w:pPr>
              <w:pStyle w:val="34"/>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p>
        </w:tc>
      </w:tr>
      <w:tr w14:paraId="3220C8AE">
        <w:tblPrEx>
          <w:tblCellMar>
            <w:top w:w="0" w:type="dxa"/>
            <w:left w:w="0" w:type="dxa"/>
            <w:bottom w:w="0" w:type="dxa"/>
            <w:right w:w="0" w:type="dxa"/>
          </w:tblCellMar>
        </w:tblPrEx>
        <w:trPr>
          <w:trHeight w:val="1047" w:hRule="atLeast"/>
        </w:trPr>
        <w:tc>
          <w:tcPr>
            <w:tcW w:w="4671" w:type="dxa"/>
            <w:noWrap/>
            <w:vAlign w:val="center"/>
          </w:tcPr>
          <w:p w14:paraId="363AD005">
            <w:pPr>
              <w:pStyle w:val="34"/>
              <w:wordWrap w:val="0"/>
              <w:jc w:val="distribute"/>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招标文件编制日期：</w:t>
            </w:r>
          </w:p>
        </w:tc>
        <w:tc>
          <w:tcPr>
            <w:tcW w:w="5128" w:type="dxa"/>
            <w:noWrap/>
            <w:vAlign w:val="center"/>
          </w:tcPr>
          <w:p w14:paraId="71D0DC53">
            <w:pPr>
              <w:pStyle w:val="34"/>
              <w:rPr>
                <w:rFonts w:hint="eastAsia" w:asciiTheme="minorEastAsia" w:hAnsiTheme="minorEastAsia" w:eastAsiaTheme="minorEastAsia" w:cstheme="minorEastAsia"/>
                <w:color w:val="000000" w:themeColor="text1"/>
                <w:sz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highlight w:val="none"/>
                <w14:textFill>
                  <w14:solidFill>
                    <w14:schemeClr w14:val="tx1"/>
                  </w14:solidFill>
                </w14:textFill>
              </w:rPr>
              <w:t>202</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sz w:val="28"/>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highlight w:val="none"/>
                <w14:textFill>
                  <w14:solidFill>
                    <w14:schemeClr w14:val="tx1"/>
                  </w14:solidFill>
                </w14:textFill>
              </w:rPr>
              <w:t>月</w:t>
            </w:r>
          </w:p>
        </w:tc>
      </w:tr>
    </w:tbl>
    <w:p w14:paraId="2A129E55">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BA971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8CC84CD">
      <w:pPr>
        <w:pStyle w:val="8"/>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8B1A27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sectPr>
          <w:footerReference r:id="rId3" w:type="default"/>
          <w:endnotePr>
            <w:numFmt w:val="decimal"/>
          </w:endnotePr>
          <w:pgSz w:w="11906" w:h="16838"/>
          <w:pgMar w:top="1440" w:right="1463" w:bottom="1440" w:left="1463" w:header="851" w:footer="992" w:gutter="0"/>
          <w:pgNumType w:start="1"/>
          <w:cols w:space="720" w:num="1"/>
          <w:docGrid w:type="lines" w:linePitch="312" w:charSpace="0"/>
        </w:sectPr>
      </w:pPr>
    </w:p>
    <w:p w14:paraId="6DF9B08C">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D35D9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1B973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743739B">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248EBD7">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0AD838A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14E94C4">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F54B98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1B6F446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C7C5C77">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8A5810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4207426">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4328C888">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5A009B4">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61B7B28">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0B07DEC">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478C51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7834CE7A">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D619D7E">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0FFD412">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34C74AE0">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51B6D913">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p>
    <w:p w14:paraId="2F914B0F">
      <w:pPr>
        <w:pStyle w:val="35"/>
        <w:tabs>
          <w:tab w:val="left" w:pos="4935"/>
        </w:tabs>
        <w:jc w:val="cente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t>目    录</w:t>
      </w:r>
    </w:p>
    <w:p w14:paraId="1ECAB99B">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TOC \o "1-4" \h \z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_Toc15133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第一章投标须知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_Toc15133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06AADC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_Toc1176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第一节.投标须知前附表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_Toc1176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CB64A8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_Toc28725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第二节.重要事项时间地点一览表.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_Toc28725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AC0885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_Toc15455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第三节 投标须知正文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_Toc15455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56E954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_Toc13650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 工程概况综合说明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_Toc13650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755666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_Toc21208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2 、招标范围</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_Toc21208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A59F99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_Toc16152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4 、投标人资质及条件要求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_Toc16152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5BE764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_Toc21005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5 、工程招标内容及要求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_Toc21005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4A28FE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_Toc24448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6 、招标工程施工条件及现场踏勘</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_Toc24448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A961B9E">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_Toc15330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7 、其他招标说明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_Toc15330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8FF204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_Toc20864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8 、招标答疑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_Toc20864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C9C11F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_Toc9611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9 、投标报价的编制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_Toc9611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E5C430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_Toc27432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10、 最高</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限价的确定</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_Toc27432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AF7AD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_Toc5058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文件的编制要求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_Toc5058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93E3E05">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_Toc12692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kern w:val="0"/>
          <w:highlight w:val="none"/>
          <w:lang w:val="en-US" w:eastAsia="zh-CN" w:bidi="ar-SA"/>
          <w14:textFill>
            <w14:solidFill>
              <w14:schemeClr w14:val="tx1"/>
            </w14:solidFill>
          </w14:textFill>
        </w:rPr>
        <w:t>11.1 一般要求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_Toc12692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5F23E7A">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_Toc17777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snapToGrid w:val="0"/>
          <w:color w:val="000000" w:themeColor="text1"/>
          <w:kern w:val="0"/>
          <w:highlight w:val="none"/>
          <w:lang w:val="en-US" w:eastAsia="zh-CN" w:bidi="ar-SA"/>
          <w14:textFill>
            <w14:solidFill>
              <w14:schemeClr w14:val="tx1"/>
            </w14:solidFill>
          </w14:textFill>
        </w:rPr>
        <w:t>11.2 投标标书的编制要求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_Toc17777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28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91223D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_Toc25938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12、 投标有效期及对投标人的其他要求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_Toc25938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9B3998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_Toc4925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开标</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_Toc4925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D29734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_Toc22546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评标的方法和标准</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_Toc22546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33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C373FD1">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_Toc21715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中标候选人公示</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_Toc21715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794E681">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_Toc6532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第二章 拟签订合同的主要条款</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_Toc6532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76593D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_Toc1163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highlight w:val="none"/>
          <w14:textFill>
            <w14:solidFill>
              <w14:schemeClr w14:val="tx1"/>
            </w14:solidFill>
          </w14:textFill>
        </w:rPr>
        <w:t>1 工程承包方式</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_Toc1163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A122EC0">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_Toc6740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highlight w:val="none"/>
          <w14:textFill>
            <w14:solidFill>
              <w14:schemeClr w14:val="tx1"/>
            </w14:solidFill>
          </w14:textFill>
        </w:rPr>
        <w:t>2 施工图工程量清单预算的编制原则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_Toc6740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04DD9D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_Toc3531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3 工程结算原则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_Toc3531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47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25DD126">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_Toc10403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2"/>
          <w:szCs w:val="24"/>
          <w:highlight w:val="none"/>
          <w14:textFill>
            <w14:solidFill>
              <w14:schemeClr w14:val="tx1"/>
            </w14:solidFill>
          </w14:textFill>
        </w:rPr>
        <w:t>4 工程付款办法</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_Toc10403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51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F200442">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_Toc32085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第三章 中标人须知</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_Toc32085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76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A3F6007">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_Toc16575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第四章 投标人提交的其他材料</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_Toc16575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A6EC29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_Toc24177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投标保证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_Toc24177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087369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_Toc2109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履约保证金</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_Toc2109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965FC6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_Toc4640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质量保证</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_Toc4640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EAC659A">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_Toc28371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第五章 招标工程的技术要求和前期文件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_Toc28371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4C261D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_Toc30995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工程的技术要求</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_Toc30995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7D4DCB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_Toc2810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2</w:t>
      </w:r>
      <w:r>
        <w:rPr>
          <w:rFonts w:hint="eastAsia" w:asciiTheme="minorEastAsia" w:hAnsiTheme="minorEastAsia" w:eastAsiaTheme="minorEastAsia" w:cstheme="minorEastAsia"/>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szCs w:val="22"/>
          <w:highlight w:val="none"/>
          <w14:textFill>
            <w14:solidFill>
              <w14:schemeClr w14:val="tx1"/>
            </w14:solidFill>
          </w14:textFill>
        </w:rPr>
        <w:t>招标工程的项目前期资料（另附）</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_Toc2810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EC85B07">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_Toc20034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招标文件的附件</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_Toc20034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A580E7F">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_Toc14495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格式一 封面</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_Toc14495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EF256B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_Toc16216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格式二 《投标函》及《工程项目总价表》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_Toc16216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89</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43F4B1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_Toc29297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格式三 各项</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承诺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_Toc29297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B9B1144">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_Toc31048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格式四 授权委托书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_Toc31048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109E3B3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_Toc25231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格式五 法定代表人身份证明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_Toc25231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51D882E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_Toc21193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格式六 联合体协议书</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_Toc21193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98</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AC02F6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_Toc19868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格式七 投标人基本情况表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_Toc19868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38BA536C">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_Toc19348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格式八 项目经理简历表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_Toc19348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101</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E1FDFE8">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_Toc21382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格式九 项目经理任职声明</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_Toc21382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6D82792">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_Toc3727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 项目技术负责人简历表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_Toc3727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103</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D2037CA">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_Toc7048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格式十一 项目设计负责人简历表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_Toc7048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734BCC55">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_Toc22091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 xml:space="preserve"> 项目管理机构组成表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_Toc22091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105</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104E247">
      <w:pPr>
        <w:pStyle w:val="18"/>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_Toc27948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 xml:space="preserve"> 原件一览表</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_Toc27948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4D17BACC">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_Toc20094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color w:val="000000" w:themeColor="text1"/>
          <w:kern w:val="44"/>
          <w:szCs w:val="30"/>
          <w:highlight w:val="none"/>
          <w14:textFill>
            <w14:solidFill>
              <w14:schemeClr w14:val="tx1"/>
            </w14:solidFill>
          </w14:textFill>
        </w:rPr>
        <w:t>章  廉政合同、履约保函、预付款保函、支付保函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_Toc20094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0A33D93">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_Toc1617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廉政合同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_Toc1617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107</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3DD323E">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_Toc8814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履约保函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_Toc8814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110</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3A13527">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_Toc16010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预付款保函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_Toc16010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112</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295434B3">
      <w:pPr>
        <w:pStyle w:val="10"/>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_Toc10067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t>支付保函</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_Toc10067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114</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FBA1C6C">
      <w:pPr>
        <w:pStyle w:val="15"/>
        <w:tabs>
          <w:tab w:val="right" w:leader="dot" w:pos="8306"/>
        </w:tabs>
        <w:rPr>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instrText xml:space="preserve"> HYPERLINK \l _Toc19022 </w:instrText>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第</w:t>
      </w:r>
      <w:r>
        <w:rPr>
          <w:rFonts w:hint="eastAsia" w:asciiTheme="minorEastAsia" w:hAnsiTheme="minorEastAsia" w:eastAsiaTheme="minorEastAsia" w:cstheme="minorEastAsia"/>
          <w:color w:val="000000" w:themeColor="text1"/>
          <w:kern w:val="44"/>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color w:val="000000" w:themeColor="text1"/>
          <w:kern w:val="44"/>
          <w:szCs w:val="36"/>
          <w:highlight w:val="none"/>
          <w14:textFill>
            <w14:solidFill>
              <w14:schemeClr w14:val="tx1"/>
            </w14:solidFill>
          </w14:textFill>
        </w:rPr>
        <w:t>章  建设工程合同</w:t>
      </w:r>
      <w:r>
        <w:rPr>
          <w:color w:val="000000" w:themeColor="text1"/>
          <w:highlight w:val="none"/>
          <w14:textFill>
            <w14:solidFill>
              <w14:schemeClr w14:val="tx1"/>
            </w14:solidFill>
          </w14:textFill>
        </w:rPr>
        <w:tab/>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PAGEREF _Toc19022 \h </w:instrText>
      </w:r>
      <w:r>
        <w:rPr>
          <w:color w:val="000000" w:themeColor="text1"/>
          <w:highlight w:val="none"/>
          <w14:textFill>
            <w14:solidFill>
              <w14:schemeClr w14:val="tx1"/>
            </w14:solidFill>
          </w14:textFill>
        </w:rPr>
        <w:fldChar w:fldCharType="separate"/>
      </w:r>
      <w:r>
        <w:rPr>
          <w:color w:val="000000" w:themeColor="text1"/>
          <w:highlight w:val="none"/>
          <w14:textFill>
            <w14:solidFill>
              <w14:schemeClr w14:val="tx1"/>
            </w14:solidFill>
          </w14:textFill>
        </w:rPr>
        <w:t>116</w:t>
      </w:r>
      <w:r>
        <w:rPr>
          <w:color w:val="000000" w:themeColor="text1"/>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6307B97C">
      <w:pPr>
        <w:pStyle w:val="35"/>
        <w:tabs>
          <w:tab w:val="left" w:pos="4935"/>
        </w:tabs>
        <w:jc w:val="center"/>
        <w:rPr>
          <w:rFonts w:hint="eastAsia" w:asciiTheme="minorEastAsia" w:hAnsiTheme="minorEastAsia" w:eastAsiaTheme="minorEastAsia" w:cstheme="minorEastAsia"/>
          <w:color w:val="000000" w:themeColor="text1"/>
          <w:szCs w:val="21"/>
          <w:highlight w:val="none"/>
          <w14:textFill>
            <w14:solidFill>
              <w14:schemeClr w14:val="tx1"/>
            </w14:solidFill>
          </w14:textFill>
        </w:rPr>
        <w:sectPr>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fldChar w:fldCharType="end"/>
      </w:r>
    </w:p>
    <w:p w14:paraId="0A0B2040">
      <w:pPr>
        <w:pStyle w:val="36"/>
        <w:keepNext/>
        <w:keepLine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0" w:name="_Toc15133"/>
      <w:bookmarkStart w:id="1" w:name="_Hlt11169025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第一章投标须知</w:t>
      </w:r>
      <w:bookmarkEnd w:id="0"/>
    </w:p>
    <w:p w14:paraId="538A9106">
      <w:pPr>
        <w:pStyle w:val="37"/>
        <w:keepNext/>
        <w:keepLines/>
        <w:autoSpaceDE/>
        <w:autoSpaceDN/>
        <w:adjustRightInd/>
        <w:spacing w:before="260" w:after="260" w:line="360" w:lineRule="exact"/>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 w:name="_Hlt127175444"/>
      <w:bookmarkEnd w:id="2"/>
      <w:bookmarkStart w:id="3" w:name="_Toc1176"/>
      <w:bookmarkStart w:id="4" w:name="_Hlt12007752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第一节.投标须知前附表</w:t>
      </w:r>
      <w:bookmarkEnd w:id="3"/>
    </w:p>
    <w:tbl>
      <w:tblPr>
        <w:tblStyle w:val="21"/>
        <w:tblW w:w="1006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810"/>
        <w:gridCol w:w="1709"/>
        <w:gridCol w:w="7544"/>
      </w:tblGrid>
      <w:tr w14:paraId="3DBD73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6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653E66C">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序</w:t>
            </w:r>
          </w:p>
          <w:p w14:paraId="6780CDE9">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号</w:t>
            </w:r>
          </w:p>
        </w:tc>
        <w:tc>
          <w:tcPr>
            <w:tcW w:w="1709" w:type="dxa"/>
            <w:tcBorders>
              <w:top w:val="single" w:color="auto" w:sz="4" w:space="0"/>
              <w:left w:val="single" w:color="auto" w:sz="4" w:space="0"/>
              <w:bottom w:val="single" w:color="auto" w:sz="4" w:space="0"/>
              <w:right w:val="single" w:color="auto" w:sz="4" w:space="0"/>
            </w:tcBorders>
            <w:noWrap/>
            <w:vAlign w:val="center"/>
          </w:tcPr>
          <w:p w14:paraId="49AE4A42">
            <w:pPr>
              <w:pStyle w:val="35"/>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内容</w:t>
            </w:r>
          </w:p>
        </w:tc>
        <w:tc>
          <w:tcPr>
            <w:tcW w:w="7544" w:type="dxa"/>
            <w:tcBorders>
              <w:top w:val="single" w:color="auto" w:sz="4" w:space="0"/>
              <w:left w:val="single" w:color="auto" w:sz="4" w:space="0"/>
              <w:bottom w:val="single" w:color="auto" w:sz="4" w:space="0"/>
              <w:right w:val="single" w:color="auto" w:sz="4" w:space="0"/>
            </w:tcBorders>
            <w:noWrap/>
            <w:vAlign w:val="center"/>
          </w:tcPr>
          <w:p w14:paraId="42F4043B">
            <w:pPr>
              <w:pStyle w:val="35"/>
              <w:tabs>
                <w:tab w:val="left" w:pos="1180"/>
              </w:tabs>
              <w:jc w:val="cente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说明与要求</w:t>
            </w:r>
          </w:p>
        </w:tc>
      </w:tr>
      <w:tr w14:paraId="31F70F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202EDA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1709" w:type="dxa"/>
            <w:tcBorders>
              <w:top w:val="single" w:color="auto" w:sz="4" w:space="0"/>
              <w:left w:val="single" w:color="auto" w:sz="4" w:space="0"/>
              <w:bottom w:val="single" w:color="auto" w:sz="4" w:space="0"/>
              <w:right w:val="single" w:color="auto" w:sz="4" w:space="0"/>
            </w:tcBorders>
            <w:noWrap/>
            <w:vAlign w:val="center"/>
          </w:tcPr>
          <w:p w14:paraId="274784C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名称</w:t>
            </w:r>
          </w:p>
        </w:tc>
        <w:tc>
          <w:tcPr>
            <w:tcW w:w="7544" w:type="dxa"/>
            <w:tcBorders>
              <w:top w:val="single" w:color="auto" w:sz="4" w:space="0"/>
              <w:left w:val="single" w:color="auto" w:sz="4" w:space="0"/>
              <w:bottom w:val="single" w:color="auto" w:sz="4" w:space="0"/>
              <w:right w:val="single" w:color="auto" w:sz="4" w:space="0"/>
            </w:tcBorders>
            <w:noWrap/>
            <w:vAlign w:val="top"/>
          </w:tcPr>
          <w:p w14:paraId="555CDF75">
            <w:pPr>
              <w:pStyle w:val="38"/>
              <w:wordWrap w:val="0"/>
              <w:adjustRightInd w:val="0"/>
              <w:snapToGrid w:val="0"/>
              <w:spacing w:line="360" w:lineRule="auto"/>
              <w:jc w:val="both"/>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始兴县2025年老旧小区（基础设施）改造提升项目勘察、设计、施工总承包</w:t>
            </w:r>
          </w:p>
        </w:tc>
      </w:tr>
      <w:tr w14:paraId="667E27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212849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1709" w:type="dxa"/>
            <w:tcBorders>
              <w:top w:val="single" w:color="auto" w:sz="4" w:space="0"/>
              <w:left w:val="single" w:color="auto" w:sz="4" w:space="0"/>
              <w:bottom w:val="single" w:color="auto" w:sz="4" w:space="0"/>
              <w:right w:val="single" w:color="auto" w:sz="4" w:space="0"/>
            </w:tcBorders>
            <w:noWrap/>
            <w:vAlign w:val="center"/>
          </w:tcPr>
          <w:p w14:paraId="2DC1AF30">
            <w:pPr>
              <w:pStyle w:val="35"/>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项目业主</w:t>
            </w:r>
          </w:p>
        </w:tc>
        <w:tc>
          <w:tcPr>
            <w:tcW w:w="7544" w:type="dxa"/>
            <w:tcBorders>
              <w:top w:val="single" w:color="auto" w:sz="4" w:space="0"/>
              <w:left w:val="single" w:color="auto" w:sz="4" w:space="0"/>
              <w:bottom w:val="single" w:color="auto" w:sz="4" w:space="0"/>
              <w:right w:val="single" w:color="auto" w:sz="4" w:space="0"/>
            </w:tcBorders>
            <w:noWrap/>
            <w:vAlign w:val="center"/>
          </w:tcPr>
          <w:p w14:paraId="28071C5D">
            <w:pPr>
              <w:pStyle w:val="35"/>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r>
      <w:tr w14:paraId="1B5E5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CE3855">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p>
        </w:tc>
        <w:tc>
          <w:tcPr>
            <w:tcW w:w="1709" w:type="dxa"/>
            <w:tcBorders>
              <w:top w:val="single" w:color="auto" w:sz="4" w:space="0"/>
              <w:left w:val="single" w:color="auto" w:sz="4" w:space="0"/>
              <w:bottom w:val="single" w:color="auto" w:sz="4" w:space="0"/>
              <w:right w:val="single" w:color="auto" w:sz="4" w:space="0"/>
            </w:tcBorders>
            <w:noWrap/>
            <w:vAlign w:val="center"/>
          </w:tcPr>
          <w:p w14:paraId="7DF55BAA">
            <w:pPr>
              <w:pStyle w:val="35"/>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项目批准部门</w:t>
            </w:r>
          </w:p>
        </w:tc>
        <w:tc>
          <w:tcPr>
            <w:tcW w:w="7544" w:type="dxa"/>
            <w:tcBorders>
              <w:top w:val="single" w:color="auto" w:sz="4" w:space="0"/>
              <w:left w:val="single" w:color="auto" w:sz="4" w:space="0"/>
              <w:bottom w:val="single" w:color="auto" w:sz="4" w:space="0"/>
              <w:right w:val="single" w:color="auto" w:sz="4" w:space="0"/>
            </w:tcBorders>
            <w:noWrap/>
            <w:vAlign w:val="center"/>
          </w:tcPr>
          <w:p w14:paraId="5F2090D9">
            <w:pPr>
              <w:pStyle w:val="35"/>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始兴县发展和改革局</w:t>
            </w:r>
          </w:p>
        </w:tc>
      </w:tr>
      <w:tr w14:paraId="031EF7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24D266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w:t>
            </w:r>
          </w:p>
        </w:tc>
        <w:tc>
          <w:tcPr>
            <w:tcW w:w="1709" w:type="dxa"/>
            <w:tcBorders>
              <w:top w:val="single" w:color="auto" w:sz="4" w:space="0"/>
              <w:left w:val="single" w:color="auto" w:sz="4" w:space="0"/>
              <w:bottom w:val="single" w:color="auto" w:sz="4" w:space="0"/>
              <w:right w:val="single" w:color="auto" w:sz="4" w:space="0"/>
            </w:tcBorders>
            <w:noWrap/>
            <w:vAlign w:val="center"/>
          </w:tcPr>
          <w:p w14:paraId="6C46B38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项目批准文号</w:t>
            </w:r>
          </w:p>
        </w:tc>
        <w:tc>
          <w:tcPr>
            <w:tcW w:w="7544" w:type="dxa"/>
            <w:tcBorders>
              <w:top w:val="single" w:color="auto" w:sz="4" w:space="0"/>
              <w:left w:val="single" w:color="auto" w:sz="4" w:space="0"/>
              <w:bottom w:val="single" w:color="auto" w:sz="4" w:space="0"/>
              <w:right w:val="single" w:color="auto" w:sz="4" w:space="0"/>
            </w:tcBorders>
            <w:noWrap/>
            <w:vAlign w:val="center"/>
          </w:tcPr>
          <w:p w14:paraId="16174243">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始发改投审〔2025〕6号</w:t>
            </w:r>
          </w:p>
        </w:tc>
      </w:tr>
      <w:tr w14:paraId="6DB8AD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389E08B8">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5</w:t>
            </w:r>
          </w:p>
        </w:tc>
        <w:tc>
          <w:tcPr>
            <w:tcW w:w="1709" w:type="dxa"/>
            <w:tcBorders>
              <w:top w:val="single" w:color="auto" w:sz="4" w:space="0"/>
              <w:left w:val="single" w:color="auto" w:sz="4" w:space="0"/>
              <w:bottom w:val="single" w:color="auto" w:sz="4" w:space="0"/>
              <w:right w:val="single" w:color="auto" w:sz="4" w:space="0"/>
            </w:tcBorders>
            <w:noWrap/>
            <w:vAlign w:val="center"/>
          </w:tcPr>
          <w:p w14:paraId="09AE85F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项目代码</w:t>
            </w:r>
          </w:p>
        </w:tc>
        <w:tc>
          <w:tcPr>
            <w:tcW w:w="7544" w:type="dxa"/>
            <w:tcBorders>
              <w:top w:val="single" w:color="auto" w:sz="4" w:space="0"/>
              <w:left w:val="single" w:color="auto" w:sz="4" w:space="0"/>
              <w:bottom w:val="single" w:color="auto" w:sz="4" w:space="0"/>
              <w:right w:val="single" w:color="auto" w:sz="4" w:space="0"/>
            </w:tcBorders>
            <w:noWrap/>
            <w:vAlign w:val="center"/>
          </w:tcPr>
          <w:p w14:paraId="7732AE4D">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2502-440222-04-01-335924</w:t>
            </w:r>
          </w:p>
        </w:tc>
      </w:tr>
      <w:tr w14:paraId="7CB769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6D0B3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6</w:t>
            </w:r>
          </w:p>
        </w:tc>
        <w:tc>
          <w:tcPr>
            <w:tcW w:w="1709" w:type="dxa"/>
            <w:tcBorders>
              <w:top w:val="single" w:color="auto" w:sz="4" w:space="0"/>
              <w:left w:val="single" w:color="auto" w:sz="4" w:space="0"/>
              <w:bottom w:val="single" w:color="auto" w:sz="4" w:space="0"/>
              <w:right w:val="single" w:color="auto" w:sz="4" w:space="0"/>
            </w:tcBorders>
            <w:noWrap/>
            <w:vAlign w:val="center"/>
          </w:tcPr>
          <w:p w14:paraId="3DD3F795">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资金来源</w:t>
            </w:r>
          </w:p>
          <w:p w14:paraId="7533B92D">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及出资比例</w:t>
            </w:r>
          </w:p>
        </w:tc>
        <w:tc>
          <w:tcPr>
            <w:tcW w:w="7544" w:type="dxa"/>
            <w:tcBorders>
              <w:top w:val="single" w:color="auto" w:sz="4" w:space="0"/>
              <w:left w:val="single" w:color="auto" w:sz="4" w:space="0"/>
              <w:bottom w:val="single" w:color="auto" w:sz="4" w:space="0"/>
              <w:right w:val="single" w:color="auto" w:sz="4" w:space="0"/>
            </w:tcBorders>
            <w:noWrap/>
            <w:vAlign w:val="center"/>
          </w:tcPr>
          <w:p w14:paraId="75701D46">
            <w:pPr>
              <w:pStyle w:val="35"/>
              <w:tabs>
                <w:tab w:val="left" w:pos="1180"/>
              </w:tabs>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由县级财政资金安排解决，100%</w:t>
            </w:r>
          </w:p>
        </w:tc>
      </w:tr>
      <w:tr w14:paraId="2FE46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3C1051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w:t>
            </w:r>
          </w:p>
        </w:tc>
        <w:tc>
          <w:tcPr>
            <w:tcW w:w="1709" w:type="dxa"/>
            <w:tcBorders>
              <w:top w:val="single" w:color="auto" w:sz="4" w:space="0"/>
              <w:left w:val="single" w:color="auto" w:sz="4" w:space="0"/>
              <w:bottom w:val="single" w:color="auto" w:sz="4" w:space="0"/>
              <w:right w:val="single" w:color="auto" w:sz="4" w:space="0"/>
            </w:tcBorders>
            <w:noWrap/>
            <w:vAlign w:val="center"/>
          </w:tcPr>
          <w:p w14:paraId="30F2C763">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招标人</w:t>
            </w:r>
          </w:p>
        </w:tc>
        <w:tc>
          <w:tcPr>
            <w:tcW w:w="7544" w:type="dxa"/>
            <w:tcBorders>
              <w:top w:val="single" w:color="auto" w:sz="4" w:space="0"/>
              <w:left w:val="single" w:color="auto" w:sz="4" w:space="0"/>
              <w:bottom w:val="single" w:color="auto" w:sz="4" w:space="0"/>
              <w:right w:val="single" w:color="auto" w:sz="4" w:space="0"/>
            </w:tcBorders>
            <w:noWrap/>
            <w:vAlign w:val="center"/>
          </w:tcPr>
          <w:p w14:paraId="7D027C52">
            <w:pPr>
              <w:pStyle w:val="35"/>
              <w:rPr>
                <w:rFonts w:hint="eastAsia" w:asciiTheme="minorEastAsia" w:hAnsiTheme="minorEastAsia" w:eastAsiaTheme="minorEastAsia" w:cstheme="minorEastAsia"/>
                <w:bCs/>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始兴县住房和城乡建设管理局</w:t>
            </w:r>
          </w:p>
        </w:tc>
      </w:tr>
      <w:tr w14:paraId="341DB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368"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0EF99DD">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8</w:t>
            </w:r>
          </w:p>
        </w:tc>
        <w:tc>
          <w:tcPr>
            <w:tcW w:w="1709" w:type="dxa"/>
            <w:tcBorders>
              <w:top w:val="single" w:color="auto" w:sz="4" w:space="0"/>
              <w:left w:val="single" w:color="auto" w:sz="4" w:space="0"/>
              <w:bottom w:val="single" w:color="auto" w:sz="4" w:space="0"/>
              <w:right w:val="single" w:color="auto" w:sz="4" w:space="0"/>
            </w:tcBorders>
            <w:noWrap/>
            <w:vAlign w:val="center"/>
          </w:tcPr>
          <w:p w14:paraId="63B486E7">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招标代理机构</w:t>
            </w:r>
          </w:p>
        </w:tc>
        <w:tc>
          <w:tcPr>
            <w:tcW w:w="7544" w:type="dxa"/>
            <w:tcBorders>
              <w:top w:val="single" w:color="auto" w:sz="4" w:space="0"/>
              <w:left w:val="single" w:color="auto" w:sz="4" w:space="0"/>
              <w:bottom w:val="single" w:color="auto" w:sz="4" w:space="0"/>
              <w:right w:val="single" w:color="auto" w:sz="4" w:space="0"/>
            </w:tcBorders>
            <w:noWrap/>
            <w:vAlign w:val="center"/>
          </w:tcPr>
          <w:p w14:paraId="16F133CA">
            <w:pPr>
              <w:pStyle w:val="35"/>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广东宝骏工程咨询有限公司</w:t>
            </w:r>
          </w:p>
        </w:tc>
      </w:tr>
      <w:tr w14:paraId="2BF5AC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341781E">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w:t>
            </w:r>
          </w:p>
        </w:tc>
        <w:tc>
          <w:tcPr>
            <w:tcW w:w="1709" w:type="dxa"/>
            <w:tcBorders>
              <w:top w:val="single" w:color="auto" w:sz="4" w:space="0"/>
              <w:left w:val="single" w:color="auto" w:sz="4" w:space="0"/>
              <w:bottom w:val="single" w:color="auto" w:sz="4" w:space="0"/>
              <w:right w:val="single" w:color="auto" w:sz="4" w:space="0"/>
            </w:tcBorders>
            <w:noWrap/>
            <w:vAlign w:val="center"/>
          </w:tcPr>
          <w:p w14:paraId="3F8C2B89">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项目总投资</w:t>
            </w:r>
          </w:p>
        </w:tc>
        <w:tc>
          <w:tcPr>
            <w:tcW w:w="7544" w:type="dxa"/>
            <w:tcBorders>
              <w:top w:val="single" w:color="auto" w:sz="4" w:space="0"/>
              <w:left w:val="single" w:color="auto" w:sz="4" w:space="0"/>
              <w:bottom w:val="single" w:color="auto" w:sz="4" w:space="0"/>
              <w:right w:val="single" w:color="auto" w:sz="4" w:space="0"/>
            </w:tcBorders>
            <w:noWrap/>
            <w:vAlign w:val="center"/>
          </w:tcPr>
          <w:p w14:paraId="1F31922D">
            <w:pPr>
              <w:pStyle w:val="35"/>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本项目总估算约为8741.46万元，其中：建安工程费用6225.83万元，勘察、设计费用248.73万元。</w:t>
            </w:r>
          </w:p>
        </w:tc>
      </w:tr>
      <w:tr w14:paraId="35CAAE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FF009B5">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w:t>
            </w:r>
          </w:p>
        </w:tc>
        <w:tc>
          <w:tcPr>
            <w:tcW w:w="1709" w:type="dxa"/>
            <w:tcBorders>
              <w:top w:val="single" w:color="auto" w:sz="4" w:space="0"/>
              <w:left w:val="single" w:color="auto" w:sz="4" w:space="0"/>
              <w:bottom w:val="single" w:color="auto" w:sz="4" w:space="0"/>
              <w:right w:val="single" w:color="auto" w:sz="4" w:space="0"/>
            </w:tcBorders>
            <w:noWrap/>
            <w:vAlign w:val="center"/>
          </w:tcPr>
          <w:p w14:paraId="2DA831A3">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建设地点</w:t>
            </w:r>
          </w:p>
        </w:tc>
        <w:tc>
          <w:tcPr>
            <w:tcW w:w="7544" w:type="dxa"/>
            <w:tcBorders>
              <w:top w:val="single" w:color="auto" w:sz="4" w:space="0"/>
              <w:left w:val="single" w:color="auto" w:sz="4" w:space="0"/>
              <w:bottom w:val="single" w:color="auto" w:sz="4" w:space="0"/>
              <w:right w:val="single" w:color="auto" w:sz="4" w:space="0"/>
            </w:tcBorders>
            <w:noWrap/>
            <w:vAlign w:val="center"/>
          </w:tcPr>
          <w:p w14:paraId="48010CA5">
            <w:pPr>
              <w:pStyle w:val="35"/>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位于韶关市始兴县太平镇、城南镇镇区，包括刘镇营老旧小区、茅坪老旧小区、锅炉厂宿舍老旧小区以及城区其他基础设施老旧、居民改造意愿较为强烈等查缺补漏的片区。</w:t>
            </w:r>
          </w:p>
        </w:tc>
      </w:tr>
      <w:tr w14:paraId="359E83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DF3B266">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p>
        </w:tc>
        <w:tc>
          <w:tcPr>
            <w:tcW w:w="1709" w:type="dxa"/>
            <w:tcBorders>
              <w:top w:val="single" w:color="auto" w:sz="4" w:space="0"/>
              <w:left w:val="single" w:color="auto" w:sz="4" w:space="0"/>
              <w:bottom w:val="single" w:color="auto" w:sz="4" w:space="0"/>
              <w:right w:val="single" w:color="auto" w:sz="4" w:space="0"/>
            </w:tcBorders>
            <w:noWrap/>
            <w:vAlign w:val="center"/>
          </w:tcPr>
          <w:p w14:paraId="62F59E6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项目建设内容</w:t>
            </w:r>
          </w:p>
          <w:p w14:paraId="428D692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和规模</w:t>
            </w:r>
          </w:p>
        </w:tc>
        <w:tc>
          <w:tcPr>
            <w:tcW w:w="7544" w:type="dxa"/>
            <w:tcBorders>
              <w:top w:val="single" w:color="auto" w:sz="4" w:space="0"/>
              <w:left w:val="single" w:color="auto" w:sz="4" w:space="0"/>
              <w:bottom w:val="single" w:color="auto" w:sz="4" w:space="0"/>
              <w:right w:val="single" w:color="auto" w:sz="4" w:space="0"/>
            </w:tcBorders>
            <w:noWrap/>
            <w:vAlign w:val="center"/>
          </w:tcPr>
          <w:p w14:paraId="50540B84">
            <w:pPr>
              <w:pStyle w:val="8"/>
              <w:spacing w:before="64" w:line="360" w:lineRule="auto"/>
              <w:ind w:right="96"/>
              <w:jc w:val="both"/>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该项目涉及楼栋数约98栋，改造户数约2681户，改造面积约19万平方米。主要建设内容为：道路白改黑23400平方米，停车场、休闲广场15600平方米，人行道10500平方米，雨污管网13300米</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等</w:t>
            </w:r>
            <w: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r>
      <w:tr w14:paraId="604893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A77891D">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12</w:t>
            </w:r>
          </w:p>
        </w:tc>
        <w:tc>
          <w:tcPr>
            <w:tcW w:w="1709" w:type="dxa"/>
            <w:tcBorders>
              <w:top w:val="single" w:color="auto" w:sz="4" w:space="0"/>
              <w:left w:val="single" w:color="auto" w:sz="4" w:space="0"/>
              <w:bottom w:val="single" w:color="auto" w:sz="4" w:space="0"/>
              <w:right w:val="single" w:color="auto" w:sz="4" w:space="0"/>
            </w:tcBorders>
            <w:noWrap/>
            <w:vAlign w:val="center"/>
          </w:tcPr>
          <w:p w14:paraId="00C6DBEB">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p>
          <w:p w14:paraId="28FE0162">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7544" w:type="dxa"/>
            <w:tcBorders>
              <w:top w:val="single" w:color="auto" w:sz="4" w:space="0"/>
              <w:left w:val="single" w:color="auto" w:sz="4" w:space="0"/>
              <w:bottom w:val="single" w:color="auto" w:sz="4" w:space="0"/>
              <w:right w:val="single" w:color="auto" w:sz="4" w:space="0"/>
            </w:tcBorders>
            <w:noWrap/>
            <w:vAlign w:val="center"/>
          </w:tcPr>
          <w:p w14:paraId="73B9AD67">
            <w:pPr>
              <w:pStyle w:val="35"/>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本工程所涉及的内容包括但不限于以下（1）</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509CE273">
            <w:pPr>
              <w:pStyle w:val="35"/>
              <w:numPr>
                <w:ilvl w:val="0"/>
                <w:numId w:val="0"/>
              </w:numPr>
              <w:ind w:firstLine="240" w:firstLineChars="100"/>
              <w:jc w:val="left"/>
              <w:rPr>
                <w:rFonts w:hint="default"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1）勘察部分（含测量测绘）：初步勘察、详细勘察（包括岩土工程勘察、地形图测量、地下管线测量等）。</w:t>
            </w:r>
          </w:p>
          <w:p w14:paraId="056307B2">
            <w:pPr>
              <w:pStyle w:val="35"/>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施工图预算（含工程量清单）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207314B3">
            <w:pPr>
              <w:pStyle w:val="35"/>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D5FC0A0">
            <w:pPr>
              <w:pStyle w:val="35"/>
              <w:ind w:firstLine="240" w:firstLineChars="1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tc>
      </w:tr>
      <w:tr w14:paraId="4CDE6A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BA5D4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13</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F559C">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标段划分</w:t>
            </w:r>
          </w:p>
        </w:tc>
        <w:tc>
          <w:tcPr>
            <w:tcW w:w="7544" w:type="dxa"/>
            <w:tcBorders>
              <w:top w:val="single" w:color="auto" w:sz="4" w:space="0"/>
              <w:left w:val="single" w:color="auto" w:sz="4" w:space="0"/>
              <w:bottom w:val="single" w:color="auto" w:sz="4" w:space="0"/>
              <w:right w:val="single" w:color="auto" w:sz="4" w:space="0"/>
            </w:tcBorders>
            <w:noWrap/>
            <w:vAlign w:val="center"/>
          </w:tcPr>
          <w:p w14:paraId="17667584">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本招标项目不划分标段。</w:t>
            </w:r>
          </w:p>
        </w:tc>
      </w:tr>
      <w:tr w14:paraId="52644D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71DC62B">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14</w:t>
            </w:r>
          </w:p>
        </w:tc>
        <w:tc>
          <w:tcPr>
            <w:tcW w:w="1709" w:type="dxa"/>
            <w:tcBorders>
              <w:top w:val="single" w:color="auto" w:sz="4" w:space="0"/>
              <w:left w:val="single" w:color="auto" w:sz="4" w:space="0"/>
              <w:bottom w:val="single" w:color="auto" w:sz="4" w:space="0"/>
              <w:right w:val="single" w:color="auto" w:sz="4" w:space="0"/>
            </w:tcBorders>
            <w:noWrap/>
            <w:vAlign w:val="center"/>
          </w:tcPr>
          <w:p w14:paraId="215D715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工期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24DE7874">
            <w:pPr>
              <w:wordWrap w:val="0"/>
              <w:adjustRightInd w:val="0"/>
              <w:snapToGrid w:val="0"/>
              <w:spacing w:line="360" w:lineRule="auto"/>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本项目勘察、设计、施工总工期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420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勘察</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p>
        </w:tc>
      </w:tr>
      <w:tr w14:paraId="0A298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4E5E7E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15</w:t>
            </w:r>
          </w:p>
        </w:tc>
        <w:tc>
          <w:tcPr>
            <w:tcW w:w="1709" w:type="dxa"/>
            <w:tcBorders>
              <w:top w:val="single" w:color="auto" w:sz="4" w:space="0"/>
              <w:left w:val="single" w:color="auto" w:sz="4" w:space="0"/>
              <w:bottom w:val="single" w:color="auto" w:sz="4" w:space="0"/>
              <w:right w:val="single" w:color="auto" w:sz="4" w:space="0"/>
            </w:tcBorders>
            <w:noWrap/>
            <w:vAlign w:val="center"/>
          </w:tcPr>
          <w:p w14:paraId="31AA206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质量标准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65376345">
            <w:pPr>
              <w:pStyle w:val="35"/>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1）</w:t>
            </w:r>
            <w:r>
              <w:rPr>
                <w:rFonts w:hint="eastAsia" w:hAnsi="宋体" w:cs="Calibri"/>
                <w:bCs/>
                <w:color w:val="000000" w:themeColor="text1"/>
                <w:sz w:val="24"/>
                <w:szCs w:val="24"/>
                <w:highlight w:val="none"/>
                <w:lang w:val="zh-CN"/>
                <w14:textFill>
                  <w14:solidFill>
                    <w14:schemeClr w14:val="tx1"/>
                  </w14:solidFill>
                </w14:textFill>
              </w:rPr>
              <w:t>勘察要求：</w:t>
            </w:r>
            <w:r>
              <w:rPr>
                <w:rFonts w:hint="eastAsia" w:ascii="宋体" w:hAnsi="宋体" w:eastAsia="宋体" w:cs="Calibri"/>
                <w:bCs/>
                <w:color w:val="000000" w:themeColor="text1"/>
                <w:sz w:val="24"/>
                <w:szCs w:val="24"/>
                <w:highlight w:val="none"/>
                <w:lang w:val="zh-CN" w:eastAsia="zh-CN"/>
                <w14:textFill>
                  <w14:solidFill>
                    <w14:schemeClr w14:val="tx1"/>
                  </w14:solidFill>
                </w14:textFill>
              </w:rPr>
              <w:t>符合国家及住建部门颁布的现行有关勘察（</w:t>
            </w:r>
            <w:r>
              <w:rPr>
                <w:rFonts w:hint="eastAsia" w:hAnsi="宋体" w:cs="Calibri"/>
                <w:bCs/>
                <w:color w:val="000000" w:themeColor="text1"/>
                <w:sz w:val="24"/>
                <w:szCs w:val="24"/>
                <w:highlight w:val="none"/>
                <w14:textFill>
                  <w14:solidFill>
                    <w14:schemeClr w14:val="tx1"/>
                  </w14:solidFill>
                </w14:textFill>
              </w:rPr>
              <w:t>含测量</w:t>
            </w:r>
            <w:r>
              <w:rPr>
                <w:rFonts w:hint="eastAsia" w:hAnsi="宋体" w:cs="Calibri"/>
                <w:bCs/>
                <w:color w:val="000000" w:themeColor="text1"/>
                <w:sz w:val="24"/>
                <w:szCs w:val="24"/>
                <w:highlight w:val="none"/>
                <w:lang w:val="en-US" w:eastAsia="zh-CN"/>
                <w14:textFill>
                  <w14:solidFill>
                    <w14:schemeClr w14:val="tx1"/>
                  </w14:solidFill>
                </w14:textFill>
              </w:rPr>
              <w:t>测绘</w:t>
            </w:r>
            <w:r>
              <w:rPr>
                <w:rFonts w:hint="eastAsia" w:ascii="宋体" w:hAnsi="宋体" w:eastAsia="宋体" w:cs="Calibri"/>
                <w:bCs/>
                <w:color w:val="000000" w:themeColor="text1"/>
                <w:sz w:val="24"/>
                <w:szCs w:val="24"/>
                <w:highlight w:val="none"/>
                <w:lang w:val="zh-CN" w:eastAsia="zh-CN"/>
                <w14:textFill>
                  <w14:solidFill>
                    <w14:schemeClr w14:val="tx1"/>
                  </w14:solidFill>
                </w14:textFill>
              </w:rPr>
              <w:t>）规范</w:t>
            </w:r>
            <w:r>
              <w:rPr>
                <w:rFonts w:hint="eastAsia" w:hAnsi="宋体" w:cs="Calibri"/>
                <w:bCs/>
                <w:color w:val="000000" w:themeColor="text1"/>
                <w:sz w:val="24"/>
                <w:szCs w:val="24"/>
                <w:highlight w:val="none"/>
                <w:lang w:val="zh-CN" w:eastAsia="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标准</w:t>
            </w:r>
            <w:r>
              <w:rPr>
                <w:rFonts w:hint="eastAsia" w:ascii="宋体" w:hAnsi="宋体" w:eastAsia="宋体" w:cs="Calibri"/>
                <w:bCs/>
                <w:color w:val="000000" w:themeColor="text1"/>
                <w:sz w:val="24"/>
                <w:szCs w:val="24"/>
                <w:highlight w:val="none"/>
                <w:lang w:val="zh-CN" w:eastAsia="zh-CN"/>
                <w14:textFill>
                  <w14:solidFill>
                    <w14:schemeClr w14:val="tx1"/>
                  </w14:solidFill>
                </w14:textFill>
              </w:rPr>
              <w:t>要求，勘察成果必须满足设计及审图合格的要求。</w:t>
            </w:r>
          </w:p>
          <w:p w14:paraId="42A8D1A7">
            <w:pPr>
              <w:pStyle w:val="35"/>
              <w:ind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设计要求：符合国家或行业颁布的现行有效的有关设计的规范要求，符合设计任务书的相关要求，并必须通过有关部门的审查及经有资质的审图机构审查合格。施工要求：</w:t>
            </w:r>
          </w:p>
          <w:p w14:paraId="1154AF97">
            <w:pPr>
              <w:pStyle w:val="35"/>
              <w:ind w:firstLine="240" w:firstLineChars="100"/>
              <w:jc w:val="left"/>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hAnsi="宋体" w:cs="Calibri"/>
                <w:bCs/>
                <w:color w:val="000000" w:themeColor="text1"/>
                <w:sz w:val="24"/>
                <w:szCs w:val="24"/>
                <w:highlight w:val="none"/>
                <w:lang w:val="zh-CN"/>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3）施工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要求：施工质量必须达到合格标准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符合现行国家有关工程施工质量验收规范和标准的要求。</w:t>
            </w:r>
          </w:p>
        </w:tc>
      </w:tr>
      <w:tr w14:paraId="3BDB02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79F774C9">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16</w:t>
            </w:r>
          </w:p>
        </w:tc>
        <w:tc>
          <w:tcPr>
            <w:tcW w:w="1709" w:type="dxa"/>
            <w:tcBorders>
              <w:top w:val="single" w:color="auto" w:sz="4" w:space="0"/>
              <w:left w:val="single" w:color="auto" w:sz="4" w:space="0"/>
              <w:bottom w:val="single" w:color="auto" w:sz="4" w:space="0"/>
              <w:right w:val="single" w:color="auto" w:sz="4" w:space="0"/>
            </w:tcBorders>
            <w:noWrap/>
            <w:vAlign w:val="center"/>
          </w:tcPr>
          <w:p w14:paraId="6A56A3F8">
            <w:pPr>
              <w:pStyle w:val="35"/>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工程最高投标限价</w:t>
            </w:r>
          </w:p>
        </w:tc>
        <w:tc>
          <w:tcPr>
            <w:tcW w:w="7544" w:type="dxa"/>
            <w:tcBorders>
              <w:top w:val="single" w:color="auto" w:sz="4" w:space="0"/>
              <w:left w:val="single" w:color="auto" w:sz="4" w:space="0"/>
              <w:bottom w:val="single" w:color="auto" w:sz="4" w:space="0"/>
              <w:right w:val="single" w:color="auto" w:sz="4" w:space="0"/>
            </w:tcBorders>
            <w:noWrap/>
            <w:vAlign w:val="center"/>
          </w:tcPr>
          <w:p w14:paraId="1C376F8D">
            <w:pPr>
              <w:pStyle w:val="35"/>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本项目最高投标限价</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为人民币(大写)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陆仟肆佰柒拾肆万伍仟陆佰元整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64745600.00</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元)。</w:t>
            </w:r>
          </w:p>
        </w:tc>
      </w:tr>
      <w:tr w14:paraId="5516B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7FE128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17</w:t>
            </w:r>
          </w:p>
        </w:tc>
        <w:tc>
          <w:tcPr>
            <w:tcW w:w="1709" w:type="dxa"/>
            <w:tcBorders>
              <w:top w:val="single" w:color="auto" w:sz="4" w:space="0"/>
              <w:left w:val="single" w:color="auto" w:sz="4" w:space="0"/>
              <w:bottom w:val="single" w:color="auto" w:sz="4" w:space="0"/>
              <w:right w:val="single" w:color="auto" w:sz="4" w:space="0"/>
            </w:tcBorders>
            <w:noWrap/>
            <w:vAlign w:val="center"/>
          </w:tcPr>
          <w:p w14:paraId="2E41CA2A">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投标人资格要求</w:t>
            </w:r>
          </w:p>
        </w:tc>
        <w:tc>
          <w:tcPr>
            <w:tcW w:w="7544" w:type="dxa"/>
            <w:tcBorders>
              <w:top w:val="single" w:color="auto" w:sz="4" w:space="0"/>
              <w:left w:val="single" w:color="auto" w:sz="4" w:space="0"/>
              <w:bottom w:val="single" w:color="auto" w:sz="4" w:space="0"/>
              <w:right w:val="single" w:color="auto" w:sz="4" w:space="0"/>
            </w:tcBorders>
            <w:noWrap/>
            <w:vAlign w:val="center"/>
          </w:tcPr>
          <w:p w14:paraId="39FEFD3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1．本次招标</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接受</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联合体投标，联合体以一个投标人的身份共同投标。</w:t>
            </w:r>
          </w:p>
          <w:p w14:paraId="516B2DA3">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个。</w:t>
            </w:r>
          </w:p>
          <w:p w14:paraId="04101C3F">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380FEA8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19465BC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1.4联合体各方不得再以自己名义单独或参加其他联合体在本招标项目中投标，否则各相关投标均无效。</w:t>
            </w:r>
          </w:p>
          <w:p w14:paraId="0A5B5613">
            <w:pPr>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2.资质要求</w:t>
            </w:r>
          </w:p>
          <w:p w14:paraId="074F05A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2.1投标人须具备独立法人资格，按国家法律经营。</w:t>
            </w:r>
          </w:p>
          <w:p w14:paraId="7506161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2.2投标人须持有行政主管部门颁发的企业资质证书。</w:t>
            </w:r>
          </w:p>
          <w:p w14:paraId="6F8573F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联合体成员中设计、施工企业分别不得超过一家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），联合体各方不得再以自己的名义单独申请，也不得同时参加两个或两个以上的联合体进行本项目的投标。</w:t>
            </w:r>
            <w:r>
              <w:rPr>
                <w:rFonts w:hint="eastAsia" w:ascii="宋体" w:hAnsi="宋体" w:eastAsia="宋体" w:cs="宋体"/>
                <w:color w:val="000000" w:themeColor="text1"/>
                <w:kern w:val="0"/>
                <w:sz w:val="24"/>
                <w:szCs w:val="24"/>
                <w:highlight w:val="none"/>
                <w14:textFill>
                  <w14:solidFill>
                    <w14:schemeClr w14:val="tx1"/>
                  </w14:solidFill>
                </w14:textFill>
              </w:rPr>
              <w:t>单一独立法人必须至少同时具备以下①～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联合体牵头人必须具备①资质</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03B08DEB">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①施工资质：具备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和 市政公用工程施工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级）资质，并获得安全生产许可证的独立法人。</w:t>
            </w:r>
          </w:p>
          <w:p w14:paraId="15C3573E">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②设计资质</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必须具备建设行政主管部门颁发的以下</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资质之一：</w:t>
            </w:r>
          </w:p>
          <w:p w14:paraId="5ED2078F">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（1）工程设计综合甲级资质；</w:t>
            </w:r>
          </w:p>
          <w:p w14:paraId="3C026E17">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（2）建筑行业工程设计乙级以上（含乙级）资质；</w:t>
            </w:r>
          </w:p>
          <w:p w14:paraId="14EB7FF9">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（3）建筑行业工程设计（建筑工程）专业乙级以上（含乙级）资质；</w:t>
            </w:r>
          </w:p>
          <w:p w14:paraId="5DA1B9AC">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（4）市政行业设计乙级以上（含乙级）资质；</w:t>
            </w:r>
          </w:p>
          <w:p w14:paraId="06223C9D">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（5）市政行业设计(燃气工程、轨道交通工程除外)乙级以上（含乙级）资质；</w:t>
            </w:r>
          </w:p>
          <w:p w14:paraId="5C93CCCF">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（6）市政行业工程设计（道路工程、给水工程、排水工程）专业乙级以上（含乙级）资质。</w:t>
            </w:r>
          </w:p>
          <w:p w14:paraId="6BC86061">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lang w:val="en-US" w:eastAsia="zh-CN"/>
                <w14:textFill>
                  <w14:solidFill>
                    <w14:schemeClr w14:val="tx1"/>
                  </w14:solidFill>
                </w14:textFill>
              </w:rPr>
              <w:t>注：投标人中标后，设计企业若不具备相应的工程勘察资质的，可由设计企业委托有相应资质的勘察单位进行工程勘察。</w:t>
            </w:r>
          </w:p>
          <w:p w14:paraId="48D5BF75">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6D837EC1">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3．相关人员要求</w:t>
            </w:r>
          </w:p>
          <w:p w14:paraId="32CE695D">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4"/>
                <w:szCs w:val="24"/>
                <w:highlight w:val="none"/>
                <w:u w:val="single"/>
                <w:lang w:eastAsia="zh-CN"/>
                <w14:textFill>
                  <w14:solidFill>
                    <w14:schemeClr w14:val="tx1"/>
                  </w14:solidFill>
                </w14:textFill>
              </w:rPr>
              <w:t>建筑工程</w:t>
            </w:r>
            <w:r>
              <w:rPr>
                <w:rFonts w:hint="eastAsia" w:asciiTheme="minorEastAsia" w:hAnsiTheme="minorEastAsia" w:eastAsiaTheme="minorEastAsia" w:cstheme="minorEastAsia"/>
                <w:snapToGrid w:val="0"/>
                <w:color w:val="000000" w:themeColor="text1"/>
                <w:kern w:val="0"/>
                <w:sz w:val="24"/>
                <w:szCs w:val="24"/>
                <w:highlight w:val="none"/>
                <w:u w:val="none"/>
                <w:lang w:val="en-US" w:eastAsia="zh-CN"/>
                <w14:textFill>
                  <w14:solidFill>
                    <w14:schemeClr w14:val="tx1"/>
                  </w14:solidFill>
                </w14:textFill>
              </w:rPr>
              <w:t xml:space="preserve"> 或 </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专业一级注册建造师</w:t>
            </w:r>
            <w:r>
              <w:rPr>
                <w:rFonts w:hint="eastAsia" w:asciiTheme="minorEastAsia" w:hAnsiTheme="minorEastAsia" w:eastAsiaTheme="minorEastAsia" w:cstheme="minorEastAsia"/>
                <w:snapToGrid w:val="0"/>
                <w:color w:val="000000" w:themeColor="text1"/>
                <w:ker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一级注册建造师应持有国家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印发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已开工未竣工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）建设工程项目的项目经理。</w:t>
            </w:r>
          </w:p>
          <w:p w14:paraId="5208E53C">
            <w:pPr>
              <w:pStyle w:val="38"/>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3.2拟派项目技术负责人须具备</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建筑工程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或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级或以上技术职称。</w:t>
            </w:r>
          </w:p>
          <w:p w14:paraId="1C5412AD">
            <w:pPr>
              <w:pStyle w:val="38"/>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3.3拟派专职安全生产管理人员须具备有效安全生产考核合格证明（C证，安全生产考核合格证书或广东省建筑施工企业管理人员安全生产考核系统考核合格信息打印页），且不少于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人。</w:t>
            </w:r>
          </w:p>
          <w:p w14:paraId="14A5DE66">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3.4</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拟委派担任本工程的设计负责人具备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注册建筑师注册证书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404D82E">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15C9389E">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4．禁止投标条款：</w:t>
            </w:r>
          </w:p>
          <w:p w14:paraId="4DC39987">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4.1．投标人不得存在下列情形之一：</w:t>
            </w:r>
          </w:p>
          <w:p w14:paraId="55A1C159">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（1）为招标人不具有独立法人资格的附属机构（单位）；</w:t>
            </w:r>
          </w:p>
          <w:p w14:paraId="7E26A68A">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（2）为本招标项目前期准备提供咨询服务的；</w:t>
            </w:r>
          </w:p>
          <w:p w14:paraId="6C37D88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（3）与本招标项目的其他投标人为同一个单位负责人；</w:t>
            </w:r>
          </w:p>
          <w:p w14:paraId="722D115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（4）与本招标项目的其他投标人存在控股、管理关系；</w:t>
            </w:r>
          </w:p>
          <w:p w14:paraId="788E6B4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（5）为本招标项目的监理人；</w:t>
            </w:r>
          </w:p>
          <w:p w14:paraId="77BAE21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（6）为本招标项目的代建人；</w:t>
            </w:r>
          </w:p>
          <w:p w14:paraId="73B25F38">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（7）为本招标项目的招标代理机构；</w:t>
            </w:r>
          </w:p>
          <w:p w14:paraId="4E96EDE3">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（8）与本招标项目的监理人或代建人或招标代理机构同为一个法定代表人；</w:t>
            </w:r>
          </w:p>
          <w:p w14:paraId="2B46BCD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（9）与本招标项目的监理人或代建人或招标代理机构存在控股或参股关系；</w:t>
            </w:r>
          </w:p>
          <w:p w14:paraId="4F229E4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（10）与本招标项目的监理人或代建人或招标代理机构存在相互任职或工作关系；</w:t>
            </w:r>
          </w:p>
          <w:p w14:paraId="0B91057E">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（11）被依法暂停或者取消投标资格；</w:t>
            </w:r>
          </w:p>
          <w:p w14:paraId="499B7F3F">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（12）被责令停产停业、暂扣或者吊销许可证、暂扣或者吊销执照；</w:t>
            </w:r>
          </w:p>
          <w:p w14:paraId="2734AE16">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（13）进入清算程序，或被宣告破产，或其他丧失履约能力的情形；</w:t>
            </w:r>
          </w:p>
          <w:p w14:paraId="0F62766D">
            <w:pPr>
              <w:wordWrap w:val="0"/>
              <w:adjustRightInd w:val="0"/>
              <w:snapToGrid w:val="0"/>
              <w:spacing w:line="360" w:lineRule="auto"/>
              <w:ind w:left="240" w:left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35D1AB67">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（15）被“信用中国”网站（https://www.creditchina.gov.cn）发布的《法人和非法人组织公共信用信息报告》列入严重失信主体名单的。</w:t>
            </w:r>
          </w:p>
          <w:p w14:paraId="19789BA1">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4.2．招标人拒绝以下名单中的单位参加本次投标：</w:t>
            </w:r>
          </w:p>
          <w:tbl>
            <w:tblPr>
              <w:tblStyle w:val="2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3405"/>
              <w:gridCol w:w="2895"/>
            </w:tblGrid>
            <w:tr w14:paraId="63F90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0AE4B0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序号</w:t>
                  </w:r>
                </w:p>
              </w:tc>
              <w:tc>
                <w:tcPr>
                  <w:tcW w:w="3405" w:type="dxa"/>
                  <w:noWrap/>
                  <w:vAlign w:val="center"/>
                </w:tcPr>
                <w:p w14:paraId="7A5A86FA">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单位名称</w:t>
                  </w:r>
                </w:p>
              </w:tc>
              <w:tc>
                <w:tcPr>
                  <w:tcW w:w="2895" w:type="dxa"/>
                  <w:noWrap/>
                  <w:vAlign w:val="center"/>
                </w:tcPr>
                <w:p w14:paraId="3A331D90">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拒绝原因</w:t>
                  </w:r>
                </w:p>
              </w:tc>
            </w:tr>
            <w:tr w14:paraId="6F275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39F67673">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w:t>
                  </w:r>
                </w:p>
              </w:tc>
              <w:tc>
                <w:tcPr>
                  <w:tcW w:w="3405" w:type="dxa"/>
                  <w:noWrap/>
                  <w:vAlign w:val="center"/>
                </w:tcPr>
                <w:p w14:paraId="72E3912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p>
              </w:tc>
              <w:tc>
                <w:tcPr>
                  <w:tcW w:w="2895" w:type="dxa"/>
                  <w:noWrap/>
                  <w:vAlign w:val="center"/>
                </w:tcPr>
                <w:p w14:paraId="12966D16">
                  <w:pPr>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为本招标项目的招标人</w:t>
                  </w:r>
                </w:p>
              </w:tc>
            </w:tr>
            <w:tr w14:paraId="4F67E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45FFDD65">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w:t>
                  </w:r>
                </w:p>
              </w:tc>
              <w:tc>
                <w:tcPr>
                  <w:tcW w:w="3405" w:type="dxa"/>
                  <w:noWrap/>
                  <w:vAlign w:val="center"/>
                </w:tcPr>
                <w:p w14:paraId="609AF14F">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始兴县住房和城乡建设管理局</w:t>
                  </w:r>
                </w:p>
              </w:tc>
              <w:tc>
                <w:tcPr>
                  <w:tcW w:w="2895" w:type="dxa"/>
                  <w:noWrap/>
                  <w:vAlign w:val="center"/>
                </w:tcPr>
                <w:p w14:paraId="565A3941">
                  <w:pPr>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为本招标项目的业主单位</w:t>
                  </w:r>
                </w:p>
              </w:tc>
            </w:tr>
            <w:tr w14:paraId="4A01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547AC684">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3</w:t>
                  </w:r>
                </w:p>
              </w:tc>
              <w:tc>
                <w:tcPr>
                  <w:tcW w:w="3405" w:type="dxa"/>
                  <w:noWrap/>
                  <w:vAlign w:val="center"/>
                </w:tcPr>
                <w:p w14:paraId="36A9672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中潮博雅设计有限公司</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 xml:space="preserve">   </w:t>
                  </w:r>
                </w:p>
              </w:tc>
              <w:tc>
                <w:tcPr>
                  <w:tcW w:w="2895" w:type="dxa"/>
                  <w:noWrap/>
                  <w:vAlign w:val="center"/>
                </w:tcPr>
                <w:p w14:paraId="625838B3">
                  <w:pPr>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为本招标项目的可行性研究报告编制单位</w:t>
                  </w:r>
                </w:p>
              </w:tc>
            </w:tr>
            <w:tr w14:paraId="4F820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76594481">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4</w:t>
                  </w:r>
                </w:p>
              </w:tc>
              <w:tc>
                <w:tcPr>
                  <w:tcW w:w="3405" w:type="dxa"/>
                  <w:noWrap/>
                  <w:vAlign w:val="center"/>
                </w:tcPr>
                <w:p w14:paraId="597DE9D3">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广东宝骏工程咨询有限公司</w:t>
                  </w:r>
                </w:p>
              </w:tc>
              <w:tc>
                <w:tcPr>
                  <w:tcW w:w="2895" w:type="dxa"/>
                  <w:noWrap/>
                  <w:vAlign w:val="center"/>
                </w:tcPr>
                <w:p w14:paraId="61935A3A">
                  <w:pPr>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为本招标项目的招标代理机构</w:t>
                  </w:r>
                </w:p>
              </w:tc>
            </w:tr>
            <w:tr w14:paraId="5D1C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60" w:type="dxa"/>
                  <w:noWrap/>
                  <w:vAlign w:val="center"/>
                </w:tcPr>
                <w:p w14:paraId="689971A2">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5</w:t>
                  </w:r>
                </w:p>
              </w:tc>
              <w:tc>
                <w:tcPr>
                  <w:tcW w:w="3405" w:type="dxa"/>
                  <w:noWrap/>
                  <w:vAlign w:val="center"/>
                </w:tcPr>
                <w:p w14:paraId="1794DE85">
                  <w:pPr>
                    <w:tabs>
                      <w:tab w:val="center" w:pos="941"/>
                    </w:tabs>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待定</w:t>
                  </w:r>
                </w:p>
              </w:tc>
              <w:tc>
                <w:tcPr>
                  <w:tcW w:w="2895" w:type="dxa"/>
                  <w:noWrap/>
                  <w:vAlign w:val="center"/>
                </w:tcPr>
                <w:p w14:paraId="63DCF2C4">
                  <w:pPr>
                    <w:wordWrap w:val="0"/>
                    <w:adjustRightInd w:val="0"/>
                    <w:snapToGrid w:val="0"/>
                    <w:spacing w:line="360" w:lineRule="auto"/>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为本招标项目的监理单位</w:t>
                  </w:r>
                </w:p>
              </w:tc>
            </w:tr>
          </w:tbl>
          <w:p w14:paraId="5B40FCC1">
            <w:pPr>
              <w:pStyle w:val="39"/>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5.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tc>
      </w:tr>
      <w:tr w14:paraId="2629A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9A0FD2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18</w:t>
            </w:r>
          </w:p>
        </w:tc>
        <w:tc>
          <w:tcPr>
            <w:tcW w:w="1709" w:type="dxa"/>
            <w:tcBorders>
              <w:top w:val="single" w:color="auto" w:sz="4" w:space="0"/>
              <w:left w:val="single" w:color="auto" w:sz="4" w:space="0"/>
              <w:bottom w:val="single" w:color="auto" w:sz="4" w:space="0"/>
              <w:right w:val="single" w:color="auto" w:sz="4" w:space="0"/>
            </w:tcBorders>
            <w:noWrap/>
            <w:vAlign w:val="center"/>
          </w:tcPr>
          <w:p w14:paraId="0B2E0E09">
            <w:pPr>
              <w:snapToGrid w:val="0"/>
              <w:spacing w:beforeLines="50"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投标保证</w:t>
            </w:r>
          </w:p>
        </w:tc>
        <w:tc>
          <w:tcPr>
            <w:tcW w:w="7544" w:type="dxa"/>
            <w:tcBorders>
              <w:top w:val="single" w:color="auto" w:sz="4" w:space="0"/>
              <w:left w:val="single" w:color="auto" w:sz="4" w:space="0"/>
              <w:bottom w:val="single" w:color="auto" w:sz="4" w:space="0"/>
              <w:right w:val="single" w:color="auto" w:sz="4" w:space="0"/>
            </w:tcBorders>
            <w:noWrap/>
            <w:vAlign w:val="center"/>
          </w:tcPr>
          <w:p w14:paraId="13ED4D2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1．投标人须缴纳金额为人民币</w:t>
            </w:r>
            <w:r>
              <w:rPr>
                <w:rFonts w:hint="eastAsia" w:asciiTheme="minorEastAsia" w:hAnsiTheme="minorEastAsia" w:eastAsiaTheme="minorEastAsia" w:cstheme="minorEastAsia"/>
                <w:b/>
                <w:bCs/>
                <w:snapToGrid w:val="0"/>
                <w:color w:val="000000" w:themeColor="text1"/>
                <w:kern w:val="0"/>
                <w:sz w:val="24"/>
                <w:szCs w:val="24"/>
                <w:highlight w:val="none"/>
                <w:u w:val="single"/>
                <w:lang w:val="en-US" w:eastAsia="zh-CN"/>
                <w14:textFill>
                  <w14:solidFill>
                    <w14:schemeClr w14:val="tx1"/>
                  </w14:solidFill>
                </w14:textFill>
              </w:rPr>
              <w:t>伍拾万元整</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的投标保证。联合体投标的，由联合体牵头人缴纳。</w:t>
            </w:r>
          </w:p>
          <w:p w14:paraId="62094DE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2．投标保证的形式包括投标保证金、投标保证担保、投标保证保险三种，由投标人自主选择。</w:t>
            </w:r>
          </w:p>
          <w:p w14:paraId="0CCE61D8">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本章“重要事项时间地点一览表”）前，从其基本账户将投标保证金转账到指定的缴纳账号。逾期到账的、从非投标人基本账户转出的，其投标无效。</w:t>
            </w:r>
          </w:p>
          <w:p w14:paraId="174E2FB2">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采用投标保证担保的，投标人应提交有效的银行保函，银行保函的有效期不得短于投标有效期。投标人必须在投标保证担保截止时间（见本章“重要事项时间地点一览表”）前，使用工程建设交易系统完成网上办理电子保函。</w:t>
            </w:r>
          </w:p>
          <w:p w14:paraId="4518DC67">
            <w:pPr>
              <w:wordWrap w:val="0"/>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采用投标保证保险的，投标人须在投标保证保险投保截止时间（见本章“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5017583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14:paraId="40D289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1CDE1DF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19</w:t>
            </w:r>
          </w:p>
        </w:tc>
        <w:tc>
          <w:tcPr>
            <w:tcW w:w="1709" w:type="dxa"/>
            <w:tcBorders>
              <w:top w:val="single" w:color="auto" w:sz="4" w:space="0"/>
              <w:left w:val="single" w:color="auto" w:sz="4" w:space="0"/>
              <w:bottom w:val="single" w:color="auto" w:sz="4" w:space="0"/>
              <w:right w:val="single" w:color="auto" w:sz="4" w:space="0"/>
            </w:tcBorders>
            <w:noWrap/>
            <w:vAlign w:val="center"/>
          </w:tcPr>
          <w:p w14:paraId="4DBBFD3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投标有效期</w:t>
            </w:r>
          </w:p>
        </w:tc>
        <w:tc>
          <w:tcPr>
            <w:tcW w:w="7544" w:type="dxa"/>
            <w:tcBorders>
              <w:top w:val="single" w:color="auto" w:sz="4" w:space="0"/>
              <w:left w:val="single" w:color="auto" w:sz="4" w:space="0"/>
              <w:bottom w:val="single" w:color="auto" w:sz="4" w:space="0"/>
              <w:right w:val="single" w:color="auto" w:sz="4" w:space="0"/>
            </w:tcBorders>
            <w:noWrap/>
            <w:vAlign w:val="center"/>
          </w:tcPr>
          <w:p w14:paraId="5F3C3CCC">
            <w:pPr>
              <w:wordWrap w:val="0"/>
              <w:adjustRightInd w:val="0"/>
              <w:snapToGrid w:val="0"/>
              <w:spacing w:line="360" w:lineRule="auto"/>
              <w:rPr>
                <w:rFonts w:hint="eastAsia" w:asciiTheme="minorEastAsia" w:hAnsiTheme="minorEastAsia" w:eastAsiaTheme="minorEastAsia" w:cstheme="minorEastAsia"/>
                <w:bCs/>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本次招标的投标有效期为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90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个日历天。</w:t>
            </w:r>
          </w:p>
        </w:tc>
      </w:tr>
      <w:tr w14:paraId="742B93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4E13C134">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20</w:t>
            </w:r>
          </w:p>
        </w:tc>
        <w:tc>
          <w:tcPr>
            <w:tcW w:w="1709" w:type="dxa"/>
            <w:tcBorders>
              <w:top w:val="single" w:color="auto" w:sz="4" w:space="0"/>
              <w:left w:val="single" w:color="auto" w:sz="4" w:space="0"/>
              <w:bottom w:val="single" w:color="auto" w:sz="4" w:space="0"/>
              <w:right w:val="single" w:color="auto" w:sz="4" w:space="0"/>
            </w:tcBorders>
            <w:noWrap/>
            <w:vAlign w:val="center"/>
          </w:tcPr>
          <w:p w14:paraId="1F8EBDA4">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投标文件</w:t>
            </w:r>
          </w:p>
          <w:p w14:paraId="312D36D1">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组成</w:t>
            </w:r>
          </w:p>
        </w:tc>
        <w:tc>
          <w:tcPr>
            <w:tcW w:w="7544" w:type="dxa"/>
            <w:tcBorders>
              <w:top w:val="single" w:color="auto" w:sz="4" w:space="0"/>
              <w:left w:val="single" w:color="auto" w:sz="4" w:space="0"/>
              <w:bottom w:val="single" w:color="auto" w:sz="4" w:space="0"/>
              <w:right w:val="single" w:color="auto" w:sz="4" w:space="0"/>
            </w:tcBorders>
            <w:noWrap/>
            <w:vAlign w:val="center"/>
          </w:tcPr>
          <w:p w14:paraId="6E7F5634">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投标标书分为一册。</w:t>
            </w:r>
          </w:p>
        </w:tc>
      </w:tr>
      <w:tr w14:paraId="363343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AB94F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21</w:t>
            </w:r>
          </w:p>
        </w:tc>
        <w:tc>
          <w:tcPr>
            <w:tcW w:w="1709" w:type="dxa"/>
            <w:tcBorders>
              <w:top w:val="single" w:color="auto" w:sz="4" w:space="0"/>
              <w:left w:val="single" w:color="auto" w:sz="4" w:space="0"/>
              <w:bottom w:val="single" w:color="auto" w:sz="4" w:space="0"/>
              <w:right w:val="single" w:color="auto" w:sz="4" w:space="0"/>
            </w:tcBorders>
            <w:noWrap/>
            <w:vAlign w:val="center"/>
          </w:tcPr>
          <w:p w14:paraId="7F08709A">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w:t>
            </w:r>
          </w:p>
        </w:tc>
        <w:tc>
          <w:tcPr>
            <w:tcW w:w="7544" w:type="dxa"/>
            <w:tcBorders>
              <w:top w:val="single" w:color="auto" w:sz="4" w:space="0"/>
              <w:left w:val="single" w:color="auto" w:sz="4" w:space="0"/>
              <w:bottom w:val="single" w:color="auto" w:sz="4" w:space="0"/>
              <w:right w:val="single" w:color="auto" w:sz="4" w:space="0"/>
            </w:tcBorders>
            <w:noWrap/>
            <w:vAlign w:val="center"/>
          </w:tcPr>
          <w:p w14:paraId="418FF5C6">
            <w:pPr>
              <w:wordWrap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评标委员会由5人组成，其中招标人代表0人，专家5人。专家从广东省综合评标评审专家库－韶关区域中随机抽取，其中技术类专家3人，经济类专家2人。</w:t>
            </w:r>
          </w:p>
        </w:tc>
      </w:tr>
      <w:tr w14:paraId="07DCF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59A494C">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22</w:t>
            </w:r>
          </w:p>
        </w:tc>
        <w:tc>
          <w:tcPr>
            <w:tcW w:w="1709" w:type="dxa"/>
            <w:tcBorders>
              <w:top w:val="single" w:color="auto" w:sz="4" w:space="0"/>
              <w:left w:val="single" w:color="auto" w:sz="4" w:space="0"/>
              <w:bottom w:val="single" w:color="auto" w:sz="4" w:space="0"/>
              <w:right w:val="single" w:color="auto" w:sz="4" w:space="0"/>
            </w:tcBorders>
            <w:noWrap/>
            <w:vAlign w:val="center"/>
          </w:tcPr>
          <w:p w14:paraId="5C89E496">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评标方法</w:t>
            </w:r>
          </w:p>
        </w:tc>
        <w:tc>
          <w:tcPr>
            <w:tcW w:w="7544" w:type="dxa"/>
            <w:tcBorders>
              <w:top w:val="single" w:color="auto" w:sz="4" w:space="0"/>
              <w:left w:val="single" w:color="auto" w:sz="4" w:space="0"/>
              <w:bottom w:val="single" w:color="auto" w:sz="4" w:space="0"/>
              <w:right w:val="single" w:color="auto" w:sz="4" w:space="0"/>
            </w:tcBorders>
            <w:noWrap/>
            <w:vAlign w:val="center"/>
          </w:tcPr>
          <w:p w14:paraId="56B9C5FA">
            <w:pPr>
              <w:wordWrap w:val="0"/>
              <w:adjustRightInd w:val="0"/>
              <w:snapToGrid w:val="0"/>
              <w:spacing w:line="360" w:lineRule="auto"/>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综合评估法</w:t>
            </w:r>
          </w:p>
        </w:tc>
      </w:tr>
      <w:tr w14:paraId="70281E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149EE20">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23</w:t>
            </w:r>
          </w:p>
        </w:tc>
        <w:tc>
          <w:tcPr>
            <w:tcW w:w="1709" w:type="dxa"/>
            <w:tcBorders>
              <w:top w:val="single" w:color="auto" w:sz="4" w:space="0"/>
              <w:left w:val="single" w:color="auto" w:sz="4" w:space="0"/>
              <w:bottom w:val="single" w:color="auto" w:sz="4" w:space="0"/>
              <w:right w:val="single" w:color="auto" w:sz="4" w:space="0"/>
            </w:tcBorders>
            <w:noWrap/>
            <w:vAlign w:val="center"/>
          </w:tcPr>
          <w:p w14:paraId="792787B8">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安全文明施工</w:t>
            </w:r>
          </w:p>
        </w:tc>
        <w:tc>
          <w:tcPr>
            <w:tcW w:w="7544" w:type="dxa"/>
            <w:tcBorders>
              <w:top w:val="single" w:color="auto" w:sz="4" w:space="0"/>
              <w:left w:val="single" w:color="auto" w:sz="4" w:space="0"/>
              <w:bottom w:val="single" w:color="auto" w:sz="4" w:space="0"/>
              <w:right w:val="single" w:color="auto" w:sz="4" w:space="0"/>
            </w:tcBorders>
            <w:noWrap/>
            <w:vAlign w:val="center"/>
          </w:tcPr>
          <w:p w14:paraId="4C98B9C6">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达到国家、省、市有关标准</w:t>
            </w:r>
          </w:p>
        </w:tc>
      </w:tr>
      <w:tr w14:paraId="4FAE7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800"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96DD9EF">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24</w:t>
            </w:r>
          </w:p>
        </w:tc>
        <w:tc>
          <w:tcPr>
            <w:tcW w:w="1709" w:type="dxa"/>
            <w:tcBorders>
              <w:top w:val="single" w:color="auto" w:sz="4" w:space="0"/>
              <w:left w:val="single" w:color="auto" w:sz="4" w:space="0"/>
              <w:bottom w:val="single" w:color="auto" w:sz="4" w:space="0"/>
              <w:right w:val="single" w:color="auto" w:sz="4" w:space="0"/>
            </w:tcBorders>
            <w:noWrap/>
            <w:vAlign w:val="center"/>
          </w:tcPr>
          <w:p w14:paraId="5F408FC1">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房屋建筑工程</w:t>
            </w:r>
          </w:p>
          <w:p w14:paraId="2DEFDAEF">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绿色建筑标准</w:t>
            </w:r>
          </w:p>
        </w:tc>
        <w:tc>
          <w:tcPr>
            <w:tcW w:w="7544" w:type="dxa"/>
            <w:tcBorders>
              <w:top w:val="single" w:color="auto" w:sz="4" w:space="0"/>
              <w:left w:val="single" w:color="auto" w:sz="4" w:space="0"/>
              <w:bottom w:val="single" w:color="auto" w:sz="4" w:space="0"/>
              <w:right w:val="single" w:color="auto" w:sz="4" w:space="0"/>
            </w:tcBorders>
            <w:noWrap/>
            <w:vAlign w:val="center"/>
          </w:tcPr>
          <w:p w14:paraId="70EAB278">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本招标项目纳入绿色建设实施范围，要求达到《绿色建筑评价标准》(GB/T50378-2019）规定的</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绿色建筑基本级。</w:t>
            </w:r>
          </w:p>
        </w:tc>
      </w:tr>
      <w:tr w14:paraId="4EB766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8DB0188">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25</w:t>
            </w:r>
          </w:p>
        </w:tc>
        <w:tc>
          <w:tcPr>
            <w:tcW w:w="1709" w:type="dxa"/>
            <w:tcBorders>
              <w:top w:val="single" w:color="auto" w:sz="4" w:space="0"/>
              <w:left w:val="single" w:color="auto" w:sz="4" w:space="0"/>
              <w:bottom w:val="single" w:color="auto" w:sz="4" w:space="0"/>
              <w:right w:val="single" w:color="auto" w:sz="4" w:space="0"/>
            </w:tcBorders>
            <w:noWrap/>
            <w:vAlign w:val="center"/>
          </w:tcPr>
          <w:p w14:paraId="7387BCD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26F96C49">
            <w:pPr>
              <w:pStyle w:val="35"/>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履约保证金为中标价的</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5</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在领取中标通知书之日起</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个工作日内、签订合同前缴纳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组成联合体时，由联合体牵头人缴纳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6BC93424">
            <w:pPr>
              <w:pStyle w:val="35"/>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履约保证的形式包括履约保证金、履约保证金担保函两种，由中标人自主选择</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，保函有效期不得少于</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本工程总工期</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，如果采用银行转账方式则必须从中标人的法人开户银行的账号划出招标人指定的账户，并详细注明工程名称及用途。</w:t>
            </w:r>
          </w:p>
        </w:tc>
      </w:tr>
      <w:tr w14:paraId="29E5C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6FAC644E">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26</w:t>
            </w:r>
          </w:p>
        </w:tc>
        <w:tc>
          <w:tcPr>
            <w:tcW w:w="1709" w:type="dxa"/>
            <w:tcBorders>
              <w:top w:val="single" w:color="auto" w:sz="4" w:space="0"/>
              <w:left w:val="single" w:color="auto" w:sz="4" w:space="0"/>
              <w:bottom w:val="single" w:color="auto" w:sz="4" w:space="0"/>
              <w:right w:val="single" w:color="auto" w:sz="4" w:space="0"/>
            </w:tcBorders>
            <w:noWrap/>
            <w:vAlign w:val="center"/>
          </w:tcPr>
          <w:p w14:paraId="3053B38A">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工程款支付</w:t>
            </w:r>
          </w:p>
        </w:tc>
        <w:tc>
          <w:tcPr>
            <w:tcW w:w="7544" w:type="dxa"/>
            <w:tcBorders>
              <w:top w:val="single" w:color="auto" w:sz="4" w:space="0"/>
              <w:left w:val="single" w:color="auto" w:sz="4" w:space="0"/>
              <w:bottom w:val="single" w:color="auto" w:sz="4" w:space="0"/>
              <w:right w:val="single" w:color="auto" w:sz="4" w:space="0"/>
            </w:tcBorders>
            <w:noWrap/>
            <w:vAlign w:val="center"/>
          </w:tcPr>
          <w:p w14:paraId="1E9EE519">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详见本招标文件“2-4、工程付款办法”</w:t>
            </w:r>
          </w:p>
        </w:tc>
      </w:tr>
      <w:tr w14:paraId="020A3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07F70250">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27</w:t>
            </w:r>
          </w:p>
        </w:tc>
        <w:tc>
          <w:tcPr>
            <w:tcW w:w="1709" w:type="dxa"/>
            <w:tcBorders>
              <w:top w:val="single" w:color="auto" w:sz="4" w:space="0"/>
              <w:left w:val="single" w:color="auto" w:sz="4" w:space="0"/>
              <w:bottom w:val="single" w:color="auto" w:sz="4" w:space="0"/>
              <w:right w:val="single" w:color="auto" w:sz="4" w:space="0"/>
            </w:tcBorders>
            <w:noWrap/>
            <w:vAlign w:val="center"/>
          </w:tcPr>
          <w:p w14:paraId="1B906B99">
            <w:pPr>
              <w:pStyle w:val="35"/>
              <w:spacing w:line="24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w:t>
            </w:r>
          </w:p>
        </w:tc>
        <w:tc>
          <w:tcPr>
            <w:tcW w:w="7544" w:type="dxa"/>
            <w:tcBorders>
              <w:top w:val="single" w:color="auto" w:sz="4" w:space="0"/>
              <w:left w:val="single" w:color="auto" w:sz="4" w:space="0"/>
              <w:bottom w:val="single" w:color="auto" w:sz="4" w:space="0"/>
              <w:right w:val="single" w:color="auto" w:sz="4" w:space="0"/>
            </w:tcBorders>
            <w:noWrap/>
            <w:vAlign w:val="center"/>
          </w:tcPr>
          <w:p w14:paraId="4A30AB3E">
            <w:pPr>
              <w:pStyle w:val="35"/>
              <w:spacing w:line="240" w:lineRule="auto"/>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工程质量保证金总金额为结算价的3%，从工程竣工验收合格之日起计满2年。</w:t>
            </w:r>
          </w:p>
        </w:tc>
      </w:tr>
      <w:tr w14:paraId="6F4B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2CE6E3D7">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28</w:t>
            </w:r>
          </w:p>
        </w:tc>
        <w:tc>
          <w:tcPr>
            <w:tcW w:w="1709" w:type="dxa"/>
            <w:tcBorders>
              <w:top w:val="single" w:color="auto" w:sz="4" w:space="0"/>
              <w:left w:val="single" w:color="auto" w:sz="4" w:space="0"/>
              <w:bottom w:val="single" w:color="auto" w:sz="4" w:space="0"/>
              <w:right w:val="single" w:color="auto" w:sz="4" w:space="0"/>
            </w:tcBorders>
            <w:noWrap/>
            <w:vAlign w:val="center"/>
          </w:tcPr>
          <w:p w14:paraId="255329DD">
            <w:pPr>
              <w:pStyle w:val="35"/>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绿色施工安全防护措施费</w:t>
            </w:r>
          </w:p>
        </w:tc>
        <w:tc>
          <w:tcPr>
            <w:tcW w:w="7544" w:type="dxa"/>
            <w:tcBorders>
              <w:top w:val="single" w:color="auto" w:sz="4" w:space="0"/>
              <w:left w:val="single" w:color="auto" w:sz="4" w:space="0"/>
              <w:bottom w:val="single" w:color="auto" w:sz="4" w:space="0"/>
              <w:right w:val="single" w:color="auto" w:sz="4" w:space="0"/>
            </w:tcBorders>
            <w:noWrap/>
            <w:vAlign w:val="center"/>
          </w:tcPr>
          <w:p w14:paraId="5310C6DB">
            <w:pPr>
              <w:pStyle w:val="35"/>
              <w:ind w:firstLine="240" w:firstLineChars="1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按《建设工程工程量清单计价规范》（GB50500～2013）、《广东省建设工程计价依据（2018）》《关于明确建筑工程安全防护、文明施工措施费用具体管理办法的通知》（韶市建【2015】26号）等最新规定执行。</w:t>
            </w:r>
          </w:p>
        </w:tc>
      </w:tr>
      <w:tr w14:paraId="00FA7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E82F3">
            <w:pPr>
              <w:wordWrap w:val="0"/>
              <w:adjustRightInd w:val="0"/>
              <w:snapToGrid w:val="0"/>
              <w:spacing w:line="24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29</w:t>
            </w:r>
          </w:p>
        </w:tc>
        <w:tc>
          <w:tcPr>
            <w:tcW w:w="1709" w:type="dxa"/>
            <w:tcBorders>
              <w:top w:val="single" w:color="auto" w:sz="4" w:space="0"/>
              <w:left w:val="single" w:color="auto" w:sz="4" w:space="0"/>
              <w:bottom w:val="single" w:color="auto" w:sz="4" w:space="0"/>
              <w:right w:val="single" w:color="auto" w:sz="4" w:space="0"/>
            </w:tcBorders>
            <w:noWrap/>
            <w:vAlign w:val="center"/>
          </w:tcPr>
          <w:p w14:paraId="1809C70D">
            <w:pPr>
              <w:wordWrap w:val="0"/>
              <w:adjustRightInd w:val="0"/>
              <w:snapToGrid w:val="0"/>
              <w:spacing w:line="36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评标专家酬劳</w:t>
            </w:r>
          </w:p>
        </w:tc>
        <w:tc>
          <w:tcPr>
            <w:tcW w:w="7544" w:type="dxa"/>
            <w:tcBorders>
              <w:top w:val="single" w:color="auto" w:sz="4" w:space="0"/>
              <w:left w:val="single" w:color="auto" w:sz="4" w:space="0"/>
              <w:bottom w:val="single" w:color="auto" w:sz="4" w:space="0"/>
              <w:right w:val="single" w:color="auto" w:sz="4" w:space="0"/>
            </w:tcBorders>
            <w:noWrap/>
            <w:vAlign w:val="center"/>
          </w:tcPr>
          <w:p w14:paraId="55D01561">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本项目由中标人支付</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招标代理费及</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代理费以招标人与招标代理机构签订的招标代理合同约定的服务金额为准，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评标专家酬劳（包括食宿费用、交通费、专家评审劳务费等）</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由招标代理机构先垫付，</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中标人须在中标公告公示期结束后,向招标代理机构一次性付清评标专家酬劳（</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以当天评委签收为准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tc>
      </w:tr>
      <w:tr w14:paraId="38CD7D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3FF2C">
            <w:pPr>
              <w:wordWrap w:val="0"/>
              <w:adjustRightInd w:val="0"/>
              <w:snapToGrid w:val="0"/>
              <w:spacing w:line="360" w:lineRule="auto"/>
              <w:jc w:val="center"/>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30</w:t>
            </w:r>
          </w:p>
        </w:tc>
        <w:tc>
          <w:tcPr>
            <w:tcW w:w="1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08BF0">
            <w:pPr>
              <w:pStyle w:val="35"/>
              <w:spacing w:line="360" w:lineRule="auto"/>
              <w:ind w:firstLine="240" w:firstLineChars="1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招标文件要求提交的用于评审的证书、证件、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凭证</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p>
        </w:tc>
        <w:tc>
          <w:tcPr>
            <w:tcW w:w="754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67DDB">
            <w:pPr>
              <w:pStyle w:val="35"/>
              <w:spacing w:line="360" w:lineRule="auto"/>
              <w:ind w:firstLine="240" w:firstLineChars="100"/>
              <w:rPr>
                <w:rFonts w:hint="eastAsia"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投标人在递交纸质投标文件时须</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提交用于评审的证书、证件、证明原件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的，投标人应自行将所需原件密封于文件袋（箱）中，并自行准备两张“原件一览表”（详见格式十</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须自行填写，表格可扩展），一张贴于文件袋（箱），一张在递交时由投标人、招标代理人签字。招标代理机构仅代签收，不对文件袋（箱）中资料的数量、内容及真实性负责。评标结束后，招标代理人将退回投标人的原件。若投标人未按要求提交相应证明材料原件或投标文件中证明材料的彩色扫描件与原件不一致，评审时相应证明材料不予认可。</w:t>
            </w:r>
          </w:p>
        </w:tc>
      </w:tr>
      <w:tr w14:paraId="10ED65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2389B">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31</w:t>
            </w:r>
          </w:p>
        </w:tc>
        <w:tc>
          <w:tcPr>
            <w:tcW w:w="1709" w:type="dxa"/>
            <w:tcBorders>
              <w:top w:val="single" w:color="auto" w:sz="4" w:space="0"/>
              <w:left w:val="single" w:color="auto" w:sz="4" w:space="0"/>
              <w:bottom w:val="single" w:color="auto" w:sz="4" w:space="0"/>
              <w:right w:val="single" w:color="auto" w:sz="4" w:space="0"/>
            </w:tcBorders>
            <w:noWrap/>
            <w:vAlign w:val="center"/>
          </w:tcPr>
          <w:p w14:paraId="29627470">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招标人</w:t>
            </w:r>
          </w:p>
          <w:p w14:paraId="3E4C2981">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39ADEE16">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ab/>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始兴县住房和城乡建设管理局</w:t>
            </w:r>
          </w:p>
          <w:p w14:paraId="2651152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韶关市始兴县太平镇沿江北路1号</w:t>
            </w:r>
          </w:p>
          <w:p w14:paraId="1FEDF3C9">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 xml:space="preserve">阳先生 </w:t>
            </w:r>
          </w:p>
          <w:p w14:paraId="46CA4D98">
            <w:pPr>
              <w:wordWrap w:val="0"/>
              <w:adjustRightInd w:val="0"/>
              <w:snapToGrid w:val="0"/>
              <w:spacing w:line="360" w:lineRule="auto"/>
              <w:jc w:val="left"/>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联系电话：0751-</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3334223</w:t>
            </w:r>
          </w:p>
        </w:tc>
      </w:tr>
      <w:tr w14:paraId="1F4ECD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15"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5BFB7">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32</w:t>
            </w:r>
          </w:p>
        </w:tc>
        <w:tc>
          <w:tcPr>
            <w:tcW w:w="1709" w:type="dxa"/>
            <w:tcBorders>
              <w:top w:val="single" w:color="auto" w:sz="4" w:space="0"/>
              <w:left w:val="single" w:color="auto" w:sz="4" w:space="0"/>
              <w:bottom w:val="single" w:color="auto" w:sz="4" w:space="0"/>
              <w:right w:val="single" w:color="auto" w:sz="4" w:space="0"/>
            </w:tcBorders>
            <w:noWrap/>
            <w:vAlign w:val="center"/>
          </w:tcPr>
          <w:p w14:paraId="43961663">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招标代理机构</w:t>
            </w:r>
          </w:p>
          <w:p w14:paraId="07C02459">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550BFC71">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广东宝骏工程咨询有限公司</w:t>
            </w:r>
          </w:p>
          <w:p w14:paraId="4949C030">
            <w:pPr>
              <w:wordWrap w:val="0"/>
              <w:adjustRightInd w:val="0"/>
              <w:snapToGrid w:val="0"/>
              <w:spacing w:line="360" w:lineRule="auto"/>
              <w:jc w:val="left"/>
              <w:rPr>
                <w:rFonts w:hint="default"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广东省广州市荔湾区周门北路26号荔天大厦B座409房</w:t>
            </w:r>
          </w:p>
          <w:p w14:paraId="2FB32E0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联系人：邱工</w:t>
            </w:r>
          </w:p>
          <w:p w14:paraId="52E3C5B7">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 xml:space="preserve">联系电话：020-86537273 </w:t>
            </w:r>
          </w:p>
        </w:tc>
      </w:tr>
      <w:tr w14:paraId="17AA8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474" w:hRule="atLeast"/>
          <w:jc w:val="center"/>
        </w:trPr>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D2BF8">
            <w:pPr>
              <w:wordWrap w:val="0"/>
              <w:adjustRightInd w:val="0"/>
              <w:snapToGrid w:val="0"/>
              <w:spacing w:line="360" w:lineRule="auto"/>
              <w:jc w:val="center"/>
              <w:rPr>
                <w:rFonts w:hint="default" w:asciiTheme="minorEastAsia" w:hAnsiTheme="minorEastAsia" w:eastAsiaTheme="minorEastAsia" w:cstheme="minorEastAsia"/>
                <w:color w:val="000000" w:themeColor="text1"/>
                <w:kern w:val="2"/>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33</w:t>
            </w:r>
          </w:p>
        </w:tc>
        <w:tc>
          <w:tcPr>
            <w:tcW w:w="1709" w:type="dxa"/>
            <w:tcBorders>
              <w:top w:val="single" w:color="auto" w:sz="4" w:space="0"/>
              <w:left w:val="single" w:color="auto" w:sz="4" w:space="0"/>
              <w:bottom w:val="single" w:color="auto" w:sz="4" w:space="0"/>
              <w:right w:val="single" w:color="auto" w:sz="4" w:space="0"/>
            </w:tcBorders>
            <w:noWrap/>
            <w:vAlign w:val="center"/>
          </w:tcPr>
          <w:p w14:paraId="40104432">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交易场所</w:t>
            </w:r>
          </w:p>
          <w:p w14:paraId="49BD1E6B">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1EF589B9">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单位名称：韶关市公共资源交易中心</w:t>
            </w:r>
          </w:p>
          <w:p w14:paraId="43324816">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始兴县永安大道中79号行政服务大楼四楼</w:t>
            </w:r>
          </w:p>
          <w:p w14:paraId="55BBFA5E">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邓工（工程交易股）</w:t>
            </w:r>
          </w:p>
          <w:p w14:paraId="7EB3992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联系电话： </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0751-3315236</w:t>
            </w:r>
          </w:p>
        </w:tc>
      </w:tr>
      <w:tr w14:paraId="57B039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 w:hRule="atLeast"/>
          <w:jc w:val="center"/>
        </w:trPr>
        <w:tc>
          <w:tcPr>
            <w:tcW w:w="810" w:type="dxa"/>
            <w:tcBorders>
              <w:top w:val="single" w:color="auto" w:sz="4" w:space="0"/>
              <w:left w:val="single" w:color="auto" w:sz="4" w:space="0"/>
              <w:bottom w:val="single" w:color="auto" w:sz="4" w:space="0"/>
              <w:right w:val="single" w:color="auto" w:sz="4" w:space="0"/>
            </w:tcBorders>
            <w:noWrap/>
            <w:vAlign w:val="center"/>
          </w:tcPr>
          <w:p w14:paraId="5569AA4B">
            <w:pPr>
              <w:wordWrap w:val="0"/>
              <w:adjustRightInd w:val="0"/>
              <w:snapToGrid w:val="0"/>
              <w:spacing w:line="360" w:lineRule="auto"/>
              <w:jc w:val="center"/>
              <w:rPr>
                <w:rFonts w:hint="default"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34</w:t>
            </w:r>
          </w:p>
        </w:tc>
        <w:tc>
          <w:tcPr>
            <w:tcW w:w="1709" w:type="dxa"/>
            <w:tcBorders>
              <w:top w:val="single" w:color="auto" w:sz="4" w:space="0"/>
              <w:left w:val="single" w:color="auto" w:sz="4" w:space="0"/>
              <w:bottom w:val="single" w:color="auto" w:sz="4" w:space="0"/>
              <w:right w:val="single" w:color="auto" w:sz="4" w:space="0"/>
            </w:tcBorders>
            <w:noWrap/>
            <w:vAlign w:val="center"/>
          </w:tcPr>
          <w:p w14:paraId="25F1655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行政监督部门</w:t>
            </w:r>
          </w:p>
          <w:p w14:paraId="368588DE">
            <w:pPr>
              <w:wordWrap w:val="0"/>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联系方式</w:t>
            </w:r>
          </w:p>
        </w:tc>
        <w:tc>
          <w:tcPr>
            <w:tcW w:w="7544" w:type="dxa"/>
            <w:tcBorders>
              <w:top w:val="single" w:color="auto" w:sz="4" w:space="0"/>
              <w:left w:val="single" w:color="auto" w:sz="4" w:space="0"/>
              <w:bottom w:val="single" w:color="auto" w:sz="4" w:space="0"/>
              <w:right w:val="single" w:color="auto" w:sz="4" w:space="0"/>
            </w:tcBorders>
            <w:noWrap/>
            <w:vAlign w:val="center"/>
          </w:tcPr>
          <w:p w14:paraId="47DEC464">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单位名称：</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始兴县住房和城乡建设管理局</w:t>
            </w:r>
          </w:p>
          <w:p w14:paraId="4E375ED5">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办公地址：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始兴县太平镇沿江北路1号</w:t>
            </w:r>
          </w:p>
          <w:p w14:paraId="3F4A5E5C">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联系人（部门）：</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建管股</w:t>
            </w:r>
          </w:p>
          <w:p w14:paraId="7F7E1093">
            <w:pPr>
              <w:wordWrap w:val="0"/>
              <w:adjustRightInd w:val="0"/>
              <w:snapToGrid w:val="0"/>
              <w:spacing w:line="360" w:lineRule="auto"/>
              <w:jc w:val="left"/>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联系电话：</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0751-3315107</w:t>
            </w:r>
          </w:p>
        </w:tc>
      </w:tr>
      <w:bookmarkEnd w:id="4"/>
    </w:tbl>
    <w:p w14:paraId="13A9FF01">
      <w:pPr>
        <w:pStyle w:val="4"/>
        <w:wordWrap w:val="0"/>
        <w:autoSpaceDE/>
        <w:autoSpaceDN/>
        <w:snapToGrid w:val="0"/>
        <w:spacing w:after="260" w:line="440" w:lineRule="exact"/>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5" w:name="_Toc122859103"/>
      <w:bookmarkStart w:id="6" w:name="_Toc122671103"/>
      <w:bookmarkStart w:id="7" w:name="_Toc122769943"/>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br w:type="page"/>
      </w:r>
      <w:bookmarkEnd w:id="5"/>
      <w:bookmarkEnd w:id="6"/>
      <w:bookmarkEnd w:id="7"/>
      <w:bookmarkStart w:id="8" w:name="_Toc28725"/>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第二节.重要事项时间地点一览表.</w:t>
      </w:r>
      <w:bookmarkEnd w:id="8"/>
    </w:p>
    <w:tbl>
      <w:tblPr>
        <w:tblStyle w:val="21"/>
        <w:tblW w:w="9699" w:type="dxa"/>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504"/>
        <w:gridCol w:w="1610"/>
        <w:gridCol w:w="7585"/>
      </w:tblGrid>
      <w:tr w14:paraId="22168A7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2"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7063ED9">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27EE3730">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招标公告</w:t>
            </w:r>
          </w:p>
          <w:p w14:paraId="59A2B6BD">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发布时间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FDE5BF9">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26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20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05A2E68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E9098B4">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D93DB6D">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获取招标文件截止时间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6068B54">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5FC7B6E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4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1821A0A">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6D0E338">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网上提问</w:t>
            </w:r>
          </w:p>
          <w:p w14:paraId="6FAF4569">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F229188">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7DEEBF6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7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45C470D5">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F0C6282">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网上答疑</w:t>
            </w:r>
          </w:p>
          <w:p w14:paraId="0A74B8A9">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45E20FE3">
            <w:pPr>
              <w:pStyle w:val="38"/>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30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分至</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16</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时</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00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r>
      <w:tr w14:paraId="27131F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4"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6F98CB7">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5</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1C7D0A">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投标保证缴</w:t>
            </w:r>
          </w:p>
          <w:p w14:paraId="0D9FF3FC">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纳截止时间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5DE476C">
            <w:pPr>
              <w:pStyle w:val="3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投标保证金到账截止时间：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6DA70669">
            <w:pPr>
              <w:pStyle w:val="3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投标保证担保上传截止时间：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67AA4DAC">
            <w:pPr>
              <w:pStyle w:val="19"/>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投标保证保险投保截止时间：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16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tc>
      </w:tr>
      <w:tr w14:paraId="1FE4F4A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8"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1BECB072">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6</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023875C3">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电子投标</w:t>
            </w:r>
          </w:p>
          <w:p w14:paraId="2F5139AE">
            <w:pPr>
              <w:pStyle w:val="38"/>
              <w:wordWrap w:val="0"/>
              <w:adjustRightInd w:val="0"/>
              <w:snapToGrid w:val="0"/>
              <w:spacing w:line="360" w:lineRule="exact"/>
              <w:jc w:val="center"/>
              <w:rPr>
                <w:rFonts w:hint="eastAsia" w:asciiTheme="minorEastAsia" w:hAnsiTheme="minorEastAsia" w:eastAsiaTheme="minorEastAsia" w:cstheme="minorEastAsia"/>
                <w:strike/>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截止时间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110EBA23">
            <w:pPr>
              <w:pStyle w:val="19"/>
              <w:wordWrap w:val="0"/>
              <w:adjustRightInd w:val="0"/>
              <w:snapToGrid w:val="0"/>
              <w:spacing w:line="400" w:lineRule="exact"/>
              <w:ind w:firstLine="120" w:firstLineChars="5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5FD0461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93"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16A944A">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7</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72E0DCA2">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投标相关资料（如有）递交时间</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7655BE1">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5FFACED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7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8DEEFEE">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8</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91A0D5A">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投标相关资料（如有）递交地点</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D057C8E">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递交场所：韶关市公共资源交易中心</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始兴分中心</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452F2DA7">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始兴县永安大道中79号行政服务大楼四楼</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，具体房间号以当日现场通知为准。</w:t>
            </w:r>
          </w:p>
        </w:tc>
      </w:tr>
      <w:tr w14:paraId="3BC5B78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30"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6E0B6893">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9</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4F6A3ED1">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开标时间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5E9F5160">
            <w:pPr>
              <w:pStyle w:val="19"/>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2025 </w:t>
            </w:r>
            <w:r>
              <w:rPr>
                <w:rFonts w:hint="eastAsia" w:asciiTheme="minorEastAsia" w:hAnsiTheme="minorEastAsia" w:eastAsiaTheme="minorEastAsia" w:cstheme="minorEastAsia"/>
                <w:i w:val="0"/>
                <w:iCs w:val="0"/>
                <w:color w:val="000000" w:themeColor="text1"/>
                <w:sz w:val="24"/>
                <w:szCs w:val="24"/>
                <w:highlight w:val="none"/>
                <w:u w:val="none"/>
                <w:lang w:val="en-US" w:eastAsia="zh-CN"/>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4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17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09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时</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 xml:space="preserve"> 30 </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tc>
      </w:tr>
      <w:tr w14:paraId="183B6B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297"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776EBF36">
            <w:pPr>
              <w:pStyle w:val="38"/>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10</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364B7747">
            <w:pPr>
              <w:pStyle w:val="38"/>
              <w:wordWrap w:val="0"/>
              <w:adjustRightInd w:val="0"/>
              <w:snapToGrid w:val="0"/>
              <w:spacing w:line="36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开标地点 </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61F99674">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开标场所：韶关市公共资源交易中心</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始兴分中心</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5ADFA055">
            <w:pPr>
              <w:pStyle w:val="38"/>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地址：</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始兴县永安大道中79号行政服务大楼四楼</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，具体房间号以当日现场通知为准</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 xml:space="preserve"> </w:t>
            </w:r>
          </w:p>
        </w:tc>
      </w:tr>
      <w:tr w14:paraId="365C5C3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31" w:hRule="exact"/>
        </w:trPr>
        <w:tc>
          <w:tcPr>
            <w:tcW w:w="504" w:type="dxa"/>
            <w:tcBorders>
              <w:top w:val="single" w:color="080000" w:sz="4" w:space="0"/>
              <w:left w:val="single" w:color="080000" w:sz="4" w:space="0"/>
              <w:bottom w:val="single" w:color="080000" w:sz="4" w:space="0"/>
              <w:right w:val="single" w:color="080000" w:sz="4" w:space="0"/>
            </w:tcBorders>
            <w:noWrap w:val="0"/>
            <w:vAlign w:val="center"/>
          </w:tcPr>
          <w:p w14:paraId="391EFF47">
            <w:pPr>
              <w:pStyle w:val="38"/>
              <w:widowControl/>
              <w:snapToGrid w:val="0"/>
              <w:spacing w:line="360" w:lineRule="auto"/>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11</w:t>
            </w:r>
          </w:p>
        </w:tc>
        <w:tc>
          <w:tcPr>
            <w:tcW w:w="1610" w:type="dxa"/>
            <w:tcBorders>
              <w:top w:val="single" w:color="080000" w:sz="4" w:space="0"/>
              <w:left w:val="single" w:color="080000" w:sz="4" w:space="0"/>
              <w:bottom w:val="single" w:color="080000" w:sz="4" w:space="0"/>
              <w:right w:val="single" w:color="080000" w:sz="4" w:space="0"/>
            </w:tcBorders>
            <w:noWrap w:val="0"/>
            <w:vAlign w:val="center"/>
          </w:tcPr>
          <w:p w14:paraId="12C593B1">
            <w:pPr>
              <w:adjustRightInd w:val="0"/>
              <w:snapToGrid w:val="0"/>
              <w:spacing w:line="360" w:lineRule="auto"/>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备注</w:t>
            </w:r>
          </w:p>
        </w:tc>
        <w:tc>
          <w:tcPr>
            <w:tcW w:w="7585" w:type="dxa"/>
            <w:tcBorders>
              <w:top w:val="single" w:color="080000" w:sz="4" w:space="0"/>
              <w:left w:val="single" w:color="080000" w:sz="4" w:space="0"/>
              <w:bottom w:val="single" w:color="080000" w:sz="4" w:space="0"/>
              <w:right w:val="single" w:color="080000" w:sz="4" w:space="0"/>
            </w:tcBorders>
            <w:noWrap w:val="0"/>
            <w:vAlign w:val="center"/>
          </w:tcPr>
          <w:p w14:paraId="00628AC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投标人应按有关要求办理数字证书（CA）和企业入库、获取招标文件、资料文件及招标答疑书等。若由于投标人自身原因未能及时取得上述资料的，由此发生的任何责任由投标人自行承担。</w:t>
            </w:r>
          </w:p>
        </w:tc>
      </w:tr>
    </w:tbl>
    <w:p w14:paraId="50A4BECE">
      <w:pPr>
        <w:pStyle w:val="4"/>
        <w:wordWrap w:val="0"/>
        <w:autoSpaceDE/>
        <w:autoSpaceDN/>
        <w:snapToGrid w:val="0"/>
        <w:spacing w:after="260" w:line="44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14:textFill>
            <w14:solidFill>
              <w14:schemeClr w14:val="tx1"/>
            </w14:solidFill>
          </w14:textFill>
        </w:rPr>
        <w:br w:type="page"/>
      </w:r>
      <w:bookmarkStart w:id="9" w:name="_Hlt69669159"/>
      <w:bookmarkEnd w:id="9"/>
      <w:bookmarkStart w:id="10" w:name="_Toc15455"/>
      <w:bookmarkStart w:id="11" w:name="_Hlt69698705"/>
      <w:bookmarkStart w:id="12" w:name="_Hlt69698754"/>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第三节</w:t>
      </w:r>
      <w:bookmarkStart w:id="13" w:name="_Hlt87793819"/>
      <w:bookmarkEnd w:id="13"/>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 xml:space="preserve"> 投标须知正文</w:t>
      </w:r>
      <w:bookmarkEnd w:id="10"/>
    </w:p>
    <w:bookmarkEnd w:id="11"/>
    <w:bookmarkEnd w:id="12"/>
    <w:p w14:paraId="64B54B44">
      <w:pPr>
        <w:pStyle w:val="7"/>
        <w:spacing w:line="400" w:lineRule="exact"/>
        <w:rPr>
          <w:rFonts w:hint="eastAsia" w:asciiTheme="minorEastAsia" w:hAnsiTheme="minorEastAsia" w:eastAsiaTheme="minorEastAsia" w:cstheme="minorEastAsia"/>
          <w:color w:val="000000" w:themeColor="text1"/>
          <w:sz w:val="24"/>
          <w:szCs w:val="28"/>
          <w:highlight w:val="none"/>
          <w:u w:val="single"/>
          <w14:textFill>
            <w14:solidFill>
              <w14:schemeClr w14:val="tx1"/>
            </w14:solidFill>
          </w14:textFill>
        </w:rPr>
      </w:pPr>
    </w:p>
    <w:p w14:paraId="6870AE7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始兴县2025年老旧小区（基础设施）改造提升项目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业经</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始兴县发展和改革局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以《</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始兴县发展和改革局</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关于</w:t>
      </w:r>
      <w:r>
        <w:rPr>
          <w:rFonts w:hint="eastAsia" w:ascii="宋体" w:hAnsi="宋体" w:eastAsia="宋体" w:cs="宋体"/>
          <w:snapToGrid w:val="0"/>
          <w:color w:val="000000" w:themeColor="text1"/>
          <w:kern w:val="0"/>
          <w:sz w:val="24"/>
          <w:highlight w:val="none"/>
          <w:u w:val="single"/>
          <w:lang w:val="en-US" w:eastAsia="zh-CN"/>
          <w14:textFill>
            <w14:solidFill>
              <w14:schemeClr w14:val="tx1"/>
            </w14:solidFill>
          </w14:textFill>
        </w:rPr>
        <w:t>始兴县2025年老旧小区（基础设施）改造提升项目</w:t>
      </w:r>
      <w:r>
        <w:rPr>
          <w:rFonts w:hint="default" w:ascii="宋体" w:hAnsi="宋体" w:eastAsia="宋体" w:cs="宋体"/>
          <w:snapToGrid w:val="0"/>
          <w:color w:val="000000" w:themeColor="text1"/>
          <w:kern w:val="0"/>
          <w:sz w:val="24"/>
          <w:highlight w:val="none"/>
          <w:u w:val="single"/>
          <w:lang w:val="en-US" w:eastAsia="zh-CN"/>
          <w14:textFill>
            <w14:solidFill>
              <w14:schemeClr w14:val="tx1"/>
            </w14:solidFill>
          </w14:textFill>
        </w:rPr>
        <w:t>可行性研究报告的批复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始发改投审〔2025〕6号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批准建设，项目代码为</w:t>
      </w:r>
      <w:r>
        <w:rPr>
          <w:rFonts w:hint="eastAsia" w:asciiTheme="minorEastAsia" w:hAnsiTheme="minorEastAsia" w:eastAsiaTheme="minorEastAsia" w:cstheme="minorEastAsia"/>
          <w:color w:val="000000" w:themeColor="text1"/>
          <w:szCs w:val="24"/>
          <w:highlight w:val="none"/>
          <w:u w:val="single"/>
          <w:lang w:eastAsia="zh-CN"/>
          <w14:textFill>
            <w14:solidFill>
              <w14:schemeClr w14:val="tx1"/>
            </w14:solidFill>
          </w14:textFill>
        </w:rPr>
        <w:t>2502-440222-04-01-335924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业主为</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始兴县住房和城乡建设管理局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，建设资金来自</w:t>
      </w:r>
      <w:r>
        <w:rPr>
          <w:rFonts w:hint="eastAsia" w:hAnsi="宋体" w:eastAsia="宋体" w:cs="宋体"/>
          <w:snapToGrid w:val="0"/>
          <w:color w:val="000000" w:themeColor="text1"/>
          <w:kern w:val="0"/>
          <w:sz w:val="24"/>
          <w:highlight w:val="none"/>
          <w:u w:val="single"/>
          <w:lang w:eastAsia="zh-CN"/>
          <w14:textFill>
            <w14:solidFill>
              <w14:schemeClr w14:val="tx1"/>
            </w14:solidFill>
          </w14:textFill>
        </w:rPr>
        <w:t>县级财政资金安排解决</w:t>
      </w:r>
      <w:r>
        <w:rPr>
          <w:rFonts w:hint="eastAsia" w:ascii="宋体" w:hAnsi="宋体" w:eastAsia="宋体" w:cs="宋体"/>
          <w:snapToGrid w:val="0"/>
          <w:color w:val="000000" w:themeColor="text1"/>
          <w:kern w:val="0"/>
          <w:sz w:val="24"/>
          <w:highlight w:val="none"/>
          <w:u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，出资比例</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100%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，招标人为</w:t>
      </w:r>
      <w:r>
        <w:rPr>
          <w:rFonts w:hint="eastAsia" w:asciiTheme="minorEastAsia" w:hAnsiTheme="minorEastAsia" w:eastAsiaTheme="minorEastAsia" w:cstheme="minorEastAsia"/>
          <w:snapToGrid w:val="0"/>
          <w:color w:val="000000" w:themeColor="text1"/>
          <w:kern w:val="0"/>
          <w:highlight w:val="none"/>
          <w:u w:val="single"/>
          <w:lang w:eastAsia="zh-CN"/>
          <w14:textFill>
            <w14:solidFill>
              <w14:schemeClr w14:val="tx1"/>
            </w14:solidFill>
          </w14:textFill>
        </w:rPr>
        <w:t>始兴县住房和城乡建设管理局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，招标代理机构为</w:t>
      </w:r>
      <w:r>
        <w:rPr>
          <w:rFonts w:hint="eastAsia" w:asciiTheme="minorEastAsia" w:hAnsiTheme="minorEastAsia" w:eastAsiaTheme="minorEastAsia" w:cstheme="minorEastAsia"/>
          <w:color w:val="000000" w:themeColor="text1"/>
          <w:kern w:val="0"/>
          <w:highlight w:val="none"/>
          <w:u w:val="single"/>
          <w:lang w:eastAsia="zh-CN"/>
          <w14:textFill>
            <w14:solidFill>
              <w14:schemeClr w14:val="tx1"/>
            </w14:solidFill>
          </w14:textFill>
        </w:rPr>
        <w:t>广东宝骏工程咨询有限公司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。项目已具备招标条件，现对该项目的</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勘察、</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Cs w:val="24"/>
          <w:highlight w:val="none"/>
          <w:u w:val="singl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施工总承包</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进行公开招标。</w:t>
      </w:r>
    </w:p>
    <w:p w14:paraId="6197F2E1">
      <w:pPr>
        <w:pStyle w:val="37"/>
        <w:keepNext/>
        <w:keepLines/>
        <w:ind w:firstLine="480"/>
        <w:jc w:val="both"/>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pPr>
      <w:bookmarkStart w:id="14" w:name="_Hlt74474735"/>
      <w:bookmarkEnd w:id="14"/>
      <w:bookmarkStart w:id="15" w:name="_Hlt119991399"/>
      <w:bookmarkEnd w:id="15"/>
      <w:bookmarkStart w:id="16" w:name="_Hlt78795222"/>
      <w:bookmarkEnd w:id="16"/>
      <w:bookmarkStart w:id="17" w:name="_Hlt109358474"/>
      <w:bookmarkEnd w:id="17"/>
      <w:bookmarkStart w:id="18" w:name="_Hlt87948285"/>
      <w:bookmarkEnd w:id="18"/>
      <w:bookmarkStart w:id="19" w:name="_Toc18453"/>
      <w:bookmarkStart w:id="20" w:name="_Toc574"/>
      <w:bookmarkStart w:id="21" w:name="_Toc31976"/>
      <w:bookmarkStart w:id="22" w:name="_Toc23054"/>
      <w:bookmarkStart w:id="23" w:name="_Toc24563"/>
      <w:bookmarkStart w:id="24" w:name="_Toc30732"/>
      <w:bookmarkStart w:id="25" w:name="_Toc13650"/>
      <w:bookmarkStart w:id="26" w:name="_Toc4081"/>
      <w:bookmarkStart w:id="27" w:name="_Toc2525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工程概况综合说明</w:t>
      </w:r>
      <w:bookmarkEnd w:id="19"/>
      <w:bookmarkEnd w:id="20"/>
      <w:bookmarkEnd w:id="21"/>
      <w:bookmarkEnd w:id="22"/>
      <w:bookmarkEnd w:id="23"/>
      <w:bookmarkEnd w:id="24"/>
      <w:bookmarkEnd w:id="25"/>
      <w:bookmarkEnd w:id="26"/>
      <w:bookmarkEnd w:id="27"/>
    </w:p>
    <w:p w14:paraId="20A82846">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工程概况</w:t>
      </w:r>
    </w:p>
    <w:p w14:paraId="2A22D848">
      <w:pPr>
        <w:pStyle w:val="38"/>
        <w:wordWrap w:val="0"/>
        <w:adjustRightInd w:val="0"/>
        <w:snapToGrid w:val="0"/>
        <w:spacing w:line="360" w:lineRule="auto"/>
        <w:ind w:firstLine="480"/>
        <w:jc w:val="left"/>
        <w:rPr>
          <w:rFonts w:hint="eastAsia" w:asciiTheme="minorEastAsia" w:hAnsiTheme="minorEastAsia" w:eastAsiaTheme="minorEastAsia" w:cstheme="minorEastAsia"/>
          <w:color w:val="000000" w:themeColor="text1"/>
          <w:sz w:val="24"/>
          <w:szCs w:val="18"/>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 w:val="24"/>
          <w:highlight w:val="none"/>
          <w14:textFill>
            <w14:solidFill>
              <w14:schemeClr w14:val="tx1"/>
            </w14:solidFill>
          </w14:textFill>
        </w:rPr>
        <w:t>1.1.1</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 xml:space="preserve"> 建设地点：</w:t>
      </w:r>
      <w:r>
        <w:rPr>
          <w:rFonts w:hint="eastAsia" w:asciiTheme="minorEastAsia" w:hAnsiTheme="minorEastAsia" w:eastAsiaTheme="minorEastAsia" w:cstheme="minorEastAsia"/>
          <w:color w:val="000000" w:themeColor="text1"/>
          <w:kern w:val="2"/>
          <w:sz w:val="24"/>
          <w:szCs w:val="24"/>
          <w:highlight w:val="none"/>
          <w:u w:val="single"/>
          <w:lang w:val="en-US" w:eastAsia="zh-CN" w:bidi="ar-SA"/>
          <w14:textFill>
            <w14:solidFill>
              <w14:schemeClr w14:val="tx1"/>
            </w14:solidFill>
          </w14:textFill>
        </w:rPr>
        <w:t>位于韶关市始兴县太平镇、城南镇镇区，包括刘镇营老旧小区、茅坪老旧小区、锅炉厂宿舍老旧小区以及城区其他基础设施老旧、居民改造意愿较为强烈等查缺补漏的片区。</w:t>
      </w:r>
    </w:p>
    <w:p w14:paraId="5CA903A7">
      <w:pPr>
        <w:pStyle w:val="35"/>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1.1.2</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 xml:space="preserve"> 建设内容和规模：</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该项目涉及楼栋数约98栋，改造户数约2681户，改造面积约19万平方米。主要建设内容为：道路白改黑23400平方米，停车场、休闲广场15600平方米，人行道10500平方米，雨污管网13300米等。</w:t>
      </w:r>
    </w:p>
    <w:p w14:paraId="2A89E065">
      <w:pPr>
        <w:pStyle w:val="35"/>
        <w:ind w:firstLine="482" w:firstLineChars="200"/>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kern w:val="2"/>
          <w:sz w:val="24"/>
          <w:szCs w:val="24"/>
          <w:highlight w:val="none"/>
          <w:lang w:val="en-US" w:eastAsia="zh-CN" w:bidi="ar-SA"/>
          <w14:textFill>
            <w14:solidFill>
              <w14:schemeClr w14:val="tx1"/>
            </w14:solidFill>
          </w14:textFill>
        </w:rPr>
        <w:t>1.1.3</w:t>
      </w:r>
      <w:r>
        <w:rPr>
          <w:rFonts w:hint="eastAsia" w:asciiTheme="minorEastAsia" w:hAnsiTheme="minorEastAsia" w:eastAsiaTheme="minorEastAsia" w:cstheme="minorEastAsia"/>
          <w:b/>
          <w:bCs/>
          <w:color w:val="000000" w:themeColor="text1"/>
          <w:kern w:val="2"/>
          <w:sz w:val="24"/>
          <w:szCs w:val="24"/>
          <w:highlight w:val="none"/>
          <w:u w:val="none"/>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u w:val="none"/>
          <w14:textFill>
            <w14:solidFill>
              <w14:schemeClr w14:val="tx1"/>
            </w14:solidFill>
          </w14:textFill>
        </w:rPr>
        <w:t>项目总投资：</w:t>
      </w:r>
      <w:bookmarkStart w:id="28" w:name="_Toc20999"/>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本项目总估算约为8741.46万元，其中：建安工程费用6225.83万元，勘察、设计费用248.73万元。</w:t>
      </w:r>
    </w:p>
    <w:p w14:paraId="37F8AD91">
      <w:pPr>
        <w:widowControl/>
        <w:spacing w:line="360" w:lineRule="auto"/>
        <w:ind w:left="511" w:leftChars="213"/>
        <w:rPr>
          <w:rFonts w:hint="eastAsia" w:asciiTheme="minorEastAsia" w:hAnsiTheme="minorEastAsia" w:eastAsiaTheme="minorEastAsia" w:cstheme="minorEastAsia"/>
          <w:snapToGrid w:val="0"/>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xml:space="preserve"> 标段划分：</w:t>
      </w:r>
      <w:bookmarkEnd w:id="28"/>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本招标项目不划分标段。</w:t>
      </w:r>
    </w:p>
    <w:p w14:paraId="3302462C">
      <w:pPr>
        <w:pStyle w:val="35"/>
        <w:tabs>
          <w:tab w:val="left" w:pos="7020"/>
        </w:tabs>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监理单位：</w:t>
      </w:r>
      <w:r>
        <w:rPr>
          <w:rFonts w:hint="eastAsia" w:asciiTheme="minorEastAsia" w:hAnsiTheme="minorEastAsia" w:eastAsiaTheme="minorEastAsia" w:cstheme="minorEastAsia"/>
          <w:color w:val="000000" w:themeColor="text1"/>
          <w:szCs w:val="18"/>
          <w:highlight w:val="none"/>
          <w:u w:val="single"/>
          <w14:textFill>
            <w14:solidFill>
              <w14:schemeClr w14:val="tx1"/>
            </w14:solidFill>
          </w14:textFill>
        </w:rPr>
        <w:t>待定</w:t>
      </w:r>
      <w:r>
        <w:rPr>
          <w:rFonts w:hint="eastAsia" w:asciiTheme="minorEastAsia" w:hAnsiTheme="minorEastAsia" w:eastAsiaTheme="minorEastAsia" w:cstheme="minorEastAsia"/>
          <w:color w:val="000000" w:themeColor="text1"/>
          <w:szCs w:val="18"/>
          <w:highlight w:val="none"/>
          <w14:textFill>
            <w14:solidFill>
              <w14:schemeClr w14:val="tx1"/>
            </w14:solidFill>
          </w14:textFill>
        </w:rPr>
        <w:t>。</w:t>
      </w:r>
    </w:p>
    <w:p w14:paraId="7530DDF6">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投标费用：</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投标人应承担所有准备和参加投标的相关费用，不论投标结果如何，招标人均无义务和责任承担这些费用</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bookmarkStart w:id="29" w:name="_Toc106184808"/>
    </w:p>
    <w:p w14:paraId="3EB48DDC">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30" w:name="_Toc7700"/>
      <w:bookmarkStart w:id="31" w:name="_Toc18851"/>
      <w:bookmarkStart w:id="32" w:name="_Toc22550"/>
      <w:bookmarkStart w:id="33" w:name="_Toc32400"/>
      <w:bookmarkStart w:id="34" w:name="_Toc14958"/>
      <w:bookmarkStart w:id="35" w:name="_Toc12190"/>
      <w:bookmarkStart w:id="36" w:name="_Toc21208"/>
      <w:bookmarkStart w:id="37" w:name="_Toc17359"/>
      <w:bookmarkStart w:id="38" w:name="_Toc12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2 、招标范围</w:t>
      </w:r>
      <w:bookmarkEnd w:id="29"/>
      <w:bookmarkEnd w:id="30"/>
      <w:bookmarkEnd w:id="31"/>
      <w:bookmarkEnd w:id="32"/>
      <w:bookmarkEnd w:id="33"/>
      <w:bookmarkEnd w:id="34"/>
      <w:bookmarkEnd w:id="35"/>
      <w:bookmarkEnd w:id="36"/>
      <w:bookmarkEnd w:id="37"/>
      <w:bookmarkEnd w:id="38"/>
    </w:p>
    <w:p w14:paraId="358B4272">
      <w:pPr>
        <w:pStyle w:val="4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39" w:name="_Hlt91408212"/>
      <w:bookmarkEnd w:id="39"/>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2.1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招标范围：</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本工程所涉及的内容包括但不限于以下（1）～（</w:t>
      </w:r>
      <w:r>
        <w:rPr>
          <w:rFonts w:hint="eastAsia" w:asciiTheme="minorEastAsia" w:hAnsiTheme="minorEastAsia" w:eastAsiaTheme="minorEastAsia" w:cstheme="minorEastAsia"/>
          <w:color w:val="000000" w:themeColor="text1"/>
          <w:sz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highlight w:val="none"/>
          <w14:textFill>
            <w14:solidFill>
              <w14:schemeClr w14:val="tx1"/>
            </w14:solidFill>
          </w14:textFill>
        </w:rPr>
        <w:t>）：</w:t>
      </w:r>
    </w:p>
    <w:p w14:paraId="2F789E9F">
      <w:pPr>
        <w:pStyle w:val="35"/>
        <w:numPr>
          <w:ilvl w:val="0"/>
          <w:numId w:val="0"/>
        </w:numPr>
        <w:ind w:firstLine="240" w:firstLineChars="100"/>
        <w:jc w:val="left"/>
        <w:rPr>
          <w:rFonts w:hint="default"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bookmarkStart w:id="40" w:name="_Toc7799"/>
      <w:bookmarkStart w:id="41" w:name="_Toc13988"/>
      <w:bookmarkStart w:id="42" w:name="_Toc4645"/>
      <w:bookmarkStart w:id="43" w:name="_Toc21803"/>
      <w:bookmarkStart w:id="44" w:name="_Toc27886"/>
      <w:bookmarkStart w:id="45" w:name="_Toc708"/>
      <w:bookmarkStart w:id="46" w:name="_Toc26845"/>
      <w:bookmarkStart w:id="47" w:name="_Toc2217"/>
      <w:bookmarkStart w:id="48" w:name="_Toc32739"/>
      <w:bookmarkStart w:id="49" w:name="_Toc1366"/>
      <w:bookmarkStart w:id="50" w:name="_Toc2350"/>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1）勘察部分（含测量测绘）：初步勘察、详细勘察（包括岩土工程勘察、地形图测量、地下管线测量等）。</w:t>
      </w:r>
    </w:p>
    <w:p w14:paraId="5DE91771">
      <w:pPr>
        <w:pStyle w:val="35"/>
        <w:numPr>
          <w:ilvl w:val="0"/>
          <w:numId w:val="0"/>
        </w:numPr>
        <w:ind w:leftChars="0" w:firstLine="240"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设计部分：</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施工图预算（含工程量清单）</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提供项目所需相关检测项的明细表和危险性较大的分部分项工程清单及保障安全相关说明</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57F954A">
      <w:pPr>
        <w:pStyle w:val="35"/>
        <w:ind w:firstLine="241" w:firstLineChars="1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注：设计文件深度要求必须满足</w:t>
      </w:r>
      <w:r>
        <w:rPr>
          <w:rFonts w:hint="eastAsia" w:asciiTheme="minorEastAsia" w:hAnsiTheme="minorEastAsia" w:eastAsiaTheme="minorEastAsia" w:cstheme="minorEastAsia"/>
          <w:b/>
          <w:bCs/>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《市政公用工程设计文件编制深度规定（2013版）》和《建筑工程设计文件编制深度规定（2016版）》的要求，各专业还应该满足各专业工程设计文件编制深度规范或规定的要求</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1C81C4B2">
      <w:pPr>
        <w:pStyle w:val="35"/>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）施工部分：设计文件及工程量清单范围内的所有工程及配套工程、设施等的施工</w:t>
      </w:r>
      <w:r>
        <w:rPr>
          <w:rFonts w:hint="eastAsia" w:hAnsi="宋体" w:cs="Calibri"/>
          <w:bCs/>
          <w:color w:val="000000" w:themeColor="text1"/>
          <w:sz w:val="24"/>
          <w:szCs w:val="24"/>
          <w:highlight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bookmarkEnd w:id="40"/>
      <w:bookmarkEnd w:id="41"/>
      <w:bookmarkEnd w:id="42"/>
    </w:p>
    <w:p w14:paraId="4C6ED494">
      <w:pPr>
        <w:pStyle w:val="35"/>
        <w:keepNext/>
        <w:keepLines/>
        <w:ind w:firstLineChars="200"/>
        <w:jc w:val="both"/>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3</w:t>
      </w:r>
      <w:bookmarkStart w:id="51" w:name="_Hlt66187826"/>
      <w:bookmarkEnd w:id="51"/>
      <w:r>
        <w:rPr>
          <w:rFonts w:hint="eastAsia" w:asciiTheme="minorEastAsia" w:hAnsiTheme="minorEastAsia" w:eastAsiaTheme="minorEastAsia" w:cstheme="minorEastAsia"/>
          <w:b w:val="0"/>
          <w:snapToGrid w:val="0"/>
          <w:color w:val="000000" w:themeColor="text1"/>
          <w:kern w:val="2"/>
          <w:highlight w:val="none"/>
          <w14:textFill>
            <w14:solidFill>
              <w14:schemeClr w14:val="tx1"/>
            </w14:solidFill>
          </w14:textFill>
        </w:rPr>
        <w:t>、工期</w:t>
      </w:r>
      <w:bookmarkEnd w:id="43"/>
      <w:bookmarkEnd w:id="44"/>
      <w:bookmarkEnd w:id="45"/>
      <w:bookmarkEnd w:id="46"/>
      <w:bookmarkEnd w:id="47"/>
      <w:bookmarkEnd w:id="48"/>
      <w:bookmarkEnd w:id="49"/>
      <w:bookmarkEnd w:id="50"/>
    </w:p>
    <w:p w14:paraId="1D49252B">
      <w:pPr>
        <w:pStyle w:val="35"/>
        <w:ind w:firstLine="480" w:firstLineChars="200"/>
        <w:rPr>
          <w:rFonts w:hint="eastAsia" w:asciiTheme="minorEastAsia" w:hAnsiTheme="minorEastAsia" w:eastAsiaTheme="minorEastAsia" w:cstheme="minorEastAsia"/>
          <w:snapToGrid w:val="0"/>
          <w:color w:val="000000" w:themeColor="text1"/>
          <w:szCs w:val="20"/>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 xml:space="preserve"> 本工程工期为：</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本项目勘察、设计、施工总工期</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420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日历天，其中：</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勘察</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设计工期为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施工工期为</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360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日历天。</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中标人必须在所要求的工期内</w:t>
      </w:r>
      <w:r>
        <w:rPr>
          <w:rFonts w:hint="eastAsia" w:asciiTheme="minorEastAsia" w:hAnsiTheme="minorEastAsia" w:eastAsiaTheme="minorEastAsia" w:cstheme="minorEastAsia"/>
          <w:snapToGrid w:val="0"/>
          <w:color w:val="000000" w:themeColor="text1"/>
          <w:kern w:val="2"/>
          <w:highlight w:val="none"/>
          <w:lang w:eastAsia="zh-CN"/>
          <w14:textFill>
            <w14:solidFill>
              <w14:schemeClr w14:val="tx1"/>
            </w14:solidFill>
          </w14:textFill>
        </w:rPr>
        <w:t>完成招标范围内的全部内容</w:t>
      </w:r>
      <w:r>
        <w:rPr>
          <w:rFonts w:hint="eastAsia" w:asciiTheme="minorEastAsia" w:hAnsiTheme="minorEastAsia" w:eastAsiaTheme="minorEastAsia" w:cstheme="minorEastAsia"/>
          <w:snapToGrid w:val="0"/>
          <w:color w:val="000000" w:themeColor="text1"/>
          <w:kern w:val="2"/>
          <w:highlight w:val="none"/>
          <w14:textFill>
            <w14:solidFill>
              <w14:schemeClr w14:val="tx1"/>
            </w14:solidFill>
          </w14:textFill>
        </w:rPr>
        <w:t>。</w:t>
      </w:r>
    </w:p>
    <w:p w14:paraId="7069292E">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highlight w:val="none"/>
          <w14:textFill>
            <w14:solidFill>
              <w14:schemeClr w14:val="tx1"/>
            </w14:solidFill>
          </w14:textFill>
        </w:rPr>
        <w:t>3.2</w:t>
      </w:r>
      <w:r>
        <w:rPr>
          <w:rFonts w:hint="eastAsia" w:asciiTheme="minorEastAsia" w:hAnsiTheme="minorEastAsia" w:eastAsiaTheme="minorEastAsia" w:cstheme="minorEastAsia"/>
          <w:color w:val="000000" w:themeColor="text1"/>
          <w:highlight w:val="none"/>
          <w14:textFill>
            <w14:solidFill>
              <w14:schemeClr w14:val="tx1"/>
            </w14:solidFill>
          </w14:textFill>
        </w:rPr>
        <w:t>因中标人原因，没有按期完成设计任务、工程没有按期竣工时，中标人须在逾期第壹天起每天分别按设计、施工合同价款的1.5</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‰向</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招标人缴纳逾期违约金，分别累计最高不超过设计、施工合同价款的10%向招标人缴纳逾期违约金。</w:t>
      </w:r>
    </w:p>
    <w:p w14:paraId="4BCB15A2">
      <w:pPr>
        <w:pStyle w:val="35"/>
        <w:ind w:firstLine="482" w:firstLineChars="2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color w:val="000000" w:themeColor="text1"/>
          <w:kern w:val="44"/>
          <w:highlight w:val="none"/>
          <w14:textFill>
            <w14:solidFill>
              <w14:schemeClr w14:val="tx1"/>
            </w14:solidFill>
          </w14:textFill>
        </w:rPr>
        <w:t>3.3</w:t>
      </w:r>
      <w:r>
        <w:rPr>
          <w:rFonts w:hint="eastAsia" w:asciiTheme="minorEastAsia" w:hAnsiTheme="minorEastAsia" w:eastAsiaTheme="minorEastAsia" w:cstheme="minorEastAsia"/>
          <w:color w:val="000000" w:themeColor="text1"/>
          <w:highlight w:val="none"/>
          <w14:textFill>
            <w14:solidFill>
              <w14:schemeClr w14:val="tx1"/>
            </w14:solidFill>
          </w14:textFill>
        </w:rPr>
        <w:t>设计工期自</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中标通知书发出之日</w:t>
      </w:r>
      <w:r>
        <w:rPr>
          <w:rFonts w:hint="eastAsia" w:asciiTheme="minorEastAsia" w:hAnsiTheme="minorEastAsia" w:eastAsiaTheme="minorEastAsia" w:cstheme="minorEastAsia"/>
          <w:color w:val="000000" w:themeColor="text1"/>
          <w:highlight w:val="none"/>
          <w14:textFill>
            <w14:solidFill>
              <w14:schemeClr w14:val="tx1"/>
            </w14:solidFill>
          </w14:textFill>
        </w:rPr>
        <w:t>起计算，至提交符合招标人及审图机构要求的施工图设计文件以及符合要求的施工图预算之日止（每一步设计工作，必须以招标人及有关部门审核批准后方可实施）</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p>
    <w:p w14:paraId="5689BC32">
      <w:pPr>
        <w:pStyle w:val="35"/>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highlight w:val="none"/>
          <w14:textFill>
            <w14:solidFill>
              <w14:schemeClr w14:val="tx1"/>
            </w14:solidFill>
          </w14:textFill>
        </w:rPr>
        <w:t>4</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 xml:space="preserve"> 施工工期从开工令签发之日起计，至竣工验收之日止。</w:t>
      </w:r>
      <w:bookmarkStart w:id="52" w:name="_Toc11872"/>
    </w:p>
    <w:p w14:paraId="1FEB7EBD">
      <w:pPr>
        <w:pStyle w:val="37"/>
        <w:keepNext/>
        <w:keepLines/>
        <w:ind w:firstLine="482" w:firstLineChars="20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53" w:name="_Toc3312"/>
      <w:bookmarkStart w:id="54" w:name="_Toc24539"/>
      <w:bookmarkStart w:id="55" w:name="_Toc13379"/>
      <w:bookmarkStart w:id="56" w:name="_Toc19644"/>
      <w:bookmarkStart w:id="57" w:name="_Toc30034"/>
      <w:bookmarkStart w:id="58" w:name="_Toc1889"/>
      <w:bookmarkStart w:id="59" w:name="_Toc16152"/>
      <w:bookmarkStart w:id="60" w:name="_Toc2499"/>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4 、投标人资质及条件要求</w:t>
      </w:r>
      <w:bookmarkEnd w:id="52"/>
      <w:bookmarkEnd w:id="53"/>
      <w:bookmarkEnd w:id="54"/>
      <w:bookmarkEnd w:id="55"/>
      <w:bookmarkEnd w:id="56"/>
      <w:bookmarkEnd w:id="57"/>
      <w:bookmarkEnd w:id="58"/>
      <w:bookmarkEnd w:id="59"/>
      <w:bookmarkEnd w:id="60"/>
      <w:bookmarkStart w:id="61" w:name="_Hlt74496495"/>
      <w:bookmarkEnd w:id="61"/>
    </w:p>
    <w:p w14:paraId="73D49CEE">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本次招标接受联合体投标，联合体以一个投标人的身份共同投标。</w:t>
      </w:r>
    </w:p>
    <w:p w14:paraId="27F00CF8">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联合体成员数量不超过</w:t>
      </w:r>
      <w:r>
        <w:rPr>
          <w:rFonts w:hint="eastAsia" w:asciiTheme="minorEastAsia" w:hAnsiTheme="minorEastAsia" w:eastAsiaTheme="minorEastAsia" w:cstheme="minorEastAsia"/>
          <w:color w:val="000000" w:themeColor="text1"/>
          <w:kern w:val="0"/>
          <w:sz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个。</w:t>
      </w:r>
    </w:p>
    <w:p w14:paraId="1226EA21">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联合体各方应按招标文件提供的格式签订联合体协议书，明确联合体牵头人和各方权利义务，并承诺就中标项目向招标人承担连带责任。《联合体协议书》作为投标文件的组成部分向招标人提交。</w:t>
      </w:r>
    </w:p>
    <w:p w14:paraId="2F046095">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4.1.3</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联合体成员单位均应具备拟承担的工作内容（以《联合体协议书》的约定为准）所规定的资格条件。若同一工作内容由两个或两个以上单位共同承担，该项工作内容按照资质等级较低的单位确定联合体资质等级。</w:t>
      </w:r>
    </w:p>
    <w:p w14:paraId="483020D0">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4.1.4</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联合体各方不得再以自己名义单独或参加其他联合体在本招标项目中投标，否则各相关投标均无效。</w:t>
      </w:r>
    </w:p>
    <w:p w14:paraId="1F7E3C0F">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资质要求</w:t>
      </w:r>
    </w:p>
    <w:p w14:paraId="5D0EAD91">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4.2.1</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投标人须具备独立法人资格，按国家法律经营。</w:t>
      </w:r>
    </w:p>
    <w:p w14:paraId="205647D5">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4.2.2</w:t>
      </w:r>
      <w:r>
        <w:rPr>
          <w:rFonts w:hint="eastAsia" w:asciiTheme="minorEastAsia" w:hAnsiTheme="minorEastAsia" w:eastAsiaTheme="minorEastAsia" w:cstheme="minorEastAsia"/>
          <w:color w:val="000000" w:themeColor="text1"/>
          <w:kern w:val="0"/>
          <w:sz w:val="24"/>
          <w:highlight w:val="none"/>
          <w14:textFill>
            <w14:solidFill>
              <w14:schemeClr w14:val="tx1"/>
            </w14:solidFill>
          </w14:textFill>
        </w:rPr>
        <w:t>投标人须持有行政主管部门颁发的企业资质证书。</w:t>
      </w:r>
    </w:p>
    <w:p w14:paraId="34C88BEE">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参加投标的投标人可以是单一独立法人或由不超过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家独立法人组成的联合体（必须注明其中一家为牵头人</w:t>
      </w:r>
      <w:r>
        <w:rPr>
          <w:rFonts w:hint="eastAsia" w:ascii="宋体" w:hAnsi="宋体" w:eastAsia="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联合体成员中设计、施工企业分别不得超过一家</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），联合体各方不得再以自己的名义单独申请，也不得同时参加两个或两个以上的联合体进行本项目的投标。</w:t>
      </w:r>
      <w:r>
        <w:rPr>
          <w:rFonts w:hint="eastAsia" w:ascii="宋体" w:hAnsi="宋体" w:eastAsia="宋体" w:cs="宋体"/>
          <w:color w:val="000000" w:themeColor="text1"/>
          <w:kern w:val="0"/>
          <w:sz w:val="24"/>
          <w:szCs w:val="24"/>
          <w:highlight w:val="none"/>
          <w14:textFill>
            <w14:solidFill>
              <w14:schemeClr w14:val="tx1"/>
            </w14:solidFill>
          </w14:textFill>
        </w:rPr>
        <w:t>单一独立法人必须至少同时具备以下①～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资质，组成联合体投标的，联合后必须至少具备以下①～</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w:t>
      </w:r>
      <w:r>
        <w:rPr>
          <w:rFonts w:hint="eastAsia" w:ascii="宋体" w:hAnsi="宋体" w:eastAsia="宋体" w:cs="宋体"/>
          <w:color w:val="000000" w:themeColor="text1"/>
          <w:kern w:val="0"/>
          <w:sz w:val="24"/>
          <w:szCs w:val="24"/>
          <w:highlight w:val="none"/>
          <w14:textFill>
            <w14:solidFill>
              <w14:schemeClr w14:val="tx1"/>
            </w14:solidFill>
          </w14:textFill>
        </w:rPr>
        <w:t>资质</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14:textFill>
            <w14:solidFill>
              <w14:schemeClr w14:val="tx1"/>
            </w14:solidFill>
          </w14:textFill>
        </w:rPr>
        <w:t>联合体牵头人必须具备①资质</w:t>
      </w:r>
      <w:r>
        <w:rPr>
          <w:rFonts w:hint="eastAsia" w:asciiTheme="minorEastAsia" w:hAnsiTheme="minorEastAsia" w:eastAsiaTheme="minorEastAsia" w:cstheme="minorEastAsia"/>
          <w:b w:val="0"/>
          <w:bCs w:val="0"/>
          <w:color w:val="000000" w:themeColor="text1"/>
          <w:sz w:val="24"/>
          <w:highlight w:val="none"/>
          <w14:textFill>
            <w14:solidFill>
              <w14:schemeClr w14:val="tx1"/>
            </w14:solidFill>
          </w14:textFill>
        </w:rPr>
        <w:t>：</w:t>
      </w:r>
    </w:p>
    <w:p w14:paraId="263A9842">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①施工资质：</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建筑工程施工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 xml:space="preserve"> 和 市政公用工程施工</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总承包</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级以上（含</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级）资质</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，并获得安全生</w:t>
      </w:r>
      <w:r>
        <w:rPr>
          <w:rFonts w:hint="eastAsia" w:asciiTheme="minorEastAsia" w:hAnsiTheme="minorEastAsia" w:eastAsiaTheme="minorEastAsia" w:cstheme="minorEastAsia"/>
          <w:color w:val="000000" w:themeColor="text1"/>
          <w:sz w:val="24"/>
          <w:szCs w:val="24"/>
          <w:highlight w:val="none"/>
          <w:lang w:val="zh-CN"/>
          <w14:textFill>
            <w14:solidFill>
              <w14:schemeClr w14:val="tx1"/>
            </w14:solidFill>
          </w14:textFill>
        </w:rPr>
        <w:t>产许可证的独立法人。</w:t>
      </w:r>
    </w:p>
    <w:p w14:paraId="1964A145">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②设计资质</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必须具备建设行政主管部门颁发的以下</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（2）和（6）</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（3）和（4）</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或</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（3）和（6）</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资质之一：</w:t>
      </w:r>
    </w:p>
    <w:p w14:paraId="30B795A0">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（1）工程设计综合甲级资质；</w:t>
      </w:r>
    </w:p>
    <w:p w14:paraId="3BFBA669">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（2）建筑行业工程设计乙级以上（含乙级）资质；</w:t>
      </w:r>
    </w:p>
    <w:p w14:paraId="6128D3A7">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（3）建筑行业工程设计（建筑工程）专业乙级以上（含乙级）资质；</w:t>
      </w:r>
    </w:p>
    <w:p w14:paraId="48386DD1">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（4）市政行业设计乙级以上（含乙级）资质；</w:t>
      </w:r>
    </w:p>
    <w:p w14:paraId="0C57EB5E">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（5）市政行业设计(燃气工程、轨道交通工程除外)乙级以上（含乙级）资质；</w:t>
      </w:r>
    </w:p>
    <w:p w14:paraId="566BD839">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（6）市政行业工程设计（道路工程、给水工程、排水工程）专业乙级以上（含乙级）资质。</w:t>
      </w:r>
    </w:p>
    <w:p w14:paraId="68CBF079">
      <w:pPr>
        <w:pStyle w:val="38"/>
        <w:keepNext w:val="0"/>
        <w:keepLines w:val="0"/>
        <w:pageBreakBefore w:val="0"/>
        <w:widowControl w:val="0"/>
        <w:kinsoku/>
        <w:wordWrap w:val="0"/>
        <w:overflowPunct/>
        <w:topLinePunct w:val="0"/>
        <w:autoSpaceDE/>
        <w:autoSpaceDN/>
        <w:bidi w:val="0"/>
        <w:adjustRightInd w:val="0"/>
        <w:snapToGrid w:val="0"/>
        <w:spacing w:line="400" w:lineRule="exact"/>
        <w:ind w:firstLine="480"/>
        <w:jc w:val="left"/>
        <w:textAlignment w:val="auto"/>
        <w:rPr>
          <w:rFonts w:hint="eastAsia" w:asciiTheme="minorEastAsia" w:hAnsiTheme="minorEastAsia" w:eastAsiaTheme="minorEastAsia" w:cstheme="minorEastAsia"/>
          <w:b/>
          <w:bCs/>
          <w:color w:val="000000" w:themeColor="text1"/>
          <w:sz w:val="24"/>
          <w:szCs w:val="24"/>
          <w:highlight w:val="none"/>
          <w:shd w:val="clear" w:color="auto" w:fill="FFFFFF"/>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highlight w:val="none"/>
          <w:shd w:val="clear" w:color="auto" w:fill="FFFFFF"/>
          <w:lang w:val="en-US" w:eastAsia="zh-CN"/>
          <w14:textFill>
            <w14:solidFill>
              <w14:schemeClr w14:val="tx1"/>
            </w14:solidFill>
          </w14:textFill>
        </w:rPr>
        <w:t>注：投标人中标后，设计企业若不具备相应的工程勘察资质的，可由设计企业委托有相应资质的勘察单位进行工程勘察</w:t>
      </w:r>
    </w:p>
    <w:p w14:paraId="2152F776">
      <w:pPr>
        <w:pStyle w:val="38"/>
        <w:wordWrap w:val="0"/>
        <w:adjustRightInd w:val="0"/>
        <w:snapToGrid w:val="0"/>
        <w:spacing w:line="440" w:lineRule="exact"/>
        <w:ind w:firstLine="480"/>
        <w:jc w:val="left"/>
        <w:rPr>
          <w:rFonts w:hint="eastAsia" w:asciiTheme="minorEastAsia" w:hAnsiTheme="minorEastAsia" w:eastAsiaTheme="minorEastAsia" w:cstheme="minorEastAsia"/>
          <w:strike/>
          <w:color w:val="000000" w:themeColor="text1"/>
          <w:sz w:val="24"/>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4.2.4</w:t>
      </w:r>
      <w:r>
        <w:rPr>
          <w:rFonts w:hint="eastAsia" w:asciiTheme="minorEastAsia" w:hAnsiTheme="minorEastAsia" w:eastAsiaTheme="minorEastAsia" w:cstheme="minorEastAsia"/>
          <w:color w:val="000000" w:themeColor="text1"/>
          <w:sz w:val="24"/>
          <w:highlight w:val="none"/>
          <w:lang w:val="zh-CN"/>
          <w14:textFill>
            <w14:solidFill>
              <w14:schemeClr w14:val="tx1"/>
            </w14:solidFill>
          </w14:textFill>
        </w:rPr>
        <w:t>根据有关文件精神，投标人的企业相关证书到期的，均按该证书的发证机构相关行业主管部门最新文件执行（如自动顺延或推迟办理延期业务的通知），投标人必须将相关文件附在该证书后面中，证明在开标日继续有效。</w:t>
      </w:r>
    </w:p>
    <w:p w14:paraId="2C25277A">
      <w:pPr>
        <w:pStyle w:val="38"/>
        <w:wordWrap w:val="0"/>
        <w:adjustRightInd w:val="0"/>
        <w:snapToGrid w:val="0"/>
        <w:spacing w:line="360" w:lineRule="auto"/>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相关人员要求</w:t>
      </w:r>
    </w:p>
    <w:p w14:paraId="1CAFF3D4">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highlight w:val="none"/>
          <w14:textFill>
            <w14:solidFill>
              <w14:schemeClr w14:val="tx1"/>
            </w14:solidFill>
          </w14:textFill>
        </w:rPr>
        <w:t>4.3.1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项目经理为</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具有</w:t>
      </w:r>
      <w:r>
        <w:rPr>
          <w:rFonts w:hint="eastAsia" w:asciiTheme="minorEastAsia" w:hAnsiTheme="minorEastAsia" w:eastAsiaTheme="minorEastAsia" w:cstheme="minorEastAsia"/>
          <w:snapToGrid w:val="0"/>
          <w:color w:val="000000" w:themeColor="text1"/>
          <w:kern w:val="0"/>
          <w:sz w:val="24"/>
          <w:szCs w:val="24"/>
          <w:highlight w:val="none"/>
          <w:u w:val="single"/>
          <w:lang w:eastAsia="zh-CN"/>
          <w14:textFill>
            <w14:solidFill>
              <w14:schemeClr w14:val="tx1"/>
            </w14:solidFill>
          </w14:textFill>
        </w:rPr>
        <w:t>建筑工程</w:t>
      </w:r>
      <w:r>
        <w:rPr>
          <w:rFonts w:hint="eastAsia" w:asciiTheme="minorEastAsia" w:hAnsiTheme="minorEastAsia" w:eastAsiaTheme="minorEastAsia" w:cstheme="minorEastAsia"/>
          <w:snapToGrid w:val="0"/>
          <w:color w:val="000000" w:themeColor="text1"/>
          <w:kern w:val="0"/>
          <w:sz w:val="24"/>
          <w:szCs w:val="24"/>
          <w:highlight w:val="none"/>
          <w:u w:val="none"/>
          <w:lang w:val="en-US" w:eastAsia="zh-CN"/>
          <w14:textFill>
            <w14:solidFill>
              <w14:schemeClr w14:val="tx1"/>
            </w14:solidFill>
          </w14:textFill>
        </w:rPr>
        <w:t xml:space="preserve"> 或 </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snapToGrid w:val="0"/>
          <w:color w:val="000000" w:themeColor="text1"/>
          <w:kern w:val="0"/>
          <w:sz w:val="24"/>
          <w:szCs w:val="24"/>
          <w:highlight w:val="none"/>
          <w:u w:val="none"/>
          <w:lang w:eastAsia="zh-CN"/>
          <w14:textFill>
            <w14:solidFill>
              <w14:schemeClr w14:val="tx1"/>
            </w14:solidFill>
          </w14:textFill>
        </w:rPr>
        <w:t>专业一级注册建造师</w:t>
      </w:r>
      <w:r>
        <w:rPr>
          <w:rFonts w:hint="eastAsia" w:asciiTheme="minorEastAsia" w:hAnsiTheme="minorEastAsia" w:eastAsiaTheme="minorEastAsia" w:cstheme="minorEastAsia"/>
          <w:snapToGrid w:val="0"/>
          <w:color w:val="000000" w:themeColor="text1"/>
          <w:kern w:val="0"/>
          <w:sz w:val="24"/>
          <w:szCs w:val="24"/>
          <w:highlight w:val="none"/>
          <w:u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一级注册建造师应持有国家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印发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已开工未竣工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）建设工程项目的项目经理。</w:t>
      </w:r>
    </w:p>
    <w:p w14:paraId="0A428977">
      <w:pPr>
        <w:pStyle w:val="38"/>
        <w:wordWrap w:val="0"/>
        <w:adjustRightInd w:val="0"/>
        <w:snapToGrid w:val="0"/>
        <w:spacing w:line="360" w:lineRule="auto"/>
        <w:ind w:firstLine="482" w:firstLineChars="200"/>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highlight w:val="none"/>
          <w14:textFill>
            <w14:solidFill>
              <w14:schemeClr w14:val="tx1"/>
            </w14:solidFill>
          </w14:textFill>
        </w:rPr>
        <w:t>4.</w:t>
      </w: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3.2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拟派项目技术负责人须具备</w:t>
      </w:r>
      <w:r>
        <w:rPr>
          <w:rFonts w:hint="eastAsia" w:asciiTheme="minorEastAsia" w:hAnsiTheme="minorEastAsia" w:eastAsiaTheme="minorEastAsia" w:cstheme="minorEastAsia"/>
          <w:color w:val="000000" w:themeColor="text1"/>
          <w:sz w:val="24"/>
          <w:szCs w:val="24"/>
          <w:highlight w:val="none"/>
          <w:u w:val="single"/>
          <w14:textFill>
            <w14:solidFill>
              <w14:schemeClr w14:val="tx1"/>
            </w14:solidFill>
          </w14:textFill>
        </w:rPr>
        <w:t>建筑工程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或 </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市政公用工程</w:t>
      </w:r>
      <w:r>
        <w:rPr>
          <w:rFonts w:hint="eastAsia" w:asciiTheme="minorEastAsia" w:hAnsiTheme="minorEastAsia" w:eastAsiaTheme="minorEastAsia" w:cstheme="minorEastAsia"/>
          <w:color w:val="000000" w:themeColor="text1"/>
          <w:sz w:val="24"/>
          <w:szCs w:val="24"/>
          <w:highlight w:val="none"/>
          <w:u w:val="none"/>
          <w:lang w:val="en-US" w:eastAsia="zh-CN"/>
          <w14:textFill>
            <w14:solidFill>
              <w14:schemeClr w14:val="tx1"/>
            </w14:solidFill>
          </w14:textFill>
        </w:rPr>
        <w:t xml:space="preserve"> 相关</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专业</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中</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级</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或以上技术职称。</w:t>
      </w:r>
    </w:p>
    <w:p w14:paraId="5A1F1609">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拟派专职安全生产管理人员须具备有效安全生产考核合格证明（C证，安全生产考核合格证书或广东省建筑施工企业管理人员安全生产考核系统考核合格信息打印页），且不少于</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人。</w:t>
      </w:r>
    </w:p>
    <w:p w14:paraId="33C6C5A5">
      <w:pPr>
        <w:pStyle w:val="38"/>
        <w:wordWrap w:val="0"/>
        <w:adjustRightInd w:val="0"/>
        <w:snapToGrid w:val="0"/>
        <w:spacing w:line="360" w:lineRule="auto"/>
        <w:ind w:firstLine="480" w:firstLineChars="200"/>
        <w:jc w:val="left"/>
        <w:rPr>
          <w:rFonts w:hint="eastAsia" w:asciiTheme="minorEastAsia" w:hAnsiTheme="minorEastAsia" w:eastAsiaTheme="minorEastAsia" w:cstheme="minorEastAsia"/>
          <w:i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highlight w:val="none"/>
          <w14:textFill>
            <w14:solidFill>
              <w14:schemeClr w14:val="tx1"/>
            </w14:solidFill>
          </w14:textFill>
        </w:rPr>
        <w:t>4.3.4</w:t>
      </w:r>
      <w:r>
        <w:rPr>
          <w:rFonts w:hint="eastAsia" w:asciiTheme="minorEastAsia" w:hAnsiTheme="minorEastAsia" w:eastAsiaTheme="minorEastAsia" w:cstheme="minorEastAsia"/>
          <w:snapToGrid w:val="0"/>
          <w:color w:val="000000" w:themeColor="text1"/>
          <w:kern w:val="0"/>
          <w:sz w:val="24"/>
          <w:highlight w:val="none"/>
          <w:lang w:eastAsia="zh-CN"/>
          <w14:textFill>
            <w14:solidFill>
              <w14:schemeClr w14:val="tx1"/>
            </w14:solidFill>
          </w14:textFill>
        </w:rPr>
        <w:t>拟委派担任本工程的设计负责人必须具备</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一级</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注册建筑师注册证书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697BF4DD">
      <w:pPr>
        <w:pStyle w:val="38"/>
        <w:wordWrap w:val="0"/>
        <w:adjustRightInd w:val="0"/>
        <w:snapToGrid w:val="0"/>
        <w:spacing w:line="360" w:lineRule="auto"/>
        <w:ind w:firstLineChars="200"/>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b w:val="0"/>
          <w:bCs w:val="0"/>
          <w:snapToGrid w:val="0"/>
          <w:color w:val="000000" w:themeColor="text1"/>
          <w:kern w:val="0"/>
          <w:sz w:val="24"/>
          <w:szCs w:val="24"/>
          <w:highlight w:val="none"/>
          <w14:textFill>
            <w14:solidFill>
              <w14:schemeClr w14:val="tx1"/>
            </w14:solidFill>
          </w14:textFill>
        </w:rPr>
        <w:t>4.3.5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投标人（包括组成联合体的所有成员单位）与其拟派往本项目管理机构的所有人员之间必须具备合法、唯一的劳动聘用关系。拟派人员中具备注册执业资格的，其注册单位须与投标人保持一致。</w:t>
      </w:r>
    </w:p>
    <w:p w14:paraId="47DA48DA">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禁止投标条款：</w:t>
      </w:r>
    </w:p>
    <w:p w14:paraId="4A4EB074">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4.4.1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投标人不得存在下列情形之一：</w:t>
      </w:r>
    </w:p>
    <w:p w14:paraId="0CC29F9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（1）为招标人不具有独立法人资格的附属机构（单位）；</w:t>
      </w:r>
    </w:p>
    <w:p w14:paraId="4BC742A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（2）为本招标项目前期准备提供咨询服务的；</w:t>
      </w:r>
    </w:p>
    <w:p w14:paraId="0C4406B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（3）与本招标项目的其他投标人为同一个单位负责人；</w:t>
      </w:r>
    </w:p>
    <w:p w14:paraId="3274665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（4）与本招标项目的其他投标人存在控股、管理关系；</w:t>
      </w:r>
    </w:p>
    <w:p w14:paraId="5D0149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（5）为本招标项目的监理人；</w:t>
      </w:r>
    </w:p>
    <w:p w14:paraId="4F018B5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（6）为本招标项目的代建人；</w:t>
      </w:r>
    </w:p>
    <w:p w14:paraId="0DD591D5">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（7）为本招标项目的招标代理机构；</w:t>
      </w:r>
    </w:p>
    <w:p w14:paraId="6FE735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（8）与本招标项目的监理人或代建人或招标代理机构同为一个法定代表人；</w:t>
      </w:r>
    </w:p>
    <w:p w14:paraId="0C15F11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（9）与本招标项目的监理人或代建人或招标代理机构存在控股或参股关系；</w:t>
      </w:r>
    </w:p>
    <w:p w14:paraId="04BAED46">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（10）与本招标项目的监理人或代建人或招标代理机构存在相互任职或工作关系；</w:t>
      </w:r>
    </w:p>
    <w:p w14:paraId="78159E10">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（11）被依法暂停或者取消投标资格；</w:t>
      </w:r>
    </w:p>
    <w:p w14:paraId="142376F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（12）被责令停产停业、暂扣或者吊销许可证、暂扣或者吊销执照；</w:t>
      </w:r>
    </w:p>
    <w:p w14:paraId="1CEFC632">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（13）进入清算程序，或被宣告破产，或其他丧失履约能力的情形；</w:t>
      </w:r>
    </w:p>
    <w:p w14:paraId="0ACF323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（14）在最近三年内发生重大工程质量或安全问题（以相关行业主管部门的行政处罚决定或司法机关出具的有关法律文书为准）；</w:t>
      </w:r>
    </w:p>
    <w:p w14:paraId="6FC0E969">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（15）被“信用中国”网站（https://www.creditchina.gov.cn）发布的《法人和非法人组织公共信用信息报告》列入严重失信主体名单的。</w:t>
      </w:r>
    </w:p>
    <w:p w14:paraId="2B413508">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4.4.2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招标人拒绝以下名单中的单位参加本次投标：</w:t>
      </w:r>
    </w:p>
    <w:tbl>
      <w:tblPr>
        <w:tblStyle w:val="21"/>
        <w:tblW w:w="9577"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4216"/>
        <w:gridCol w:w="4574"/>
      </w:tblGrid>
      <w:tr w14:paraId="3BBE9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87" w:type="dxa"/>
            <w:noWrap/>
            <w:vAlign w:val="center"/>
          </w:tcPr>
          <w:p w14:paraId="27C006A1">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4216" w:type="dxa"/>
            <w:noWrap/>
            <w:vAlign w:val="center"/>
          </w:tcPr>
          <w:p w14:paraId="1D357B38">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单位名称</w:t>
            </w:r>
          </w:p>
        </w:tc>
        <w:tc>
          <w:tcPr>
            <w:tcW w:w="4574" w:type="dxa"/>
            <w:noWrap/>
            <w:vAlign w:val="center"/>
          </w:tcPr>
          <w:p w14:paraId="102F25AC">
            <w:pPr>
              <w:wordWrap w:val="0"/>
              <w:adjustRightInd w:val="0"/>
              <w:snapToGrid w:val="0"/>
              <w:spacing w:line="360" w:lineRule="auto"/>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拒绝原因</w:t>
            </w:r>
          </w:p>
        </w:tc>
      </w:tr>
      <w:tr w14:paraId="281C1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5C0B97D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4216" w:type="dxa"/>
            <w:noWrap/>
            <w:vAlign w:val="center"/>
          </w:tcPr>
          <w:p w14:paraId="6C723C57">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始兴县住房和城乡建设管理局</w:t>
            </w:r>
          </w:p>
        </w:tc>
        <w:tc>
          <w:tcPr>
            <w:tcW w:w="4574" w:type="dxa"/>
            <w:noWrap/>
            <w:vAlign w:val="center"/>
          </w:tcPr>
          <w:p w14:paraId="637B1763">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为本招标项目的招标人</w:t>
            </w:r>
          </w:p>
        </w:tc>
      </w:tr>
      <w:tr w14:paraId="5CB08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034641EE">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4216" w:type="dxa"/>
            <w:noWrap/>
            <w:vAlign w:val="center"/>
          </w:tcPr>
          <w:p w14:paraId="4F97ADEE">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始兴县住房和城乡建设管理局</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tc>
        <w:tc>
          <w:tcPr>
            <w:tcW w:w="4574" w:type="dxa"/>
            <w:noWrap/>
            <w:vAlign w:val="center"/>
          </w:tcPr>
          <w:p w14:paraId="616118E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为本招标项目的业主单位</w:t>
            </w:r>
          </w:p>
        </w:tc>
      </w:tr>
      <w:tr w14:paraId="15BE3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7" w:type="dxa"/>
            <w:noWrap/>
            <w:vAlign w:val="center"/>
          </w:tcPr>
          <w:p w14:paraId="42C8DAC7">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4216" w:type="dxa"/>
            <w:noWrap/>
            <w:vAlign w:val="center"/>
          </w:tcPr>
          <w:p w14:paraId="641E28D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中潮博雅设计有限公司</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tc>
        <w:tc>
          <w:tcPr>
            <w:tcW w:w="4574" w:type="dxa"/>
            <w:noWrap/>
            <w:vAlign w:val="center"/>
          </w:tcPr>
          <w:p w14:paraId="303D99DA">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为本招标项目的可行性研究报告编制单位</w:t>
            </w:r>
          </w:p>
        </w:tc>
      </w:tr>
      <w:tr w14:paraId="71ED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87" w:type="dxa"/>
            <w:noWrap/>
            <w:vAlign w:val="center"/>
          </w:tcPr>
          <w:p w14:paraId="05BEB00A">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4216" w:type="dxa"/>
            <w:noWrap/>
            <w:vAlign w:val="center"/>
          </w:tcPr>
          <w:p w14:paraId="21C7CEC0">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广东宝骏工程咨询有限公司</w:t>
            </w:r>
          </w:p>
        </w:tc>
        <w:tc>
          <w:tcPr>
            <w:tcW w:w="4574" w:type="dxa"/>
            <w:noWrap/>
            <w:vAlign w:val="center"/>
          </w:tcPr>
          <w:p w14:paraId="73F05BA5">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为本招标项目的招标代理机构</w:t>
            </w:r>
          </w:p>
        </w:tc>
      </w:tr>
      <w:tr w14:paraId="2BDC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7" w:type="dxa"/>
            <w:noWrap/>
            <w:vAlign w:val="center"/>
          </w:tcPr>
          <w:p w14:paraId="31E36485">
            <w:pPr>
              <w:wordWrap w:val="0"/>
              <w:adjustRightInd w:val="0"/>
              <w:snapToGrid w:val="0"/>
              <w:spacing w:line="360" w:lineRule="auto"/>
              <w:jc w:val="cente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p>
        </w:tc>
        <w:tc>
          <w:tcPr>
            <w:tcW w:w="4216" w:type="dxa"/>
            <w:noWrap/>
            <w:vAlign w:val="center"/>
          </w:tcPr>
          <w:p w14:paraId="0268D0F8">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待定</w:t>
            </w:r>
          </w:p>
        </w:tc>
        <w:tc>
          <w:tcPr>
            <w:tcW w:w="4574" w:type="dxa"/>
            <w:noWrap/>
            <w:vAlign w:val="center"/>
          </w:tcPr>
          <w:p w14:paraId="17B6B69F">
            <w:pPr>
              <w:wordWrap w:val="0"/>
              <w:adjustRightInd w:val="0"/>
              <w:snapToGrid w:val="0"/>
              <w:spacing w:line="360" w:lineRule="auto"/>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为本招标项目的监理单位</w:t>
            </w:r>
          </w:p>
        </w:tc>
      </w:tr>
    </w:tbl>
    <w:p w14:paraId="07136E5D">
      <w:pPr>
        <w:wordWrap w:val="0"/>
        <w:adjustRightInd w:val="0"/>
        <w:snapToGrid w:val="0"/>
        <w:spacing w:line="360" w:lineRule="auto"/>
        <w:ind w:firstLine="482"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省外企业（包括组成联合体的所有成员单位）须按照《广东省住房和城乡建设厅关于取消省外建筑企业和人员进粤信息备案有关工作的通知》（粤建市﹝2015﹞52号）规定在“进粤企业和人员诚信信息登记平台”录入相关信息并通过数据规范检查。</w:t>
      </w:r>
    </w:p>
    <w:p w14:paraId="22E3F83E">
      <w:pPr>
        <w:pStyle w:val="30"/>
        <w:spacing w:line="360" w:lineRule="auto"/>
        <w:jc w:val="both"/>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034A7CEB">
      <w:pPr>
        <w:pStyle w:val="37"/>
        <w:keepNext/>
        <w:keepLines/>
        <w:ind w:firstLine="482" w:firstLineChars="20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62" w:name="_Toc3588"/>
      <w:bookmarkStart w:id="63" w:name="_Toc8294"/>
      <w:bookmarkStart w:id="64" w:name="_Toc21005"/>
      <w:bookmarkStart w:id="65" w:name="_Toc17645"/>
      <w:bookmarkStart w:id="66" w:name="_Toc2707"/>
      <w:bookmarkStart w:id="67" w:name="_Toc20378"/>
      <w:bookmarkStart w:id="68" w:name="_Toc3094"/>
      <w:bookmarkStart w:id="69" w:name="_Toc18979"/>
      <w:bookmarkStart w:id="70" w:name="_Toc2439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5 、工程招标内容及要求</w:t>
      </w:r>
      <w:bookmarkEnd w:id="62"/>
      <w:bookmarkEnd w:id="63"/>
      <w:bookmarkEnd w:id="64"/>
      <w:bookmarkEnd w:id="65"/>
      <w:bookmarkEnd w:id="66"/>
      <w:bookmarkEnd w:id="67"/>
      <w:bookmarkEnd w:id="68"/>
      <w:bookmarkEnd w:id="69"/>
      <w:bookmarkEnd w:id="70"/>
    </w:p>
    <w:p w14:paraId="4DDE3DE2">
      <w:pPr>
        <w:pStyle w:val="35"/>
        <w:numPr>
          <w:ilvl w:val="0"/>
          <w:numId w:val="0"/>
        </w:numPr>
        <w:spacing w:line="360" w:lineRule="auto"/>
        <w:ind w:firstLine="480" w:firstLineChars="200"/>
        <w:rPr>
          <w:rFonts w:hint="eastAsia" w:ascii="宋体" w:hAnsi="宋体" w:eastAsia="宋体" w:cs="Calibri"/>
          <w:bCs/>
          <w:color w:val="000000" w:themeColor="text1"/>
          <w:sz w:val="24"/>
          <w:szCs w:val="24"/>
          <w:highlight w:val="none"/>
          <w:u w:val="none"/>
          <w14:textFill>
            <w14:solidFill>
              <w14:schemeClr w14:val="tx1"/>
            </w14:solidFill>
          </w14:textFill>
        </w:rPr>
      </w:pPr>
      <w:r>
        <w:rPr>
          <w:rFonts w:hint="eastAsia" w:ascii="宋体" w:hAnsi="宋体" w:eastAsia="宋体" w:cs="Calibri"/>
          <w:bCs/>
          <w:color w:val="000000" w:themeColor="text1"/>
          <w:sz w:val="24"/>
          <w:szCs w:val="24"/>
          <w:highlight w:val="none"/>
          <w:u w:val="none"/>
          <w:lang w:val="en-US" w:eastAsia="zh-CN"/>
          <w14:textFill>
            <w14:solidFill>
              <w14:schemeClr w14:val="tx1"/>
            </w14:solidFill>
          </w14:textFill>
        </w:rPr>
        <w:t>5.1</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本工程所涉及的内容包括但不限于以下（1）～（</w:t>
      </w:r>
      <w:r>
        <w:rPr>
          <w:rFonts w:hint="eastAsia" w:ascii="宋体" w:hAnsi="宋体" w:eastAsia="宋体" w:cs="Calibri"/>
          <w:bCs/>
          <w:color w:val="000000" w:themeColor="text1"/>
          <w:sz w:val="24"/>
          <w:szCs w:val="24"/>
          <w:highlight w:val="none"/>
          <w:u w:val="none"/>
          <w:lang w:val="en-US" w:eastAsia="zh-CN"/>
          <w14:textFill>
            <w14:solidFill>
              <w14:schemeClr w14:val="tx1"/>
            </w14:solidFill>
          </w14:textFill>
        </w:rPr>
        <w:t>3</w:t>
      </w:r>
      <w:r>
        <w:rPr>
          <w:rFonts w:hint="eastAsia" w:ascii="宋体" w:hAnsi="宋体" w:eastAsia="宋体" w:cs="Calibri"/>
          <w:bCs/>
          <w:color w:val="000000" w:themeColor="text1"/>
          <w:sz w:val="24"/>
          <w:szCs w:val="24"/>
          <w:highlight w:val="none"/>
          <w:u w:val="none"/>
          <w:lang w:val="zh-CN"/>
          <w14:textFill>
            <w14:solidFill>
              <w14:schemeClr w14:val="tx1"/>
            </w14:solidFill>
          </w14:textFill>
        </w:rPr>
        <w:t>）：</w:t>
      </w:r>
    </w:p>
    <w:p w14:paraId="6A5F6DE1">
      <w:pPr>
        <w:pStyle w:val="35"/>
        <w:numPr>
          <w:ilvl w:val="0"/>
          <w:numId w:val="0"/>
        </w:numPr>
        <w:spacing w:line="360" w:lineRule="auto"/>
        <w:ind w:firstLine="480" w:firstLineChars="200"/>
        <w:rPr>
          <w:rFonts w:hint="eastAsia" w:hAnsi="宋体" w:cs="Calibri"/>
          <w:bCs/>
          <w:color w:val="000000" w:themeColor="text1"/>
          <w:sz w:val="24"/>
          <w:szCs w:val="24"/>
          <w:highlight w:val="none"/>
          <w:u w:val="none"/>
          <w14:textFill>
            <w14:solidFill>
              <w14:schemeClr w14:val="tx1"/>
            </w14:solidFill>
          </w14:textFill>
        </w:rPr>
      </w:pPr>
      <w:r>
        <w:rPr>
          <w:rFonts w:hint="eastAsia" w:hAnsi="宋体" w:cs="Calibri"/>
          <w:bCs/>
          <w:color w:val="000000" w:themeColor="text1"/>
          <w:sz w:val="24"/>
          <w:szCs w:val="24"/>
          <w:highlight w:val="none"/>
          <w:u w:val="none"/>
          <w14:textFill>
            <w14:solidFill>
              <w14:schemeClr w14:val="tx1"/>
            </w14:solidFill>
          </w14:textFill>
        </w:rPr>
        <w:t>（1）勘察部分（</w:t>
      </w:r>
      <w:r>
        <w:rPr>
          <w:rFonts w:hint="eastAsia" w:hAnsi="宋体" w:cs="Calibri"/>
          <w:bCs/>
          <w:color w:val="000000" w:themeColor="text1"/>
          <w:sz w:val="24"/>
          <w:szCs w:val="24"/>
          <w:highlight w:val="none"/>
          <w14:textFill>
            <w14:solidFill>
              <w14:schemeClr w14:val="tx1"/>
            </w14:solidFill>
          </w14:textFill>
        </w:rPr>
        <w:t>含测量</w:t>
      </w:r>
      <w:r>
        <w:rPr>
          <w:rFonts w:hint="eastAsia" w:hAnsi="宋体" w:cs="Calibri"/>
          <w:bCs/>
          <w:color w:val="000000" w:themeColor="text1"/>
          <w:sz w:val="24"/>
          <w:szCs w:val="24"/>
          <w:highlight w:val="none"/>
          <w:lang w:val="en-US" w:eastAsia="zh-CN"/>
          <w14:textFill>
            <w14:solidFill>
              <w14:schemeClr w14:val="tx1"/>
            </w14:solidFill>
          </w14:textFill>
        </w:rPr>
        <w:t>测绘</w:t>
      </w:r>
      <w:r>
        <w:rPr>
          <w:rFonts w:hint="eastAsia" w:hAnsi="宋体" w:cs="Calibri"/>
          <w:bCs/>
          <w:color w:val="000000" w:themeColor="text1"/>
          <w:sz w:val="24"/>
          <w:szCs w:val="24"/>
          <w:highlight w:val="none"/>
          <w:u w:val="none"/>
          <w14:textFill>
            <w14:solidFill>
              <w14:schemeClr w14:val="tx1"/>
            </w14:solidFill>
          </w14:textFill>
        </w:rPr>
        <w:t>）：初步勘察、详细勘察（包括岩土工程勘察、地形图测量、地下管线测量等）。</w:t>
      </w:r>
    </w:p>
    <w:p w14:paraId="4E4E7587">
      <w:pPr>
        <w:pStyle w:val="35"/>
        <w:numPr>
          <w:ilvl w:val="0"/>
          <w:numId w:val="0"/>
        </w:numPr>
        <w:spacing w:line="360" w:lineRule="auto"/>
        <w:ind w:firstLine="480" w:firstLineChars="200"/>
        <w:rPr>
          <w:rFonts w:hint="eastAsia" w:hAnsi="宋体" w:cs="Calibri"/>
          <w:bCs/>
          <w:color w:val="000000" w:themeColor="text1"/>
          <w:sz w:val="24"/>
          <w:szCs w:val="24"/>
          <w:highlight w:val="none"/>
          <w:u w:val="none"/>
          <w14:textFill>
            <w14:solidFill>
              <w14:schemeClr w14:val="tx1"/>
            </w14:solidFill>
          </w14:textFill>
        </w:rPr>
      </w:pPr>
      <w:r>
        <w:rPr>
          <w:rFonts w:hint="eastAsia" w:hAnsi="宋体" w:cs="Calibri"/>
          <w:bCs/>
          <w:color w:val="000000" w:themeColor="text1"/>
          <w:sz w:val="24"/>
          <w:szCs w:val="24"/>
          <w:highlight w:val="none"/>
          <w:u w:val="none"/>
          <w14:textFill>
            <w14:solidFill>
              <w14:schemeClr w14:val="tx1"/>
            </w14:solidFill>
          </w14:textFill>
        </w:rPr>
        <w:t>（</w:t>
      </w:r>
      <w:r>
        <w:rPr>
          <w:rFonts w:hint="eastAsia" w:hAnsi="宋体" w:cs="Calibri"/>
          <w:bCs/>
          <w:color w:val="000000" w:themeColor="text1"/>
          <w:sz w:val="24"/>
          <w:szCs w:val="24"/>
          <w:highlight w:val="none"/>
          <w:u w:val="none"/>
          <w:lang w:val="en-US" w:eastAsia="zh-CN"/>
          <w14:textFill>
            <w14:solidFill>
              <w14:schemeClr w14:val="tx1"/>
            </w14:solidFill>
          </w14:textFill>
        </w:rPr>
        <w:t>2</w:t>
      </w:r>
      <w:r>
        <w:rPr>
          <w:rFonts w:hint="eastAsia" w:hAnsi="宋体" w:cs="Calibri"/>
          <w:bCs/>
          <w:color w:val="000000" w:themeColor="text1"/>
          <w:sz w:val="24"/>
          <w:szCs w:val="24"/>
          <w:highlight w:val="none"/>
          <w:u w:val="none"/>
          <w14:textFill>
            <w14:solidFill>
              <w14:schemeClr w14:val="tx1"/>
            </w14:solidFill>
          </w14:textFill>
        </w:rPr>
        <w:t>）设计部分：</w:t>
      </w:r>
      <w:r>
        <w:rPr>
          <w:rFonts w:hint="eastAsia" w:hAnsi="宋体" w:cs="宋体"/>
          <w:snapToGrid w:val="0"/>
          <w:color w:val="000000" w:themeColor="text1"/>
          <w:kern w:val="0"/>
          <w:sz w:val="24"/>
          <w:szCs w:val="24"/>
          <w:highlight w:val="none"/>
          <w:u w:val="none"/>
          <w:lang w:val="zh-CN"/>
          <w14:textFill>
            <w14:solidFill>
              <w14:schemeClr w14:val="tx1"/>
            </w14:solidFill>
          </w14:textFill>
        </w:rPr>
        <w:t>确保项目顺利实施的报建、报批、施工等所需的所有建安工程等设计文件。包括但不限于：初步设计及概算、施工图设计、</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施工图预算（含工程量清单）</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提供项目所需相关检测项的明细表和危险性较大的分部分项工程清单及保障安全相关说明</w:t>
      </w:r>
      <w:r>
        <w:rPr>
          <w:rFonts w:hint="eastAsia" w:ascii="宋体" w:hAnsi="宋体" w:eastAsia="宋体" w:cs="宋体"/>
          <w:snapToGrid w:val="0"/>
          <w:color w:val="000000" w:themeColor="text1"/>
          <w:kern w:val="0"/>
          <w:sz w:val="24"/>
          <w:szCs w:val="24"/>
          <w:highlight w:val="none"/>
          <w:u w:val="none"/>
          <w:lang w:eastAsia="zh-CN"/>
          <w14:textFill>
            <w14:solidFill>
              <w14:schemeClr w14:val="tx1"/>
            </w14:solidFill>
          </w14:textFill>
        </w:rPr>
        <w:t>、</w:t>
      </w:r>
      <w:r>
        <w:rPr>
          <w:rFonts w:hint="eastAsia" w:hAnsi="宋体" w:cs="宋体"/>
          <w:snapToGrid w:val="0"/>
          <w:color w:val="000000" w:themeColor="text1"/>
          <w:kern w:val="0"/>
          <w:sz w:val="24"/>
          <w:szCs w:val="24"/>
          <w:highlight w:val="none"/>
          <w:u w:val="none"/>
          <w:lang w:val="zh-CN"/>
          <w14:textFill>
            <w14:solidFill>
              <w14:schemeClr w14:val="tx1"/>
            </w14:solidFill>
          </w14:textFill>
        </w:rPr>
        <w:t>工地现场服务、验收过程中的设计指导及配合阶段验收及档案整理、协助施工单位编制竣工图及后续设计服务工作</w:t>
      </w:r>
      <w:r>
        <w:rPr>
          <w:rFonts w:hint="eastAsia" w:hAnsi="宋体" w:cs="Calibri"/>
          <w:bCs/>
          <w:color w:val="000000" w:themeColor="text1"/>
          <w:sz w:val="24"/>
          <w:szCs w:val="24"/>
          <w:highlight w:val="none"/>
          <w:u w:val="none"/>
          <w14:textFill>
            <w14:solidFill>
              <w14:schemeClr w14:val="tx1"/>
            </w14:solidFill>
          </w14:textFill>
        </w:rPr>
        <w:t>。</w:t>
      </w:r>
    </w:p>
    <w:p w14:paraId="4F3E1C6F">
      <w:pPr>
        <w:pStyle w:val="35"/>
        <w:numPr>
          <w:ilvl w:val="0"/>
          <w:numId w:val="0"/>
        </w:numPr>
        <w:spacing w:line="360" w:lineRule="auto"/>
        <w:ind w:firstLine="480" w:firstLineChars="200"/>
        <w:rPr>
          <w:rFonts w:hint="eastAsia" w:hAnsi="宋体" w:cs="Calibri"/>
          <w:bCs/>
          <w:color w:val="000000" w:themeColor="text1"/>
          <w:sz w:val="24"/>
          <w:szCs w:val="24"/>
          <w:highlight w:val="none"/>
          <w:u w:val="none"/>
          <w:lang w:val="zh-CN"/>
          <w14:textFill>
            <w14:solidFill>
              <w14:schemeClr w14:val="tx1"/>
            </w14:solidFill>
          </w14:textFill>
        </w:rPr>
      </w:pPr>
      <w:r>
        <w:rPr>
          <w:rFonts w:hint="eastAsia" w:hAnsi="宋体" w:cs="Calibri"/>
          <w:bCs/>
          <w:color w:val="000000" w:themeColor="text1"/>
          <w:sz w:val="24"/>
          <w:szCs w:val="24"/>
          <w:highlight w:val="none"/>
          <w:u w:val="none"/>
          <w:lang w:val="zh-CN"/>
          <w14:textFill>
            <w14:solidFill>
              <w14:schemeClr w14:val="tx1"/>
            </w14:solidFill>
          </w14:textFill>
        </w:rPr>
        <w:t>（</w:t>
      </w:r>
      <w:r>
        <w:rPr>
          <w:rFonts w:hint="eastAsia" w:hAnsi="宋体" w:cs="Calibri"/>
          <w:bCs/>
          <w:color w:val="000000" w:themeColor="text1"/>
          <w:sz w:val="24"/>
          <w:szCs w:val="24"/>
          <w:highlight w:val="none"/>
          <w:u w:val="none"/>
          <w:lang w:val="en-US" w:eastAsia="zh-CN"/>
          <w14:textFill>
            <w14:solidFill>
              <w14:schemeClr w14:val="tx1"/>
            </w14:solidFill>
          </w14:textFill>
        </w:rPr>
        <w:t>3</w:t>
      </w:r>
      <w:r>
        <w:rPr>
          <w:rFonts w:hint="eastAsia" w:hAnsi="宋体" w:cs="Calibri"/>
          <w:bCs/>
          <w:color w:val="000000" w:themeColor="text1"/>
          <w:sz w:val="24"/>
          <w:szCs w:val="24"/>
          <w:highlight w:val="none"/>
          <w:u w:val="none"/>
          <w:lang w:val="zh-CN"/>
          <w14:textFill>
            <w14:solidFill>
              <w14:schemeClr w14:val="tx1"/>
            </w14:solidFill>
          </w14:textFill>
        </w:rPr>
        <w:t>）施工部分：</w:t>
      </w:r>
      <w:r>
        <w:rPr>
          <w:rFonts w:hint="eastAsia" w:ascii="宋体" w:hAnsi="宋体" w:eastAsia="宋体" w:cs="宋体"/>
          <w:snapToGrid w:val="0"/>
          <w:color w:val="000000" w:themeColor="text1"/>
          <w:kern w:val="0"/>
          <w:sz w:val="24"/>
          <w:szCs w:val="24"/>
          <w:highlight w:val="none"/>
          <w:u w:val="none"/>
          <w14:textFill>
            <w14:solidFill>
              <w14:schemeClr w14:val="tx1"/>
            </w14:solidFill>
          </w14:textFill>
        </w:rPr>
        <w:t>设计文件及工程量清单范围内的所有工程及配套工程、设施等的施工</w:t>
      </w:r>
      <w:r>
        <w:rPr>
          <w:rFonts w:hint="eastAsia" w:hAnsi="宋体" w:cs="Calibri"/>
          <w:bCs/>
          <w:color w:val="000000" w:themeColor="text1"/>
          <w:sz w:val="24"/>
          <w:szCs w:val="24"/>
          <w:highlight w:val="none"/>
          <w:u w:val="none"/>
          <w:lang w:val="zh-CN"/>
          <w14:textFill>
            <w14:solidFill>
              <w14:schemeClr w14:val="tx1"/>
            </w14:solidFill>
          </w14:textFill>
        </w:rPr>
        <w:t>（含竣工验收资料编制整理、备案等），完成并配合发包人结算、负责工程缺陷保修以及发包人要求由施工单位完成的其他工作（发包人另行委托其他单位负责实施的工作内容除外，但需提供一系列协调及配合服务）等。</w:t>
      </w:r>
    </w:p>
    <w:p w14:paraId="1E5301D3">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5.2勘察要求：</w:t>
      </w:r>
    </w:p>
    <w:p w14:paraId="5B05A439">
      <w:pPr>
        <w:pStyle w:val="35"/>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5.2.1</w:t>
      </w:r>
      <w:r>
        <w:rPr>
          <w:rFonts w:hint="eastAsia" w:hAnsi="宋体" w:cs="Calibri"/>
          <w:bCs/>
          <w:color w:val="000000" w:themeColor="text1"/>
          <w:sz w:val="24"/>
          <w:szCs w:val="24"/>
          <w:highlight w:val="none"/>
          <w:lang w:val="zh-CN"/>
          <w14:textFill>
            <w14:solidFill>
              <w14:schemeClr w14:val="tx1"/>
            </w14:solidFill>
          </w14:textFill>
        </w:rPr>
        <w:t>勘察</w:t>
      </w:r>
      <w:r>
        <w:rPr>
          <w:rFonts w:hint="eastAsia" w:hAnsi="宋体" w:cs="Calibri"/>
          <w:bCs/>
          <w:color w:val="000000" w:themeColor="text1"/>
          <w:sz w:val="24"/>
          <w:szCs w:val="24"/>
          <w:highlight w:val="none"/>
          <w:lang w:val="en-US" w:eastAsia="zh-CN"/>
          <w14:textFill>
            <w14:solidFill>
              <w14:schemeClr w14:val="tx1"/>
            </w14:solidFill>
          </w14:textFill>
        </w:rPr>
        <w:t>质量</w:t>
      </w:r>
      <w:r>
        <w:rPr>
          <w:rFonts w:hint="eastAsia" w:hAnsi="宋体" w:cs="Calibri"/>
          <w:bCs/>
          <w:color w:val="000000" w:themeColor="text1"/>
          <w:sz w:val="24"/>
          <w:szCs w:val="24"/>
          <w:highlight w:val="none"/>
          <w:lang w:val="zh-CN"/>
          <w14:textFill>
            <w14:solidFill>
              <w14:schemeClr w14:val="tx1"/>
            </w14:solidFill>
          </w14:textFill>
        </w:rPr>
        <w:t>要求：</w:t>
      </w:r>
      <w:r>
        <w:rPr>
          <w:rFonts w:hint="eastAsia" w:ascii="宋体" w:hAnsi="宋体" w:eastAsia="宋体" w:cs="Calibri"/>
          <w:bCs/>
          <w:color w:val="000000" w:themeColor="text1"/>
          <w:sz w:val="24"/>
          <w:szCs w:val="24"/>
          <w:highlight w:val="none"/>
          <w:lang w:val="zh-CN" w:eastAsia="zh-CN"/>
          <w14:textFill>
            <w14:solidFill>
              <w14:schemeClr w14:val="tx1"/>
            </w14:solidFill>
          </w14:textFill>
        </w:rPr>
        <w:t>符合住建部颁布的现行有关勘察（</w:t>
      </w:r>
      <w:r>
        <w:rPr>
          <w:rFonts w:hint="eastAsia" w:hAnsi="宋体" w:cs="Calibri"/>
          <w:bCs/>
          <w:color w:val="000000" w:themeColor="text1"/>
          <w:sz w:val="24"/>
          <w:szCs w:val="24"/>
          <w:highlight w:val="none"/>
          <w14:textFill>
            <w14:solidFill>
              <w14:schemeClr w14:val="tx1"/>
            </w14:solidFill>
          </w14:textFill>
        </w:rPr>
        <w:t>含测量</w:t>
      </w:r>
      <w:r>
        <w:rPr>
          <w:rFonts w:hint="eastAsia" w:hAnsi="宋体" w:cs="Calibri"/>
          <w:bCs/>
          <w:color w:val="000000" w:themeColor="text1"/>
          <w:sz w:val="24"/>
          <w:szCs w:val="24"/>
          <w:highlight w:val="none"/>
          <w:lang w:val="en-US" w:eastAsia="zh-CN"/>
          <w14:textFill>
            <w14:solidFill>
              <w14:schemeClr w14:val="tx1"/>
            </w14:solidFill>
          </w14:textFill>
        </w:rPr>
        <w:t>测绘</w:t>
      </w:r>
      <w:r>
        <w:rPr>
          <w:rFonts w:hint="eastAsia" w:ascii="宋体" w:hAnsi="宋体" w:eastAsia="宋体" w:cs="Calibri"/>
          <w:bCs/>
          <w:color w:val="000000" w:themeColor="text1"/>
          <w:sz w:val="24"/>
          <w:szCs w:val="24"/>
          <w:highlight w:val="none"/>
          <w:lang w:val="zh-CN" w:eastAsia="zh-CN"/>
          <w14:textFill>
            <w14:solidFill>
              <w14:schemeClr w14:val="tx1"/>
            </w14:solidFill>
          </w14:textFill>
        </w:rPr>
        <w:t>）规范要求，勘察成果必须满足设计及审图合格的要求。</w:t>
      </w:r>
    </w:p>
    <w:p w14:paraId="4BDC0E64">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5.2.2勘察工作要求：</w:t>
      </w:r>
    </w:p>
    <w:p w14:paraId="45DB20FC">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①岩土勘察：按招标文件内容要求提供符合住建部颁布的现行有效的有关勘察规范要求及满足施工图设计及审图合格要求的勘察报告及建设期间的服务等内容。</w:t>
      </w:r>
    </w:p>
    <w:p w14:paraId="1C072972">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②地形测量：在招标范围内按照发包人的要求对建设范围内进行1:500的数字化地形图测量并出具满足《工程测量规范》GB50026—200、《城市测量规范》CJJ/T 8-2011要求的现状地形图测量成果文件等内容。</w:t>
      </w:r>
    </w:p>
    <w:p w14:paraId="55E01E97">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③地下管线测量：针对道路及人行道两旁建筑物边上的给水、雨水、污水、燃气、电力、信号、通信、监控、工业等几大类管线的走向、埋深探测及测量服务等内容，并出具相应的成果文件。</w:t>
      </w:r>
    </w:p>
    <w:p w14:paraId="1595D52F">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5.2.3</w:t>
      </w:r>
      <w:r>
        <w:rPr>
          <w:rFonts w:hint="eastAsia" w:ascii="宋体" w:hAnsi="宋体" w:eastAsia="宋体" w:cs="宋体"/>
          <w:snapToGrid w:val="0"/>
          <w:color w:val="000000" w:themeColor="text1"/>
          <w:kern w:val="0"/>
          <w:sz w:val="24"/>
          <w:szCs w:val="24"/>
          <w:highlight w:val="none"/>
          <w14:textFill>
            <w14:solidFill>
              <w14:schemeClr w14:val="tx1"/>
            </w14:solidFill>
          </w14:textFill>
        </w:rPr>
        <w:t>勘察的目的与要求</w:t>
      </w:r>
    </w:p>
    <w:p w14:paraId="6DD790E7">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（1）查明所有建筑物及构筑物范围内岩土层的类型、深度、分布和工程特性，分析和评价地基的稳定性、均匀性和承载力。</w:t>
      </w:r>
    </w:p>
    <w:p w14:paraId="617FCADC">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（2）查明水文地质条件，评价地下水对桩基设计和施工的影响，判定水质对建筑材料的腐蚀性。</w:t>
      </w:r>
    </w:p>
    <w:p w14:paraId="610C15D3">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（3）评价成桩可能性，论证桩的施工条件及其对环境的影响。 </w:t>
      </w:r>
    </w:p>
    <w:p w14:paraId="1BABCA6F">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（4）查明不良地质作用的类型、分布范围，提出整治措施和建议。</w:t>
      </w:r>
    </w:p>
    <w:p w14:paraId="3BE94117">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（5）查明道路范围溶洞分布范围、位置、大小，提出整治措施和建议。</w:t>
      </w:r>
    </w:p>
    <w:p w14:paraId="610DE4A3">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（6）查明地下水位的变化情况，水质状况对建筑物的影响情况。</w:t>
      </w:r>
    </w:p>
    <w:p w14:paraId="0A5FE24C">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（7）查明对建筑物不利的埋藏物。</w:t>
      </w:r>
    </w:p>
    <w:p w14:paraId="238470BA">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（8）判定地基土对建筑材料的腐蚀性，提出整治的措施和建议。</w:t>
      </w:r>
    </w:p>
    <w:p w14:paraId="4B327799">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（9）对场地和地震效应做出评价，查明有无液化地层并对液化等级作出评价。</w:t>
      </w:r>
    </w:p>
    <w:p w14:paraId="4157AF18">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（10）查明需防护山体（边坡）的岩土层的类型、深度、分布和工程特性，分析和评价地基的稳定性、均匀性和承载力，提出防护措施和建议。</w:t>
      </w:r>
    </w:p>
    <w:p w14:paraId="5E627A94">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5.2.4</w:t>
      </w:r>
      <w:r>
        <w:rPr>
          <w:rFonts w:hint="eastAsia" w:ascii="宋体" w:hAnsi="宋体" w:eastAsia="宋体" w:cs="宋体"/>
          <w:snapToGrid w:val="0"/>
          <w:color w:val="000000" w:themeColor="text1"/>
          <w:kern w:val="0"/>
          <w:sz w:val="24"/>
          <w:szCs w:val="24"/>
          <w:highlight w:val="none"/>
          <w14:textFill>
            <w14:solidFill>
              <w14:schemeClr w14:val="tx1"/>
            </w14:solidFill>
          </w14:textFill>
        </w:rPr>
        <w:t>勘察工程勘察报告由文字部分和图表部分组成，其中文字部分至少应包括：</w:t>
      </w:r>
    </w:p>
    <w:p w14:paraId="0C3ABD5E">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（1）拟建工程概况、勘察目的、任务要求和依据的技术标准；</w:t>
      </w:r>
    </w:p>
    <w:p w14:paraId="73E7DF42">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（2）勘探点位布置及勘察方法情况，原土取样及实验分析情况；</w:t>
      </w:r>
    </w:p>
    <w:p w14:paraId="47FB5E06">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场地位置、地形地貌、地质构造、不良地质现象、溶洞情况、地形成层条件、水文地质条件（包括水埋藏情况、类型、水位及其变化等），各土层的分布情况以及物理特性、性质指标、强度参数、变形参数、地基承载力的建议值等。</w:t>
      </w:r>
    </w:p>
    <w:p w14:paraId="7E6DFBED">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（4）场地的稳定性和适宜性评价、地下水及土质对建筑物的腐蚀影响、地震基本烈度以及由于工程建设可能引起的工程地质问题及其防治措施，适宜的基础形式和有关的计算参数及施工中应注意的事项等。</w:t>
      </w:r>
    </w:p>
    <w:p w14:paraId="159365D8">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（5）对岩土利用、整治和改造的方案进行分析论证，提出建议；对工程施工和使用期间可能发生的岩土工程问题进行预测，提出监控和预防措施的建议。</w:t>
      </w:r>
    </w:p>
    <w:p w14:paraId="0F9DAD36">
      <w:pPr>
        <w:wordWrap w:val="0"/>
        <w:adjustRightInd w:val="0"/>
        <w:snapToGrid w:val="0"/>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5.2.5</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详细勘察工程勘察报告中的图纸部分，至少包括：</w:t>
      </w:r>
    </w:p>
    <w:p w14:paraId="1532E3AD">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（1）勘探点平面布置图</w:t>
      </w:r>
    </w:p>
    <w:p w14:paraId="144943FA">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（2）综合工程地质图或工程地质分区图</w:t>
      </w:r>
    </w:p>
    <w:p w14:paraId="097E595A">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（3）工程地质剖面图</w:t>
      </w:r>
    </w:p>
    <w:p w14:paraId="0B33C619">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（4）地质柱状图或综合地质柱状图</w:t>
      </w:r>
    </w:p>
    <w:p w14:paraId="495B5A2A">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（5）各主要土层物理力学性质指标统计、钻探点坐标标高深度、土层试验成果等有关测试图表等。</w:t>
      </w:r>
    </w:p>
    <w:p w14:paraId="311330DE">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（6）地下水等水位线图（若有）</w:t>
      </w:r>
    </w:p>
    <w:p w14:paraId="54582835">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（7）岩土工程计算简图及计算成果图表等。</w:t>
      </w:r>
    </w:p>
    <w:p w14:paraId="500B75D1">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5.2.6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关</w:t>
      </w:r>
      <w:r>
        <w:rPr>
          <w:rFonts w:hint="eastAsia" w:ascii="宋体" w:hAnsi="宋体" w:eastAsia="宋体" w:cs="宋体"/>
          <w:snapToGrid w:val="0"/>
          <w:color w:val="000000" w:themeColor="text1"/>
          <w:kern w:val="0"/>
          <w:sz w:val="24"/>
          <w:szCs w:val="24"/>
          <w:highlight w:val="none"/>
          <w14:textFill>
            <w14:solidFill>
              <w14:schemeClr w14:val="tx1"/>
            </w14:solidFill>
          </w14:textFill>
        </w:rPr>
        <w:t>于勘察的其它要求：</w:t>
      </w:r>
    </w:p>
    <w:p w14:paraId="31875F44">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（1）按国家现行的勘察深度要求规定。</w:t>
      </w:r>
    </w:p>
    <w:p w14:paraId="76CB6426">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（2）详细勘察时，对软土地基处理的深度，应进行详细的工程地质勘探，不得以钻探困难为理由留给施工处理（有征地拆迁困难的除外）。</w:t>
      </w:r>
    </w:p>
    <w:p w14:paraId="28275625">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（3）勘察</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对水文调查应深入、系统，确定合理的防洪标高。</w:t>
      </w:r>
    </w:p>
    <w:p w14:paraId="793FE5FA">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（4）勘察成果报告应能详细、清楚反映岩土的有关力学物理指标、必需的物理及化学性质的指标，以避免在施工中因地质不清引起大的设计变更。</w:t>
      </w:r>
    </w:p>
    <w:p w14:paraId="2B083CFE">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（5）勘察工作必需的水、电及设备所产生的相关费用由</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自行承担。</w:t>
      </w:r>
    </w:p>
    <w:p w14:paraId="2C5636B9">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（6）因工程沿线的勘察工作发生青苗补偿及相关费用由</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自行承担。</w:t>
      </w:r>
    </w:p>
    <w:p w14:paraId="263A78B3">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（7）</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勘探完毕后需及时妥善回填钻孔，避免对周边环境造成破坏和形成安全隐患。</w:t>
      </w:r>
    </w:p>
    <w:p w14:paraId="4E43EEE7">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（8）</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需妥善保存各勘探孔的完整岩土芯样，以备届时施工阶段地质情况实际核对。施工过程中，若发现现场地质情况与同位置勘察点的勘察成果不符时，视为</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违约并承担相关责任。</w:t>
      </w:r>
    </w:p>
    <w:p w14:paraId="172B8C95">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（9）</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勘探作业时，需预先探明勘探范围内的地下原有各类通信管线、燃气管道、电力电缆、供水管、排水（污）管等埋藏物分布情况，并做好相关防范保护措施，若因勘探工作造成相关设施损毁及相关费用由</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自行承担。</w:t>
      </w:r>
    </w:p>
    <w:p w14:paraId="01488E5A">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初步勘察应进行详细的工程测量</w:t>
      </w:r>
      <w:r>
        <w:rPr>
          <w:rFonts w:hint="eastAsia" w:hAnsi="宋体" w:cs="Calibri"/>
          <w:bCs/>
          <w:color w:val="000000" w:themeColor="text1"/>
          <w:sz w:val="24"/>
          <w:szCs w:val="24"/>
          <w:highlight w:val="none"/>
          <w:lang w:val="en-US" w:eastAsia="zh-CN"/>
          <w14:textFill>
            <w14:solidFill>
              <w14:schemeClr w14:val="tx1"/>
            </w14:solidFill>
          </w14:textFill>
        </w:rPr>
        <w:t>测绘</w:t>
      </w:r>
      <w:r>
        <w:rPr>
          <w:rFonts w:hint="eastAsia" w:ascii="宋体" w:hAnsi="宋体" w:eastAsia="宋体" w:cs="宋体"/>
          <w:color w:val="000000" w:themeColor="text1"/>
          <w:sz w:val="24"/>
          <w:szCs w:val="24"/>
          <w:highlight w:val="none"/>
          <w14:textFill>
            <w14:solidFill>
              <w14:schemeClr w14:val="tx1"/>
            </w14:solidFill>
          </w14:textFill>
        </w:rPr>
        <w:t>、工程地质勘查和水文地质勘查，基本查清沿线地质、水文、气候、地震等情况。若利用既有的地形图、工程地质平面图、水文地质资料和地震资料时，必须进行现场核查。对已变化的地区进行地形、地物新测，对工程重点地区进行钻探核对。勘察结果应能清楚反映最新的现场实际地形、地貌及地质情况（含土石方比例）。</w:t>
      </w:r>
    </w:p>
    <w:p w14:paraId="4EEAA1EA">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初步勘察时，应将平面控制点、必要的水准基点，准确地测放在地面上并加以保护。</w:t>
      </w:r>
    </w:p>
    <w:p w14:paraId="2373BFE9">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详细勘察时，对软土地基处理的深度，应进行详细的工程地质勘探，不得以钻探困难为理由留给施工处理（有征地拆迁困难的除外）。对施工过程中需探明的地质情况，必须按规范进行详细勘探。</w:t>
      </w:r>
    </w:p>
    <w:p w14:paraId="119D6179">
      <w:pPr>
        <w:wordWrap w:val="0"/>
        <w:adjustRightInd w:val="0"/>
        <w:snapToGrid w:val="0"/>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5.2.7</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勘察后期工作</w:t>
      </w:r>
    </w:p>
    <w:p w14:paraId="3ADB3CE5">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5.2.7.1</w:t>
      </w:r>
      <w:r>
        <w:rPr>
          <w:rFonts w:hint="eastAsia" w:ascii="宋体" w:hAnsi="宋体" w:eastAsia="宋体" w:cs="宋体"/>
          <w:b w:val="0"/>
          <w:bCs w:val="0"/>
          <w:color w:val="000000" w:themeColor="text1"/>
          <w:sz w:val="24"/>
          <w:szCs w:val="24"/>
          <w:highlight w:val="none"/>
          <w14:textFill>
            <w14:solidFill>
              <w14:schemeClr w14:val="tx1"/>
            </w14:solidFill>
          </w14:textFill>
        </w:rPr>
        <w:t>配合施工</w:t>
      </w:r>
    </w:p>
    <w:p w14:paraId="6450BEB4">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当工程进入施工阶段，</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必须配合施工，发包人不另支付配合施工费用，此期间工作如下：</w:t>
      </w:r>
    </w:p>
    <w:p w14:paraId="5AF1A645">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（1）对项目的施工单位进行工程测量</w:t>
      </w:r>
      <w:r>
        <w:rPr>
          <w:rFonts w:hint="eastAsia" w:hAnsi="宋体" w:cs="Calibri"/>
          <w:bCs/>
          <w:color w:val="000000" w:themeColor="text1"/>
          <w:sz w:val="24"/>
          <w:szCs w:val="24"/>
          <w:highlight w:val="none"/>
          <w:lang w:val="en-US" w:eastAsia="zh-CN"/>
          <w14:textFill>
            <w14:solidFill>
              <w14:schemeClr w14:val="tx1"/>
            </w14:solidFill>
          </w14:textFill>
        </w:rPr>
        <w:t>测绘</w:t>
      </w:r>
      <w:r>
        <w:rPr>
          <w:rFonts w:hint="eastAsia" w:ascii="宋体" w:hAnsi="宋体" w:eastAsia="宋体" w:cs="宋体"/>
          <w:snapToGrid w:val="0"/>
          <w:color w:val="000000" w:themeColor="text1"/>
          <w:kern w:val="0"/>
          <w:sz w:val="24"/>
          <w:szCs w:val="24"/>
          <w:highlight w:val="none"/>
          <w14:textFill>
            <w14:solidFill>
              <w14:schemeClr w14:val="tx1"/>
            </w14:solidFill>
          </w14:textFill>
        </w:rPr>
        <w:t>、工程地质和水文地质作技术交底；</w:t>
      </w:r>
    </w:p>
    <w:p w14:paraId="6A2E20BC">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（2）现场交桩；</w:t>
      </w:r>
    </w:p>
    <w:p w14:paraId="6E3D140F">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（3）配合设计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进行变更设计和补充设计所需要的勘察工作；</w:t>
      </w:r>
    </w:p>
    <w:p w14:paraId="4DF9EFCF">
      <w:pPr>
        <w:wordWrap w:val="0"/>
        <w:adjustRightInd w:val="0"/>
        <w:snapToGrid w:val="0"/>
        <w:spacing w:line="360" w:lineRule="auto"/>
        <w:ind w:firstLine="56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（4）</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应参与建设工程质量事故的处理工作，并对因勘察原因造成的质量事故，提出相应的技术处理方案。</w:t>
      </w:r>
    </w:p>
    <w:p w14:paraId="45F771BF">
      <w:pPr>
        <w:wordWrap w:val="0"/>
        <w:adjustRightInd w:val="0"/>
        <w:snapToGrid w:val="0"/>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5.2.7.2</w:t>
      </w:r>
      <w:r>
        <w:rPr>
          <w:rFonts w:hint="eastAsia" w:ascii="宋体" w:hAnsi="宋体" w:eastAsia="宋体" w:cs="宋体"/>
          <w:b w:val="0"/>
          <w:bCs w:val="0"/>
          <w:color w:val="000000" w:themeColor="text1"/>
          <w:sz w:val="24"/>
          <w:szCs w:val="24"/>
          <w:highlight w:val="none"/>
          <w14:textFill>
            <w14:solidFill>
              <w14:schemeClr w14:val="tx1"/>
            </w14:solidFill>
          </w14:textFill>
        </w:rPr>
        <w:t>勘察工作技术总结</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 xml:space="preserve"> </w:t>
      </w:r>
    </w:p>
    <w:p w14:paraId="0DE18ABC">
      <w:pPr>
        <w:wordWrap w:val="0"/>
        <w:adjustRightInd w:val="0"/>
        <w:snapToGrid w:val="0"/>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对勘察文件及施工过程中发生的补充勘察进行检查，并提出勘察文件质量检查报告，在竣工验收前交发包人。工程完工后，</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勘察单位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应组织勘察技术工作人员将全部资料进行整理并撰写工程技术总结，并于竣工后十五个日历天内完成，交发包人。</w:t>
      </w:r>
    </w:p>
    <w:p w14:paraId="4C33C5C4">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5.2.8勘察成果文件要求：</w:t>
      </w:r>
    </w:p>
    <w:p w14:paraId="7AF6869D">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勘察</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按合同约定、招标文件内容要求、法律法规及国家强制性标准要求提供完整的</w:t>
      </w:r>
      <w:r>
        <w:rPr>
          <w:rFonts w:hint="eastAsia" w:ascii="宋体" w:hAnsi="宋体" w:eastAsia="宋体" w:cs="宋体"/>
          <w:color w:val="000000" w:themeColor="text1"/>
          <w:sz w:val="24"/>
          <w:szCs w:val="24"/>
          <w:highlight w:val="none"/>
          <w:lang w:val="zh-CN"/>
          <w14:textFill>
            <w14:solidFill>
              <w14:schemeClr w14:val="tx1"/>
            </w14:solidFill>
          </w14:textFill>
        </w:rPr>
        <w:t>勘察、测绘报告一式</w:t>
      </w:r>
      <w:r>
        <w:rPr>
          <w:rFonts w:hint="eastAsia" w:ascii="宋体" w:hAnsi="宋体" w:eastAsia="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val="zh-CN"/>
          <w14:textFill>
            <w14:solidFill>
              <w14:schemeClr w14:val="tx1"/>
            </w14:solidFill>
          </w14:textFill>
        </w:rPr>
        <w:t>份</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。提供的所有资料均含电子版（含CAD及PDF文件格式）。</w:t>
      </w:r>
    </w:p>
    <w:p w14:paraId="192CBC0C">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w:t>
      </w:r>
      <w:r>
        <w:rPr>
          <w:rFonts w:hint="eastAsia" w:hAnsi="宋体" w:cs="Calibri"/>
          <w:bCs/>
          <w:color w:val="000000" w:themeColor="text1"/>
          <w:sz w:val="24"/>
          <w:szCs w:val="24"/>
          <w:highlight w:val="none"/>
          <w:lang w:val="zh-CN"/>
          <w14:textFill>
            <w14:solidFill>
              <w14:schemeClr w14:val="tx1"/>
            </w14:solidFill>
          </w14:textFill>
        </w:rPr>
        <w:t>设计要求：</w:t>
      </w:r>
    </w:p>
    <w:p w14:paraId="183D90A7">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5.3.1设计质量要求：</w:t>
      </w:r>
      <w:r>
        <w:rPr>
          <w:rFonts w:hint="eastAsia" w:hAnsi="宋体" w:cs="Calibri"/>
          <w:bCs/>
          <w:color w:val="000000" w:themeColor="text1"/>
          <w:sz w:val="24"/>
          <w:szCs w:val="24"/>
          <w:highlight w:val="none"/>
          <w:lang w:val="zh-CN"/>
          <w14:textFill>
            <w14:solidFill>
              <w14:schemeClr w14:val="tx1"/>
            </w14:solidFill>
          </w14:textFill>
        </w:rPr>
        <w:t>符合国家或行业颁布的现行有效的有关设计的规范要求，并必须通过有关部门的审查及经有资质的审图机构审查合格。</w:t>
      </w:r>
    </w:p>
    <w:p w14:paraId="52B5D221">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5.3.2</w:t>
      </w:r>
      <w:r>
        <w:rPr>
          <w:rFonts w:hint="eastAsia" w:hAnsi="宋体" w:cs="Calibri"/>
          <w:bCs/>
          <w:color w:val="000000" w:themeColor="text1"/>
          <w:sz w:val="24"/>
          <w:szCs w:val="24"/>
          <w:highlight w:val="none"/>
          <w:lang w:val="zh-CN"/>
          <w14:textFill>
            <w14:solidFill>
              <w14:schemeClr w14:val="tx1"/>
            </w14:solidFill>
          </w14:textFill>
        </w:rPr>
        <w:t>本工程各个阶段的设计成果必须经发包人及有关审批部门同意后方可进行下一工序的设计工作，若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或有关审批部门在审批过程中提出的设计修改或变更，设计单位必须无条件进行修改或变更，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或审图机构在审查过程中提出的设计修改或变更，设计单位必须无条件进行修改或优化设计，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hAnsi="宋体" w:cs="Calibri"/>
          <w:bCs/>
          <w:color w:val="000000" w:themeColor="text1"/>
          <w:sz w:val="24"/>
          <w:szCs w:val="24"/>
          <w:highlight w:val="none"/>
          <w:lang w:val="zh-CN"/>
          <w14:textFill>
            <w14:solidFill>
              <w14:schemeClr w14:val="tx1"/>
            </w14:solidFill>
          </w14:textFill>
        </w:rPr>
        <w:t>不再支付由此而增加的设计费用。</w:t>
      </w:r>
    </w:p>
    <w:p w14:paraId="44FA2FFF">
      <w:pPr>
        <w:pStyle w:val="35"/>
        <w:numPr>
          <w:ilvl w:val="0"/>
          <w:numId w:val="0"/>
        </w:numPr>
        <w:spacing w:line="360" w:lineRule="auto"/>
        <w:ind w:firstLine="480" w:firstLineChars="200"/>
        <w:rPr>
          <w:rFonts w:hint="eastAsia" w:ascii="宋体" w:hAnsi="宋体" w:eastAsia="宋体" w:cs="Calibri"/>
          <w:bCs/>
          <w:color w:val="000000" w:themeColor="text1"/>
          <w:sz w:val="24"/>
          <w:szCs w:val="24"/>
          <w:highlight w:val="none"/>
          <w:lang w:val="en-US" w:eastAsia="zh-CN"/>
          <w14:textFill>
            <w14:solidFill>
              <w14:schemeClr w14:val="tx1"/>
            </w14:solidFill>
          </w14:textFill>
        </w:rPr>
      </w:pPr>
      <w:r>
        <w:rPr>
          <w:rFonts w:hint="eastAsia" w:ascii="宋体" w:hAnsi="宋体" w:eastAsia="宋体" w:cs="Calibri"/>
          <w:bCs/>
          <w:color w:val="000000" w:themeColor="text1"/>
          <w:sz w:val="24"/>
          <w:szCs w:val="24"/>
          <w:highlight w:val="none"/>
          <w:lang w:val="en-US" w:eastAsia="zh-CN"/>
          <w14:textFill>
            <w14:solidFill>
              <w14:schemeClr w14:val="tx1"/>
            </w14:solidFill>
          </w14:textFill>
        </w:rPr>
        <w:t>5.3.3关于设计深度的要求</w:t>
      </w:r>
    </w:p>
    <w:p w14:paraId="06F2927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按国家及地方现行的设计文件深度规定等有关技术标准、设计规范（标准）要求。本招标项目纳入绿色建设实施范围，要求达到《绿色建筑评价标准》(GB/T50378-2019）规定的</w:t>
      </w:r>
      <w:r>
        <w:rPr>
          <w:rFonts w:hint="eastAsia" w:ascii="宋体" w:hAnsi="宋体" w:eastAsia="宋体" w:cs="宋体"/>
          <w:color w:val="000000" w:themeColor="text1"/>
          <w:sz w:val="24"/>
          <w:szCs w:val="24"/>
          <w:highlight w:val="none"/>
          <w:lang w:val="en-US" w:eastAsia="zh-CN"/>
          <w14:textFill>
            <w14:solidFill>
              <w14:schemeClr w14:val="tx1"/>
            </w14:solidFill>
          </w14:textFill>
        </w:rPr>
        <w:t>绿色建筑基本级。</w:t>
      </w:r>
    </w:p>
    <w:p w14:paraId="2E1924CD">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各专业设计应同步进行，涉及单位应指定总体设计人统筹布局，做好各项设施的协调和衔接、位置预留，不得留待施工中临时变更。</w:t>
      </w:r>
    </w:p>
    <w:p w14:paraId="62D0E49E">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对技术复杂或造价、规模较大的主要分项工程应作方案比较。 </w:t>
      </w:r>
    </w:p>
    <w:p w14:paraId="712991DD">
      <w:pPr>
        <w:pStyle w:val="35"/>
        <w:numPr>
          <w:ilvl w:val="0"/>
          <w:numId w:val="0"/>
        </w:numPr>
        <w:spacing w:line="360" w:lineRule="auto"/>
        <w:ind w:left="0" w:leftChars="0" w:firstLine="480" w:firstLineChars="200"/>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（4）初步设计文件的深度，应当满足主要设备材料订货、征地拆迁及编制施工图设计文件的需要。</w:t>
      </w:r>
    </w:p>
    <w:p w14:paraId="2A9B3380">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施工图设计文件的深度，应当满足设备材料采购，非标准设备制作和施工的需要，并注明建设工程合理使用年限。</w:t>
      </w:r>
    </w:p>
    <w:p w14:paraId="4B17CC89">
      <w:pPr>
        <w:pStyle w:val="35"/>
        <w:numPr>
          <w:ilvl w:val="0"/>
          <w:numId w:val="0"/>
        </w:numPr>
        <w:spacing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相关的配套外部接口方案均需取得政府主管部门或规划部门认可。</w:t>
      </w:r>
    </w:p>
    <w:p w14:paraId="7696347F">
      <w:pPr>
        <w:pStyle w:val="35"/>
        <w:numPr>
          <w:ilvl w:val="0"/>
          <w:numId w:val="0"/>
        </w:numPr>
        <w:spacing w:line="360" w:lineRule="auto"/>
        <w:ind w:left="0" w:leftChars="0"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施工图设计文件应考虑交通维护、临时施工便道、基坑支护、对周边建筑物的影响等因素，以指导现场施工及过程评审。</w:t>
      </w: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9CDE3F4">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设计后期配合工作</w:t>
      </w:r>
    </w:p>
    <w:p w14:paraId="565042A2">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snapToGrid w:val="0"/>
          <w:color w:val="000000" w:themeColor="text1"/>
          <w:kern w:val="0"/>
          <w:sz w:val="24"/>
          <w:szCs w:val="24"/>
          <w:highlight w:val="none"/>
          <w14:textFill>
            <w14:solidFill>
              <w14:schemeClr w14:val="tx1"/>
            </w14:solidFill>
          </w14:textFill>
        </w:rPr>
        <w:t>施工图设计完成并经有关单位审查后，才能进入施工阶段，设计单位必须按投标文件的承诺至少派1名参与并熟悉本项目设计、有现场处理经验的设计代表驻现场以配合，</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不另外支付配合施工费用。</w:t>
      </w:r>
    </w:p>
    <w:p w14:paraId="34D0A104">
      <w:pPr>
        <w:pStyle w:val="3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设计单位配合施工、监理及业主单位的工作内容如下：</w:t>
      </w:r>
    </w:p>
    <w:p w14:paraId="25AA0568">
      <w:pPr>
        <w:keepNext w:val="0"/>
        <w:keepLines w:val="0"/>
        <w:pageBreakBefore w:val="0"/>
        <w:widowControl w:val="0"/>
        <w:numPr>
          <w:ilvl w:val="0"/>
          <w:numId w:val="1"/>
        </w:numPr>
        <w:tabs>
          <w:tab w:val="left" w:pos="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施工图设计（技术）交底；</w:t>
      </w:r>
    </w:p>
    <w:p w14:paraId="571867D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配合勘察单位现场交桩；</w:t>
      </w:r>
    </w:p>
    <w:p w14:paraId="10470199">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变更设计和所有补充设计；</w:t>
      </w:r>
    </w:p>
    <w:p w14:paraId="0E6F012B">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会签设计变更审批表；</w:t>
      </w:r>
    </w:p>
    <w:p w14:paraId="51B05D7D">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参加处理施工中发生的工程质量和安全事故；</w:t>
      </w:r>
    </w:p>
    <w:p w14:paraId="3E1B2B8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参加隐蔽工程及工程竣工验收；</w:t>
      </w:r>
    </w:p>
    <w:p w14:paraId="101C07DE">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解决与设计有关的施工问题；</w:t>
      </w:r>
    </w:p>
    <w:p w14:paraId="194A6016">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配合质量检测；</w:t>
      </w:r>
    </w:p>
    <w:p w14:paraId="12798512">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参加审查施工单位的施工组织设计和专项施工方案；</w:t>
      </w:r>
    </w:p>
    <w:p w14:paraId="7F6EE7B1">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参加本项目建设有关会议。</w:t>
      </w:r>
    </w:p>
    <w:p w14:paraId="6EF578DF">
      <w:pPr>
        <w:keepNext w:val="0"/>
        <w:keepLines w:val="0"/>
        <w:pageBreakBefore w:val="0"/>
        <w:widowControl w:val="0"/>
        <w:numPr>
          <w:ilvl w:val="0"/>
          <w:numId w:val="1"/>
        </w:numPr>
        <w:tabs>
          <w:tab w:val="left" w:pos="240"/>
        </w:tabs>
        <w:kinsoku/>
        <w:wordWrap/>
        <w:overflowPunct/>
        <w:topLinePunct w:val="0"/>
        <w:autoSpaceDE/>
        <w:autoSpaceDN/>
        <w:bidi w:val="0"/>
        <w:adjustRightInd/>
        <w:snapToGrid/>
        <w:spacing w:line="360" w:lineRule="auto"/>
        <w:ind w:left="900" w:leftChars="200" w:hanging="42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在监理招标期间配合建设及相关单位解释及完善施工图相关内容。</w:t>
      </w:r>
    </w:p>
    <w:p w14:paraId="602CE3F2">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（3）设计工作技术总结</w:t>
      </w:r>
    </w:p>
    <w:p w14:paraId="187F9012">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对设计文件及施工过程中发生的补充设计进行检查，并提出设计文件质量检查报告，在竣工验收前交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。工程完工后，</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应组织设计技术工作人员将全部资料进行整理并撰写工程技术总结，并于竣工后一个月内完成，交</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0A287A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5.3.4限额设计要求：</w:t>
      </w:r>
    </w:p>
    <w:p w14:paraId="1D822CE1">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施工图预算中的建安工程费预算价不得超过经发改部门审定的概算建安工程费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w:t>
      </w:r>
    </w:p>
    <w:p w14:paraId="4F122CAC">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在提交设计施工图时必须同时提交施工图预算。施工图预算作为</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自我核算是否符合限</w:t>
      </w:r>
      <w:r>
        <w:rPr>
          <w:rFonts w:hint="eastAsia" w:ascii="宋体" w:hAnsi="宋体" w:eastAsia="宋体" w:cs="宋体"/>
          <w:snapToGrid w:val="0"/>
          <w:color w:val="000000" w:themeColor="text1"/>
          <w:kern w:val="0"/>
          <w:sz w:val="24"/>
          <w:szCs w:val="24"/>
          <w:highlight w:val="none"/>
          <w14:textFill>
            <w14:solidFill>
              <w14:schemeClr w14:val="tx1"/>
            </w14:solidFill>
          </w14:textFill>
        </w:rPr>
        <w:t>额设计要求的依据。若</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第三方</w:t>
      </w:r>
      <w:r>
        <w:rPr>
          <w:rFonts w:hint="eastAsia" w:ascii="宋体" w:hAnsi="宋体" w:eastAsia="宋体" w:cs="宋体"/>
          <w:snapToGrid w:val="0"/>
          <w:color w:val="000000" w:themeColor="text1"/>
          <w:kern w:val="0"/>
          <w:sz w:val="24"/>
          <w:szCs w:val="24"/>
          <w:highlight w:val="none"/>
          <w14:textFill>
            <w14:solidFill>
              <w14:schemeClr w14:val="tx1"/>
            </w14:solidFill>
          </w14:textFill>
        </w:rPr>
        <w:t>造价咨询单位按施工图编制或审核的建安工程费高于</w:t>
      </w:r>
      <w:r>
        <w:rPr>
          <w:rFonts w:hint="eastAsia" w:ascii="宋体" w:hAnsi="宋体" w:eastAsia="宋体" w:cs="宋体"/>
          <w:color w:val="000000" w:themeColor="text1"/>
          <w:sz w:val="24"/>
          <w:szCs w:val="24"/>
          <w:highlight w:val="none"/>
          <w14:textFill>
            <w14:solidFill>
              <w14:schemeClr w14:val="tx1"/>
            </w14:solidFill>
          </w14:textFill>
        </w:rPr>
        <w:t>建安工程费的中标价</w:t>
      </w:r>
      <w:r>
        <w:rPr>
          <w:rFonts w:hint="eastAsia" w:ascii="宋体" w:hAnsi="宋体" w:eastAsia="宋体" w:cs="宋体"/>
          <w:snapToGrid w:val="0"/>
          <w:color w:val="000000" w:themeColor="text1"/>
          <w:kern w:val="0"/>
          <w:sz w:val="24"/>
          <w:szCs w:val="24"/>
          <w:highlight w:val="none"/>
          <w14:textFill>
            <w14:solidFill>
              <w14:schemeClr w14:val="tx1"/>
            </w14:solidFill>
          </w14:textFill>
        </w:rPr>
        <w:t>时，</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必须无条件对施工图进行修改，直至满足限额设计要求，</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不另行增加设计费</w:t>
      </w:r>
      <w:r>
        <w:rPr>
          <w:rFonts w:hint="eastAsia" w:ascii="宋体" w:hAnsi="宋体" w:eastAsia="宋体" w:cs="宋体"/>
          <w:snapToGrid w:val="0"/>
          <w:color w:val="000000" w:themeColor="text1"/>
          <w:kern w:val="0"/>
          <w:sz w:val="24"/>
          <w:szCs w:val="24"/>
          <w:highlight w:val="none"/>
          <w14:textFill>
            <w14:solidFill>
              <w14:schemeClr w14:val="tx1"/>
            </w14:solidFill>
          </w14:textFill>
        </w:rPr>
        <w:t>。由此造成造价咨询单位重复编制或审核施工图预算的费用由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承担，结算时在设计费中扣除。</w:t>
      </w:r>
    </w:p>
    <w:p w14:paraId="438D5531">
      <w:pPr>
        <w:pStyle w:val="35"/>
        <w:numPr>
          <w:ilvl w:val="0"/>
          <w:numId w:val="0"/>
        </w:numPr>
        <w:spacing w:line="360" w:lineRule="auto"/>
        <w:ind w:firstLine="480" w:firstLineChars="20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不得为了用完设计限额额度，擅自扩大建设规模、增加建设内容、提高建设标准的行为，因此导致造价增加由</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snapToGrid w:val="0"/>
          <w:color w:val="000000" w:themeColor="text1"/>
          <w:kern w:val="0"/>
          <w:sz w:val="24"/>
          <w:szCs w:val="24"/>
          <w:highlight w:val="none"/>
          <w14:textFill>
            <w14:solidFill>
              <w14:schemeClr w14:val="tx1"/>
            </w14:solidFill>
          </w14:textFill>
        </w:rPr>
        <w:t>负责及承担费用。</w:t>
      </w:r>
    </w:p>
    <w:p w14:paraId="028B7A17">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5.3.5</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在设计前，要充分进行市场调查，主要材料、设备在满足设计规范及建设标准的情况下，尽量采用造价管理机构发布的信息价中有相应型号、规格的标准材料，若必须采用非标准材料的，必须经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同意，否则参照信息价中相近且低于其标准的材料信息价作为该项材料的结算价。</w:t>
      </w:r>
    </w:p>
    <w:p w14:paraId="7534DBDA">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5.3.6</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设计时需要考虑与周边地块的开发相结合。</w:t>
      </w:r>
    </w:p>
    <w:p w14:paraId="04332047">
      <w:pPr>
        <w:pStyle w:val="35"/>
        <w:numPr>
          <w:ilvl w:val="0"/>
          <w:numId w:val="0"/>
        </w:numPr>
        <w:spacing w:line="360" w:lineRule="auto"/>
        <w:ind w:firstLine="480" w:firstLineChars="200"/>
        <w:rPr>
          <w:rFonts w:hint="eastAsia" w:hAnsi="宋体" w:cs="Calibri"/>
          <w:bCs/>
          <w:color w:val="000000" w:themeColor="text1"/>
          <w:sz w:val="24"/>
          <w:szCs w:val="24"/>
          <w:highlight w:val="none"/>
          <w:lang w:val="en-US" w:eastAsia="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5.3.7设计成果文件要求：</w:t>
      </w:r>
    </w:p>
    <w:p w14:paraId="5E569659">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color w:val="000000" w:themeColor="text1"/>
          <w:sz w:val="24"/>
          <w:szCs w:val="24"/>
          <w:highlight w:val="none"/>
          <w14:textFill>
            <w14:solidFill>
              <w14:schemeClr w14:val="tx1"/>
            </w14:solidFill>
          </w14:textFill>
        </w:rPr>
        <w:t>按合同约定、招标文件内容要求、法律法规及国家强制性标准要求提供完整的设计文件</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560882FC">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（2）</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要求提供施工图设计文件12套、施工图预算（含工程量清单）5套。提供的所有资料均含电子版（含CAD及PDF文件格式）。</w:t>
      </w:r>
    </w:p>
    <w:p w14:paraId="67A28990">
      <w:pPr>
        <w:pStyle w:val="35"/>
        <w:numPr>
          <w:ilvl w:val="0"/>
          <w:numId w:val="0"/>
        </w:numPr>
        <w:spacing w:line="360" w:lineRule="auto"/>
        <w:ind w:firstLine="480" w:firstLineChars="200"/>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5.3.8本工程各个阶段的设计成果必须经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及有关审批部门同意后方可进行下一工序的设计工作，若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或有关审批部门在审批过程中提出的设计修改或变更，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必须无条件进行修改或变更，</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不再支付由此而增加的设计费用。本工程施工图设计必须先经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确认才能送审，并经</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委托的有资质的审图机构审查合格。若</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或审图机构在审查过程中提出的设计修改或变更，</w:t>
      </w:r>
      <w:r>
        <w:rPr>
          <w:rFonts w:hint="eastAsia" w:ascii="宋体" w:hAnsi="宋体" w:eastAsia="宋体" w:cs="宋体"/>
          <w:color w:val="000000" w:themeColor="text1"/>
          <w:sz w:val="24"/>
          <w:szCs w:val="24"/>
          <w:highlight w:val="none"/>
          <w:lang w:val="en-US" w:eastAsia="zh-CN"/>
          <w14:textFill>
            <w14:solidFill>
              <w14:schemeClr w14:val="tx1"/>
            </w14:solidFill>
          </w14:textFill>
        </w:rPr>
        <w:t>设计</w:t>
      </w:r>
      <w:r>
        <w:rPr>
          <w:rFonts w:hint="eastAsia" w:ascii="宋体" w:hAnsi="宋体" w:eastAsia="宋体" w:cs="宋体"/>
          <w:snapToGrid w:val="0"/>
          <w:color w:val="000000" w:themeColor="text1"/>
          <w:kern w:val="0"/>
          <w:sz w:val="24"/>
          <w:szCs w:val="24"/>
          <w:highlight w:val="none"/>
          <w:lang w:eastAsia="zh-CN"/>
          <w14:textFill>
            <w14:solidFill>
              <w14:schemeClr w14:val="tx1"/>
            </w14:solidFill>
          </w14:textFill>
        </w:rPr>
        <w:t>单位</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必须无条件进行修改或优化设计，</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不再支付由此而增加的设计费用。</w:t>
      </w:r>
    </w:p>
    <w:p w14:paraId="697466A0">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5.4</w:t>
      </w:r>
      <w:r>
        <w:rPr>
          <w:rFonts w:hint="eastAsia" w:hAnsi="宋体" w:cs="Calibri"/>
          <w:bCs/>
          <w:color w:val="000000" w:themeColor="text1"/>
          <w:sz w:val="24"/>
          <w:szCs w:val="24"/>
          <w:highlight w:val="none"/>
          <w:lang w:val="zh-CN"/>
          <w14:textFill>
            <w14:solidFill>
              <w14:schemeClr w14:val="tx1"/>
            </w14:solidFill>
          </w14:textFill>
        </w:rPr>
        <w:t>施工要求：</w:t>
      </w:r>
    </w:p>
    <w:p w14:paraId="33FDD9E0">
      <w:pPr>
        <w:pStyle w:val="35"/>
        <w:numPr>
          <w:ilvl w:val="0"/>
          <w:numId w:val="0"/>
        </w:numPr>
        <w:spacing w:line="360" w:lineRule="auto"/>
        <w:ind w:firstLine="480" w:firstLineChars="200"/>
        <w:rPr>
          <w:rFonts w:hint="eastAsia" w:hAnsi="宋体" w:cs="Calibri"/>
          <w:bCs/>
          <w:color w:val="000000" w:themeColor="text1"/>
          <w:sz w:val="24"/>
          <w:szCs w:val="24"/>
          <w:highlight w:val="none"/>
          <w:lang w:val="zh-CN"/>
          <w14:textFill>
            <w14:solidFill>
              <w14:schemeClr w14:val="tx1"/>
            </w14:solidFill>
          </w14:textFill>
        </w:rPr>
      </w:pPr>
      <w:r>
        <w:rPr>
          <w:rFonts w:hint="eastAsia" w:hAnsi="宋体" w:cs="Calibri"/>
          <w:bCs/>
          <w:color w:val="000000" w:themeColor="text1"/>
          <w:sz w:val="24"/>
          <w:szCs w:val="24"/>
          <w:highlight w:val="none"/>
          <w:lang w:val="en-US" w:eastAsia="zh-CN"/>
          <w14:textFill>
            <w14:solidFill>
              <w14:schemeClr w14:val="tx1"/>
            </w14:solidFill>
          </w14:textFill>
        </w:rPr>
        <w:t>5.4.1施工质量要求：</w:t>
      </w:r>
      <w:r>
        <w:rPr>
          <w:rFonts w:hint="eastAsia" w:hAnsi="宋体" w:cs="Calibri"/>
          <w:bCs/>
          <w:color w:val="000000" w:themeColor="text1"/>
          <w:sz w:val="24"/>
          <w:szCs w:val="24"/>
          <w:highlight w:val="none"/>
          <w:lang w:val="zh-CN"/>
          <w14:textFill>
            <w14:solidFill>
              <w14:schemeClr w14:val="tx1"/>
            </w14:solidFill>
          </w14:textFill>
        </w:rPr>
        <w:t>施工质量必须达到国家验收合格标准。</w:t>
      </w:r>
    </w:p>
    <w:p w14:paraId="482507B4">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若因</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原因，</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工程在竣工</w:t>
      </w:r>
      <w:r>
        <w:rPr>
          <w:rFonts w:hint="eastAsia" w:ascii="宋体" w:hAnsi="宋体" w:eastAsia="宋体" w:cs="宋体"/>
          <w:color w:val="000000" w:themeColor="text1"/>
          <w:sz w:val="24"/>
          <w:szCs w:val="24"/>
          <w:highlight w:val="none"/>
          <w14:textFill>
            <w14:solidFill>
              <w14:schemeClr w14:val="tx1"/>
            </w14:solidFill>
          </w14:textFill>
        </w:rPr>
        <w:t>验收时没有达到</w:t>
      </w:r>
      <w:r>
        <w:rPr>
          <w:rFonts w:hint="eastAsia" w:ascii="宋体" w:hAnsi="宋体" w:eastAsia="宋体" w:cs="宋体"/>
          <w:color w:val="000000" w:themeColor="text1"/>
          <w:sz w:val="24"/>
          <w:szCs w:val="24"/>
          <w:highlight w:val="none"/>
          <w:lang w:val="zh-CN"/>
          <w14:textFill>
            <w14:solidFill>
              <w14:schemeClr w14:val="tx1"/>
            </w14:solidFill>
          </w14:textFill>
        </w:rPr>
        <w:t>国家验收合格标准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按合同价款的1％向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返纳质量违约金。</w:t>
      </w:r>
    </w:p>
    <w:p w14:paraId="3F059BF9">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在施工中如果工程质量不符合设计要求或有关规定，</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或监理单位要求停工和返工的必须立即执行，并承担由此产生的各种费用，工期不予顺延。</w:t>
      </w:r>
    </w:p>
    <w:p w14:paraId="08B9090B">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保修期限按中华人民共和国国务院令第279号文《建设工程质量管理条例》规定执行，在保修期内因施工质量问题而造成返修，一切费用由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负责。</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提交竣工验收报告时，应当向</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出具质量保修书。质量保修书中应当明确建设工程的保修范围、保修期限和保修责任等。</w:t>
      </w:r>
    </w:p>
    <w:p w14:paraId="51DF5496">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项目使用的主要材料质量要求必须符合本项目达到验收合格标准的要求。主要材料必须先提供样板给</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确定其颜色、等级等，并经发包人委托的检测机构检测合格方可使用。</w:t>
      </w:r>
      <w:bookmarkStart w:id="71" w:name="OLE_LINK2"/>
      <w:bookmarkStart w:id="72" w:name="OLE_LINK1"/>
    </w:p>
    <w:p w14:paraId="4EB7646E">
      <w:pPr>
        <w:pStyle w:val="35"/>
        <w:numPr>
          <w:ilvl w:val="0"/>
          <w:numId w:val="0"/>
        </w:num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为保证施工现场的环境卫生，</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color w:val="000000" w:themeColor="text1"/>
          <w:sz w:val="24"/>
          <w:szCs w:val="24"/>
          <w:highlight w:val="none"/>
          <w14:textFill>
            <w14:solidFill>
              <w14:schemeClr w14:val="tx1"/>
            </w14:solidFill>
          </w14:textFill>
        </w:rPr>
        <w:t>在本工程施工过程中，所有的车辆必须按</w:t>
      </w:r>
      <w:r>
        <w:rPr>
          <w:rFonts w:hint="eastAsia" w:hAnsi="宋体" w:cs="Calibri"/>
          <w:bCs/>
          <w:color w:val="000000" w:themeColor="text1"/>
          <w:sz w:val="24"/>
          <w:szCs w:val="24"/>
          <w:highlight w:val="none"/>
          <w:u w:val="none"/>
          <w:lang w:val="zh-CN"/>
          <w14:textFill>
            <w14:solidFill>
              <w14:schemeClr w14:val="tx1"/>
            </w14:solidFill>
          </w14:textFill>
        </w:rPr>
        <w:t>发包人</w:t>
      </w:r>
      <w:r>
        <w:rPr>
          <w:rFonts w:hint="eastAsia" w:ascii="宋体" w:hAnsi="宋体" w:eastAsia="宋体" w:cs="宋体"/>
          <w:color w:val="000000" w:themeColor="text1"/>
          <w:sz w:val="24"/>
          <w:szCs w:val="24"/>
          <w:highlight w:val="none"/>
          <w14:textFill>
            <w14:solidFill>
              <w14:schemeClr w14:val="tx1"/>
            </w14:solidFill>
          </w14:textFill>
        </w:rPr>
        <w:t>规定的行车路线行驶。并负责施工现场及受施工影响周边道路的卫生。</w:t>
      </w:r>
    </w:p>
    <w:p w14:paraId="79E7A847">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.7</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在施工期间应严格遵守国家、广东省、韶关市有关绿色施工、文明施工、噪音扬尘、消防爆破、环境卫生、渣土清运、治安保卫等方面的规定，并建立相应规章制度和保障措施。否则由此造成的经济损失和法律责任，均由</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承担。</w:t>
      </w:r>
    </w:p>
    <w:p w14:paraId="7B32C9A0">
      <w:pPr>
        <w:pStyle w:val="35"/>
        <w:numPr>
          <w:ilvl w:val="0"/>
          <w:numId w:val="0"/>
        </w:numPr>
        <w:spacing w:line="360" w:lineRule="auto"/>
        <w:ind w:firstLine="480" w:firstLineChars="200"/>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pP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5.</w:t>
      </w:r>
      <w:r>
        <w:rPr>
          <w:rFonts w:hint="eastAsia" w:hAnsi="宋体" w:cs="宋体"/>
          <w:b w:val="0"/>
          <w:bCs w:val="0"/>
          <w:snapToGrid w:val="0"/>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b w:val="0"/>
          <w:bCs w:val="0"/>
          <w:snapToGrid w:val="0"/>
          <w:color w:val="000000" w:themeColor="text1"/>
          <w:kern w:val="0"/>
          <w:sz w:val="24"/>
          <w:szCs w:val="24"/>
          <w:highlight w:val="none"/>
          <w:lang w:val="en-US" w:eastAsia="zh-CN"/>
          <w14:textFill>
            <w14:solidFill>
              <w14:schemeClr w14:val="tx1"/>
            </w14:solidFill>
          </w14:textFill>
        </w:rPr>
        <w:t>.8</w:t>
      </w:r>
      <w:r>
        <w:rPr>
          <w:rFonts w:hint="eastAsia" w:hAnsi="宋体" w:cs="Calibri"/>
          <w:bCs/>
          <w:color w:val="000000" w:themeColor="text1"/>
          <w:sz w:val="24"/>
          <w:szCs w:val="24"/>
          <w:highlight w:val="none"/>
          <w:lang w:val="en-US" w:eastAsia="zh-CN"/>
          <w14:textFill>
            <w14:solidFill>
              <w14:schemeClr w14:val="tx1"/>
            </w14:solidFill>
          </w14:textFill>
        </w:rPr>
        <w:t>施工单位</w:t>
      </w:r>
      <w:r>
        <w:rPr>
          <w:rFonts w:hint="eastAsia" w:ascii="宋体" w:hAnsi="宋体" w:eastAsia="宋体" w:cs="宋体"/>
          <w:b w:val="0"/>
          <w:bCs w:val="0"/>
          <w:snapToGrid w:val="0"/>
          <w:color w:val="000000" w:themeColor="text1"/>
          <w:kern w:val="0"/>
          <w:sz w:val="24"/>
          <w:szCs w:val="24"/>
          <w:highlight w:val="none"/>
          <w14:textFill>
            <w14:solidFill>
              <w14:schemeClr w14:val="tx1"/>
            </w14:solidFill>
          </w14:textFill>
        </w:rPr>
        <w:t>应按安全施工有关规定，采取严格、科学的安全防护措施，确保施工和人员（包括第三者）的安全，承担由于自身安全防护措施不力所造成的安全事故责任和发生的费用。</w:t>
      </w:r>
    </w:p>
    <w:p w14:paraId="4D02345E">
      <w:pPr>
        <w:pStyle w:val="42"/>
        <w:widowControl/>
        <w:spacing w:line="360" w:lineRule="auto"/>
        <w:ind w:firstLine="48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bookmarkEnd w:id="71"/>
      <w:bookmarkEnd w:id="72"/>
    </w:p>
    <w:p w14:paraId="167ACD15">
      <w:pPr>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5.</w:t>
      </w:r>
      <w:r>
        <w:rPr>
          <w:rFonts w:hint="eastAsia" w:asciiTheme="minorEastAsia" w:hAnsiTheme="minorEastAsia" w:eastAsiaTheme="minorEastAsia" w:cstheme="minorEastAsia"/>
          <w:b/>
          <w:bCs/>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凡参加本次招标的投标人被视为已充分认识和理解了任何与本工程有关的影响事项和困难等情况。</w:t>
      </w:r>
    </w:p>
    <w:p w14:paraId="55107AC2">
      <w:pPr>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（注：上述招标内容具体详见设计任务书，</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同时招标人在实施过程中可根据实际情况对工程规模、任务内容等进行合理、适当调整。</w:t>
      </w:r>
      <w:r>
        <w:rPr>
          <w:rFonts w:hint="eastAsia" w:asciiTheme="minorEastAsia" w:hAnsiTheme="minorEastAsia" w:eastAsiaTheme="minorEastAsia" w:cstheme="minorEastAsia"/>
          <w:b/>
          <w:bCs/>
          <w:snapToGrid w:val="0"/>
          <w:color w:val="000000" w:themeColor="text1"/>
          <w:kern w:val="0"/>
          <w:szCs w:val="24"/>
          <w:highlight w:val="none"/>
          <w:u w:val="single"/>
          <w14:textFill>
            <w14:solidFill>
              <w14:schemeClr w14:val="tx1"/>
            </w14:solidFill>
          </w14:textFill>
        </w:rPr>
        <w:t>）</w:t>
      </w:r>
    </w:p>
    <w:p w14:paraId="674C462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73" w:name="_Hlt74493474"/>
      <w:bookmarkEnd w:id="73"/>
      <w:bookmarkStart w:id="74" w:name="_Hlt120502666"/>
      <w:bookmarkEnd w:id="74"/>
      <w:bookmarkStart w:id="75" w:name="_Hlt69356505"/>
      <w:bookmarkEnd w:id="75"/>
      <w:bookmarkStart w:id="76" w:name="_Hlt111690342"/>
      <w:bookmarkEnd w:id="76"/>
      <w:bookmarkStart w:id="77" w:name="_Hlt88974078"/>
      <w:bookmarkEnd w:id="77"/>
      <w:bookmarkStart w:id="78" w:name="_Hlt69699204"/>
      <w:bookmarkEnd w:id="78"/>
      <w:bookmarkStart w:id="79" w:name="_Hlt74496537"/>
      <w:bookmarkEnd w:id="79"/>
      <w:bookmarkStart w:id="80" w:name="_Hlt121563076"/>
      <w:bookmarkEnd w:id="80"/>
    </w:p>
    <w:p w14:paraId="57DC44F7">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81" w:name="_Toc20827"/>
      <w:bookmarkStart w:id="82" w:name="_Toc19911"/>
      <w:bookmarkStart w:id="83" w:name="_Toc3193"/>
      <w:bookmarkStart w:id="84" w:name="_Toc16432"/>
      <w:bookmarkStart w:id="85" w:name="_Toc24793"/>
      <w:bookmarkStart w:id="86" w:name="_Toc12891"/>
      <w:bookmarkStart w:id="87" w:name="_Toc24448"/>
      <w:bookmarkStart w:id="88" w:name="_Toc10812"/>
      <w:bookmarkStart w:id="89" w:name="_Toc1795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6 、招标工程施工条件及现场踏勘</w:t>
      </w:r>
      <w:bookmarkEnd w:id="81"/>
      <w:bookmarkEnd w:id="82"/>
      <w:bookmarkEnd w:id="83"/>
      <w:bookmarkEnd w:id="84"/>
      <w:bookmarkEnd w:id="85"/>
      <w:bookmarkEnd w:id="86"/>
      <w:bookmarkEnd w:id="87"/>
      <w:bookmarkEnd w:id="88"/>
      <w:bookmarkEnd w:id="89"/>
    </w:p>
    <w:p w14:paraId="202351E2">
      <w:pPr>
        <w:pStyle w:val="43"/>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6.1本工程招标人仅在征地红线范围内提供场地，其他一切场地费用由中标人自行负责（含临时道路）。</w:t>
      </w:r>
    </w:p>
    <w:p w14:paraId="18F9D350">
      <w:pPr>
        <w:wordWrap w:val="0"/>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施工用水及水源由中标人自行解决，费用含在投标报价中，不另计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6CA5EC5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施工用电：</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招标人协调，</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施工用电及电源由中标人自行解决，费用含在投标报价中，不另计</w:t>
      </w:r>
      <w:r>
        <w:rPr>
          <w:rFonts w:hint="eastAsia" w:asciiTheme="minorEastAsia" w:hAnsiTheme="minorEastAsia" w:eastAsiaTheme="minorEastAsia" w:cstheme="minorEastAsia"/>
          <w:color w:val="000000" w:themeColor="text1"/>
          <w:kern w:val="0"/>
          <w:szCs w:val="24"/>
          <w:highlight w:val="none"/>
          <w:u w:val="single"/>
          <w14:textFill>
            <w14:solidFill>
              <w14:schemeClr w14:val="tx1"/>
            </w14:solidFill>
          </w14:textFill>
        </w:rPr>
        <w:t>。</w:t>
      </w:r>
    </w:p>
    <w:p w14:paraId="186C5294">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6.4</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施工用水、用电由中标人负责报装并接入施工红线范围，</w:t>
      </w:r>
      <w:r>
        <w:rPr>
          <w:rFonts w:hint="eastAsia" w:asciiTheme="minorEastAsia" w:hAnsiTheme="minorEastAsia" w:eastAsiaTheme="minorEastAsia" w:cstheme="minorEastAsia"/>
          <w:color w:val="000000" w:themeColor="text1"/>
          <w:highlight w:val="none"/>
          <w14:textFill>
            <w14:solidFill>
              <w14:schemeClr w14:val="tx1"/>
            </w14:solidFill>
          </w14:textFill>
        </w:rPr>
        <w:t>并由中标人负责购置及安装满足施工所需的临时用电变压器、水表、电表，其水、电费按工程所在地</w:t>
      </w:r>
      <w:r>
        <w:rPr>
          <w:rFonts w:hint="eastAsia" w:asciiTheme="minorEastAsia" w:hAnsiTheme="minorEastAsia" w:eastAsiaTheme="minorEastAsia" w:cstheme="minorEastAsia"/>
          <w:color w:val="000000" w:themeColor="text1"/>
          <w:highlight w:val="none"/>
          <w:u w:val="singl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基建工程水、电计费标准计算并由中标人缴纳，相关线路、管路费用及安装费用以及购置及安装临时用电变压器的费用由中标人自行承担。</w:t>
      </w:r>
    </w:p>
    <w:p w14:paraId="041B1D09">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6.5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14:paraId="3ECEF1E1">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6.6在现场踏勘过程中，投标人应确保自身安全，投标人如果发生人身伤亡、财物或其他损失，法律法规有规定的按有关规定处理，没有规定的由投标人自行负责。</w:t>
      </w:r>
    </w:p>
    <w:p w14:paraId="58859549">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6.7现场踏勘期间的交通、食宿由投标人自行安排，费用自理。</w:t>
      </w:r>
    </w:p>
    <w:p w14:paraId="7783B4E9">
      <w:pPr>
        <w:pStyle w:val="37"/>
        <w:keepNext/>
        <w:keepLines/>
        <w:ind w:firstLine="480"/>
        <w:jc w:val="both"/>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90" w:name="_Toc3294"/>
      <w:bookmarkStart w:id="91" w:name="_Toc27595"/>
      <w:bookmarkStart w:id="92" w:name="_Toc25942"/>
      <w:bookmarkStart w:id="93" w:name="_Toc5795"/>
      <w:bookmarkStart w:id="94" w:name="_Toc23962"/>
      <w:bookmarkStart w:id="95" w:name="_Toc8518"/>
      <w:bookmarkStart w:id="96" w:name="_Toc15330"/>
      <w:bookmarkStart w:id="97" w:name="_Toc22484"/>
      <w:bookmarkStart w:id="98" w:name="_Toc175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 xml:space="preserve">7 </w:t>
      </w:r>
      <w:bookmarkStart w:id="99" w:name="_Toc488220856"/>
      <w:bookmarkStart w:id="100" w:name="_Toc37196870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、其他招标说明</w:t>
      </w:r>
      <w:bookmarkEnd w:id="90"/>
      <w:bookmarkEnd w:id="91"/>
      <w:bookmarkEnd w:id="92"/>
      <w:bookmarkEnd w:id="93"/>
      <w:bookmarkEnd w:id="94"/>
      <w:bookmarkEnd w:id="95"/>
      <w:bookmarkEnd w:id="96"/>
      <w:bookmarkEnd w:id="97"/>
      <w:bookmarkEnd w:id="98"/>
      <w:bookmarkEnd w:id="99"/>
    </w:p>
    <w:bookmarkEnd w:id="100"/>
    <w:p w14:paraId="4BF44DE2">
      <w:pPr>
        <w:wordWrap w:val="0"/>
        <w:autoSpaceDE/>
        <w:autoSpaceDN/>
        <w:snapToGrid w:val="0"/>
        <w:spacing w:line="440" w:lineRule="exact"/>
        <w:ind w:firstLine="480"/>
        <w:jc w:val="both"/>
        <w:outlineLvl w:val="9"/>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101" w:name="_Toc10210"/>
      <w:bookmarkStart w:id="102" w:name="_Toc28014"/>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7.1．</w:t>
      </w:r>
      <w:r>
        <w:rPr>
          <w:rStyle w:val="23"/>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获取招标文件</w:t>
      </w:r>
      <w:bookmarkEnd w:id="101"/>
      <w:bookmarkEnd w:id="102"/>
    </w:p>
    <w:p w14:paraId="3D4685FA">
      <w:pPr>
        <w:pStyle w:val="20"/>
        <w:widowControl w:val="0"/>
        <w:wordWrap w:val="0"/>
        <w:adjustRightInd w:val="0"/>
        <w:snapToGrid w:val="0"/>
        <w:spacing w:beforeAutospacing="0" w:afterAutospacing="0" w:line="440" w:lineRule="exact"/>
        <w:ind w:firstLine="482" w:firstLineChars="200"/>
        <w:rPr>
          <w:rFonts w:hint="eastAsia" w:asciiTheme="minorEastAsia" w:hAnsiTheme="minorEastAsia" w:eastAsiaTheme="minorEastAsia" w:cstheme="minorEastAsia"/>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highlight w:val="none"/>
          <w14:textFill>
            <w14:solidFill>
              <w14:schemeClr w14:val="tx1"/>
            </w14:solidFill>
          </w14:textFill>
        </w:rPr>
        <w:t>7.1.1</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本次招标实行电子投标。</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本项目招标文件随招标公告一并在</w:t>
      </w:r>
      <w:r>
        <w:rPr>
          <w:rFonts w:hint="eastAsia" w:asciiTheme="minorEastAsia" w:hAnsiTheme="minorEastAsia" w:eastAsiaTheme="minorEastAsia" w:cstheme="minorEastAsia"/>
          <w:bCs/>
          <w:snapToGrid w:val="0"/>
          <w:color w:val="000000" w:themeColor="text1"/>
          <w:highlight w:val="none"/>
          <w14:textFill>
            <w14:solidFill>
              <w14:schemeClr w14:val="tx1"/>
            </w14:solidFill>
          </w14:textFill>
        </w:rPr>
        <w:t>广东省招标投标监管网(https://www.gdzwfw.gov.cn/ztbjg-portal/#/index)、</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全国公共资源交易平台（广东省·韶关市）（https://ygp.gdzwfw.gov.cn/ggzy-portal/#/440200/index）网站发布。招标文件一经在交易平台发布，视为发送投标人，招标文件及相关附件由投标人自行在交易平台网站下载。招标文件获取</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期间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见本章第二节“重要事项时间地点一览表”，招标文件获取期间与招标公告发布时间一致</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），投标人须登录全国公共资源交易平台（广东省·韶关市）（https://ygp.gdzwfw.gov.cn/ggzy-portal/#/440200/index）</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下载</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招标文件及相关附件，并于电子投标截止时间（</w:t>
      </w:r>
      <w:r>
        <w:rPr>
          <w:rFonts w:hint="eastAsia" w:asciiTheme="minorEastAsia" w:hAnsiTheme="minorEastAsia" w:eastAsiaTheme="minorEastAsia" w:cstheme="minorEastAsia"/>
          <w:snapToGrid w:val="0"/>
          <w:color w:val="000000" w:themeColor="text1"/>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shd w:val="clear" w:color="auto" w:fill="FFFFFF"/>
          <w14:textFill>
            <w14:solidFill>
              <w14:schemeClr w14:val="tx1"/>
            </w14:solidFill>
          </w14:textFill>
        </w:rPr>
        <w:t>）前完成电子投标。投标人可登录全国公共资源交易平台（广东省·韶关市）（https://ygp.gdzwfw.gov.cn/ggzy-portal/#/440200/index），在【服务指南】栏目中下载《韶关市公共资源建设工程交易系统-投标人操作指南（电子评标）》，了解网上获取招标文件操作流程。技术咨询电话：18819797080/0751-8379671 伍先生，业务咨询电话：0751-8633211、8633071。</w:t>
      </w:r>
    </w:p>
    <w:p w14:paraId="33202C70">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highlight w:val="none"/>
          <w14:textFill>
            <w14:solidFill>
              <w14:schemeClr w14:val="tx1"/>
            </w14:solidFill>
          </w14:textFill>
        </w:rPr>
        <w:t xml:space="preserve">7.1.2 </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只有申领了数字证书（CA）、“粤企签”或GDCA/SZCA/NETCA等符合法律法规规定的电子印章，并在交易平台中完成企业信息数据入库的投标人，方可在交易平台获取招标文件和电子投标。</w:t>
      </w:r>
    </w:p>
    <w:p w14:paraId="5BA934A2">
      <w:pPr>
        <w:pStyle w:val="38"/>
        <w:wordWrap w:val="0"/>
        <w:adjustRightInd w:val="0"/>
        <w:snapToGrid w:val="0"/>
        <w:spacing w:line="440" w:lineRule="exact"/>
        <w:ind w:firstLine="480"/>
        <w:jc w:val="left"/>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首次在韶关市参与建设工程招标投标活动的投标人，必须在交易平台上传企业相关资料办理企业入库事宜。投标人可登录全国公共资源交易平台（广东省·韶关市）（https://ygp.gdzwfw.gov.cn/ggzy-portal/#/440200/index）办理企业入库、数字证书及电子印章事宜，具体请在交易平台查阅相应的交易指引。</w:t>
      </w:r>
    </w:p>
    <w:p w14:paraId="453E0B96">
      <w:pPr>
        <w:pStyle w:val="38"/>
        <w:wordWrap w:val="0"/>
        <w:adjustRightInd w:val="0"/>
        <w:snapToGrid w:val="0"/>
        <w:spacing w:line="440" w:lineRule="exact"/>
        <w:ind w:firstLine="48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已入库企业有关信息（如单位名称、基本账号、资质、人员等）发生变化的，须及时在交易平台进行相应变更。投标人未及时变更信息而造成的损失和后果，由投标人自行承担。</w:t>
      </w:r>
    </w:p>
    <w:p w14:paraId="6AF10B15">
      <w:pPr>
        <w:tabs>
          <w:tab w:val="left" w:pos="7020"/>
        </w:tabs>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shd w:val="clear" w:color="auto" w:fill="FFFFFF"/>
          <w14:textFill>
            <w14:solidFill>
              <w14:schemeClr w14:val="tx1"/>
            </w14:solidFill>
          </w14:textFill>
        </w:rPr>
        <w:t>电子印章：是指获得国家工业和信息化部颁发的《电子认证服务许可证》、国家密码管理局颁发的《电子认证服务使用密码许可证》等资质，具备承担因数字证书原因产生纠纷的相关责任的能力，且在广东省内具有数量基础和服务能力的依法设立的电子认证服务机构签发的电子签章认证证书（即CA数字证书）。投标人应当到相关服务机构办理并取得数字证书介质和应用。电子印章包括机构法人电子形式印章，单位法定代表人、被委托人及其他个人的电子形式印章。电子印章与手写签名或者盖章具有同等的法律效力</w:t>
      </w:r>
      <w:r>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t>。</w:t>
      </w:r>
    </w:p>
    <w:p w14:paraId="1A018E2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7.2</w:t>
      </w:r>
      <w:r>
        <w:rPr>
          <w:rFonts w:hint="eastAsia" w:asciiTheme="minorEastAsia" w:hAnsiTheme="minorEastAsia" w:eastAsiaTheme="minorEastAsia" w:cstheme="minorEastAsia"/>
          <w:color w:val="000000" w:themeColor="text1"/>
          <w:highlight w:val="none"/>
          <w14:textFill>
            <w14:solidFill>
              <w14:schemeClr w14:val="tx1"/>
            </w14:solidFill>
          </w14:textFill>
        </w:rPr>
        <w:t>招标人（或招标代理机构）对投标人的失误不负任何责任，投标人应指定一名投标事务负责人（即授权委托人），专门负责跟踪、签收、阅读和理解招标文件及随后收到的有关资料，向招标人（或招标代理机构）发出疑问，检查投标文件，协助有关人员尽力克服各种投标失误。投标事务负责人（即授权委托人）如有更换，投标人应及时向招标人（或招标代理机构）提交授权委托书。</w:t>
      </w:r>
    </w:p>
    <w:p w14:paraId="2C8B60F2">
      <w:pPr>
        <w:spacing w:line="360" w:lineRule="auto"/>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7.3 </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纪律与保密要求：</w:t>
      </w:r>
    </w:p>
    <w:p w14:paraId="62D2B206">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7.3.1</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对招标人的纪律要求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：招标人不得泄露招标投标活动中应当保密的情况和资料，不得与投标人串通损害国家利益、社会公共利益或者他人合法权益。</w:t>
      </w:r>
    </w:p>
    <w:p w14:paraId="27E26F65">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7.3.2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对投标人的纪律要求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B2A5082">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7.3.3 </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参与招</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投标活</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动</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的各方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应</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对招标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件和投</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标</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文件中</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商业和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技</w:t>
      </w:r>
      <w:r>
        <w:rPr>
          <w:rFonts w:hint="eastAsia" w:asciiTheme="minorEastAsia" w:hAnsiTheme="minorEastAsia" w:eastAsiaTheme="minorEastAsia" w:cstheme="minorEastAsia"/>
          <w:color w:val="000000" w:themeColor="text1"/>
          <w:spacing w:val="8"/>
          <w:szCs w:val="24"/>
          <w:highlight w:val="none"/>
          <w14:textFill>
            <w14:solidFill>
              <w14:schemeClr w14:val="tx1"/>
            </w14:solidFill>
          </w14:textFill>
        </w:rPr>
        <w:t>术等秘密</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保密，违者应对由此造成的后果承担法律责任。</w:t>
      </w:r>
      <w:bookmarkStart w:id="103" w:name="_Toc371968706"/>
    </w:p>
    <w:p w14:paraId="4E686C31">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Start w:id="104" w:name="_Toc353462191"/>
      <w:bookmarkStart w:id="105" w:name="_Toc353462300"/>
      <w:bookmarkStart w:id="106" w:name="_Toc143766459"/>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语言、计量及投标费用</w:t>
      </w:r>
      <w:bookmarkEnd w:id="103"/>
      <w:bookmarkEnd w:id="104"/>
      <w:bookmarkEnd w:id="105"/>
      <w:bookmarkEnd w:id="10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w:t>
      </w:r>
    </w:p>
    <w:p w14:paraId="182686D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7.4.1 除专用术语外</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与招标投标有关的语言均使用中文</w:t>
      </w:r>
      <w:r>
        <w:rPr>
          <w:rFonts w:hint="eastAsia" w:asciiTheme="minorEastAsia" w:hAnsiTheme="minorEastAsia" w:eastAsiaTheme="minorEastAsia" w:cstheme="minorEastAsia"/>
          <w:color w:val="000000" w:themeColor="text1"/>
          <w:spacing w:val="-80"/>
          <w:szCs w:val="24"/>
          <w:highlight w:val="none"/>
          <w14:textFill>
            <w14:solidFill>
              <w14:schemeClr w14:val="tx1"/>
            </w14:solidFill>
          </w14:textFill>
        </w:rPr>
        <w:t>。</w:t>
      </w:r>
    </w:p>
    <w:p w14:paraId="54CD046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7.4.2 所有计量均采用中华人民共和国法定计量单位。</w:t>
      </w:r>
    </w:p>
    <w:p w14:paraId="7AA57E9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7.4.3 招标文件、投标文件中所指的币种均为人民币。</w:t>
      </w:r>
    </w:p>
    <w:p w14:paraId="7058CEC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7.4.4 投标人准备和参加投标活动发生的所有费用自理。</w:t>
      </w:r>
      <w:bookmarkStart w:id="107" w:name="_Toc371968707"/>
    </w:p>
    <w:p w14:paraId="435A2753">
      <w:pPr>
        <w:spacing w:line="360" w:lineRule="auto"/>
        <w:ind w:firstLine="480" w:firstLineChars="200"/>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7.5</w:t>
      </w:r>
      <w:r>
        <w:rPr>
          <w:rFonts w:hint="eastAsia" w:asciiTheme="minorEastAsia" w:hAnsiTheme="minorEastAsia" w:eastAsiaTheme="minorEastAsia" w:cstheme="minorEastAsia"/>
          <w:b/>
          <w:bCs/>
          <w:color w:val="000000" w:themeColor="text1"/>
          <w:highlight w:val="none"/>
          <w14:textFill>
            <w14:solidFill>
              <w14:schemeClr w14:val="tx1"/>
            </w14:solidFill>
          </w14:textFill>
        </w:rPr>
        <w:t>知识产权和专利权</w:t>
      </w:r>
      <w:bookmarkEnd w:id="107"/>
      <w:r>
        <w:rPr>
          <w:rFonts w:hint="eastAsia" w:asciiTheme="minorEastAsia" w:hAnsiTheme="minorEastAsia" w:eastAsiaTheme="minorEastAsia" w:cstheme="minorEastAsia"/>
          <w:b/>
          <w:bCs/>
          <w:color w:val="000000" w:themeColor="text1"/>
          <w:highlight w:val="none"/>
          <w14:textFill>
            <w14:solidFill>
              <w14:schemeClr w14:val="tx1"/>
            </w14:solidFill>
          </w14:textFill>
        </w:rPr>
        <w:t>：</w:t>
      </w:r>
    </w:p>
    <w:p w14:paraId="138F1BC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7.5.1 </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投标人保证投标文件及资料均未侵犯他人的知识产权，否则必须承担全部责任。若投标人使用了他人的专利、专有技术，涉及的费用由投标人负责。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投标价应包括所有应支付的对专利权和版权、设计和其他知识产权而需要向其他方支付的版税。</w:t>
      </w:r>
    </w:p>
    <w:p w14:paraId="793FE2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7.5.2 中标人应保证招标人在本项目建设过程中使用其设计文件和设计文件的任何一部分时，招标人免受第三方提出侵犯其专利权、商标权或其他知识产权的起诉。</w:t>
      </w:r>
    </w:p>
    <w:p w14:paraId="36C8EEB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7.5.3 中标人提交给招标人的设计文件，其著作权、版权、专利权和使用权归招标人所有（署名权除外）。</w:t>
      </w:r>
    </w:p>
    <w:p w14:paraId="7DBA58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108" w:name="_Toc3719687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7.</w:t>
      </w:r>
      <w:bookmarkEnd w:id="108"/>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 招标文件是招标人发出的要约邀请，投标人参加投标均视为承认招标公告、招标文件及附件的所有条款，并承诺一旦中标将按招标文件、投标文件、合同条款、技术规范要求的质量和进度完成全部委托任务。</w:t>
      </w:r>
    </w:p>
    <w:p w14:paraId="6741AE4D">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09" w:name="_Toc20864"/>
      <w:bookmarkStart w:id="110" w:name="_Toc30148"/>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8 、招标答疑</w:t>
      </w:r>
      <w:bookmarkEnd w:id="109"/>
      <w:bookmarkEnd w:id="110"/>
      <w:bookmarkStart w:id="111" w:name="_Hlt74496410"/>
      <w:bookmarkEnd w:id="111"/>
    </w:p>
    <w:p w14:paraId="259053D7">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8.1招标人不集中组织答疑，实行网上答疑。</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投标人若对招标文件有疑问</w:t>
      </w:r>
      <w:r>
        <w:rPr>
          <w:rFonts w:hint="eastAsia" w:asciiTheme="minorEastAsia" w:hAnsiTheme="minorEastAsia" w:eastAsiaTheme="minorEastAsia" w:cstheme="minorEastAsia"/>
          <w:color w:val="000000" w:themeColor="text1"/>
          <w:highlight w:val="none"/>
          <w14:textFill>
            <w14:solidFill>
              <w14:schemeClr w14:val="tx1"/>
            </w14:solidFill>
          </w14:textFill>
        </w:rPr>
        <w:t>应在提问截止时间（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color w:val="000000" w:themeColor="text1"/>
          <w:highlight w:val="none"/>
          <w14:textFill>
            <w14:solidFill>
              <w14:schemeClr w14:val="tx1"/>
            </w14:solidFill>
          </w14:textFill>
        </w:rPr>
        <w:t>）前在交易平台提出问题。未在指定时间前、未采用指定方式提出的，招标人不予受理。</w:t>
      </w:r>
    </w:p>
    <w:p w14:paraId="40300F21">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8.2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招标人在提问截止时间（</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见本章第二节“重要事项时间地点一览表”</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14:paraId="1C1662DF">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8.3 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）对招标文件的修改或补充内容作为招标文件的组成部分，具有约束作用。招标文件的澄清、修改、补充等内容均以答疑书（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）中明确的内容为准。当招标文件、招标文件的澄清、修改、补充等文件在同一内容的表述上不一致时，以最后发出的答疑书（</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或修改</w:t>
      </w:r>
      <w:r>
        <w:rPr>
          <w:rFonts w:hint="eastAsia" w:asciiTheme="minorEastAsia" w:hAnsiTheme="minorEastAsia" w:eastAsiaTheme="minorEastAsia" w:cstheme="minorEastAsia"/>
          <w:color w:val="000000" w:themeColor="text1"/>
          <w:highlight w:val="none"/>
          <w14:textFill>
            <w14:solidFill>
              <w14:schemeClr w14:val="tx1"/>
            </w14:solidFill>
          </w14:textFill>
        </w:rPr>
        <w:t>）为准。</w:t>
      </w:r>
    </w:p>
    <w:p w14:paraId="34382E94">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8.4 投标人在规定的时间内未对招标文件提出澄清或疑问的，招标人将视其为无异议。对招标文件中描述有歧义或前后不一致的地方，评标委员会有权进行评判，但对同一条款的评判应适用于每个投标人。</w:t>
      </w:r>
    </w:p>
    <w:p w14:paraId="530D0F38">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8.5 招标人向投标人提供的资料和数据，是招标人现有的能使投标人利用的资料。投标人对招标人提供的招标文件所作出的推论、解释和结论，招标人概不负责；投标人由于对招标文件的任何推论和误解以及招标人对有关问题的口头解释所造成的后果，均由投标人自行负责。</w:t>
      </w:r>
    </w:p>
    <w:p w14:paraId="2E4FA8B2">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112" w:name="_Hlt92513711"/>
      <w:bookmarkEnd w:id="112"/>
      <w:bookmarkStart w:id="113" w:name="_Hlt69699188"/>
      <w:bookmarkEnd w:id="113"/>
      <w:bookmarkStart w:id="114" w:name="_Hlt92513715"/>
      <w:bookmarkEnd w:id="114"/>
      <w:bookmarkStart w:id="115" w:name="_Toc15195"/>
      <w:bookmarkStart w:id="116" w:name="_Toc9611"/>
      <w:bookmarkStart w:id="117" w:name="_Toc8032"/>
      <w:bookmarkStart w:id="118" w:name="_Toc30627"/>
      <w:bookmarkStart w:id="119" w:name="_Toc28777"/>
      <w:bookmarkStart w:id="120" w:name="_Toc31064"/>
      <w:bookmarkStart w:id="121" w:name="_Toc20643"/>
      <w:bookmarkStart w:id="122" w:name="_Toc25532"/>
      <w:bookmarkStart w:id="123" w:name="_Toc1130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9 、投标报价的编制</w:t>
      </w:r>
      <w:bookmarkEnd w:id="115"/>
      <w:bookmarkEnd w:id="116"/>
      <w:bookmarkEnd w:id="117"/>
      <w:bookmarkEnd w:id="118"/>
      <w:bookmarkEnd w:id="119"/>
      <w:bookmarkEnd w:id="120"/>
      <w:bookmarkEnd w:id="121"/>
      <w:bookmarkEnd w:id="122"/>
      <w:bookmarkEnd w:id="123"/>
      <w:bookmarkStart w:id="124" w:name="_Hlt74498519"/>
      <w:bookmarkEnd w:id="124"/>
    </w:p>
    <w:p w14:paraId="5C87CE4D">
      <w:pPr>
        <w:pStyle w:val="35"/>
        <w:ind w:firstLine="560"/>
        <w:rPr>
          <w:rFonts w:hint="eastAsia" w:asciiTheme="minorEastAsia" w:hAnsiTheme="minorEastAsia" w:eastAsiaTheme="minorEastAsia" w:cstheme="minorEastAsia"/>
          <w:color w:val="000000" w:themeColor="text1"/>
          <w:spacing w:val="12"/>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9.1 本工程计价依据为：</w:t>
      </w:r>
    </w:p>
    <w:p w14:paraId="3DDDB697">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125" w:name="_Hlt69335755"/>
      <w:bookmarkEnd w:id="125"/>
      <w:r>
        <w:rPr>
          <w:rFonts w:hint="eastAsia" w:asciiTheme="minorEastAsia" w:hAnsiTheme="minorEastAsia" w:eastAsiaTheme="minorEastAsia" w:cstheme="minorEastAsia"/>
          <w:color w:val="000000" w:themeColor="text1"/>
          <w:highlight w:val="none"/>
          <w14:textFill>
            <w14:solidFill>
              <w14:schemeClr w14:val="tx1"/>
            </w14:solidFill>
          </w14:textFill>
        </w:rPr>
        <w:t>（1）《工程勘察设计收费管理规定》（计价格[2002]10号）、《工程勘察设计收费导则（第二版）》（粤勘设协〔2021〕2号）；</w:t>
      </w:r>
    </w:p>
    <w:p w14:paraId="68AA67A6">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（2）《建设工程工程量清单计价规范》（GB50500—2013）；</w:t>
      </w:r>
    </w:p>
    <w:p w14:paraId="5038FA5F">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14:paraId="5FC8EB18">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招标文件及其答疑（或修改）公告</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3B5D297E">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（5）施工现场情况、工程特点及常规施工方案；</w:t>
      </w:r>
    </w:p>
    <w:p w14:paraId="77396941">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（6）项目所在地工程造价管理机构发布的工程造价信息，工程造价信息缺项的，参照市场价格；</w:t>
      </w:r>
    </w:p>
    <w:p w14:paraId="28B41DCC">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（7）与建设项目相关的标准、规范、技术资料。</w:t>
      </w:r>
    </w:p>
    <w:p w14:paraId="2E1BB4AB">
      <w:pPr>
        <w:pStyle w:val="35"/>
        <w:ind w:firstLine="792" w:firstLineChars="3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9.2</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本工程投标前，招标人及招标代理机构不集中组织现场踏勘，投标人需要了解现场情况的，可自行进行现场踏勘。各投标人应勘察施工现场及周围环境、地形、地貌、水文、交通等情况，以获得一切可能影响到投标的直</w:t>
      </w:r>
      <w:bookmarkStart w:id="126" w:name="_Hlt66509056"/>
      <w:bookmarkEnd w:id="126"/>
      <w:r>
        <w:rPr>
          <w:rFonts w:hint="eastAsia" w:asciiTheme="minorEastAsia" w:hAnsiTheme="minorEastAsia" w:eastAsiaTheme="minorEastAsia" w:cstheme="minorEastAsia"/>
          <w:color w:val="000000" w:themeColor="text1"/>
          <w:highlight w:val="none"/>
          <w14:textFill>
            <w14:solidFill>
              <w14:schemeClr w14:val="tx1"/>
            </w14:solidFill>
          </w14:textFill>
        </w:rPr>
        <w:t>接资料。投标人应针对现场情况编制施工组织设计，并在写投标报价时考虑现场情况的影响。</w:t>
      </w:r>
    </w:p>
    <w:p w14:paraId="1D2A4D4D">
      <w:pPr>
        <w:pStyle w:val="44"/>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9.</w:t>
      </w:r>
      <w:bookmarkStart w:id="127" w:name="_Hlt88974322"/>
      <w:r>
        <w:rPr>
          <w:rFonts w:hint="eastAsia" w:asciiTheme="minorEastAsia" w:hAnsiTheme="minorEastAsia" w:eastAsiaTheme="minorEastAsia" w:cstheme="minorEastAsia"/>
          <w:color w:val="000000" w:themeColor="text1"/>
          <w:spacing w:val="12"/>
          <w:highlight w:val="none"/>
          <w14:textFill>
            <w14:solidFill>
              <w14:schemeClr w14:val="tx1"/>
            </w14:solidFill>
          </w14:textFill>
        </w:rPr>
        <w:t>3</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现场踏勘费以及其它施工措施项目费，由投标人在投标报价中综合考虑，</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一次包定</w:t>
      </w:r>
      <w:r>
        <w:rPr>
          <w:rFonts w:hint="eastAsia" w:asciiTheme="minorEastAsia" w:hAnsiTheme="minorEastAsia" w:eastAsiaTheme="minorEastAsia" w:cstheme="minorEastAsia"/>
          <w:color w:val="000000" w:themeColor="text1"/>
          <w:highlight w:val="none"/>
          <w14:textFill>
            <w14:solidFill>
              <w14:schemeClr w14:val="tx1"/>
            </w14:solidFill>
          </w14:textFill>
        </w:rPr>
        <w:t>。无论投标人是否列出费用，招标人将一律视为已确认所有现场条件和可能发生的异常情况。</w:t>
      </w:r>
    </w:p>
    <w:bookmarkEnd w:id="127"/>
    <w:p w14:paraId="1DAD049C">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9.4 招标人向投标人提供的有关现场的数据和资料，是招标人现有的能被投标人利用的资料，招标人对投标人做出的任何推论、理解和结论均不负责任。</w:t>
      </w:r>
    </w:p>
    <w:p w14:paraId="390D5AE0">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5</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投标人负责协调处理因项目实施与周边企业和村民等关系并承担相关费用。</w:t>
      </w:r>
    </w:p>
    <w:p w14:paraId="7E6BA5A6">
      <w:pPr>
        <w:spacing w:line="360" w:lineRule="auto"/>
        <w:ind w:firstLine="60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6</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投标人应采取设计优化的方式，通过土方平衡方法解决弃土问题，若仍有弃土，按实结算。</w:t>
      </w:r>
    </w:p>
    <w:p w14:paraId="2C0BB72B">
      <w:pPr>
        <w:spacing w:line="360" w:lineRule="auto"/>
        <w:ind w:firstLine="570"/>
        <w:rPr>
          <w:rFonts w:hint="eastAsia" w:asciiTheme="minorEastAsia" w:hAnsiTheme="minorEastAsia" w:eastAsiaTheme="minorEastAsia" w:cstheme="minorEastAsia"/>
          <w:b/>
          <w:color w:val="000000" w:themeColor="text1"/>
          <w:highlight w:val="none"/>
          <w:u w:val="doub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bookmarkStart w:id="128" w:name="_Toc319917951"/>
      <w:r>
        <w:rPr>
          <w:rFonts w:hint="eastAsia" w:asciiTheme="minorEastAsia" w:hAnsiTheme="minorEastAsia" w:eastAsiaTheme="minorEastAsia" w:cstheme="minorEastAsia"/>
          <w:color w:val="000000" w:themeColor="text1"/>
          <w:highlight w:val="none"/>
          <w14:textFill>
            <w14:solidFill>
              <w14:schemeClr w14:val="tx1"/>
            </w14:solidFill>
          </w14:textFill>
        </w:rPr>
        <w:t>7</w:t>
      </w:r>
      <w:r>
        <w:rPr>
          <w:rFonts w:hint="eastAsia" w:asciiTheme="minorEastAsia" w:hAnsiTheme="minorEastAsia" w:eastAsiaTheme="minorEastAsia" w:cstheme="minorEastAsia"/>
          <w:b/>
          <w:color w:val="000000" w:themeColor="text1"/>
          <w:highlight w:val="none"/>
          <w:u w:val="double"/>
          <w14:textFill>
            <w14:solidFill>
              <w14:schemeClr w14:val="tx1"/>
            </w14:solidFill>
          </w14:textFill>
        </w:rPr>
        <w:t>投标人的投标报价不得超过招标人公布的最高投标限价。本项目为限额设计，工程结算总造价不得超过中标价。</w:t>
      </w:r>
    </w:p>
    <w:p w14:paraId="41AC832C">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9.8</w:t>
      </w:r>
      <w:r>
        <w:rPr>
          <w:rFonts w:hint="eastAsia" w:asciiTheme="minorEastAsia" w:hAnsiTheme="minorEastAsia" w:eastAsiaTheme="minorEastAsia" w:cstheme="minorEastAsia"/>
          <w:b/>
          <w:color w:val="000000" w:themeColor="text1"/>
          <w:highlight w:val="none"/>
          <w:lang w:val="zh-CN"/>
          <w14:textFill>
            <w14:solidFill>
              <w14:schemeClr w14:val="tx1"/>
            </w14:solidFill>
          </w14:textFill>
        </w:rPr>
        <w:t>投标单位应充分考虑本招标文件“第二章 拟签订合同的主要条款”所列的结算原则进行投标及报价。</w:t>
      </w:r>
      <w:bookmarkEnd w:id="128"/>
    </w:p>
    <w:p w14:paraId="6087E588">
      <w:pPr>
        <w:spacing w:line="360" w:lineRule="auto"/>
        <w:ind w:firstLine="570"/>
        <w:rPr>
          <w:rFonts w:hint="eastAsia" w:asciiTheme="minorEastAsia" w:hAnsiTheme="minorEastAsia" w:eastAsiaTheme="minorEastAsia" w:cstheme="minorEastAsia"/>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投标人的投标总报价应考虑完成招标文件中招标规模、内容及设计任务书所规定的所有工程及设备的费用，并承担结算原则中规定的一切风险，还应考虑预算编制费、报建和施工时应由施工单位承担的一切费用。各项费用的主要内容及其报价方式：</w:t>
      </w:r>
      <w:bookmarkStart w:id="129" w:name="_Toc13707"/>
      <w:bookmarkStart w:id="130" w:name="_Toc3872"/>
      <w:bookmarkStart w:id="131" w:name="_Toc11863"/>
      <w:bookmarkStart w:id="132" w:name="_Toc29402"/>
      <w:bookmarkStart w:id="133" w:name="_Toc18903"/>
      <w:bookmarkStart w:id="134" w:name="_Toc20815"/>
      <w:bookmarkStart w:id="135" w:name="_Toc17803"/>
      <w:bookmarkStart w:id="136" w:name="_Toc57"/>
      <w:bookmarkStart w:id="137" w:name="_Toc32012"/>
      <w:bookmarkStart w:id="138" w:name="_Toc15059"/>
      <w:bookmarkStart w:id="139" w:name="_Toc39136339"/>
      <w:bookmarkStart w:id="140" w:name="_Toc11568"/>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投标人投标报价=勘察设计</w:t>
      </w:r>
      <w:r>
        <w:rPr>
          <w:rFonts w:hint="eastAsia" w:asciiTheme="minorEastAsia" w:hAnsiTheme="minorEastAsia" w:eastAsiaTheme="minorEastAsia" w:cstheme="minorEastAsia"/>
          <w:b/>
          <w:bCs/>
          <w:color w:val="000000" w:themeColor="text1"/>
          <w:highlight w:val="none"/>
          <w:u w:val="single"/>
          <w:lang w:val="zh-CN" w:eastAsia="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highlight w:val="none"/>
          <w:u w:val="single"/>
          <w:lang w:val="zh-CN"/>
          <w14:textFill>
            <w14:solidFill>
              <w14:schemeClr w14:val="tx1"/>
            </w14:solidFill>
          </w14:textFill>
        </w:rPr>
        <w:t>建安工程费投标报价</w:t>
      </w:r>
      <w:bookmarkEnd w:id="129"/>
      <w:bookmarkEnd w:id="130"/>
      <w:bookmarkEnd w:id="131"/>
      <w:bookmarkEnd w:id="132"/>
      <w:bookmarkEnd w:id="133"/>
      <w:bookmarkEnd w:id="134"/>
      <w:bookmarkEnd w:id="135"/>
      <w:bookmarkEnd w:id="136"/>
      <w:bookmarkEnd w:id="137"/>
      <w:bookmarkEnd w:id="138"/>
      <w:bookmarkEnd w:id="139"/>
      <w:bookmarkEnd w:id="140"/>
    </w:p>
    <w:p w14:paraId="1868BDC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勘察设计</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费投标报价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在最高投标限价范围内，投标人自行报总价</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及投标费率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按经审定的建安工程费招标控制价×</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费投标费率进行结算</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勘察费</w:t>
      </w:r>
      <w:r>
        <w:rPr>
          <w:rFonts w:hint="eastAsia" w:asciiTheme="minorEastAsia" w:hAnsiTheme="minorEastAsia" w:eastAsiaTheme="minorEastAsia" w:cstheme="minorEastAsia"/>
          <w:b/>
          <w:bCs/>
          <w:color w:val="000000" w:themeColor="text1"/>
          <w:szCs w:val="24"/>
          <w:highlight w:val="none"/>
          <w:lang w:val="zh-CN"/>
          <w14:textFill>
            <w14:solidFill>
              <w14:schemeClr w14:val="tx1"/>
            </w14:solidFill>
          </w14:textFill>
        </w:rPr>
        <w:t>报价</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应考虑施工场地不同土、石质类别比例及满足本项目设计要求所需完成的勘察工作量、地形图测量及地下管线盲探工作，并承担风险。</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设计费</w:t>
      </w:r>
      <w:r>
        <w:rPr>
          <w:rFonts w:hint="eastAsia" w:asciiTheme="minorEastAsia" w:hAnsiTheme="minorEastAsia" w:eastAsiaTheme="minorEastAsia" w:cstheme="minorEastAsia"/>
          <w:b/>
          <w:bCs/>
          <w:color w:val="000000" w:themeColor="text1"/>
          <w:szCs w:val="24"/>
          <w:highlight w:val="none"/>
          <w:lang w:val="zh-CN"/>
          <w14:textFill>
            <w14:solidFill>
              <w14:schemeClr w14:val="tx1"/>
            </w14:solidFill>
          </w14:textFill>
        </w:rPr>
        <w:t>报价应包含</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各个不同专业的初步设计及概算费用、</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施工图</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设计费用、进行优化设计或修改设计所增加的设计费用、各项专家评审的专家费用、预算编制费等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（不含第三方施工图审查费）</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。若中标单位不具备专业设计资质的，需经招标人同意后，委托有相应资质的单位进行设计，所产生的费用由投标人承担。</w:t>
      </w:r>
    </w:p>
    <w:p w14:paraId="3C02C5E2">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14:textFill>
            <w14:solidFill>
              <w14:schemeClr w14:val="tx1"/>
            </w14:solidFill>
          </w14:textFill>
        </w:rPr>
        <w:t>勘察</w:t>
      </w: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设计</w:t>
      </w:r>
      <w:r>
        <w:rPr>
          <w:rFonts w:hint="eastAsia" w:asciiTheme="minorEastAsia" w:hAnsiTheme="minorEastAsia" w:eastAsiaTheme="minorEastAsia" w:cstheme="minorEastAsia"/>
          <w:b/>
          <w:bCs/>
          <w:color w:val="000000" w:themeColor="text1"/>
          <w:szCs w:val="24"/>
          <w:highlight w:val="none"/>
          <w:u w:val="single"/>
          <w:lang w:val="zh-CN"/>
          <w14:textFill>
            <w14:solidFill>
              <w14:schemeClr w14:val="tx1"/>
            </w14:solidFill>
          </w14:textFill>
        </w:rPr>
        <w:t>费投标报价</w:t>
      </w:r>
      <w:r>
        <w:rPr>
          <w:rFonts w:hint="eastAsia" w:asciiTheme="minorEastAsia" w:hAnsiTheme="minorEastAsia" w:eastAsiaTheme="minorEastAsia" w:cstheme="minorEastAsia"/>
          <w:b/>
          <w:bCs/>
          <w:color w:val="000000" w:themeColor="text1"/>
          <w:szCs w:val="24"/>
          <w:highlight w:val="none"/>
          <w:u w:val="single"/>
          <w:lang w:val="en-US" w:eastAsia="zh-CN"/>
          <w14:textFill>
            <w14:solidFill>
              <w14:schemeClr w14:val="tx1"/>
            </w14:solidFill>
          </w14:textFill>
        </w:rPr>
        <w:t>=报价基数</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u w:val="single"/>
          <w:lang w:eastAsia="zh-CN"/>
          <w14:textFill>
            <w14:solidFill>
              <w14:schemeClr w14:val="tx1"/>
            </w14:solidFill>
          </w14:textFill>
        </w:rPr>
        <w:t>投标费率</w:t>
      </w:r>
    </w:p>
    <w:p w14:paraId="73CAAD60">
      <w:pPr>
        <w:spacing w:line="360" w:lineRule="auto"/>
        <w:ind w:firstLine="570"/>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本项目在实施过程中可能出现设计成果已通过确认，仍需进行设计变更、修改、调整等情况，不另行增加设计费。</w:t>
      </w:r>
    </w:p>
    <w:p w14:paraId="374D821A">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9.9.</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建安工程费用：采</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用投标</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下浮率的方式进行报价，结算时按招标文件有关结算原则计算后再按建安工程费</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投</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标下浮率下浮。</w:t>
      </w:r>
    </w:p>
    <w:p w14:paraId="4E61EC64">
      <w:pPr>
        <w:spacing w:line="360" w:lineRule="auto"/>
        <w:ind w:firstLine="570"/>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u w:val="single"/>
          <w:lang w:val="zh-CN" w:eastAsia="zh-CN"/>
          <w14:textFill>
            <w14:solidFill>
              <w14:schemeClr w14:val="tx1"/>
            </w14:solidFill>
          </w14:textFill>
        </w:rPr>
        <w:t>建安工程费投标报价=报价基数×（1-投标下浮率）</w:t>
      </w:r>
    </w:p>
    <w:p w14:paraId="64C960E0">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如投标人的建安工程费用投标报价下浮率高于15%时，投标人必须在投标报价书中另行作出详细合理的书面说明并提供相关证明材料供评标委员会评审，否则评标委员会将认定该投标人以低于成本报价竞标。</w:t>
      </w:r>
    </w:p>
    <w:p w14:paraId="2357C26F">
      <w:pPr>
        <w:spacing w:line="360" w:lineRule="auto"/>
        <w:ind w:firstLine="570"/>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建安工程费用的报价应考虑完成招标文件中招标规模、内容及可行性研究报告所规定的所有工程及设备的费用</w:t>
      </w:r>
      <w:r>
        <w:rPr>
          <w:rFonts w:hint="eastAsia" w:asciiTheme="minorEastAsia" w:hAnsiTheme="minorEastAsia" w:eastAsiaTheme="minorEastAsia" w:cstheme="minorEastAsia"/>
          <w:color w:val="000000" w:themeColor="text1"/>
          <w:szCs w:val="24"/>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14:paraId="1D5FF0F3">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05520D">
      <w:pPr>
        <w:spacing w:line="360" w:lineRule="auto"/>
        <w:ind w:firstLine="588" w:firstLineChars="24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9.9.4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投标人在投标报价时，自行考虑高温补贴费、施工视频监控系统费用，专业分包的总包服务及配合费，预算（含工程量清单编制费）等，并承担相应风险，结算时不另行计取。</w:t>
      </w:r>
    </w:p>
    <w:p w14:paraId="384FD12F">
      <w:pPr>
        <w:spacing w:line="360" w:lineRule="auto"/>
        <w:ind w:firstLine="588" w:firstLineChars="245"/>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w:t>
      </w:r>
      <w:r>
        <w:rPr>
          <w:rFonts w:hint="eastAsia" w:asciiTheme="minorEastAsia" w:hAnsiTheme="minorEastAsia" w:eastAsiaTheme="minorEastAsia" w:cstheme="minorEastAsia"/>
          <w:color w:val="000000" w:themeColor="text1"/>
          <w:highlight w:val="none"/>
          <w:lang w:val="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9.5 </w:t>
      </w:r>
      <w:r>
        <w:rPr>
          <w:rFonts w:hint="eastAsia" w:ascii="Arial" w:hAnsi="Arial" w:eastAsia="宋体" w:cs="Arial"/>
          <w:b/>
          <w:color w:val="000000" w:themeColor="text1"/>
          <w:sz w:val="24"/>
          <w:szCs w:val="24"/>
          <w:highlight w:val="none"/>
          <w:u w:val="double"/>
          <w14:textFill>
            <w14:solidFill>
              <w14:schemeClr w14:val="tx1"/>
            </w14:solidFill>
          </w14:textFill>
        </w:rPr>
        <w:t>招标人可根据本项目实际情况对规模及内容进行调整或减少，投标人中标后不得因此调整或减少向招标人索赔，并且必须按调整或减少后的规模及内容完成工程建设。投标人在投标报价时需综合考虑该因素并报价。</w:t>
      </w:r>
    </w:p>
    <w:p w14:paraId="5F1356C9">
      <w:pPr>
        <w:pStyle w:val="37"/>
        <w:keepNext/>
        <w:keepLines/>
        <w:ind w:firstLine="480"/>
        <w:jc w:val="both"/>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bookmarkStart w:id="141" w:name="_Toc27432"/>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10、 最高</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限价的确定</w:t>
      </w:r>
      <w:bookmarkEnd w:id="141"/>
      <w:bookmarkStart w:id="142" w:name="_Hlt69335617"/>
      <w:bookmarkStart w:id="143" w:name="_Hlt121629839"/>
    </w:p>
    <w:p w14:paraId="25CDED77">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bookmarkStart w:id="144" w:name="_Toc32578"/>
      <w:bookmarkStart w:id="145" w:name="_Toc24510"/>
      <w:bookmarkStart w:id="146" w:name="_Toc15152"/>
      <w:bookmarkStart w:id="147" w:name="_Toc5483"/>
      <w:bookmarkStart w:id="148" w:name="_Toc29734"/>
      <w:bookmarkStart w:id="149" w:name="_Toc13350"/>
      <w:bookmarkStart w:id="150" w:name="_Toc7307"/>
      <w:bookmarkStart w:id="151" w:name="_Toc4604"/>
      <w:r>
        <w:rPr>
          <w:rFonts w:hint="eastAsia" w:ascii="宋体" w:hAnsi="宋体" w:eastAsia="宋体" w:cs="宋体"/>
          <w:color w:val="000000" w:themeColor="text1"/>
          <w:szCs w:val="21"/>
          <w:highlight w:val="none"/>
          <w14:textFill>
            <w14:solidFill>
              <w14:schemeClr w14:val="tx1"/>
            </w14:solidFill>
          </w14:textFill>
        </w:rPr>
        <w:t>经研究确定，本</w:t>
      </w:r>
      <w:r>
        <w:rPr>
          <w:rFonts w:hint="eastAsia" w:ascii="宋体" w:hAnsi="宋体" w:eastAsia="宋体" w:cs="宋体"/>
          <w:color w:val="000000" w:themeColor="text1"/>
          <w:szCs w:val="21"/>
          <w:highlight w:val="none"/>
          <w:lang w:val="en-US" w:eastAsia="zh-CN"/>
          <w14:textFill>
            <w14:solidFill>
              <w14:schemeClr w14:val="tx1"/>
            </w14:solidFill>
          </w14:textFill>
        </w:rPr>
        <w:t>项目</w:t>
      </w:r>
      <w:r>
        <w:rPr>
          <w:rFonts w:hint="eastAsia" w:ascii="宋体" w:hAnsi="宋体" w:eastAsia="宋体" w:cs="宋体"/>
          <w:color w:val="000000" w:themeColor="text1"/>
          <w:szCs w:val="21"/>
          <w:highlight w:val="none"/>
          <w14:textFill>
            <w14:solidFill>
              <w14:schemeClr w14:val="tx1"/>
            </w14:solidFill>
          </w14:textFill>
        </w:rPr>
        <w:t>最高投标限价为人民币(大写)</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陆仟肆佰柒拾肆万伍仟陆佰元整</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(小写:</w:t>
      </w:r>
      <w:r>
        <w:rPr>
          <w:rFonts w:hint="eastAsia" w:asciiTheme="minorEastAsia" w:hAnsiTheme="minorEastAsia" w:eastAsiaTheme="minorEastAsia" w:cstheme="minorEastAsia"/>
          <w:color w:val="000000" w:themeColor="text1"/>
          <w:sz w:val="24"/>
          <w:szCs w:val="24"/>
          <w:highlight w:val="none"/>
          <w:u w:val="single"/>
          <w:lang w:val="en-US" w:eastAsia="zh-CN"/>
          <w14:textFill>
            <w14:solidFill>
              <w14:schemeClr w14:val="tx1"/>
            </w14:solidFill>
          </w14:textFill>
        </w:rPr>
        <w:t>￥64745600.00元</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u w:val="none"/>
          <w:lang w:eastAsia="zh-CN"/>
          <w14:textFill>
            <w14:solidFill>
              <w14:schemeClr w14:val="tx1"/>
            </w14:solidFill>
          </w14:textFill>
        </w:rPr>
        <w:t>其中：勘察</w:t>
      </w:r>
      <w:r>
        <w:rPr>
          <w:rFonts w:hint="eastAsia" w:hAnsi="宋体" w:eastAsia="宋体" w:cs="宋体"/>
          <w:color w:val="000000" w:themeColor="text1"/>
          <w:szCs w:val="21"/>
          <w:highlight w:val="none"/>
          <w:u w:val="none"/>
          <w:lang w:val="en-US" w:eastAsia="zh-CN"/>
          <w14:textFill>
            <w14:solidFill>
              <w14:schemeClr w14:val="tx1"/>
            </w14:solidFill>
          </w14:textFill>
        </w:rPr>
        <w:t>设计</w:t>
      </w:r>
      <w:r>
        <w:rPr>
          <w:rFonts w:hint="eastAsia" w:ascii="宋体" w:hAnsi="宋体" w:eastAsia="宋体" w:cs="宋体"/>
          <w:color w:val="000000" w:themeColor="text1"/>
          <w:szCs w:val="21"/>
          <w:highlight w:val="none"/>
          <w:u w:val="none"/>
          <w:lang w:eastAsia="zh-CN"/>
          <w14:textFill>
            <w14:solidFill>
              <w14:schemeClr w14:val="tx1"/>
            </w14:solidFill>
          </w14:textFill>
        </w:rPr>
        <w:t>费：</w:t>
      </w:r>
      <w:r>
        <w:rPr>
          <w:rFonts w:hint="eastAsia" w:ascii="宋体" w:hAnsi="宋体" w:eastAsia="宋体" w:cs="宋体"/>
          <w:color w:val="000000" w:themeColor="text1"/>
          <w:szCs w:val="21"/>
          <w:highlight w:val="none"/>
          <w:u w:val="single"/>
          <w:lang w:eastAsia="zh-CN"/>
          <w14:textFill>
            <w14:solidFill>
              <w14:schemeClr w14:val="tx1"/>
            </w14:solidFill>
          </w14:textFill>
        </w:rPr>
        <w:t>￥</w:t>
      </w:r>
      <w:r>
        <w:rPr>
          <w:rFonts w:hint="eastAsia" w:hAnsi="宋体" w:eastAsia="宋体" w:cs="宋体"/>
          <w:color w:val="000000" w:themeColor="text1"/>
          <w:szCs w:val="21"/>
          <w:highlight w:val="none"/>
          <w:u w:val="single"/>
          <w:lang w:val="en-US" w:eastAsia="zh-CN"/>
          <w14:textFill>
            <w14:solidFill>
              <w14:schemeClr w14:val="tx1"/>
            </w14:solidFill>
          </w14:textFill>
        </w:rPr>
        <w:t>2487300.00</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元</w:t>
      </w:r>
      <w:r>
        <w:rPr>
          <w:rFonts w:hint="eastAsia" w:ascii="宋体" w:hAnsi="宋体" w:eastAsia="宋体" w:cs="宋体"/>
          <w:color w:val="000000" w:themeColor="text1"/>
          <w:szCs w:val="21"/>
          <w:highlight w:val="none"/>
          <w:u w:val="none"/>
          <w:lang w:val="en-US" w:eastAsia="zh-CN"/>
          <w14:textFill>
            <w14:solidFill>
              <w14:schemeClr w14:val="tx1"/>
            </w14:solidFill>
          </w14:textFill>
        </w:rPr>
        <w:t>、建安工程费：</w:t>
      </w:r>
      <w:r>
        <w:rPr>
          <w:rFonts w:hint="eastAsia" w:ascii="宋体" w:hAnsi="宋体" w:eastAsia="宋体" w:cs="宋体"/>
          <w:color w:val="000000" w:themeColor="text1"/>
          <w:szCs w:val="21"/>
          <w:highlight w:val="none"/>
          <w:u w:val="single"/>
          <w:lang w:val="en-US" w:eastAsia="zh-CN"/>
          <w14:textFill>
            <w14:solidFill>
              <w14:schemeClr w14:val="tx1"/>
            </w14:solidFill>
          </w14:textFill>
        </w:rPr>
        <w:t>￥62258300.00元</w:t>
      </w:r>
      <w:r>
        <w:rPr>
          <w:rFonts w:hint="eastAsia" w:ascii="宋体" w:hAnsi="宋体" w:eastAsia="宋体" w:cs="宋体"/>
          <w:color w:val="000000" w:themeColor="text1"/>
          <w:szCs w:val="21"/>
          <w:highlight w:val="none"/>
          <w:u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具体详见下表：</w:t>
      </w:r>
    </w:p>
    <w:tbl>
      <w:tblPr>
        <w:tblStyle w:val="21"/>
        <w:tblW w:w="932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051"/>
        <w:gridCol w:w="1557"/>
        <w:gridCol w:w="1422"/>
        <w:gridCol w:w="1780"/>
        <w:gridCol w:w="2993"/>
      </w:tblGrid>
      <w:tr w14:paraId="4ED4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19" w:type="dxa"/>
            <w:noWrap w:val="0"/>
            <w:vAlign w:val="center"/>
          </w:tcPr>
          <w:p w14:paraId="2D94BCE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1051" w:type="dxa"/>
            <w:noWrap w:val="0"/>
            <w:vAlign w:val="center"/>
          </w:tcPr>
          <w:p w14:paraId="2305ED8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557" w:type="dxa"/>
            <w:noWrap w:val="0"/>
            <w:vAlign w:val="center"/>
          </w:tcPr>
          <w:p w14:paraId="52A2D1AE">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报价基数（元）</w:t>
            </w:r>
          </w:p>
        </w:tc>
        <w:tc>
          <w:tcPr>
            <w:tcW w:w="1422" w:type="dxa"/>
            <w:noWrap w:val="0"/>
            <w:vAlign w:val="center"/>
          </w:tcPr>
          <w:p w14:paraId="2EDA1167">
            <w:pPr>
              <w:widowControl/>
              <w:jc w:val="both"/>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780" w:type="dxa"/>
            <w:noWrap w:val="0"/>
            <w:vAlign w:val="center"/>
          </w:tcPr>
          <w:p w14:paraId="7F29E10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最高投标限价（元）</w:t>
            </w:r>
          </w:p>
        </w:tc>
        <w:tc>
          <w:tcPr>
            <w:tcW w:w="2993" w:type="dxa"/>
            <w:noWrap w:val="0"/>
            <w:vAlign w:val="center"/>
          </w:tcPr>
          <w:p w14:paraId="07408ACA">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7C2A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19" w:type="dxa"/>
            <w:noWrap w:val="0"/>
            <w:vAlign w:val="center"/>
          </w:tcPr>
          <w:p w14:paraId="6B76A406">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1051" w:type="dxa"/>
            <w:noWrap w:val="0"/>
            <w:vAlign w:val="center"/>
          </w:tcPr>
          <w:p w14:paraId="5F06520E">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勘察</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费</w:t>
            </w:r>
          </w:p>
        </w:tc>
        <w:tc>
          <w:tcPr>
            <w:tcW w:w="1557" w:type="dxa"/>
            <w:noWrap w:val="0"/>
            <w:vAlign w:val="center"/>
          </w:tcPr>
          <w:p w14:paraId="745C4D48">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62258300.00</w:t>
            </w:r>
          </w:p>
        </w:tc>
        <w:tc>
          <w:tcPr>
            <w:tcW w:w="1422" w:type="dxa"/>
            <w:noWrap w:val="0"/>
            <w:vAlign w:val="center"/>
          </w:tcPr>
          <w:p w14:paraId="6D34F166">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Arial" w:hAnsi="Arial" w:cs="Arial" w:eastAsiaTheme="minorEastAsia"/>
                <w:color w:val="000000" w:themeColor="text1"/>
                <w:kern w:val="0"/>
                <w:sz w:val="24"/>
                <w:szCs w:val="24"/>
                <w:highlight w:val="none"/>
                <w:lang w:val="en-US" w:eastAsia="zh-CN"/>
                <w14:textFill>
                  <w14:solidFill>
                    <w14:schemeClr w14:val="tx1"/>
                  </w14:solidFill>
                </w14:textFill>
              </w:rPr>
              <w:t>投标费率</w:t>
            </w:r>
            <w:r>
              <w:rPr>
                <w:rFonts w:hint="default" w:ascii="Arial" w:hAnsi="Arial" w:cs="Arial" w:eastAsiaTheme="minorEastAsia"/>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3.995</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780" w:type="dxa"/>
            <w:noWrap w:val="0"/>
            <w:vAlign w:val="center"/>
          </w:tcPr>
          <w:p w14:paraId="7A72B69A">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2487300.00</w:t>
            </w:r>
          </w:p>
        </w:tc>
        <w:tc>
          <w:tcPr>
            <w:tcW w:w="2993" w:type="dxa"/>
            <w:noWrap w:val="0"/>
            <w:vAlign w:val="center"/>
          </w:tcPr>
          <w:p w14:paraId="3ECE0DB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675A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19" w:type="dxa"/>
            <w:noWrap w:val="0"/>
            <w:vAlign w:val="center"/>
          </w:tcPr>
          <w:p w14:paraId="14F79737">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1051" w:type="dxa"/>
            <w:noWrap w:val="0"/>
            <w:vAlign w:val="center"/>
          </w:tcPr>
          <w:p w14:paraId="231550D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557" w:type="dxa"/>
            <w:noWrap w:val="0"/>
            <w:vAlign w:val="center"/>
          </w:tcPr>
          <w:p w14:paraId="07823EB0">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62258300.00</w:t>
            </w:r>
          </w:p>
        </w:tc>
        <w:tc>
          <w:tcPr>
            <w:tcW w:w="1422" w:type="dxa"/>
            <w:noWrap w:val="0"/>
            <w:vAlign w:val="center"/>
          </w:tcPr>
          <w:p w14:paraId="258BC557">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&gt;0.00%</w:t>
            </w:r>
          </w:p>
        </w:tc>
        <w:tc>
          <w:tcPr>
            <w:tcW w:w="1780" w:type="dxa"/>
            <w:noWrap w:val="0"/>
            <w:vAlign w:val="center"/>
          </w:tcPr>
          <w:p w14:paraId="08E52D6A">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62258300.00</w:t>
            </w:r>
          </w:p>
        </w:tc>
        <w:tc>
          <w:tcPr>
            <w:tcW w:w="2993" w:type="dxa"/>
            <w:noWrap w:val="0"/>
            <w:vAlign w:val="center"/>
          </w:tcPr>
          <w:p w14:paraId="310342DF">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7437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19" w:type="dxa"/>
            <w:noWrap w:val="0"/>
            <w:vAlign w:val="center"/>
          </w:tcPr>
          <w:p w14:paraId="2CB42FE5">
            <w:pPr>
              <w:widowControl/>
              <w:jc w:val="center"/>
              <w:rPr>
                <w:rFonts w:hint="default"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1051" w:type="dxa"/>
            <w:noWrap w:val="0"/>
            <w:vAlign w:val="center"/>
          </w:tcPr>
          <w:p w14:paraId="53270442">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557" w:type="dxa"/>
            <w:noWrap w:val="0"/>
            <w:vAlign w:val="center"/>
          </w:tcPr>
          <w:p w14:paraId="5D4A2FC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422" w:type="dxa"/>
            <w:noWrap w:val="0"/>
            <w:vAlign w:val="center"/>
          </w:tcPr>
          <w:p w14:paraId="7903A0CE">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780" w:type="dxa"/>
            <w:noWrap w:val="0"/>
            <w:vAlign w:val="center"/>
          </w:tcPr>
          <w:p w14:paraId="3ED96BAD">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64745600.00</w:t>
            </w:r>
          </w:p>
        </w:tc>
        <w:tc>
          <w:tcPr>
            <w:tcW w:w="2993" w:type="dxa"/>
            <w:noWrap w:val="0"/>
            <w:vAlign w:val="center"/>
          </w:tcPr>
          <w:p w14:paraId="58E5CECB">
            <w:pPr>
              <w:widowControl/>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653DA61B">
      <w:pPr>
        <w:pStyle w:val="30"/>
        <w:rPr>
          <w:rFonts w:ascii="宋体" w:hAnsi="宋体" w:cs="宋体"/>
          <w:color w:val="000000" w:themeColor="text1"/>
          <w:sz w:val="24"/>
          <w:highlight w:val="none"/>
          <w:lang w:val="zh-CN"/>
          <w14:textFill>
            <w14:solidFill>
              <w14:schemeClr w14:val="tx1"/>
            </w14:solidFill>
          </w14:textFill>
        </w:rPr>
      </w:pPr>
    </w:p>
    <w:p w14:paraId="68640D7E">
      <w:pPr>
        <w:spacing w:line="360" w:lineRule="auto"/>
        <w:ind w:firstLine="48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注：投标报价、</w:t>
      </w:r>
      <w:r>
        <w:rPr>
          <w:rFonts w:hint="eastAsia" w:ascii="宋体" w:hAnsi="宋体" w:eastAsia="宋体" w:cs="宋体"/>
          <w:color w:val="000000" w:themeColor="text1"/>
          <w:szCs w:val="21"/>
          <w:highlight w:val="none"/>
          <w:lang w:eastAsia="zh-CN"/>
          <w14:textFill>
            <w14:solidFill>
              <w14:schemeClr w14:val="tx1"/>
            </w14:solidFill>
          </w14:textFill>
        </w:rPr>
        <w:t>投标下浮</w:t>
      </w:r>
      <w:r>
        <w:rPr>
          <w:rFonts w:hint="eastAsia" w:ascii="宋体" w:hAnsi="宋体" w:eastAsia="宋体" w:cs="宋体"/>
          <w:color w:val="000000" w:themeColor="text1"/>
          <w:szCs w:val="21"/>
          <w:highlight w:val="none"/>
          <w14:textFill>
            <w14:solidFill>
              <w14:schemeClr w14:val="tx1"/>
            </w14:solidFill>
          </w14:textFill>
        </w:rPr>
        <w:t>率均保留至小数点后两位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6B5404F4">
      <w:pPr>
        <w:pStyle w:val="37"/>
        <w:keepNext/>
        <w:keepLines/>
        <w:ind w:firstLine="480"/>
        <w:jc w:val="both"/>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bookmarkStart w:id="152" w:name="_Toc5058"/>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11</w:t>
      </w:r>
      <w:r>
        <w:rPr>
          <w:rFonts w:hint="eastAsia" w:asciiTheme="minorEastAsia" w:hAnsiTheme="minorEastAsia" w:eastAsiaTheme="minorEastAsia" w:cstheme="minorEastAsia"/>
          <w:b/>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投标</w:t>
      </w:r>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文件的编制</w:t>
      </w:r>
      <w:bookmarkStart w:id="153" w:name="_Hlt69332370"/>
      <w:bookmarkEnd w:id="153"/>
      <w:bookmarkStart w:id="154" w:name="_Hlt69208262"/>
      <w:bookmarkEnd w:id="154"/>
      <w:r>
        <w:rPr>
          <w:rFonts w:hint="eastAsia" w:asciiTheme="minorEastAsia" w:hAnsiTheme="minorEastAsia" w:eastAsiaTheme="minorEastAsia" w:cstheme="minorEastAsia"/>
          <w:b/>
          <w:color w:val="000000" w:themeColor="text1"/>
          <w:szCs w:val="22"/>
          <w:highlight w:val="none"/>
          <w14:textFill>
            <w14:solidFill>
              <w14:schemeClr w14:val="tx1"/>
            </w14:solidFill>
          </w14:textFill>
        </w:rPr>
        <w:t>要求</w:t>
      </w:r>
      <w:bookmarkEnd w:id="144"/>
      <w:bookmarkEnd w:id="145"/>
      <w:bookmarkEnd w:id="146"/>
      <w:bookmarkEnd w:id="147"/>
      <w:bookmarkEnd w:id="148"/>
      <w:bookmarkEnd w:id="149"/>
      <w:bookmarkEnd w:id="150"/>
      <w:bookmarkEnd w:id="151"/>
      <w:bookmarkEnd w:id="152"/>
    </w:p>
    <w:p w14:paraId="4733A61A">
      <w:pPr>
        <w:pStyle w:val="45"/>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55" w:name="_Hlt74497202"/>
      <w:bookmarkEnd w:id="155"/>
      <w:bookmarkStart w:id="156" w:name="_Hlt74495594"/>
      <w:bookmarkEnd w:id="156"/>
      <w:bookmarkStart w:id="157" w:name="_Hlt78768224"/>
      <w:bookmarkEnd w:id="157"/>
      <w:bookmarkStart w:id="158" w:name="_Toc437"/>
      <w:bookmarkStart w:id="159" w:name="_Toc2841"/>
      <w:bookmarkStart w:id="160" w:name="_Toc31856"/>
      <w:bookmarkStart w:id="161" w:name="_Toc29847"/>
      <w:bookmarkStart w:id="162" w:name="_Toc20091"/>
      <w:bookmarkStart w:id="163" w:name="_Toc13462"/>
      <w:bookmarkStart w:id="164" w:name="_Toc12692"/>
      <w:bookmarkStart w:id="165" w:name="_Toc6695"/>
      <w:bookmarkStart w:id="166" w:name="_Toc17330"/>
      <w:bookmarkStart w:id="167" w:name="_Toc25295"/>
      <w:bookmarkStart w:id="168" w:name="_Toc32061"/>
      <w:bookmarkStart w:id="169" w:name="_Toc12050"/>
      <w:bookmarkStart w:id="170" w:name="_Toc9696"/>
      <w:bookmarkStart w:id="171" w:name="_Toc20541"/>
      <w:bookmarkStart w:id="172" w:name="_Toc581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11.1 一般要求</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7F7FE17B">
      <w:pPr>
        <w:pStyle w:val="43"/>
        <w:ind w:firstLineChars="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投标文件应按第七章 投标文件格式规定的内容，投标人提交的投标文件应当使用招标文件所提供的投标文件全部格式。</w:t>
      </w:r>
    </w:p>
    <w:p w14:paraId="5C5A60B4">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11.1.1</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投标人必须响应招标文件，并在充分理解招标人提供的全部文件、设计图纸、资料及现场条件的基础上编制投标文件。因投标文件不符合招标文件的要求而造成的损失和后果，由投标人自行承担。</w:t>
      </w:r>
    </w:p>
    <w:p w14:paraId="1C313306">
      <w:pPr>
        <w:pStyle w:val="35"/>
        <w:ind w:firstLine="56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投标文件包含投标标书分为一册。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投标文件在电子投标时全部采用电子文档（中标人自中标通知书发出之日起五个工作日内再提供正本1份、副本壹份的纸质版投标文件给招标人存档），投标文件所附证书证件均为原件彩色扫描件，并采用单位数字证书按招标文件要求在相应位置加盖电子印章。投标文件中需个人签字或盖章的，应加盖个人电子印章或在线下完成后扫描上传。按照交易平台关于全流程电子化项目的相关指南进行操作。详见：全国公共资源交易平台 （广东省 · 韶关市）（https://ygp.gdzwfw.gov.cn/ggzy-portal/#/440200/index）交易指引。</w:t>
      </w:r>
      <w:r>
        <w:rPr>
          <w:rFonts w:hint="eastAsia" w:asciiTheme="minorEastAsia" w:hAnsiTheme="minorEastAsia" w:eastAsiaTheme="minorEastAsia" w:cstheme="minorEastAsia"/>
          <w:color w:val="000000" w:themeColor="text1"/>
          <w:highlight w:val="none"/>
          <w14:textFill>
            <w14:solidFill>
              <w14:schemeClr w14:val="tx1"/>
            </w14:solidFill>
          </w14:textFill>
        </w:rPr>
        <w:t>（注：组成联合体时，只须加盖联合体牵头人的公章，联合体其它成员可不盖章）。</w:t>
      </w:r>
    </w:p>
    <w:p w14:paraId="6567A5AF">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 投标文件需按以下要求签字、盖章：</w:t>
      </w:r>
    </w:p>
    <w:p w14:paraId="0B6E3BC9">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电子投标文件：</w:t>
      </w:r>
    </w:p>
    <w:p w14:paraId="2C642CB7">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11.1.3.1 投标文件封面、组成内容中凡注明“签字”处由要求的人员签字或电子签章；凡注明“签字或盖章”处由要求的人员签字或盖其私章（电子印章）；凡注明“签字并盖执业印章”处由要求的人员签字并盖其执业印章。</w:t>
      </w:r>
    </w:p>
    <w:p w14:paraId="3A299D90">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11.1.3.2 投标文件封套、封面、组成内容中凡要求录入投标人名称且注明“盖单位章”处盖单位法人公章（电子印章）</w:t>
      </w:r>
    </w:p>
    <w:p w14:paraId="154E8AFF">
      <w:pPr>
        <w:pStyle w:val="35"/>
        <w:ind w:firstLine="56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11.1.3.3 投标文件的签字均为签字人本人亲笔署名或签章（电子印章），其余部分的彩色扫描件无须另行签字、盖章。</w:t>
      </w:r>
    </w:p>
    <w:p w14:paraId="194AEBA4">
      <w:pPr>
        <w:pStyle w:val="35"/>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11.1.3.4 联合体投标的，除《联合体协议书》外，由联合体牵头人按以上要求签字（电子印章）、盖章（电子印章）即可。</w:t>
      </w:r>
      <w:bookmarkStart w:id="173" w:name="_Toc257031159"/>
      <w:bookmarkStart w:id="174" w:name="_Toc274313880"/>
    </w:p>
    <w:p w14:paraId="11FE250F">
      <w:pPr>
        <w:pStyle w:val="45"/>
        <w:spacing w:line="360" w:lineRule="auto"/>
        <w:ind w:firstLine="482" w:firstLineChars="200"/>
        <w:jc w:val="both"/>
        <w:outlineLvl w:val="9"/>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pPr>
      <w:bookmarkStart w:id="175" w:name="_Toc18076"/>
      <w:bookmarkStart w:id="176" w:name="_Toc27670"/>
      <w:bookmarkStart w:id="177" w:name="_Toc26859"/>
      <w:bookmarkStart w:id="178" w:name="_Toc27606"/>
      <w:bookmarkStart w:id="179" w:name="_Toc38"/>
      <w:bookmarkStart w:id="180" w:name="_Toc16107"/>
      <w:bookmarkStart w:id="181" w:name="_Toc6622"/>
      <w:bookmarkStart w:id="182" w:name="_Toc8355"/>
      <w:bookmarkStart w:id="183" w:name="_Toc26289"/>
      <w:bookmarkStart w:id="184" w:name="_Toc4699"/>
      <w:bookmarkStart w:id="185" w:name="_Toc17777"/>
      <w:bookmarkStart w:id="186" w:name="_Toc23484"/>
      <w:bookmarkStart w:id="187" w:name="_Toc18670"/>
      <w:bookmarkStart w:id="188" w:name="_Toc17946"/>
      <w:bookmarkStart w:id="189" w:name="_Toc29894"/>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 xml:space="preserve">11.2 </w:t>
      </w:r>
      <w:bookmarkEnd w:id="173"/>
      <w:bookmarkEnd w:id="174"/>
      <w:bookmarkEnd w:id="175"/>
      <w:bookmarkEnd w:id="176"/>
      <w:bookmarkEnd w:id="177"/>
      <w:bookmarkEnd w:id="178"/>
      <w:bookmarkEnd w:id="179"/>
      <w:bookmarkEnd w:id="180"/>
      <w:bookmarkEnd w:id="181"/>
      <w:bookmarkEnd w:id="182"/>
      <w:r>
        <w:rPr>
          <w:rFonts w:hint="eastAsia" w:asciiTheme="minorEastAsia" w:hAnsiTheme="minorEastAsia" w:eastAsiaTheme="minorEastAsia" w:cstheme="minorEastAsia"/>
          <w:b/>
          <w:bCs/>
          <w:snapToGrid w:val="0"/>
          <w:color w:val="000000" w:themeColor="text1"/>
          <w:kern w:val="0"/>
          <w:sz w:val="24"/>
          <w:highlight w:val="none"/>
          <w:lang w:val="en-US" w:eastAsia="zh-CN" w:bidi="ar-SA"/>
          <w14:textFill>
            <w14:solidFill>
              <w14:schemeClr w14:val="tx1"/>
            </w14:solidFill>
          </w14:textFill>
        </w:rPr>
        <w:t>投标标书的编制要求</w:t>
      </w:r>
      <w:bookmarkEnd w:id="183"/>
      <w:bookmarkEnd w:id="184"/>
      <w:bookmarkEnd w:id="185"/>
      <w:bookmarkEnd w:id="186"/>
      <w:bookmarkEnd w:id="187"/>
      <w:bookmarkEnd w:id="188"/>
      <w:bookmarkEnd w:id="189"/>
    </w:p>
    <w:p w14:paraId="5516FD77">
      <w:pPr>
        <w:pStyle w:val="35"/>
        <w:ind w:firstLine="561"/>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11.2.1 投标标书包括但不限于以下内容：</w:t>
      </w:r>
    </w:p>
    <w:p w14:paraId="16F4BF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（1）封面（格式一）；</w:t>
      </w:r>
    </w:p>
    <w:p w14:paraId="3D59625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（2）目录； </w:t>
      </w:r>
    </w:p>
    <w:p w14:paraId="72457639">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（3）《投标函》及《工程项目总价表》（格式二）；</w:t>
      </w:r>
    </w:p>
    <w:p w14:paraId="42DD483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（4）《各项承诺一览表》（格式三）；</w:t>
      </w:r>
    </w:p>
    <w:p w14:paraId="30E6580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（5）《授权委托书》（格式四）；</w:t>
      </w:r>
    </w:p>
    <w:p w14:paraId="051A315E">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（6）《法定代表人身份证明》（格式五）；</w:t>
      </w:r>
    </w:p>
    <w:p w14:paraId="0581DFB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（7）《联合体协议书》（格式六）及所附资料；</w:t>
      </w:r>
    </w:p>
    <w:p w14:paraId="11BECBF3">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（8）投标保证缴纳证明（</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投标人采用投标保证金的，附建设工程交易系统《缴纳投标保证金通知书》页面截图和银行转账单</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件；采用投标保证担保的，附银行保函</w:t>
      </w:r>
      <w:r>
        <w:rPr>
          <w:rFonts w:hint="eastAsia" w:asciiTheme="minorEastAsia" w:hAnsiTheme="minorEastAsia" w:eastAsiaTheme="minorEastAsia" w:cstheme="minorEastAsia"/>
          <w:snapToGrid w:val="0"/>
          <w:color w:val="000000" w:themeColor="text1"/>
          <w:kern w:val="0"/>
          <w:szCs w:val="18"/>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snapToGrid w:val="0"/>
          <w:color w:val="000000" w:themeColor="text1"/>
          <w:kern w:val="0"/>
          <w:szCs w:val="18"/>
          <w:highlight w:val="none"/>
          <w14:textFill>
            <w14:solidFill>
              <w14:schemeClr w14:val="tx1"/>
            </w14:solidFill>
          </w14:textFill>
        </w:rPr>
        <w:t>；采用投标保证保险的，附电子保单和</w:t>
      </w:r>
      <w:r>
        <w:rPr>
          <w:rFonts w:hint="eastAsia" w:asciiTheme="minorEastAsia" w:hAnsiTheme="minorEastAsia" w:eastAsiaTheme="minorEastAsia" w:cstheme="minorEastAsia"/>
          <w:b w:val="0"/>
          <w:bCs w:val="0"/>
          <w:color w:val="000000" w:themeColor="text1"/>
          <w:szCs w:val="24"/>
          <w:highlight w:val="none"/>
          <w14:textFill>
            <w14:solidFill>
              <w14:schemeClr w14:val="tx1"/>
            </w14:solidFill>
          </w14:textFill>
        </w:rPr>
        <w:t>《韶关市公共资源交易一体化平台保证金缴纳信息》</w:t>
      </w:r>
      <w:r>
        <w:rPr>
          <w:rFonts w:hint="eastAsia" w:asciiTheme="minorEastAsia" w:hAnsiTheme="minorEastAsia" w:eastAsiaTheme="minorEastAsia" w:cstheme="minorEastAsia"/>
          <w:b w:val="0"/>
          <w:bCs w:val="0"/>
          <w:snapToGrid w:val="0"/>
          <w:color w:val="000000" w:themeColor="text1"/>
          <w:kern w:val="0"/>
          <w:szCs w:val="18"/>
          <w:highlight w:val="none"/>
          <w14:textFill>
            <w14:solidFill>
              <w14:schemeClr w14:val="tx1"/>
            </w14:solidFill>
          </w14:textFill>
        </w:rPr>
        <w:t>页面截图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209ACE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（9）《投标人基本情况表》（格式七）及所附资料；</w:t>
      </w:r>
    </w:p>
    <w:p w14:paraId="46EE9D72">
      <w:pPr>
        <w:wordWrap w:val="0"/>
        <w:adjustRightInd w:val="0"/>
        <w:snapToGrid w:val="0"/>
        <w:spacing w:line="360" w:lineRule="auto"/>
        <w:ind w:firstLine="480" w:firstLineChars="200"/>
        <w:rPr>
          <w:rFonts w:hint="eastAsia" w:asciiTheme="minorEastAsia" w:hAnsiTheme="minorEastAsia" w:eastAsiaTheme="minorEastAsia" w:cstheme="minorEastAsia"/>
          <w:strike/>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（10）《项目经理简历表》（格式八）及所附资料；</w:t>
      </w:r>
    </w:p>
    <w:p w14:paraId="5BA3EC6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（11）《项目经理任职声明》（格式九）；</w:t>
      </w:r>
    </w:p>
    <w:p w14:paraId="6BAD79D1">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（12）《项目技术负责人简历表》（格式十）及所附资料；</w:t>
      </w:r>
    </w:p>
    <w:p w14:paraId="798E521F">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（13）《项目设计负责人简历表》（格式十一）及所附资料；</w:t>
      </w:r>
    </w:p>
    <w:p w14:paraId="13704F88">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）《项目管理机构组成表》（格式十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 xml:space="preserve">二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）及所附资料；</w:t>
      </w:r>
    </w:p>
    <w:p w14:paraId="14453957">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）本章第14.2目“评标方法”要求提供的评审资料（如有）；</w:t>
      </w:r>
    </w:p>
    <w:p w14:paraId="0FE86B70">
      <w:pPr>
        <w:pStyle w:val="35"/>
        <w:ind w:firstLine="480" w:firstLineChars="200"/>
        <w:rPr>
          <w:rFonts w:hint="eastAsia" w:asciiTheme="minorEastAsia" w:hAnsiTheme="minorEastAsia" w:eastAsiaTheme="minorEastAsia" w:cstheme="minorEastAsia"/>
          <w:color w:val="000000" w:themeColor="text1"/>
          <w:szCs w:val="18"/>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认为有必要补充的其他资料。（例如投标人已经工商变更，但其企业资质证书、安全生产许可证或其员工执业资格注册证书上的企业名称未能在投标期间完成变更的书面说明和佐证材料；外省企业所在省、地级市</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门或其授权的组织（机构）关于企业资质、人员资格有效期自动顺延或延期办理的相关文件等；关于投标总价下浮率超过15%的书面说明和佐证材料）。</w:t>
      </w:r>
    </w:p>
    <w:p w14:paraId="2091977C">
      <w:pPr>
        <w:wordWrap w:val="0"/>
        <w:adjustRightInd w:val="0"/>
        <w:snapToGrid w:val="0"/>
        <w:spacing w:line="360" w:lineRule="auto"/>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 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目中所列出的投标标书组成内容中，第（1）至第（15）项所有投标人均应提供，</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但非联合体投标的，无需提供第（7）项内容。</w:t>
      </w:r>
    </w:p>
    <w:p w14:paraId="7154588F">
      <w:pPr>
        <w:wordWrap w:val="0"/>
        <w:adjustRightInd w:val="0"/>
        <w:snapToGrid w:val="0"/>
        <w:spacing w:line="360" w:lineRule="auto"/>
        <w:ind w:firstLine="480"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11.2.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投标标书的组成内容按本章第</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11.2.1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目规定的顺序整理、编排后，逐页连续标记页码。</w:t>
      </w:r>
    </w:p>
    <w:p w14:paraId="587FF5A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特别说明：</w:t>
      </w:r>
    </w:p>
    <w:p w14:paraId="61BE12F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1、本次招标投标时不要求编制施工组织设计。中标人中标后先按有关规定及要求提供设计成果文件，中标人设计成果确认经有关部门的审查及经有资质的审图机构审查合格通过，中标人还应编制施工组织设计及专项施工方案报监理及招标人审批，然后依据审图合格后的设计施工图编写施工组织设计，报有关部门审查批准后方可实施；中标人须向招标人提供经批准的施工组织设计一式五份。</w:t>
      </w:r>
    </w:p>
    <w:p w14:paraId="69A0DA65">
      <w:pPr>
        <w:pStyle w:val="48"/>
        <w:ind w:firstLine="482" w:firstLineChars="200"/>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highlight w:val="none"/>
          <w:u w:val="single"/>
          <w14:textFill>
            <w14:solidFill>
              <w14:schemeClr w14:val="tx1"/>
            </w14:solidFill>
          </w14:textFill>
        </w:rPr>
        <w:t xml:space="preserve">2、本次招标投标时不要求按编制工程量清单计价模式进行投标报价。投标人若中标后依据经审图合格后的设计施工图编制施工图预算，该施工图预算必须达到办理合同备案及开工手续的要求；中标人须向招标人提供一式伍份完整的预算资料（含工程量计算表、施工图预算书及电子版）。 </w:t>
      </w:r>
      <w:bookmarkStart w:id="190" w:name="_Toc11313"/>
      <w:bookmarkStart w:id="191" w:name="_Toc14130"/>
      <w:bookmarkStart w:id="192" w:name="_Toc27175"/>
      <w:bookmarkStart w:id="193" w:name="_Toc11926"/>
      <w:bookmarkStart w:id="194" w:name="_Toc17459"/>
      <w:bookmarkStart w:id="195" w:name="_Toc17812"/>
      <w:bookmarkStart w:id="196" w:name="_Toc1583"/>
      <w:bookmarkStart w:id="197" w:name="_Toc13003"/>
    </w:p>
    <w:p w14:paraId="078C7FCC">
      <w:pPr>
        <w:pStyle w:val="48"/>
        <w:ind w:firstLine="482" w:firstLineChars="200"/>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11.3</w:t>
      </w:r>
      <w:bookmarkEnd w:id="190"/>
      <w:bookmarkEnd w:id="191"/>
      <w:bookmarkEnd w:id="192"/>
      <w:bookmarkEnd w:id="193"/>
      <w:bookmarkEnd w:id="194"/>
      <w:bookmarkEnd w:id="195"/>
      <w:bookmarkEnd w:id="196"/>
      <w:bookmarkEnd w:id="197"/>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t>电子投标</w:t>
      </w:r>
      <w:bookmarkStart w:id="198" w:name="_Hlt66511038"/>
      <w:bookmarkEnd w:id="198"/>
      <w:bookmarkStart w:id="199" w:name="_Hlt66200498"/>
      <w:bookmarkEnd w:id="199"/>
      <w:bookmarkStart w:id="200" w:name="_Hlt88627590"/>
      <w:bookmarkEnd w:id="200"/>
      <w:bookmarkStart w:id="201" w:name="_Toc27961"/>
    </w:p>
    <w:p w14:paraId="57F688F3">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11.3.1、在交易平台上传加盖了电子印章的投标文件、录入相关信息及标书页码信息，并提交投标标书（页码起始从封面开始）。提交标书为已加密投标文件。具体操作参照《韶关市公共资源建设工程交易系统-投标人操作指南（电子评标）》。</w:t>
      </w:r>
    </w:p>
    <w:p w14:paraId="77A4A8F3">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本项目评标采用全流程电子化进行招标投标（投标人应在交易平台进行编辑投标相关内容、按招标文件电子投标要求上传已加盖电子印章的投标文件，否则将自行承担不利后果）。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5E5D50F7">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投标文件完成上传后，投标人应使用 CA 数字证书对投标文件进行文件加密，形成加密的投标文件并提交标书。</w:t>
      </w:r>
    </w:p>
    <w:p w14:paraId="230FCD87">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11.3.2电子投标文件的修改、撤回：在提交投标文件截止时间前，投标人可以修改或撤回未解密的电子投标文件，并于提交投标文件截止时间前将重新上传修改后的电子投标文件至交易平台，到达投标文件提交截止时间后投标人不得撤回、补充、修改和更换投标文件。</w:t>
      </w:r>
    </w:p>
    <w:p w14:paraId="0CE1FF3D">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11.3.3电子投标及投标解密失败及突发情况的补救方案</w:t>
      </w:r>
    </w:p>
    <w:p w14:paraId="585877D1">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11.3.3.1按照交易平台关于全流程电子化项目的相关指南进行操作。详见：全国公共资源交易平台（广东省·韶关市）发布的最新版操作指南。</w:t>
      </w:r>
    </w:p>
    <w:p w14:paraId="42F09261">
      <w:pPr>
        <w:pStyle w:val="48"/>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11.3.3.2补救方案</w:t>
      </w:r>
    </w:p>
    <w:p w14:paraId="2E9342F6">
      <w:pPr>
        <w:pStyle w:val="48"/>
        <w:numPr>
          <w:ilvl w:val="0"/>
          <w:numId w:val="2"/>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投标文件解密失败的补救方案：</w:t>
      </w:r>
      <w:bookmarkStart w:id="202" w:name="_Toc28927"/>
    </w:p>
    <w:p w14:paraId="5CD5D936">
      <w:pPr>
        <w:pStyle w:val="48"/>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规定时间内，因投标人之外原因(指网络瘫痪、服务器损坏、交易系统故障短期无法恢复)等导致的电子投标文件解密失败，在开标现场解密环节由代理授权后，解密失败投标人可在建设工程交易系统在规定时间（代理机构授权后30分钟内）内重新提交投标文件继续开标程序。电子投标文件解密失败且未在规定的时限内按要求成功上传未加密的备用投标文件的，视为无效投标。</w:t>
      </w:r>
      <w:bookmarkEnd w:id="202"/>
      <w:bookmarkStart w:id="203" w:name="_Toc9612"/>
    </w:p>
    <w:p w14:paraId="4A9AE2A5">
      <w:pPr>
        <w:pStyle w:val="48"/>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评标时突发情况的补救方案</w:t>
      </w:r>
      <w:bookmarkEnd w:id="203"/>
      <w:bookmarkStart w:id="204" w:name="_Toc6314"/>
      <w:r>
        <w:rPr>
          <w:rFonts w:hint="eastAsia" w:asciiTheme="minorEastAsia" w:hAnsiTheme="minorEastAsia" w:eastAsiaTheme="minorEastAsia" w:cstheme="minorEastAsia"/>
          <w:bCs/>
          <w:color w:val="000000" w:themeColor="text1"/>
          <w:kern w:val="2"/>
          <w:highlight w:val="none"/>
          <w:lang w:eastAsia="zh-CN"/>
          <w14:textFill>
            <w14:solidFill>
              <w14:schemeClr w14:val="tx1"/>
            </w14:solidFill>
          </w14:textFill>
        </w:rPr>
        <w:t>：</w:t>
      </w:r>
    </w:p>
    <w:p w14:paraId="370AF792">
      <w:pPr>
        <w:pStyle w:val="48"/>
        <w:numPr>
          <w:ilvl w:val="0"/>
          <w:numId w:val="0"/>
        </w:numPr>
        <w:ind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bookmarkEnd w:id="204"/>
      <w:bookmarkStart w:id="205" w:name="_Toc10157"/>
    </w:p>
    <w:p w14:paraId="1A3A30C4">
      <w:pPr>
        <w:pStyle w:val="48"/>
        <w:numPr>
          <w:ilvl w:val="0"/>
          <w:numId w:val="2"/>
        </w:numPr>
        <w:ind w:left="0" w:leftChars="0" w:firstLine="480" w:firstLine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除发生上述情况外，开标评标均以投标人通过交易平台网上递交的电子投标文件为准。</w:t>
      </w:r>
      <w:bookmarkEnd w:id="205"/>
      <w:bookmarkStart w:id="206" w:name="_Toc12675"/>
    </w:p>
    <w:p w14:paraId="1B7B6ECD">
      <w:pPr>
        <w:pStyle w:val="48"/>
        <w:numPr>
          <w:ilvl w:val="0"/>
          <w:numId w:val="0"/>
        </w:numPr>
        <w:ind w:leftChars="200"/>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11.4 投标文件的提交、修改和撤回</w:t>
      </w:r>
      <w:bookmarkEnd w:id="201"/>
      <w:bookmarkEnd w:id="206"/>
      <w:bookmarkStart w:id="207" w:name="_Hlt74494779"/>
      <w:bookmarkEnd w:id="207"/>
      <w:bookmarkStart w:id="208" w:name="_Hlt69699424"/>
      <w:bookmarkEnd w:id="208"/>
      <w:bookmarkStart w:id="209" w:name="_Hlt66608380"/>
      <w:bookmarkEnd w:id="209"/>
      <w:bookmarkStart w:id="210" w:name="_Hlt92512875"/>
      <w:bookmarkEnd w:id="210"/>
      <w:bookmarkStart w:id="211" w:name="_Hlt75685366"/>
      <w:bookmarkEnd w:id="211"/>
      <w:bookmarkStart w:id="212" w:name="_Toc24469"/>
      <w:bookmarkStart w:id="213" w:name="_Toc106418820"/>
      <w:bookmarkStart w:id="214" w:name="_Toc3050"/>
      <w:bookmarkStart w:id="215" w:name="_Toc28454"/>
      <w:bookmarkStart w:id="216" w:name="_Toc24322"/>
      <w:bookmarkStart w:id="217" w:name="_Toc22741"/>
      <w:bookmarkStart w:id="218" w:name="_Toc7631"/>
      <w:bookmarkStart w:id="219" w:name="_Toc4483"/>
      <w:bookmarkStart w:id="220" w:name="_Toc9838"/>
      <w:bookmarkStart w:id="221" w:name="_Toc30635"/>
      <w:bookmarkStart w:id="222" w:name="_Toc104711075"/>
    </w:p>
    <w:p w14:paraId="012D5A77">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11.4.1在投标文件提交截止时间前，投标人通过交易平台提交已加密投标文件。逾期提交的电子投标文件，交易平台将予以拒收。</w:t>
      </w:r>
      <w:bookmarkEnd w:id="212"/>
      <w:bookmarkStart w:id="223" w:name="_Toc25103"/>
    </w:p>
    <w:p w14:paraId="19A13F2B">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11.4.2提交时间：见本章第二节“重要事项时间地点一览表”。</w:t>
      </w:r>
      <w:bookmarkEnd w:id="223"/>
      <w:bookmarkStart w:id="224" w:name="_Toc9791"/>
    </w:p>
    <w:p w14:paraId="5D5E2591">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11.4.3投标人无须进行现场签到，如有招标文件要求提交的用于评审的证书、证件、证明原件等投标相关资料，投标人可在规定的地点、时间内递交至开标现场（附一式两份清单），无原件的不作要求。</w:t>
      </w:r>
      <w:bookmarkEnd w:id="224"/>
      <w:bookmarkStart w:id="225" w:name="_Toc25029"/>
    </w:p>
    <w:p w14:paraId="66D42C80">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11.4.4 递交时间和地点：见本章第二节“重要事项时间地点一览表”。</w:t>
      </w:r>
      <w:bookmarkEnd w:id="225"/>
      <w:bookmarkStart w:id="226" w:name="_Toc5665"/>
    </w:p>
    <w:p w14:paraId="0B2460FC">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11.4.5 投标人代表到达现场后，应出示以下身份证明材料：</w:t>
      </w:r>
      <w:bookmarkEnd w:id="226"/>
      <w:bookmarkStart w:id="227" w:name="_Toc1714"/>
    </w:p>
    <w:p w14:paraId="1D0EAFB6">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（1）本人有效的第二代居民身份证；</w:t>
      </w:r>
      <w:bookmarkEnd w:id="227"/>
      <w:bookmarkStart w:id="228" w:name="_Toc1212"/>
      <w:bookmarkStart w:id="229" w:name="_Toc22519"/>
      <w:bookmarkStart w:id="230" w:name="_Toc30210"/>
    </w:p>
    <w:p w14:paraId="7D6D8C0E">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（2）法定代表人到场的，出示《法定代表人身份证明》（格式五）；委托代理人到场的，应同时出示《授权委托书》（格式四）和《法定代表人身份证明》。</w:t>
      </w:r>
      <w:bookmarkEnd w:id="228"/>
      <w:bookmarkEnd w:id="229"/>
      <w:bookmarkEnd w:id="230"/>
      <w:bookmarkStart w:id="231" w:name="_Toc8927"/>
      <w:bookmarkStart w:id="232" w:name="_Toc3014"/>
      <w:bookmarkStart w:id="233" w:name="_Toc29016"/>
    </w:p>
    <w:p w14:paraId="31CA0B38">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11.4.6联合体投标的，由联合体牵头人按以上要求递交投标相关资料。</w:t>
      </w:r>
      <w:bookmarkEnd w:id="231"/>
      <w:bookmarkEnd w:id="232"/>
      <w:bookmarkEnd w:id="233"/>
      <w:bookmarkStart w:id="234" w:name="_Toc13703"/>
      <w:bookmarkStart w:id="235" w:name="_Toc16539"/>
      <w:bookmarkStart w:id="236" w:name="_Toc13697"/>
    </w:p>
    <w:p w14:paraId="3B5C6ACD">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11.4.7招标人或其授权的招标代理机构核对、接收投标人递交的投标相关资料后，应并妥善保管。</w:t>
      </w:r>
      <w:bookmarkEnd w:id="234"/>
      <w:bookmarkEnd w:id="235"/>
      <w:bookmarkEnd w:id="236"/>
      <w:bookmarkStart w:id="237" w:name="_Toc5287"/>
      <w:bookmarkStart w:id="238" w:name="_Toc20579"/>
      <w:bookmarkStart w:id="239" w:name="_Toc6708"/>
    </w:p>
    <w:p w14:paraId="2B4D9868">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11.4.8 投标人发生以下情形的，其投标相关资料招标人不予接收：</w:t>
      </w:r>
      <w:bookmarkEnd w:id="237"/>
      <w:bookmarkEnd w:id="238"/>
      <w:bookmarkEnd w:id="239"/>
      <w:bookmarkStart w:id="240" w:name="_Toc18916"/>
      <w:bookmarkStart w:id="241" w:name="_Toc32603"/>
      <w:bookmarkStart w:id="242" w:name="_Toc31045"/>
    </w:p>
    <w:p w14:paraId="67FFA51A">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（1）未在指定的时间和地点递交的；</w:t>
      </w:r>
      <w:bookmarkEnd w:id="240"/>
      <w:bookmarkEnd w:id="241"/>
      <w:bookmarkEnd w:id="242"/>
      <w:bookmarkStart w:id="243" w:name="_Toc17194"/>
      <w:bookmarkStart w:id="244" w:name="_Toc15823"/>
      <w:bookmarkStart w:id="245" w:name="_Toc15124"/>
    </w:p>
    <w:p w14:paraId="4CB70762">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（2）到场人员未出示身份证明材料的。</w:t>
      </w:r>
      <w:bookmarkEnd w:id="243"/>
      <w:bookmarkEnd w:id="244"/>
      <w:bookmarkEnd w:id="245"/>
      <w:bookmarkStart w:id="246" w:name="_Toc2022"/>
      <w:bookmarkStart w:id="247" w:name="_Toc17679"/>
      <w:bookmarkStart w:id="248" w:name="_Toc23037"/>
    </w:p>
    <w:p w14:paraId="6966CCDE">
      <w:pPr>
        <w:pStyle w:val="48"/>
        <w:numPr>
          <w:ilvl w:val="0"/>
          <w:numId w:val="0"/>
        </w:numPr>
        <w:ind w:leftChars="200"/>
        <w:rPr>
          <w:rFonts w:hint="eastAsia" w:asciiTheme="minorEastAsia" w:hAnsiTheme="minorEastAsia" w:eastAsiaTheme="minorEastAsia" w:cstheme="minorEastAsia"/>
          <w:bCs/>
          <w:color w:val="000000" w:themeColor="text1"/>
          <w:kern w:val="2"/>
          <w:highlight w:val="none"/>
          <w14:textFill>
            <w14:solidFill>
              <w14:schemeClr w14:val="tx1"/>
            </w14:solidFill>
          </w14:textFill>
        </w:rPr>
      </w:pPr>
      <w:r>
        <w:rPr>
          <w:rFonts w:hint="eastAsia" w:asciiTheme="minorEastAsia" w:hAnsiTheme="minorEastAsia" w:eastAsiaTheme="minorEastAsia" w:cstheme="minorEastAsia"/>
          <w:bCs/>
          <w:color w:val="000000" w:themeColor="text1"/>
          <w:kern w:val="2"/>
          <w:highlight w:val="none"/>
          <w14:textFill>
            <w14:solidFill>
              <w14:schemeClr w14:val="tx1"/>
            </w14:solidFill>
          </w14:textFill>
        </w:rPr>
        <w:t>11.4.9出现下述情形之一，属于未成功提交投标文件，按无效投标处理：</w:t>
      </w:r>
      <w:bookmarkEnd w:id="246"/>
      <w:bookmarkEnd w:id="247"/>
      <w:bookmarkEnd w:id="248"/>
      <w:bookmarkStart w:id="249" w:name="_Toc22805"/>
      <w:bookmarkStart w:id="250" w:name="_Toc30279"/>
      <w:bookmarkStart w:id="251" w:name="_Toc27579"/>
    </w:p>
    <w:p w14:paraId="3AA61B1E">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（1）至提交投标文件截止时，投标文件未完整上传或未提交投标；</w:t>
      </w:r>
      <w:bookmarkEnd w:id="249"/>
      <w:bookmarkEnd w:id="250"/>
      <w:bookmarkEnd w:id="251"/>
      <w:bookmarkStart w:id="252" w:name="_Toc1293"/>
      <w:bookmarkStart w:id="253" w:name="_Toc17052"/>
      <w:bookmarkStart w:id="254" w:name="_Toc26257"/>
    </w:p>
    <w:p w14:paraId="453F948A">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（2）投标文件未按投标格式中注明需签字盖章的要求进行签名（含电子签名）和加盖电子印章，或签名（含电子签名）或电子印章不完整的；</w:t>
      </w:r>
      <w:bookmarkEnd w:id="252"/>
      <w:bookmarkEnd w:id="253"/>
      <w:bookmarkEnd w:id="254"/>
    </w:p>
    <w:p w14:paraId="3B470C9B">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5" w:name="_Toc7367"/>
      <w:bookmarkStart w:id="256" w:name="_Toc444"/>
      <w:bookmarkStart w:id="257" w:name="_Toc23907"/>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（3）解密失败且在规定时间内未重新提交投标文件的；</w:t>
      </w:r>
      <w:bookmarkEnd w:id="255"/>
      <w:bookmarkEnd w:id="256"/>
      <w:bookmarkEnd w:id="257"/>
    </w:p>
    <w:p w14:paraId="1B20CC6E">
      <w:pPr>
        <w:pStyle w:val="35"/>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58" w:name="_Toc21719"/>
      <w:bookmarkStart w:id="259" w:name="_Toc13"/>
      <w:bookmarkStart w:id="260" w:name="_Toc26444"/>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（4）投标文件损坏或格式不正确的。</w:t>
      </w:r>
      <w:bookmarkEnd w:id="258"/>
      <w:bookmarkEnd w:id="259"/>
      <w:bookmarkEnd w:id="260"/>
    </w:p>
    <w:p w14:paraId="67B53C5C">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1" w:name="_Toc25938"/>
      <w:bookmarkStart w:id="262" w:name="_Toc23010"/>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12、 投标有效期及对投标人的其他要求</w:t>
      </w:r>
      <w:bookmarkEnd w:id="213"/>
      <w:bookmarkEnd w:id="214"/>
      <w:bookmarkEnd w:id="215"/>
      <w:bookmarkEnd w:id="216"/>
      <w:bookmarkEnd w:id="217"/>
      <w:bookmarkEnd w:id="218"/>
      <w:bookmarkEnd w:id="219"/>
      <w:bookmarkEnd w:id="220"/>
      <w:bookmarkEnd w:id="221"/>
      <w:bookmarkEnd w:id="222"/>
      <w:bookmarkEnd w:id="261"/>
      <w:bookmarkEnd w:id="262"/>
    </w:p>
    <w:p w14:paraId="22E1045D">
      <w:pPr>
        <w:pStyle w:val="35"/>
        <w:ind w:firstLine="480" w:firstLineChars="200"/>
        <w:rPr>
          <w:rFonts w:hint="eastAsia" w:asciiTheme="minorEastAsia" w:hAnsiTheme="minorEastAsia" w:eastAsiaTheme="minorEastAsia" w:cstheme="minorEastAsia"/>
          <w:color w:val="000000" w:themeColor="text1"/>
          <w:kern w:val="0"/>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本次招标投标有效期为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lang w:val="en-US" w:eastAsia="zh-CN"/>
          <w14:textFill>
            <w14:solidFill>
              <w14:schemeClr w14:val="tx1"/>
            </w14:solidFill>
          </w14:textFill>
        </w:rPr>
        <w:t>120</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个日历天，投标有效期从提交投标文件的截止之日起计算。在此期间，投标人不得撤销或修改其投标文件，否则其投标保证不予退还。</w:t>
      </w:r>
    </w:p>
    <w:bookmarkEnd w:id="142"/>
    <w:p w14:paraId="74CE96D9">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3" w:name="_Hlt111081624"/>
      <w:bookmarkEnd w:id="263"/>
      <w:bookmarkStart w:id="264" w:name="_Toc492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13</w:t>
      </w:r>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开标</w:t>
      </w:r>
      <w:bookmarkEnd w:id="264"/>
    </w:p>
    <w:p w14:paraId="2802C55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 招标人邀请所有正确完成了网上获取招标文件、电子投标、缴纳投标保证、递交投标文件的投标人参加开标，投标人可自主决定是否参加。投标人不参加开标的，视其默认开标结果，以及放弃在开标期间见证、监督、投诉、申辩的权利。</w:t>
      </w:r>
    </w:p>
    <w:p w14:paraId="779F69E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13.1.1 开标时间和地点：见本章第二节“重要事项时间地点一览表”。</w:t>
      </w:r>
    </w:p>
    <w:p w14:paraId="207269D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13.1.2 开标前24小时，若交易平台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全国公共资源交易平台（广东省·韶关市）（https://ygp.gdzwfw.gov.cn/ggzy-portal/#/440200/index）查询是否发布了取消开标活动的相关信息。</w:t>
      </w:r>
    </w:p>
    <w:p w14:paraId="61F0728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13.1.3本项目实行全流程电子化招标投标，投标人在交易平台按要求上传加盖电子印章并经加密的电子投标文件，并在交易平台录入准确的页码信息即可完成在线投标。由于投标人原因导致未按投标截至时限上传完整投标文件、在交易平台中上传的投标文件无法解密、投标文件损坏或格式不正确、投标文件未按招标文件要求加盖电子印章或电子印章不完整、电子投标文件解密失败且未按要求上传备用投标文件等情形导致投标无效的，由投标人自行负责。</w:t>
      </w:r>
    </w:p>
    <w:p w14:paraId="363FEF8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13.2 开标程序</w:t>
      </w:r>
    </w:p>
    <w:p w14:paraId="0B85696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（1）主持人（招标人代表或招标人授权的招标代理机构人员）宣读开标纪律。</w:t>
      </w:r>
    </w:p>
    <w:p w14:paraId="4ADB381C">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（2）主持人宣布唱标人、记录人、见证人、监督人等有关人员姓名。</w:t>
      </w:r>
    </w:p>
    <w:p w14:paraId="7CD8EB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（3）唱标人公布在投标截止时间前进行投标文件的投标人数量和名称</w:t>
      </w:r>
    </w:p>
    <w:p w14:paraId="2ECE91B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（4）招标代理机构会同交易场所工作人员对投标人的电子投标信息进行解密，建设工程交易系统自动生成《投标保证缴纳情况表》和《开标一览表》。</w:t>
      </w:r>
    </w:p>
    <w:p w14:paraId="47B6CFE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温馨提示：因本项目实行全流程电子化招标投标，投标人无须进行现场签到，可登录交易平台观看开标实况、提出异议或进行澄清、确认等操作，对开标事项的异议未在开标期间提出的，招标人不予受理。具体按招标文件和系统操作手册为准。</w:t>
      </w:r>
    </w:p>
    <w:p w14:paraId="76C7969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因本工程采用全流程电子招标投标方式进行招标，投标人在唱标环节为解密唱标时，以网上电子解密唱标信息为准。全流程电子招标投标采用线上评审，以电子投标文件为准。如果两者报价不一致的，视为报价不唯一，其响应性评审不通过。</w:t>
      </w:r>
    </w:p>
    <w:p w14:paraId="778C59D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13.3 投标人对开标相关事项（如开标程序等）有异议的，必须在开标期间及时提出，招标人或其授权的招标代理机构应当场作出答复，并记录在案。对开标事项的异议未在开标期间及时提出的，招标人不予受理。</w:t>
      </w:r>
    </w:p>
    <w:p w14:paraId="3EF6B83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13.4 招标代理机构将资料原件（若有）、《开标一览表》以及其他有关资料移交评标委员会。</w:t>
      </w:r>
    </w:p>
    <w:p w14:paraId="1B0DB037">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65" w:name="_Toc22546"/>
      <w:bookmarkStart w:id="266" w:name="_Toc21041"/>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14</w:t>
      </w:r>
      <w:bookmarkStart w:id="267" w:name="_Hlt127093805"/>
      <w:bookmarkEnd w:id="267"/>
      <w:r>
        <w:rPr>
          <w:rFonts w:hint="eastAsia" w:asciiTheme="minorEastAsia" w:hAnsiTheme="minorEastAsia" w:eastAsiaTheme="minorEastAsia" w:cstheme="minorEastAsia"/>
          <w:b/>
          <w:color w:val="000000" w:themeColor="text1"/>
          <w:kern w:val="2"/>
          <w:highlight w:val="none"/>
          <w:lang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评标的方法和标准</w:t>
      </w:r>
      <w:bookmarkEnd w:id="265"/>
      <w:bookmarkEnd w:id="266"/>
    </w:p>
    <w:p w14:paraId="354F25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评标分为初步评审和详细评审两个阶段，由评标委员会在有关部门的监督下，严格按照本招标文件指定的评标方法，对投标人的投标文件进行审查、评审。评标委员会完成评标后，向招标人推荐 3 个中标候选人，并向招标人提交由全体评标委员会成员签字的评标报告。</w:t>
      </w:r>
    </w:p>
    <w:p w14:paraId="1B3E43C8">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68" w:name="_Toc32313"/>
      <w:r>
        <w:rPr>
          <w:rFonts w:hint="eastAsia" w:asciiTheme="minorEastAsia" w:hAnsiTheme="minorEastAsia" w:eastAsiaTheme="minorEastAsia" w:cstheme="minorEastAsia"/>
          <w:b/>
          <w:color w:val="000000" w:themeColor="text1"/>
          <w:highlight w:val="none"/>
          <w14:textFill>
            <w14:solidFill>
              <w14:schemeClr w14:val="tx1"/>
            </w14:solidFill>
          </w14:textFill>
        </w:rPr>
        <w:t>14.1 评标</w:t>
      </w:r>
      <w:bookmarkStart w:id="269" w:name="_Hlt69208274"/>
      <w:bookmarkEnd w:id="269"/>
      <w:r>
        <w:rPr>
          <w:rFonts w:hint="eastAsia" w:asciiTheme="minorEastAsia" w:hAnsiTheme="minorEastAsia" w:eastAsiaTheme="minorEastAsia" w:cstheme="minorEastAsia"/>
          <w:b/>
          <w:color w:val="000000" w:themeColor="text1"/>
          <w:highlight w:val="none"/>
          <w14:textFill>
            <w14:solidFill>
              <w14:schemeClr w14:val="tx1"/>
            </w14:solidFill>
          </w14:textFill>
        </w:rPr>
        <w:t>委员会</w:t>
      </w:r>
      <w:bookmarkEnd w:id="268"/>
      <w:bookmarkStart w:id="270" w:name="_Hlt69338169"/>
      <w:bookmarkEnd w:id="270"/>
    </w:p>
    <w:p w14:paraId="0F5EF10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14.1.1 评标委员会由5人组成。专家从广东省综合评标评审专家库-韶关区域中随机抽取，其中技术类专家3人，经济类专家2人。评标委员会的负责人在评委中民主选出，负责人的权力与评委成员相等。</w:t>
      </w:r>
    </w:p>
    <w:p w14:paraId="246730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 评标委员会应认真、公正、诚实、廉洁地履行职责。有下列情形之一的，不得担任评标委员会成员：</w:t>
      </w:r>
    </w:p>
    <w:p w14:paraId="08194B7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14.1.2.1 投标人或者投标人主要负责人的近亲属；</w:t>
      </w:r>
    </w:p>
    <w:p w14:paraId="361CDB8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14.1.2.2 项目主管部门或者行政监督部门的人员；</w:t>
      </w:r>
    </w:p>
    <w:p w14:paraId="2724129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14.1.2.3 与投标人有经济利益关系，可能影响对投标公正评审的；</w:t>
      </w:r>
    </w:p>
    <w:p w14:paraId="4A670AE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14.1.2.4 曾因在</w:t>
      </w:r>
      <w:bookmarkStart w:id="271" w:name="_Hlt69700387"/>
      <w:bookmarkEnd w:id="271"/>
      <w:r>
        <w:rPr>
          <w:rFonts w:hint="eastAsia" w:asciiTheme="minorEastAsia" w:hAnsiTheme="minorEastAsia" w:eastAsiaTheme="minorEastAsia" w:cstheme="minorEastAsia"/>
          <w:bCs/>
          <w:color w:val="000000" w:themeColor="text1"/>
          <w:highlight w:val="none"/>
          <w14:textFill>
            <w14:solidFill>
              <w14:schemeClr w14:val="tx1"/>
            </w14:solidFill>
          </w14:textFill>
        </w:rPr>
        <w:t>招标、评标以及其他与招标投标有关活动中从事违法行为而受过行政处罚或刑事处罚的。</w:t>
      </w:r>
    </w:p>
    <w:p w14:paraId="48BBEE64">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14.1.3 评标委员会成员有前款规定情形之一的，应主动提出回避。</w:t>
      </w:r>
    </w:p>
    <w:p w14:paraId="37A18F7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14.1.4 评标全过程实行封闭式管理，在中标结果公布前，禁止评标委员会成员以任何方式私下接触投标人。</w:t>
      </w:r>
    </w:p>
    <w:p w14:paraId="36DE515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14.1.5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14:paraId="248EF75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14.1.6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14:paraId="285C75E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p>
    <w:p w14:paraId="17BE0C71">
      <w:pPr>
        <w:pStyle w:val="35"/>
        <w:autoSpaceDE w:val="0"/>
        <w:autoSpaceDN w:val="0"/>
        <w:adjustRightInd w:val="0"/>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272" w:name="_Toc104711078"/>
      <w:bookmarkStart w:id="273" w:name="_Toc106418823"/>
      <w:bookmarkStart w:id="274" w:name="_Toc17385"/>
      <w:r>
        <w:rPr>
          <w:rFonts w:hint="eastAsia" w:asciiTheme="minorEastAsia" w:hAnsiTheme="minorEastAsia" w:eastAsiaTheme="minorEastAsia" w:cstheme="minorEastAsia"/>
          <w:b/>
          <w:color w:val="000000" w:themeColor="text1"/>
          <w:highlight w:val="none"/>
          <w14:textFill>
            <w14:solidFill>
              <w14:schemeClr w14:val="tx1"/>
            </w14:solidFill>
          </w14:textFill>
        </w:rPr>
        <w:t>14.2</w:t>
      </w:r>
      <w:bookmarkEnd w:id="272"/>
      <w:bookmarkEnd w:id="273"/>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评标方法</w:t>
      </w:r>
      <w:bookmarkEnd w:id="274"/>
    </w:p>
    <w:p w14:paraId="46B9485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5" w:name="_Hlt66591657"/>
      <w:bookmarkEnd w:id="275"/>
      <w:r>
        <w:rPr>
          <w:rFonts w:hint="eastAsia" w:asciiTheme="minorEastAsia" w:hAnsiTheme="minorEastAsia" w:eastAsiaTheme="minorEastAsia" w:cstheme="minorEastAsia"/>
          <w:bCs/>
          <w:color w:val="000000" w:themeColor="text1"/>
          <w:highlight w:val="none"/>
          <w14:textFill>
            <w14:solidFill>
              <w14:schemeClr w14:val="tx1"/>
            </w14:solidFill>
          </w14:textFill>
        </w:rPr>
        <w:t>根据有关法律、法规的相关规定，结合本招标项目资金来源和规模特点，本次招标采用综合评估法进行评标。</w:t>
      </w:r>
    </w:p>
    <w:p w14:paraId="336B55D1">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评审范围</w:t>
      </w: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评标委员会应对所有投标人的投标文件进行评审。</w:t>
      </w:r>
    </w:p>
    <w:p w14:paraId="33F2CCB7">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val="0"/>
          <w:color w:val="000000" w:themeColor="text1"/>
          <w:highlight w:val="none"/>
          <w14:textFill>
            <w14:solidFill>
              <w14:schemeClr w14:val="tx1"/>
            </w14:solidFill>
          </w14:textFill>
        </w:rPr>
        <w:t>14.</w:t>
      </w:r>
      <w:r>
        <w:rPr>
          <w:rFonts w:hint="eastAsia" w:asciiTheme="minorEastAsia" w:hAnsiTheme="minorEastAsia" w:eastAsiaTheme="minorEastAsia" w:cstheme="minorEastAsia"/>
          <w:b/>
          <w:bCs w:val="0"/>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初步评审阶段</w:t>
      </w:r>
    </w:p>
    <w:p w14:paraId="7A48C44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初步评审阶段分为资格评审、形式评审和响应性评审三个环节。</w:t>
      </w:r>
    </w:p>
    <w:p w14:paraId="64ADCB4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 w:val="0"/>
          <w:bCs/>
          <w:color w:val="000000" w:themeColor="text1"/>
          <w:highlight w:val="none"/>
          <w:lang w:val="en-US" w:eastAsia="zh-CN"/>
          <w14:textFill>
            <w14:solidFill>
              <w14:schemeClr w14:val="tx1"/>
            </w14:solidFill>
          </w14:textFill>
        </w:rPr>
        <w:t>4.1</w:t>
      </w: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资格评审环节</w:t>
      </w:r>
    </w:p>
    <w:p w14:paraId="19A9779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资格评审事项包括：</w:t>
      </w:r>
    </w:p>
    <w:p w14:paraId="7E7F597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（1）投标人是否符合本章第三节第 4.4条“禁止投标条款”规定。</w:t>
      </w:r>
    </w:p>
    <w:p w14:paraId="4009552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（2）投标人名称是否与营业执照、资质证书、安全生产许可证一致。</w:t>
      </w:r>
    </w:p>
    <w:p w14:paraId="3EB53AA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（3）投标人的资质是否符合招标文件规定；其营业执照、资质证书、安全生产许可证是否合法、有效、准确。</w:t>
      </w:r>
    </w:p>
    <w:p w14:paraId="1854720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（4）《项目经理简历表》中拟派项目经理是否与《开标一览表》一致。</w:t>
      </w:r>
    </w:p>
    <w:p w14:paraId="2B305B7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5）拟派项目经理、项目技术负责人、专职安全员、设计负责人的条件是否符合招标文件规定；项目管理机构组成人员的各类证书、证件、证明是否合法、有效、准确；是否擅自修改、遗漏《项目经理任职声明》的实质性内容。</w:t>
      </w:r>
    </w:p>
    <w:p w14:paraId="0D85F41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14:paraId="6CAE2E4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（7）投标人为外省建筑企业的，是否按规定在“进粤企业和人员诚信信息登记平台”录入企业及其拟派人员有关信息并通过数据规范检查。</w:t>
      </w:r>
    </w:p>
    <w:p w14:paraId="1CD4D76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注：如果“禁止投标条款”包括失信惩戒的，投标人信用信息的获取采用现场实时查询的方式实施。由招标代理机构工作人员在评标委员会成员、交易场所工作人员共同见证下，登录信用中国网站（https://www.creditchina.gov.cn），在企业查询界面下载和打印《法人和非法人组织公共信用信息报告》，作为评审依据移交评标委员会。</w:t>
      </w:r>
    </w:p>
    <w:p w14:paraId="75B20E2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4.2</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形式评审环节</w:t>
      </w:r>
    </w:p>
    <w:p w14:paraId="056BB61C">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形式评审事项包括：</w:t>
      </w:r>
    </w:p>
    <w:p w14:paraId="15DF92F8">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1</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投标文件是否按招标文件规定加盖电子印章。</w:t>
      </w:r>
    </w:p>
    <w:p w14:paraId="2080954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14:textFill>
            <w14:solidFill>
              <w14:schemeClr w14:val="tx1"/>
            </w14:solidFill>
          </w14:textFill>
        </w:rPr>
        <w:t>本节第11.2.2目中规定的“所有投标人均应提供”的组成内容（包括该组成内容的所附资料）是否完整、齐全。</w:t>
      </w:r>
    </w:p>
    <w:p w14:paraId="3FD1877A">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4.3</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响应性评审环节</w:t>
      </w:r>
    </w:p>
    <w:p w14:paraId="6771CE76">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响应性评审事项包括：</w:t>
      </w:r>
    </w:p>
    <w:p w14:paraId="04FB26F9">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（1）投标有效期、质量标准、工期等是否响应招标文件实质性要求；是否擅自修改、遗漏《投标函》《各项承诺一览表》的实质性内容。</w:t>
      </w:r>
    </w:p>
    <w:p w14:paraId="42C032E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（2）编投标总价是否唯一；投标总价是否超出最高投标限价；投标人是否以低于成本的价格竞标。</w:t>
      </w:r>
    </w:p>
    <w:p w14:paraId="601591B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注：如果某投标人的投标总价下浮率（投标总价下浮率＝100%－投标总价÷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最高投标限价</w:t>
      </w:r>
      <w:r>
        <w:rPr>
          <w:rFonts w:hint="eastAsia" w:asciiTheme="minorEastAsia" w:hAnsiTheme="minorEastAsia" w:eastAsiaTheme="minorEastAsia" w:cstheme="minorEastAsia"/>
          <w:bCs/>
          <w:color w:val="000000" w:themeColor="text1"/>
          <w:highlight w:val="none"/>
          <w14:textFill>
            <w14:solidFill>
              <w14:schemeClr w14:val="tx1"/>
            </w14:solidFill>
          </w14:textFill>
        </w:rPr>
        <w:t>×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4EA572D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4.4</w:t>
      </w: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否决投标说明</w:t>
      </w:r>
    </w:p>
    <w:p w14:paraId="09CB7FDB">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14:paraId="47761881">
      <w:pPr>
        <w:pStyle w:val="35"/>
        <w:autoSpaceDE w:val="0"/>
        <w:autoSpaceDN w:val="0"/>
        <w:adjustRightInd w:val="0"/>
        <w:ind w:firstLine="482"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bookmarkStart w:id="276" w:name="_Toc18413"/>
      <w:r>
        <w:rPr>
          <w:rFonts w:hint="eastAsia" w:asciiTheme="minorEastAsia" w:hAnsiTheme="minorEastAsia" w:eastAsiaTheme="minorEastAsia" w:cstheme="minorEastAsia"/>
          <w:b/>
          <w:color w:val="000000" w:themeColor="text1"/>
          <w:highlight w:val="none"/>
          <w14:textFill>
            <w14:solidFill>
              <w14:schemeClr w14:val="tx1"/>
            </w14:solidFill>
          </w14:textFill>
        </w:rPr>
        <w:t>14.</w:t>
      </w:r>
      <w:r>
        <w:rPr>
          <w:rFonts w:hint="eastAsia" w:asciiTheme="minorEastAsia" w:hAnsiTheme="minorEastAsia" w:eastAsiaTheme="minorEastAsia" w:cstheme="minorEastAsia"/>
          <w:b/>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
          <w:color w:val="000000" w:themeColor="text1"/>
          <w:highlight w:val="none"/>
          <w14:textFill>
            <w14:solidFill>
              <w14:schemeClr w14:val="tx1"/>
            </w14:solidFill>
          </w14:textFill>
        </w:rPr>
        <w:t>详细评审阶段</w:t>
      </w:r>
      <w:bookmarkEnd w:id="276"/>
    </w:p>
    <w:p w14:paraId="1BF2C01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 xml:space="preserve"> 14.</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.1 “综合评估法”评审程序</w:t>
      </w:r>
    </w:p>
    <w:p w14:paraId="5EB98105">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评审内容分为商务部分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和经济部分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三</w:t>
      </w:r>
      <w:r>
        <w:rPr>
          <w:rFonts w:hint="eastAsia" w:asciiTheme="minorEastAsia" w:hAnsiTheme="minorEastAsia" w:eastAsiaTheme="minorEastAsia" w:cstheme="minorEastAsia"/>
          <w:bCs/>
          <w:color w:val="000000" w:themeColor="text1"/>
          <w:highlight w:val="none"/>
          <w14:textFill>
            <w14:solidFill>
              <w14:schemeClr w14:val="tx1"/>
            </w14:solidFill>
          </w14:textFill>
        </w:rPr>
        <w:t>大部分，实行分项计分，以100分为满分。具体分值详见《综合评分表》。</w:t>
      </w:r>
    </w:p>
    <w:p w14:paraId="2B222D1E">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除特别注明外，综合得分以及商务部分得分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、经济部分得分的中间过程计算值和最终值，均按“四舍五入”原则精确到两位小数。</w:t>
      </w:r>
    </w:p>
    <w:p w14:paraId="6677DFA1">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（1）商务部分得分</w:t>
      </w:r>
    </w:p>
    <w:p w14:paraId="63B59F20">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①评标委员会各成员独立按照《综合评分表》商务部分指定的评分标准对各评分因素进行打分。各评分因素得分之和即为某投标人的商务部分得分。</w:t>
      </w:r>
    </w:p>
    <w:p w14:paraId="4209B01D">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②全体评委对该投标人的商务部分总评分取平均值，按“四舍五入”原则精确到两位小数即为该投标人商务部分的最终得分。</w:t>
      </w:r>
    </w:p>
    <w:p w14:paraId="76A359A2">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2</w:t>
      </w: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156A89F3">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①评标委员会各成员独立按照《综合评分表》</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部分指定的评分标准对各评分因素进行打分。各评分因素得分之和即为某投标人的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w:t>
      </w:r>
    </w:p>
    <w:p w14:paraId="5CEBE3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②全体评委对该投标人的</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部分总评分取平均值，按“四舍五入”原则精确到两位小数即为该投标人</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部分的最终得分。</w:t>
      </w:r>
    </w:p>
    <w:p w14:paraId="0794734A">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p>
    <w:p w14:paraId="1B6DD52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经济部分评分方法详见《综合评分表》。</w:t>
      </w:r>
    </w:p>
    <w:p w14:paraId="11ADE137">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4</w:t>
      </w: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w:t>
      </w:r>
    </w:p>
    <w:p w14:paraId="232BC4DF">
      <w:pPr>
        <w:pStyle w:val="35"/>
        <w:autoSpaceDE w:val="0"/>
        <w:autoSpaceDN w:val="0"/>
        <w:adjustRightInd w:val="0"/>
        <w:ind w:firstLine="480" w:firstLineChars="200"/>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综合得分=商务部分得分+</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w:t>
      </w:r>
      <w:r>
        <w:rPr>
          <w:rFonts w:hint="eastAsia" w:asciiTheme="minorEastAsia" w:hAnsiTheme="minorEastAsia" w:eastAsiaTheme="minorEastAsia" w:cstheme="minorEastAsia"/>
          <w:bCs/>
          <w:color w:val="000000" w:themeColor="text1"/>
          <w:highlight w:val="none"/>
          <w14:textFill>
            <w14:solidFill>
              <w14:schemeClr w14:val="tx1"/>
            </w14:solidFill>
          </w14:textFill>
        </w:rPr>
        <w:t>部分得分+经济部分得分</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p>
    <w:p w14:paraId="3DBCE0E5">
      <w:pPr>
        <w:pStyle w:val="35"/>
        <w:autoSpaceDE w:val="0"/>
        <w:autoSpaceDN w:val="0"/>
        <w:adjustRightInd w:val="0"/>
        <w:ind w:firstLine="480" w:firstLineChars="200"/>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highlight w:val="none"/>
          <w14:textFill>
            <w14:solidFill>
              <w14:schemeClr w14:val="tx1"/>
            </w14:solidFill>
          </w14:textFill>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取</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技术部分得分高</w:t>
      </w:r>
      <w:r>
        <w:rPr>
          <w:rFonts w:hint="eastAsia" w:asciiTheme="minorEastAsia" w:hAnsiTheme="minorEastAsia" w:eastAsiaTheme="minorEastAsia" w:cstheme="minorEastAsia"/>
          <w:bCs/>
          <w:color w:val="000000" w:themeColor="text1"/>
          <w:highlight w:val="none"/>
          <w14:textFill>
            <w14:solidFill>
              <w14:schemeClr w14:val="tx1"/>
            </w14:solidFill>
          </w14:textFill>
        </w:rPr>
        <w:t>者为第一中标候选人，并依此确定第二、第三中标候选人。如果最高综合得分相同，投标总价</w:t>
      </w:r>
      <w:r>
        <w:rPr>
          <w:rFonts w:hint="eastAsia" w:asciiTheme="minorEastAsia" w:hAnsiTheme="minorEastAsia" w:eastAsiaTheme="minorEastAsia" w:cstheme="minorEastAsia"/>
          <w:bCs/>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技术部分得分</w:t>
      </w:r>
      <w:r>
        <w:rPr>
          <w:rFonts w:hint="eastAsia" w:asciiTheme="minorEastAsia" w:hAnsiTheme="minorEastAsia" w:eastAsiaTheme="minorEastAsia" w:cstheme="minorEastAsia"/>
          <w:bCs/>
          <w:color w:val="000000" w:themeColor="text1"/>
          <w:highlight w:val="none"/>
          <w14:textFill>
            <w14:solidFill>
              <w14:schemeClr w14:val="tx1"/>
            </w14:solidFill>
          </w14:textFill>
        </w:rPr>
        <w:t>也相同，由评标委员会</w:t>
      </w:r>
      <w:r>
        <w:rPr>
          <w:rFonts w:hint="eastAsia" w:asciiTheme="minorEastAsia" w:hAnsiTheme="minorEastAsia" w:eastAsiaTheme="minorEastAsia" w:cstheme="minorEastAsia"/>
          <w:bCs/>
          <w:color w:val="000000" w:themeColor="text1"/>
          <w:highlight w:val="none"/>
          <w:lang w:val="en-US" w:eastAsia="zh-CN"/>
          <w14:textFill>
            <w14:solidFill>
              <w14:schemeClr w14:val="tx1"/>
            </w14:solidFill>
          </w14:textFill>
        </w:rPr>
        <w:t>随机抽取</w:t>
      </w:r>
      <w:r>
        <w:rPr>
          <w:rFonts w:hint="eastAsia" w:asciiTheme="minorEastAsia" w:hAnsiTheme="minorEastAsia" w:eastAsiaTheme="minorEastAsia" w:cstheme="minorEastAsia"/>
          <w:bCs/>
          <w:color w:val="000000" w:themeColor="text1"/>
          <w:highlight w:val="none"/>
          <w14:textFill>
            <w14:solidFill>
              <w14:schemeClr w14:val="tx1"/>
            </w14:solidFill>
          </w14:textFill>
        </w:rPr>
        <w:t>确定。</w:t>
      </w:r>
      <w:bookmarkEnd w:id="143"/>
      <w:r>
        <w:rPr>
          <w:rFonts w:hint="eastAsia" w:asciiTheme="minorEastAsia" w:hAnsiTheme="minorEastAsia" w:eastAsiaTheme="minorEastAsia" w:cstheme="minorEastAsia"/>
          <w:b/>
          <w:color w:val="000000" w:themeColor="text1"/>
          <w:sz w:val="28"/>
          <w:szCs w:val="28"/>
          <w:highlight w:val="none"/>
          <w14:textFill>
            <w14:solidFill>
              <w14:schemeClr w14:val="tx1"/>
            </w14:solidFill>
          </w14:textFill>
        </w:rPr>
        <w:br w:type="page"/>
      </w:r>
    </w:p>
    <w:p w14:paraId="5492FD46">
      <w:pPr>
        <w:pStyle w:val="35"/>
        <w:autoSpaceDE w:val="0"/>
        <w:autoSpaceDN w:val="0"/>
        <w:adjustRightInd w:val="0"/>
        <w:jc w:val="center"/>
        <w:outlineLvl w:val="2"/>
        <w:rPr>
          <w:rFonts w:hAnsi="宋体" w:cs="宋体"/>
          <w:b/>
          <w:bCs/>
          <w:color w:val="000000" w:themeColor="text1"/>
          <w:kern w:val="0"/>
          <w:sz w:val="28"/>
          <w:szCs w:val="30"/>
          <w:highlight w:val="none"/>
          <w14:textFill>
            <w14:solidFill>
              <w14:schemeClr w14:val="tx1"/>
            </w14:solidFill>
          </w14:textFill>
        </w:rPr>
      </w:pPr>
      <w:r>
        <w:rPr>
          <w:rFonts w:hint="eastAsia" w:hAnsi="宋体" w:cs="宋体"/>
          <w:b/>
          <w:bCs/>
          <w:color w:val="000000" w:themeColor="text1"/>
          <w:kern w:val="0"/>
          <w:sz w:val="28"/>
          <w:szCs w:val="30"/>
          <w:highlight w:val="none"/>
          <w14:textFill>
            <w14:solidFill>
              <w14:schemeClr w14:val="tx1"/>
            </w14:solidFill>
          </w14:textFill>
        </w:rPr>
        <w:t>综合评分表</w:t>
      </w:r>
    </w:p>
    <w:tbl>
      <w:tblPr>
        <w:tblStyle w:val="21"/>
        <w:tblW w:w="9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
        <w:gridCol w:w="446"/>
        <w:gridCol w:w="573"/>
        <w:gridCol w:w="941"/>
        <w:gridCol w:w="3504"/>
        <w:gridCol w:w="3539"/>
      </w:tblGrid>
      <w:tr w14:paraId="37669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jc w:val="center"/>
        </w:trPr>
        <w:tc>
          <w:tcPr>
            <w:tcW w:w="414" w:type="dxa"/>
            <w:vAlign w:val="center"/>
          </w:tcPr>
          <w:p w14:paraId="3CEC071A">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序号</w:t>
            </w:r>
          </w:p>
        </w:tc>
        <w:tc>
          <w:tcPr>
            <w:tcW w:w="1019" w:type="dxa"/>
            <w:gridSpan w:val="2"/>
            <w:vAlign w:val="center"/>
          </w:tcPr>
          <w:p w14:paraId="7963FABB">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评标内容</w:t>
            </w:r>
          </w:p>
        </w:tc>
        <w:tc>
          <w:tcPr>
            <w:tcW w:w="7984" w:type="dxa"/>
            <w:gridSpan w:val="3"/>
            <w:vAlign w:val="center"/>
          </w:tcPr>
          <w:p w14:paraId="0B7F7C33">
            <w:pPr>
              <w:widowControl/>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说    明</w:t>
            </w:r>
          </w:p>
        </w:tc>
      </w:tr>
      <w:tr w14:paraId="46CA6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atLeast"/>
          <w:jc w:val="center"/>
        </w:trPr>
        <w:tc>
          <w:tcPr>
            <w:tcW w:w="414" w:type="dxa"/>
            <w:vMerge w:val="restart"/>
            <w:vAlign w:val="center"/>
          </w:tcPr>
          <w:p w14:paraId="0C821BB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446" w:type="dxa"/>
            <w:vMerge w:val="restart"/>
            <w:vAlign w:val="center"/>
          </w:tcPr>
          <w:p w14:paraId="7A5EDAE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商务</w:t>
            </w:r>
            <w:r>
              <w:rPr>
                <w:rFonts w:hint="eastAsia" w:hAnsi="宋体" w:eastAsia="宋体" w:cs="宋体"/>
                <w:color w:val="000000" w:themeColor="text1"/>
                <w:kern w:val="0"/>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kern w:val="0"/>
                <w:sz w:val="24"/>
                <w:szCs w:val="24"/>
                <w:highlight w:val="none"/>
                <w14:textFill>
                  <w14:solidFill>
                    <w14:schemeClr w14:val="tx1"/>
                  </w14:solidFill>
                </w14:textFill>
              </w:rPr>
              <w:t>得分（</w:t>
            </w:r>
            <w:r>
              <w:rPr>
                <w:rFonts w:hint="eastAsia" w:hAnsi="宋体" w:eastAsia="宋体" w:cs="宋体"/>
                <w:color w:val="000000" w:themeColor="text1"/>
                <w:kern w:val="0"/>
                <w:sz w:val="24"/>
                <w:szCs w:val="24"/>
                <w:highlight w:val="none"/>
                <w:lang w:val="en-US" w:eastAsia="zh-CN"/>
                <w14:textFill>
                  <w14:solidFill>
                    <w14:schemeClr w14:val="tx1"/>
                  </w14:solidFill>
                </w14:textFill>
              </w:rPr>
              <w:t>45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573" w:type="dxa"/>
            <w:vMerge w:val="restart"/>
            <w:vAlign w:val="center"/>
          </w:tcPr>
          <w:p w14:paraId="35FFFB7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施工企业（</w:t>
            </w:r>
            <w:r>
              <w:rPr>
                <w:rFonts w:hint="eastAsia" w:hAnsi="宋体" w:eastAsia="宋体" w:cs="宋体"/>
                <w:color w:val="000000" w:themeColor="text1"/>
                <w:kern w:val="0"/>
                <w:sz w:val="24"/>
                <w:szCs w:val="24"/>
                <w:highlight w:val="none"/>
                <w:lang w:val="en-US" w:eastAsia="zh-CN"/>
                <w14:textFill>
                  <w14:solidFill>
                    <w14:schemeClr w14:val="tx1"/>
                  </w14:solidFill>
                </w14:textFill>
              </w:rPr>
              <w:t>40</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941" w:type="dxa"/>
            <w:vAlign w:val="center"/>
          </w:tcPr>
          <w:p w14:paraId="0F05DFBF">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项目经理综合素质（</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35347D7">
            <w:pPr>
              <w:pStyle w:val="8"/>
              <w:wordWrap w:val="0"/>
              <w:adjustRightInd w:val="0"/>
              <w:snapToGrid w:val="0"/>
              <w:spacing w:line="400" w:lineRule="exact"/>
              <w:jc w:val="center"/>
              <w:rPr>
                <w:rFonts w:hint="eastAsia" w:ascii="宋体" w:hAnsi="宋体" w:eastAsia="宋体" w:cs="宋体"/>
                <w:snapToGrid w:val="0"/>
                <w:color w:val="000000" w:themeColor="text1"/>
                <w:kern w:val="0"/>
                <w:sz w:val="24"/>
                <w:szCs w:val="24"/>
                <w:highlight w:val="none"/>
                <w14:textFill>
                  <w14:solidFill>
                    <w14:schemeClr w14:val="tx1"/>
                  </w14:solidFill>
                </w14:textFill>
              </w:rPr>
            </w:pPr>
          </w:p>
        </w:tc>
        <w:tc>
          <w:tcPr>
            <w:tcW w:w="3504" w:type="dxa"/>
            <w:vAlign w:val="center"/>
          </w:tcPr>
          <w:p w14:paraId="5F0620AC">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项目经理职称情况：</w:t>
            </w:r>
          </w:p>
          <w:p w14:paraId="520EADDA">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1.具备工程师或以上职称的，得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hAnsi="宋体" w:eastAsia="宋体" w:cs="宋体"/>
                <w:snapToGrid w:val="0"/>
                <w:color w:val="000000" w:themeColor="text1"/>
                <w:kern w:val="0"/>
                <w:sz w:val="24"/>
                <w:szCs w:val="24"/>
                <w:highlight w:val="none"/>
                <w:u w:val="single"/>
                <w:lang w:val="en-US" w:eastAsia="zh-CN"/>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6D85F761">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2.具备</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助理工程师</w:t>
            </w:r>
            <w:r>
              <w:rPr>
                <w:rFonts w:hint="eastAsia" w:ascii="宋体" w:hAnsi="宋体" w:eastAsia="宋体" w:cs="宋体"/>
                <w:snapToGrid w:val="0"/>
                <w:color w:val="000000" w:themeColor="text1"/>
                <w:kern w:val="0"/>
                <w:sz w:val="24"/>
                <w:szCs w:val="24"/>
                <w:highlight w:val="none"/>
                <w14:textFill>
                  <w14:solidFill>
                    <w14:schemeClr w14:val="tx1"/>
                  </w14:solidFill>
                </w14:textFill>
              </w:rPr>
              <w:t>职称的，得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2 </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6460C5F8">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3.不具备以上职称的，或未提供职称证彩色扫描件的，不予计分。</w:t>
            </w:r>
          </w:p>
          <w:p w14:paraId="0BB966AB">
            <w:pPr>
              <w:pStyle w:val="8"/>
              <w:wordWrap w:val="0"/>
              <w:adjustRightInd w:val="0"/>
              <w:snapToGrid w:val="0"/>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1CB72415">
            <w:pPr>
              <w:pStyle w:val="8"/>
              <w:wordWrap w:val="0"/>
              <w:adjustRightInd w:val="0"/>
              <w:snapToGrid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1.需附职称证彩色扫描件，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宋体" w:hAnsi="宋体" w:eastAsia="宋体" w:cs="宋体"/>
                <w:color w:val="000000" w:themeColor="text1"/>
                <w:spacing w:val="6"/>
                <w:sz w:val="24"/>
                <w:szCs w:val="24"/>
                <w:highlight w:val="none"/>
                <w14:textFill>
                  <w14:solidFill>
                    <w14:schemeClr w14:val="tx1"/>
                  </w14:solidFill>
                </w14:textFill>
              </w:rPr>
              <w:t>（电子职称证书可不提供原件）</w:t>
            </w:r>
            <w:r>
              <w:rPr>
                <w:rFonts w:hint="eastAsia" w:hAnsi="宋体" w:eastAsia="宋体" w:cs="宋体"/>
                <w:b/>
                <w:bCs/>
                <w:color w:val="000000" w:themeColor="text1"/>
                <w:spacing w:val="6"/>
                <w:sz w:val="24"/>
                <w:szCs w:val="24"/>
                <w:highlight w:val="none"/>
                <w:lang w:val="en-US" w:eastAsia="zh-CN"/>
                <w14:textFill>
                  <w14:solidFill>
                    <w14:schemeClr w14:val="tx1"/>
                  </w14:solidFill>
                </w14:textFill>
              </w:rPr>
              <w:t>。</w:t>
            </w:r>
          </w:p>
        </w:tc>
      </w:tr>
      <w:tr w14:paraId="7A2EE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7C7C715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3255E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6236776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EAB7FFF">
            <w:pPr>
              <w:wordWrap w:val="0"/>
              <w:adjustRightInd w:val="0"/>
              <w:snapToGrid w:val="0"/>
              <w:spacing w:line="420" w:lineRule="exact"/>
              <w:jc w:val="cente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企业业绩（</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4B193D30">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企业近年来（202</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年1月1日至今）业绩情况：</w:t>
            </w:r>
          </w:p>
          <w:p w14:paraId="057406D1">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过类似工程的，每个得</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B839F59">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2.未</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承接</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过类似工程的，不予计分。</w:t>
            </w:r>
          </w:p>
          <w:p w14:paraId="52112D7E">
            <w:pPr>
              <w:wordWrap w:val="0"/>
              <w:adjustRightInd w:val="0"/>
              <w:snapToGrid w:val="0"/>
              <w:spacing w:line="360" w:lineRule="exac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242ACCF1">
            <w:pPr>
              <w:pStyle w:val="8"/>
              <w:wordWrap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1.类似工程指：</w:t>
            </w:r>
            <w:r>
              <w:rPr>
                <w:rFonts w:hint="eastAsia" w:ascii="宋体" w:hAnsi="宋体" w:eastAsia="宋体" w:cs="宋体"/>
                <w:color w:val="000000" w:themeColor="text1"/>
                <w:kern w:val="0"/>
                <w:sz w:val="24"/>
                <w:szCs w:val="24"/>
                <w:highlight w:val="none"/>
                <w:u w:val="single"/>
                <w14:textFill>
                  <w14:solidFill>
                    <w14:schemeClr w14:val="tx1"/>
                  </w14:solidFill>
                </w14:textFill>
              </w:rPr>
              <w:t>房屋建筑</w:t>
            </w:r>
            <w:r>
              <w:rPr>
                <w:rFonts w:hint="eastAsia" w:hAnsi="宋体" w:eastAsia="宋体" w:cs="宋体"/>
                <w:color w:val="000000" w:themeColor="text1"/>
                <w:kern w:val="0"/>
                <w:sz w:val="24"/>
                <w:szCs w:val="24"/>
                <w:highlight w:val="none"/>
                <w:u w:val="single"/>
                <w:lang w:val="en-US" w:eastAsia="zh-CN"/>
                <w14:textFill>
                  <w14:solidFill>
                    <w14:schemeClr w14:val="tx1"/>
                  </w14:solidFill>
                </w14:textFill>
              </w:rPr>
              <w:t>或市政公用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工程类</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0F5753FD">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2.需附有关业绩（仅限于以施工总承包单位身份参建的项目）合同协议书的彩色扫描件及中标通知书的彩色扫描件，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5521AF7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3.业绩时间以合同协议书日期为准。</w:t>
            </w:r>
          </w:p>
          <w:p w14:paraId="584DA36D">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4.任一业绩有以下情形之一的，该业绩视为无效，不予计分：</w:t>
            </w:r>
          </w:p>
          <w:p w14:paraId="06DE6A1F">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①未提供业绩证明材料原件的；</w:t>
            </w:r>
          </w:p>
          <w:p w14:paraId="417B6632">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②业绩不属于类似工程的；</w:t>
            </w:r>
          </w:p>
          <w:p w14:paraId="0AC4FE67">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③业绩时间不符合要求的；</w:t>
            </w:r>
          </w:p>
          <w:p w14:paraId="68C715FF">
            <w:pPr>
              <w:wordWrap w:val="0"/>
              <w:adjustRightInd w:val="0"/>
              <w:snapToGrid w:val="0"/>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④不是以指定身份参建的。</w:t>
            </w:r>
          </w:p>
        </w:tc>
      </w:tr>
      <w:tr w14:paraId="0AC3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444C605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20D03FDF">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159CB64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558AF497">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企业管理体系认证（</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110680DD">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1.质量管理体系认证证、职业健康安全管理体系认证证、环境管理体系认证证中，每获得1项认证得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分，最高得</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分。</w:t>
            </w:r>
          </w:p>
          <w:p w14:paraId="1D299299">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2.未获得以上认证的，不予计分。</w:t>
            </w:r>
          </w:p>
          <w:p w14:paraId="68A75940">
            <w:pPr>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1B483D8A">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1.需附在有效期内的认证证书彩色扫描件（或打印件）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0753AF23">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2.任一认证证书有以下情形之一的，该认证证书视为无效，不予计分：</w:t>
            </w:r>
          </w:p>
          <w:p w14:paraId="1790F3DD">
            <w:pPr>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①未提供认证证书</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原件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w:t>
            </w:r>
          </w:p>
          <w:p w14:paraId="779E0923">
            <w:pPr>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②认证证书不在有效期内的。</w:t>
            </w:r>
          </w:p>
        </w:tc>
      </w:tr>
      <w:tr w14:paraId="19B79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3D858A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1E37B52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29B5D0B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0A51F6E2">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企业财务状况（</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tc>
        <w:tc>
          <w:tcPr>
            <w:tcW w:w="3504" w:type="dxa"/>
            <w:vAlign w:val="center"/>
          </w:tcPr>
          <w:p w14:paraId="0279D60B">
            <w:pPr>
              <w:wordWrap w:val="0"/>
              <w:adjustRightInd w:val="0"/>
              <w:snapToGrid w:val="0"/>
              <w:spacing w:line="360" w:lineRule="exact"/>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提供投标人基本账户在本项目招标公告发布之日起至投标截止时间期间出现过至少连续3日不少于</w:t>
            </w:r>
            <w:r>
              <w:rPr>
                <w:rFonts w:hint="eastAsia" w:asciiTheme="minorEastAsia" w:hAnsiTheme="minorEastAsia" w:eastAsiaTheme="minorEastAsia" w:cstheme="minorEastAsia"/>
                <w:color w:val="000000" w:themeColor="text1"/>
                <w:szCs w:val="24"/>
                <w:highlight w:val="none"/>
                <w:u w:val="single"/>
                <w:lang w:val="en-US" w:eastAsia="zh-CN"/>
                <w14:textFill>
                  <w14:solidFill>
                    <w14:schemeClr w14:val="tx1"/>
                  </w14:solidFill>
                </w14:textFill>
              </w:rPr>
              <w:t>400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万元存款余额资金流水证明的，得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55C7E577">
            <w:pPr>
              <w:pStyle w:val="2"/>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b w:val="0"/>
                <w:bCs/>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b w:val="0"/>
                <w:bCs/>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snapToGrid w:val="0"/>
                <w:color w:val="000000" w:themeColor="text1"/>
                <w:kern w:val="0"/>
                <w:sz w:val="24"/>
                <w:szCs w:val="24"/>
                <w:highlight w:val="none"/>
                <w14:textFill>
                  <w14:solidFill>
                    <w14:schemeClr w14:val="tx1"/>
                  </w14:solidFill>
                </w14:textFill>
              </w:rPr>
              <w:t>分。</w:t>
            </w:r>
          </w:p>
        </w:tc>
        <w:tc>
          <w:tcPr>
            <w:tcW w:w="3539" w:type="dxa"/>
            <w:vAlign w:val="center"/>
          </w:tcPr>
          <w:p w14:paraId="0637A49C">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需附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存款余额资金流水证明</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彩色扫描件（或打印件）</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存款余额资金流水证明有以下情形之一的，视为无效，不予计分：</w:t>
            </w:r>
          </w:p>
          <w:p w14:paraId="46344C8D">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①未提供存款证明原件的；</w:t>
            </w:r>
          </w:p>
          <w:p w14:paraId="7F3E9A21">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②存款账户不是基本账户的；</w:t>
            </w:r>
          </w:p>
          <w:p w14:paraId="22A0636E">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③存款时间不符合要求的；</w:t>
            </w:r>
          </w:p>
          <w:p w14:paraId="44914A0A">
            <w:pPr>
              <w:wordWrap w:val="0"/>
              <w:adjustRightInd w:val="0"/>
              <w:snapToGrid w:val="0"/>
              <w:spacing w:line="36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④存款额度不符合要求的。</w:t>
            </w:r>
          </w:p>
        </w:tc>
      </w:tr>
      <w:tr w14:paraId="05E5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3B4AC18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24FA800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6038FAE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4F5ECC3">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企业信誉等级</w:t>
            </w:r>
          </w:p>
          <w:p w14:paraId="4EEDB482">
            <w:pPr>
              <w:pStyle w:val="8"/>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461D4AC2">
            <w:pPr>
              <w:pStyle w:val="8"/>
              <w:wordWrap w:val="0"/>
              <w:adjustRightInd w:val="0"/>
              <w:snapToGrid w:val="0"/>
              <w:spacing w:line="400" w:lineRule="exact"/>
              <w:ind w:firstLine="240" w:firstLineChars="1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投标人近年度（202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年度~至今）连续</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三年</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获得地级市或以上建筑协会的企业信誉等级：</w:t>
            </w:r>
          </w:p>
          <w:p w14:paraId="6A63ECEE">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1．获得企业信誉AAA级的得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F55525A">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2．获得企业信誉AA级的得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652BA0C2">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3．获得企业信誉A级的得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3C9A709">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4．其他不予计分。</w:t>
            </w:r>
          </w:p>
          <w:p w14:paraId="22813A51">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7</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39" w:type="dxa"/>
            <w:vAlign w:val="center"/>
          </w:tcPr>
          <w:p w14:paraId="2DBC7FD1">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1.“企业信誉”称号须由地级市或以上建筑协会颁发的证书</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彩色</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扫描件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或打印件）</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及发文材料</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w:t>
            </w:r>
            <w:r>
              <w:rPr>
                <w:rFonts w:hint="eastAsia" w:asciiTheme="minorEastAsia" w:hAnsiTheme="minorEastAsia" w:eastAsiaTheme="minorEastAsia" w:cstheme="minorEastAsia"/>
                <w:b/>
                <w:bCs/>
                <w:color w:val="000000" w:themeColor="text1"/>
                <w:sz w:val="24"/>
                <w:szCs w:val="24"/>
                <w:highlight w:val="none"/>
                <w:lang w:val="en-US" w:eastAsia="zh-CN"/>
                <w14:textFill>
                  <w14:solidFill>
                    <w14:schemeClr w14:val="tx1"/>
                  </w14:solidFill>
                </w14:textFill>
              </w:rPr>
              <w:t>证书</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原件供核对</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p>
          <w:p w14:paraId="7078932C">
            <w:pPr>
              <w:pStyle w:val="8"/>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2.颁发机构不符合评分标准和备注规定的，按第4项标准处理。</w:t>
            </w:r>
          </w:p>
        </w:tc>
      </w:tr>
      <w:tr w14:paraId="33CCB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08CDB12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A48D48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22BBFDD0">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021D77A2">
            <w:pPr>
              <w:pStyle w:val="52"/>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企业综合能力</w:t>
            </w:r>
          </w:p>
          <w:p w14:paraId="522EA4A0">
            <w:pPr>
              <w:pStyle w:val="52"/>
              <w:wordWrap w:val="0"/>
              <w:adjustRightInd w:val="0"/>
              <w:snapToGrid w:val="0"/>
              <w:spacing w:line="40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tc>
        <w:tc>
          <w:tcPr>
            <w:tcW w:w="3504" w:type="dxa"/>
            <w:vAlign w:val="center"/>
          </w:tcPr>
          <w:p w14:paraId="28D5F351">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1.获得“</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认证证书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450D595E">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2.获得“</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p>
          <w:p w14:paraId="1AC2E390">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3.</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未获得以上认证的，不予计分。</w:t>
            </w:r>
          </w:p>
          <w:p w14:paraId="7068AB5B">
            <w:pPr>
              <w:pStyle w:val="52"/>
              <w:wordWrap w:val="0"/>
              <w:adjustRightInd w:val="0"/>
              <w:snapToGrid w:val="0"/>
              <w:spacing w:line="400" w:lineRule="exact"/>
              <w:jc w:val="left"/>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分。</w:t>
            </w:r>
          </w:p>
          <w:p w14:paraId="52007627">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3539" w:type="dxa"/>
            <w:vAlign w:val="center"/>
          </w:tcPr>
          <w:p w14:paraId="1EEACBAC">
            <w:pPr>
              <w:pStyle w:val="8"/>
              <w:keepNext w:val="0"/>
              <w:keepLines w:val="0"/>
              <w:pageBreakBefore w:val="0"/>
              <w:kinsoku/>
              <w:wordWrap w:val="0"/>
              <w:overflowPunct/>
              <w:topLinePunct w:val="0"/>
              <w:autoSpaceDE/>
              <w:autoSpaceDN/>
              <w:bidi w:val="0"/>
              <w:adjustRightInd w:val="0"/>
              <w:snapToGrid w:val="0"/>
              <w:spacing w:after="0" w:line="360" w:lineRule="exac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需在</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本项目公告之日前</w:t>
            </w:r>
            <w:r>
              <w:rPr>
                <w:rFonts w:hint="eastAsia" w:asciiTheme="minorEastAsia" w:hAnsiTheme="minorEastAsia" w:eastAsiaTheme="minorEastAsia" w:cstheme="minorEastAsia"/>
                <w:snapToGrid w:val="0"/>
                <w:color w:val="000000" w:themeColor="text1"/>
                <w:kern w:val="0"/>
                <w:sz w:val="24"/>
                <w:szCs w:val="24"/>
                <w:highlight w:val="none"/>
                <w:u w:val="single"/>
                <w:lang w:val="en-US" w:eastAsia="zh-CN"/>
                <w14:textFill>
                  <w14:solidFill>
                    <w14:schemeClr w14:val="tx1"/>
                  </w14:solidFill>
                </w14:textFill>
              </w:rPr>
              <w:t xml:space="preserve"> 1 </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个月（或以上）获得并在有效期内的认证证书彩色扫描件（或打印件），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b/>
                <w:bCs/>
                <w:color w:val="000000" w:themeColor="text1"/>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证书有效期在国家认证认可监督管理委员会官网（http://cx.cnca.cn/）可查（提供查询网页截图）</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且须符合下列要求：</w:t>
            </w:r>
          </w:p>
          <w:p w14:paraId="4C27CAC4">
            <w:pPr>
              <w:pStyle w:val="8"/>
              <w:wordWrap w:val="0"/>
              <w:adjustRightInd w:val="0"/>
              <w:snapToGrid w:val="0"/>
              <w:spacing w:after="0"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”达到</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GB/T 50640-2023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建筑与市政工程绿色施工评价标准</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CTS-ZRIC037-2024</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工程绿色施工评价认证规则</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的要求</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AAAAA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，并获得相对应的“</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工程绿色施工评价</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”认证证书，不符合要求不得分。</w:t>
            </w:r>
          </w:p>
          <w:p w14:paraId="2FB10218">
            <w:pPr>
              <w:pStyle w:val="8"/>
              <w:wordWrap w:val="0"/>
              <w:adjustRightInd w:val="0"/>
              <w:snapToGrid w:val="0"/>
              <w:spacing w:after="0" w:line="400" w:lineRule="exact"/>
              <w:ind w:firstLine="480" w:firstLineChars="20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达到</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AQ/T 4256-2015、JGJ 146-2013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和</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CTS-ZRICSC1902-2023</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工程施工现场环境与卫生控制评价规范</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5A级AAAAA</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，并获得相对应的“</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14:textFill>
                  <w14:solidFill>
                    <w14:schemeClr w14:val="tx1"/>
                  </w14:solidFill>
                </w14:textFill>
              </w:rPr>
              <w:t>工程施工现场环境与卫生控制评价</w:t>
            </w:r>
            <w:r>
              <w:rPr>
                <w:rFonts w:hint="eastAsia" w:asciiTheme="minorEastAsia" w:hAnsiTheme="minorEastAsia" w:eastAsiaTheme="minorEastAsia" w:cstheme="minorEastAsia"/>
                <w:i w:val="0"/>
                <w:iCs w:val="0"/>
                <w:caps w:val="0"/>
                <w:color w:val="000000" w:themeColor="text1"/>
                <w:spacing w:val="0"/>
                <w:sz w:val="24"/>
                <w:szCs w:val="24"/>
                <w:highlight w:val="none"/>
                <w:shd w:val="clear" w:color="auto" w:fill="FFFFFF"/>
                <w:lang w:val="en-US" w:eastAsia="zh-CN"/>
                <w14:textFill>
                  <w14:solidFill>
                    <w14:schemeClr w14:val="tx1"/>
                  </w14:solidFill>
                </w14:textFill>
              </w:rPr>
              <w:t>证书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”认证证书，不符合要求不得分。</w:t>
            </w:r>
          </w:p>
          <w:p w14:paraId="4B1BB75A">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2．任一认证证书有以下情形之一的，该认证证书视为无效，不予计分：</w:t>
            </w:r>
          </w:p>
          <w:p w14:paraId="5AF9631B">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①认证证书不在有效期内的；</w:t>
            </w:r>
          </w:p>
          <w:p w14:paraId="1C2D4258">
            <w:pPr>
              <w:pStyle w:val="52"/>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②未提供认证证书原件</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的</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w:t>
            </w:r>
          </w:p>
        </w:tc>
      </w:tr>
      <w:tr w14:paraId="4F1D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414" w:type="dxa"/>
            <w:vMerge w:val="continue"/>
            <w:vAlign w:val="center"/>
          </w:tcPr>
          <w:p w14:paraId="622CD72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BA6EC3A">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7400098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Merge w:val="restart"/>
            <w:vAlign w:val="center"/>
          </w:tcPr>
          <w:p w14:paraId="3D16F9A1">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招标人</w:t>
            </w:r>
          </w:p>
          <w:p w14:paraId="4B940FBE">
            <w:pPr>
              <w:wordWrap w:val="0"/>
              <w:adjustRightInd w:val="0"/>
              <w:snapToGrid w:val="0"/>
              <w:spacing w:line="420" w:lineRule="exact"/>
              <w:jc w:val="center"/>
              <w:rPr>
                <w:rFonts w:hint="default"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自选项</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(10分）</w:t>
            </w:r>
          </w:p>
          <w:p w14:paraId="75CBB794">
            <w:pPr>
              <w:wordWrap w:val="0"/>
              <w:adjustRightInd w:val="0"/>
              <w:snapToGrid w:val="0"/>
              <w:spacing w:line="42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tc>
        <w:tc>
          <w:tcPr>
            <w:tcW w:w="3504" w:type="dxa"/>
            <w:vAlign w:val="center"/>
          </w:tcPr>
          <w:p w14:paraId="63238CB3">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投标人近年度（202</w:t>
            </w:r>
            <w:r>
              <w:rPr>
                <w:rFonts w:hint="eastAsia" w:asciiTheme="minorEastAsia" w:hAnsiTheme="minorEastAsia" w:eastAsiaTheme="minorEastAsia" w:cstheme="minorEastAsia"/>
                <w:snapToGrid w:val="0"/>
                <w:color w:val="000000" w:themeColor="text1"/>
                <w:kern w:val="0"/>
                <w:sz w:val="24"/>
                <w:szCs w:val="24"/>
                <w:highlight w:val="none"/>
                <w:lang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年度~至今）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企业</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获得过</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高新技术企业</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证书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10853C82">
            <w:pPr>
              <w:adjustRightInd w:val="0"/>
              <w:snapToGrid w:val="0"/>
              <w:spacing w:line="420" w:lineRule="exact"/>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2.其他情形的，不予计分。</w:t>
            </w:r>
          </w:p>
          <w:p w14:paraId="61F58452">
            <w:pPr>
              <w:pStyle w:val="2"/>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val="0"/>
                <w:bCs/>
                <w:snapToGrid w:val="0"/>
                <w:color w:val="000000" w:themeColor="text1"/>
                <w:kern w:val="0"/>
                <w:sz w:val="24"/>
                <w:szCs w:val="24"/>
                <w:highlight w:val="none"/>
                <w14:textFill>
                  <w14:solidFill>
                    <w14:schemeClr w14:val="tx1"/>
                  </w14:solidFill>
                </w14:textFill>
              </w:rPr>
              <w:t>本项最高得</w:t>
            </w:r>
            <w:r>
              <w:rPr>
                <w:rFonts w:hint="eastAsia" w:asciiTheme="minorEastAsia" w:hAnsiTheme="minorEastAsia" w:eastAsiaTheme="minorEastAsia" w:cstheme="minorEastAsia"/>
                <w:b w:val="0"/>
                <w:bCs/>
                <w:snapToGrid w:val="0"/>
                <w:color w:val="000000" w:themeColor="text1"/>
                <w:kern w:val="0"/>
                <w:sz w:val="24"/>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b w:val="0"/>
                <w:bCs/>
                <w:snapToGrid w:val="0"/>
                <w:color w:val="000000" w:themeColor="text1"/>
                <w:kern w:val="0"/>
                <w:sz w:val="24"/>
                <w:szCs w:val="24"/>
                <w:highlight w:val="none"/>
                <w14:textFill>
                  <w14:solidFill>
                    <w14:schemeClr w14:val="tx1"/>
                  </w14:solidFill>
                </w14:textFill>
              </w:rPr>
              <w:t>分。</w:t>
            </w:r>
          </w:p>
        </w:tc>
        <w:tc>
          <w:tcPr>
            <w:tcW w:w="3539" w:type="dxa"/>
            <w:vAlign w:val="center"/>
          </w:tcPr>
          <w:p w14:paraId="48DC60C8">
            <w:pPr>
              <w:widowControl/>
              <w:wordWrap w:val="0"/>
              <w:adjustRightInd w:val="0"/>
              <w:snapToGrid w:val="0"/>
              <w:spacing w:line="400" w:lineRule="exact"/>
              <w:jc w:val="lef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提供高新技术企业证书彩色扫描件，</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（证书为电子证书的除外）</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；提供网上查询截图。</w:t>
            </w:r>
          </w:p>
        </w:tc>
      </w:tr>
      <w:tr w14:paraId="1AE1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414" w:type="dxa"/>
            <w:vMerge w:val="continue"/>
            <w:vAlign w:val="center"/>
          </w:tcPr>
          <w:p w14:paraId="782D5431">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3F23109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59AD23D8">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Merge w:val="continue"/>
            <w:vAlign w:val="center"/>
          </w:tcPr>
          <w:p w14:paraId="3C952972">
            <w:pPr>
              <w:wordWrap w:val="0"/>
              <w:adjustRightInd w:val="0"/>
              <w:snapToGrid w:val="0"/>
              <w:spacing w:line="420" w:lineRule="exact"/>
              <w:jc w:val="center"/>
              <w:rPr>
                <w:rStyle w:val="50"/>
                <w:rFonts w:hint="eastAsia" w:ascii="宋体" w:hAnsi="宋体" w:eastAsia="宋体" w:cs="宋体"/>
                <w:color w:val="000000" w:themeColor="text1"/>
                <w:sz w:val="24"/>
                <w:szCs w:val="24"/>
                <w:highlight w:val="none"/>
                <w14:textFill>
                  <w14:solidFill>
                    <w14:schemeClr w14:val="tx1"/>
                  </w14:solidFill>
                </w14:textFill>
              </w:rPr>
            </w:pPr>
          </w:p>
        </w:tc>
        <w:tc>
          <w:tcPr>
            <w:tcW w:w="3504" w:type="dxa"/>
            <w:vAlign w:val="center"/>
          </w:tcPr>
          <w:p w14:paraId="59891E92">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投标人近年度（202</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年度</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至今）参与了项目所在地的结对帮扶“百千万工程”等典型项目：</w:t>
            </w:r>
          </w:p>
          <w:p w14:paraId="61FE7D4A">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1．纯公益帮扶项目已完工，大于10万元、小于50万元（含50万元）的每个项目得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分； </w:t>
            </w:r>
          </w:p>
          <w:p w14:paraId="49B2FAC3">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2．纯公益帮扶项目已完工，大于1万元、小于10万元（含10万元）的每个项目得</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分；</w:t>
            </w:r>
          </w:p>
          <w:p w14:paraId="0E3A3A4F">
            <w:pPr>
              <w:spacing w:line="36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3.其他情形的，不予计分。</w:t>
            </w:r>
          </w:p>
          <w:p w14:paraId="53576AAA">
            <w:pPr>
              <w:spacing w:line="36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本项最高</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分。 </w:t>
            </w:r>
          </w:p>
        </w:tc>
        <w:tc>
          <w:tcPr>
            <w:tcW w:w="3539" w:type="dxa"/>
            <w:vAlign w:val="center"/>
          </w:tcPr>
          <w:p w14:paraId="552EFAEB">
            <w:pPr>
              <w:pStyle w:val="52"/>
              <w:spacing w:line="360" w:lineRule="exact"/>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1.需提供证明结对帮扶项目已录入“全省百千万工程”建筑企业与乡镇结对帮扶项目信息库；</w:t>
            </w:r>
          </w:p>
          <w:p w14:paraId="74ED9C2D">
            <w:pPr>
              <w:pStyle w:val="52"/>
              <w:spacing w:line="36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2.需提供</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项目</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所在的县建设主管部门出具的帮扶证明</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彩色扫描件</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w:t>
            </w:r>
            <w:r>
              <w:rPr>
                <w:rFonts w:hint="eastAsia" w:ascii="宋体" w:hAnsi="宋体" w:eastAsia="宋体" w:cs="宋体"/>
                <w:b/>
                <w:bCs/>
                <w:color w:val="000000" w:themeColor="text1"/>
                <w:spacing w:val="6"/>
                <w:sz w:val="24"/>
                <w:szCs w:val="24"/>
                <w:highlight w:val="none"/>
                <w14:textFill>
                  <w14:solidFill>
                    <w14:schemeClr w14:val="tx1"/>
                  </w14:solidFill>
                </w14:textFill>
              </w:rPr>
              <w:t>同时</w:t>
            </w:r>
            <w:r>
              <w:rPr>
                <w:rFonts w:hint="eastAsia" w:asciiTheme="minorEastAsia" w:hAnsiTheme="minorEastAsia" w:eastAsiaTheme="minorEastAsia" w:cstheme="minorEastAsia"/>
                <w:b/>
                <w:bCs/>
                <w:color w:val="000000" w:themeColor="text1"/>
                <w:sz w:val="24"/>
                <w:szCs w:val="24"/>
                <w:highlight w:val="none"/>
                <w14:textFill>
                  <w14:solidFill>
                    <w14:schemeClr w14:val="tx1"/>
                  </w14:solidFill>
                </w14:textFill>
              </w:rPr>
              <w:t>提供原件供核对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，且项目已录入“全省百千万工程”建筑企业与乡镇结对帮扶项目信息库。</w:t>
            </w:r>
          </w:p>
        </w:tc>
      </w:tr>
      <w:tr w14:paraId="34A8C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414" w:type="dxa"/>
            <w:vMerge w:val="continue"/>
            <w:vAlign w:val="center"/>
          </w:tcPr>
          <w:p w14:paraId="34086E9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3C8AC9FD">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restart"/>
            <w:vAlign w:val="center"/>
          </w:tcPr>
          <w:p w14:paraId="3A308127">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设计企业（</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941" w:type="dxa"/>
            <w:vAlign w:val="center"/>
          </w:tcPr>
          <w:p w14:paraId="27F179D5">
            <w:pPr>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设计</w:t>
            </w:r>
            <w:r>
              <w:rPr>
                <w:rFonts w:hint="eastAsia" w:ascii="宋体" w:hAnsi="宋体" w:eastAsia="宋体" w:cs="宋体"/>
                <w:color w:val="000000" w:themeColor="text1"/>
                <w:kern w:val="0"/>
                <w:sz w:val="24"/>
                <w:szCs w:val="24"/>
                <w:highlight w:val="none"/>
                <w14:textFill>
                  <w14:solidFill>
                    <w14:schemeClr w14:val="tx1"/>
                  </w14:solidFill>
                </w14:textFill>
              </w:rPr>
              <w:t>企业奖项（</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04" w:type="dxa"/>
            <w:vAlign w:val="center"/>
          </w:tcPr>
          <w:p w14:paraId="6074A64C">
            <w:pPr>
              <w:numPr>
                <w:ilvl w:val="0"/>
                <w:numId w:val="3"/>
              </w:numPr>
              <w:wordWrap w:val="0"/>
              <w:adjustRightInd w:val="0"/>
              <w:snapToGrid w:val="0"/>
              <w:spacing w:line="240" w:lineRule="auto"/>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企业近</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年来（</w:t>
            </w:r>
            <w:r>
              <w:rPr>
                <w:rFonts w:hint="eastAsia" w:hAnsi="宋体" w:eastAsia="宋体" w:cs="宋体"/>
                <w:color w:val="000000" w:themeColor="text1"/>
                <w:ker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kern w:val="0"/>
                <w:sz w:val="24"/>
                <w:szCs w:val="24"/>
                <w:highlight w:val="none"/>
                <w14:textFill>
                  <w14:solidFill>
                    <w14:schemeClr w14:val="tx1"/>
                  </w14:solidFill>
                </w14:textFill>
              </w:rPr>
              <w:t>年1月1日至今）获得</w:t>
            </w:r>
            <w:r>
              <w:rPr>
                <w:rFonts w:hint="eastAsia" w:hAnsi="宋体" w:eastAsia="宋体" w:cs="宋体"/>
                <w:color w:val="000000" w:themeColor="text1"/>
                <w:kern w:val="0"/>
                <w:sz w:val="24"/>
                <w:szCs w:val="24"/>
                <w:highlight w:val="none"/>
                <w:lang w:val="en-US" w:eastAsia="zh-CN"/>
                <w14:textFill>
                  <w14:solidFill>
                    <w14:schemeClr w14:val="tx1"/>
                  </w14:solidFill>
                </w14:textFill>
              </w:rPr>
              <w:t>过</w:t>
            </w:r>
            <w:r>
              <w:rPr>
                <w:rFonts w:hint="eastAsia" w:ascii="宋体" w:hAnsi="宋体" w:eastAsia="宋体" w:cs="宋体"/>
                <w:snapToGrid w:val="0"/>
                <w:color w:val="000000" w:themeColor="text1"/>
                <w:kern w:val="0"/>
                <w:sz w:val="24"/>
                <w:szCs w:val="24"/>
                <w:highlight w:val="none"/>
                <w14:textFill>
                  <w14:solidFill>
                    <w14:schemeClr w14:val="tx1"/>
                  </w14:solidFill>
                </w14:textFill>
              </w:rPr>
              <w:t>地级市</w:t>
            </w:r>
            <w:r>
              <w:rPr>
                <w:rFonts w:hint="eastAsia" w:ascii="宋体" w:hAnsi="宋体" w:eastAsia="宋体" w:cs="宋体"/>
                <w:snapToGrid w:val="0"/>
                <w:color w:val="000000" w:themeColor="text1"/>
                <w:kern w:val="0"/>
                <w:sz w:val="24"/>
                <w:szCs w:val="24"/>
                <w:highlight w:val="none"/>
                <w:lang w:val="en-US" w:eastAsia="zh-CN"/>
                <w14:textFill>
                  <w14:solidFill>
                    <w14:schemeClr w14:val="tx1"/>
                  </w14:solidFill>
                </w14:textFill>
              </w:rPr>
              <w:t>或以上</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房屋建筑</w:t>
            </w:r>
            <w:r>
              <w:rPr>
                <w:rFonts w:hint="eastAsia" w:hAnsi="宋体" w:eastAsia="宋体" w:cs="宋体"/>
                <w:color w:val="000000" w:themeColor="text1"/>
                <w:kern w:val="0"/>
                <w:sz w:val="24"/>
                <w:szCs w:val="24"/>
                <w:highlight w:val="none"/>
                <w:u w:val="single"/>
                <w:lang w:val="en-US" w:eastAsia="zh-CN"/>
                <w14:textFill>
                  <w14:solidFill>
                    <w14:schemeClr w14:val="tx1"/>
                  </w14:solidFill>
                </w14:textFill>
              </w:rPr>
              <w:t>或市政公用</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工程类设计奖项</w:t>
            </w:r>
            <w:r>
              <w:rPr>
                <w:rFonts w:hint="eastAsia" w:ascii="宋体" w:hAnsi="宋体" w:eastAsia="宋体" w:cs="宋体"/>
                <w:snapToGrid w:val="0"/>
                <w:color w:val="000000" w:themeColor="text1"/>
                <w:kern w:val="0"/>
                <w:sz w:val="24"/>
                <w:szCs w:val="24"/>
                <w:highlight w:val="none"/>
                <w14:textFill>
                  <w14:solidFill>
                    <w14:schemeClr w14:val="tx1"/>
                  </w14:solidFill>
                </w14:textFill>
              </w:rPr>
              <w:t>的，得</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hAnsi="宋体" w:eastAsia="宋体" w:cs="宋体"/>
                <w:snapToGrid w:val="0"/>
                <w:color w:val="000000" w:themeColor="text1"/>
                <w:kern w:val="0"/>
                <w:sz w:val="24"/>
                <w:szCs w:val="24"/>
                <w:highlight w:val="none"/>
                <w:u w:val="single"/>
                <w:lang w:val="en-US" w:eastAsia="zh-CN"/>
                <w14:textFill>
                  <w14:solidFill>
                    <w14:schemeClr w14:val="tx1"/>
                  </w14:solidFill>
                </w14:textFill>
              </w:rPr>
              <w:t>2</w:t>
            </w:r>
            <w:r>
              <w:rPr>
                <w:rFonts w:hint="eastAsia" w:ascii="宋体" w:hAnsi="宋体" w:eastAsia="宋体" w:cs="宋体"/>
                <w:snapToGrid w:val="0"/>
                <w:color w:val="000000" w:themeColor="text1"/>
                <w:kern w:val="0"/>
                <w:sz w:val="24"/>
                <w:szCs w:val="24"/>
                <w:highlight w:val="none"/>
                <w14:textFill>
                  <w14:solidFill>
                    <w14:schemeClr w14:val="tx1"/>
                  </w14:solidFill>
                </w14:textFill>
              </w:rPr>
              <w:t>分。</w:t>
            </w:r>
          </w:p>
          <w:p w14:paraId="0DCC1527">
            <w:pPr>
              <w:pStyle w:val="2"/>
              <w:numPr>
                <w:ilvl w:val="0"/>
                <w:numId w:val="0"/>
              </w:numPr>
              <w:spacing w:line="240" w:lineRule="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2.未获得以上奖项的，不予计分。</w:t>
            </w:r>
          </w:p>
          <w:p w14:paraId="4003550C">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.本项最高得</w:t>
            </w:r>
            <w:r>
              <w:rPr>
                <w:rFonts w:hint="eastAsia" w:hAnsi="宋体" w:eastAsia="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39" w:type="dxa"/>
            <w:vAlign w:val="center"/>
          </w:tcPr>
          <w:p w14:paraId="6D1B3BE4">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1.允许投标人提交多个业绩，但同一业绩只按最高级别奖项计分一次。</w:t>
            </w:r>
          </w:p>
          <w:p w14:paraId="77AA7892">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2.需附有关奖项证明彩色扫描件</w:t>
            </w:r>
            <w:r>
              <w:rPr>
                <w:rFonts w:hint="eastAsia"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或打印件）</w:t>
            </w:r>
            <w:r>
              <w:rPr>
                <w:rFonts w:hint="eastAsia" w:ascii="宋体" w:hAnsi="宋体" w:eastAsia="宋体" w:cs="宋体"/>
                <w:color w:val="000000" w:themeColor="text1"/>
                <w:kern w:val="0"/>
                <w:sz w:val="24"/>
                <w:szCs w:val="24"/>
                <w:highlight w:val="none"/>
                <w14:textFill>
                  <w14:solidFill>
                    <w14:schemeClr w14:val="tx1"/>
                  </w14:solidFill>
                </w14:textFill>
              </w:rPr>
              <w:t>。</w:t>
            </w:r>
          </w:p>
          <w:p w14:paraId="53F4A8FF">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r>
              <w:rPr>
                <w:rFonts w:hint="eastAsia" w:ascii="宋体" w:hAnsi="宋体" w:eastAsia="宋体" w:cs="宋体"/>
                <w:snapToGrid w:val="0"/>
                <w:color w:val="000000" w:themeColor="text1"/>
                <w:kern w:val="0"/>
                <w:sz w:val="24"/>
                <w:szCs w:val="24"/>
                <w:highlight w:val="none"/>
                <w14:textFill>
                  <w14:solidFill>
                    <w14:schemeClr w14:val="tx1"/>
                  </w14:solidFill>
                </w14:textFill>
              </w:rPr>
              <w:t>颁发机构限定以下范围：</w:t>
            </w:r>
          </w:p>
          <w:p w14:paraId="2D9B45F5">
            <w:pPr>
              <w:wordWrap w:val="0"/>
              <w:adjustRightInd w:val="0"/>
              <w:snapToGrid w:val="0"/>
              <w:spacing w:line="320" w:lineRule="exact"/>
              <w:rPr>
                <w:rFonts w:hint="eastAsia" w:ascii="宋体" w:hAnsi="宋体" w:eastAsia="宋体" w:cs="宋体"/>
                <w:b/>
                <w:bCs/>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①国家级奖项：</w:t>
            </w:r>
            <w:r>
              <w:rPr>
                <w:rFonts w:hint="eastAsia" w:ascii="宋体" w:hAnsi="宋体" w:eastAsia="宋体" w:cs="宋体"/>
                <w:color w:val="000000" w:themeColor="text1"/>
                <w:sz w:val="24"/>
                <w:szCs w:val="24"/>
                <w:highlight w:val="none"/>
                <w14:textFill>
                  <w14:solidFill>
                    <w14:schemeClr w14:val="tx1"/>
                  </w14:solidFill>
                </w14:textFill>
              </w:rPr>
              <w:t>国务院、</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、中国勘察设计协会等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745CDD7D">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②省级奖项：</w:t>
            </w:r>
            <w:r>
              <w:rPr>
                <w:rFonts w:hint="eastAsia" w:ascii="宋体" w:hAnsi="宋体" w:eastAsia="宋体" w:cs="宋体"/>
                <w:color w:val="000000" w:themeColor="text1"/>
                <w:sz w:val="24"/>
                <w:szCs w:val="24"/>
                <w:highlight w:val="none"/>
                <w14:textFill>
                  <w14:solidFill>
                    <w14:schemeClr w14:val="tx1"/>
                  </w14:solidFill>
                </w14:textFill>
              </w:rPr>
              <w:t>省级人民政府、省级</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门、省勘察设计协会等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3C7E65D8">
            <w:pPr>
              <w:wordWrap w:val="0"/>
              <w:adjustRightInd w:val="0"/>
              <w:snapToGrid w:val="0"/>
              <w:spacing w:line="320" w:lineRule="exac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③地级市级奖项：</w:t>
            </w:r>
            <w:r>
              <w:rPr>
                <w:rFonts w:hint="eastAsia" w:ascii="宋体" w:hAnsi="宋体" w:eastAsia="宋体" w:cs="宋体"/>
                <w:color w:val="000000" w:themeColor="text1"/>
                <w:sz w:val="24"/>
                <w:szCs w:val="24"/>
                <w:highlight w:val="none"/>
                <w14:textFill>
                  <w14:solidFill>
                    <w14:schemeClr w14:val="tx1"/>
                  </w14:solidFill>
                </w14:textFill>
              </w:rPr>
              <w:t>地级市级人民政府、地级市</w:t>
            </w:r>
            <w:r>
              <w:rPr>
                <w:rFonts w:hint="eastAsia" w:hAnsi="宋体" w:eastAsia="宋体" w:cs="宋体"/>
                <w:color w:val="000000" w:themeColor="text1"/>
                <w:sz w:val="24"/>
                <w:szCs w:val="24"/>
                <w:highlight w:val="none"/>
                <w:lang w:eastAsia="zh-CN"/>
                <w14:textFill>
                  <w14:solidFill>
                    <w14:schemeClr w14:val="tx1"/>
                  </w14:solidFill>
                </w14:textFill>
              </w:rPr>
              <w:t>住房和城乡建设部</w:t>
            </w:r>
            <w:r>
              <w:rPr>
                <w:rFonts w:hint="eastAsia" w:ascii="宋体" w:hAnsi="宋体" w:eastAsia="宋体" w:cs="宋体"/>
                <w:color w:val="000000" w:themeColor="text1"/>
                <w:sz w:val="24"/>
                <w:szCs w:val="24"/>
                <w:highlight w:val="none"/>
                <w14:textFill>
                  <w14:solidFill>
                    <w14:schemeClr w14:val="tx1"/>
                  </w14:solidFill>
                </w14:textFill>
              </w:rPr>
              <w:t>门、地级市勘察设计协会等</w:t>
            </w:r>
            <w:r>
              <w:rPr>
                <w:rFonts w:hint="eastAsia" w:ascii="宋体" w:hAnsi="宋体" w:eastAsia="宋体" w:cs="宋体"/>
                <w:snapToGrid w:val="0"/>
                <w:color w:val="000000" w:themeColor="text1"/>
                <w:kern w:val="0"/>
                <w:sz w:val="24"/>
                <w:szCs w:val="24"/>
                <w:highlight w:val="none"/>
                <w14:textFill>
                  <w14:solidFill>
                    <w14:schemeClr w14:val="tx1"/>
                  </w14:solidFill>
                </w14:textFill>
              </w:rPr>
              <w:t>。</w:t>
            </w:r>
          </w:p>
          <w:p w14:paraId="6BB55229">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4.获奖时间以奖项证明的落款日期为准。</w:t>
            </w:r>
          </w:p>
          <w:p w14:paraId="2B0D03CC">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5.任一奖项有以下情形之一的，该奖项视为无效，不予计分：</w:t>
            </w:r>
          </w:p>
          <w:p w14:paraId="3A3014C3">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①奖项不属于指定类别的；</w:t>
            </w:r>
          </w:p>
          <w:p w14:paraId="67E56EB0">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②颁发机构不符合要求的；</w:t>
            </w:r>
          </w:p>
          <w:p w14:paraId="06E9CBB1">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③获奖时间不符合要求的。</w:t>
            </w:r>
          </w:p>
        </w:tc>
      </w:tr>
      <w:tr w14:paraId="2A26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959F9A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A30FB9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Merge w:val="continue"/>
            <w:vAlign w:val="center"/>
          </w:tcPr>
          <w:p w14:paraId="18F3088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941" w:type="dxa"/>
            <w:vAlign w:val="center"/>
          </w:tcPr>
          <w:p w14:paraId="7D278D34">
            <w:pPr>
              <w:spacing w:line="3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设计企业业绩（</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3504" w:type="dxa"/>
            <w:vAlign w:val="center"/>
          </w:tcPr>
          <w:p w14:paraId="1A198352">
            <w:pPr>
              <w:adjustRightInd w:val="0"/>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企业近</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年来（</w:t>
            </w:r>
            <w:r>
              <w:rPr>
                <w:rFonts w:hint="eastAsia" w:hAnsi="宋体" w:eastAsia="宋体" w:cs="宋体"/>
                <w:color w:val="000000" w:themeColor="text1"/>
                <w:kern w:val="0"/>
                <w:sz w:val="24"/>
                <w:szCs w:val="24"/>
                <w:highlight w:val="none"/>
                <w:lang w:val="en-US" w:eastAsia="zh-CN"/>
                <w14:textFill>
                  <w14:solidFill>
                    <w14:schemeClr w14:val="tx1"/>
                  </w14:solidFill>
                </w14:textFill>
              </w:rPr>
              <w:t>2022</w:t>
            </w:r>
            <w:r>
              <w:rPr>
                <w:rFonts w:hint="eastAsia" w:ascii="宋体" w:hAnsi="宋体" w:eastAsia="宋体" w:cs="宋体"/>
                <w:color w:val="000000" w:themeColor="text1"/>
                <w:kern w:val="0"/>
                <w:sz w:val="24"/>
                <w:szCs w:val="24"/>
                <w:highlight w:val="none"/>
                <w14:textFill>
                  <w14:solidFill>
                    <w14:schemeClr w14:val="tx1"/>
                  </w14:solidFill>
                </w14:textFill>
              </w:rPr>
              <w:t>年1月1日至今）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同类</w:t>
            </w:r>
            <w:r>
              <w:rPr>
                <w:rFonts w:hint="eastAsia" w:ascii="宋体" w:hAnsi="宋体" w:eastAsia="宋体" w:cs="宋体"/>
                <w:color w:val="000000" w:themeColor="text1"/>
                <w:kern w:val="0"/>
                <w:sz w:val="24"/>
                <w:szCs w:val="24"/>
                <w:highlight w:val="none"/>
                <w14:textFill>
                  <w14:solidFill>
                    <w14:schemeClr w14:val="tx1"/>
                  </w14:solidFill>
                </w14:textFill>
              </w:rPr>
              <w:t>业绩情况：</w:t>
            </w:r>
          </w:p>
          <w:p w14:paraId="52E07BC7">
            <w:pPr>
              <w:numPr>
                <w:ilvl w:val="0"/>
                <w:numId w:val="4"/>
              </w:numPr>
              <w:adjustRightInd w:val="0"/>
              <w:snapToGrid w:val="0"/>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u w:val="single"/>
                <w14:textFill>
                  <w14:solidFill>
                    <w14:schemeClr w14:val="tx1"/>
                  </w14:solidFill>
                </w14:textFill>
              </w:rPr>
              <w:t>承接</w:t>
            </w:r>
            <w:r>
              <w:rPr>
                <w:rFonts w:hint="eastAsia" w:ascii="宋体" w:hAnsi="宋体" w:eastAsia="宋体" w:cs="宋体"/>
                <w:color w:val="000000" w:themeColor="text1"/>
                <w:kern w:val="0"/>
                <w:sz w:val="24"/>
                <w:szCs w:val="24"/>
                <w:highlight w:val="none"/>
                <w14:textFill>
                  <w14:solidFill>
                    <w14:schemeClr w14:val="tx1"/>
                  </w14:solidFill>
                </w14:textFill>
              </w:rPr>
              <w:t>过</w:t>
            </w:r>
            <w:r>
              <w:rPr>
                <w:rFonts w:hint="eastAsia" w:ascii="宋体" w:hAnsi="宋体" w:eastAsia="宋体" w:cs="宋体"/>
                <w:color w:val="000000" w:themeColor="text1"/>
                <w:kern w:val="0"/>
                <w:sz w:val="24"/>
                <w:szCs w:val="24"/>
                <w:highlight w:val="none"/>
                <w:u w:val="single"/>
                <w14:textFill>
                  <w14:solidFill>
                    <w14:schemeClr w14:val="tx1"/>
                  </w14:solidFill>
                </w14:textFill>
              </w:rPr>
              <w:t xml:space="preserve"> 房屋建筑</w:t>
            </w:r>
            <w:r>
              <w:rPr>
                <w:rFonts w:hint="eastAsia" w:hAnsi="宋体" w:eastAsia="宋体" w:cs="宋体"/>
                <w:color w:val="000000" w:themeColor="text1"/>
                <w:kern w:val="0"/>
                <w:sz w:val="24"/>
                <w:szCs w:val="24"/>
                <w:highlight w:val="none"/>
                <w:u w:val="single"/>
                <w:lang w:val="en-US" w:eastAsia="zh-CN"/>
                <w14:textFill>
                  <w14:solidFill>
                    <w14:schemeClr w14:val="tx1"/>
                  </w14:solidFill>
                </w14:textFill>
              </w:rPr>
              <w:t>或市政公用</w:t>
            </w:r>
            <w:r>
              <w:rPr>
                <w:rFonts w:hint="eastAsia" w:ascii="宋体" w:hAnsi="宋体" w:eastAsia="宋体" w:cs="宋体"/>
                <w:color w:val="000000" w:themeColor="text1"/>
                <w:kern w:val="0"/>
                <w:sz w:val="24"/>
                <w:szCs w:val="24"/>
                <w:highlight w:val="none"/>
                <w14:textFill>
                  <w14:solidFill>
                    <w14:schemeClr w14:val="tx1"/>
                  </w14:solidFill>
                </w14:textFill>
              </w:rPr>
              <w:t>工程类设计项目，每个得</w:t>
            </w:r>
            <w:r>
              <w:rPr>
                <w:rFonts w:hint="eastAsia" w:hAnsi="宋体" w:eastAsia="宋体" w:cs="宋体"/>
                <w:color w:val="000000" w:themeColor="text1"/>
                <w:kern w:val="0"/>
                <w:sz w:val="24"/>
                <w:szCs w:val="24"/>
                <w:highlight w:val="none"/>
                <w:lang w:val="en-US" w:eastAsia="zh-CN"/>
                <w14:textFill>
                  <w14:solidFill>
                    <w14:schemeClr w14:val="tx1"/>
                  </w14:solidFill>
                </w14:textFill>
              </w:rPr>
              <w:t>1.5</w:t>
            </w:r>
            <w:r>
              <w:rPr>
                <w:rFonts w:hint="eastAsia" w:ascii="宋体" w:hAnsi="宋体" w:eastAsia="宋体" w:cs="宋体"/>
                <w:color w:val="000000" w:themeColor="text1"/>
                <w:kern w:val="0"/>
                <w:sz w:val="24"/>
                <w:szCs w:val="24"/>
                <w:highlight w:val="none"/>
                <w14:textFill>
                  <w14:solidFill>
                    <w14:schemeClr w14:val="tx1"/>
                  </w14:solidFill>
                </w14:textFill>
              </w:rPr>
              <w:t>分。</w:t>
            </w:r>
          </w:p>
          <w:p w14:paraId="4AA45F97">
            <w:pPr>
              <w:pStyle w:val="2"/>
              <w:numPr>
                <w:ilvl w:val="0"/>
                <w:numId w:val="0"/>
              </w:numPr>
              <w:spacing w:line="240" w:lineRule="auto"/>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2.未</w:t>
            </w:r>
            <w:r>
              <w:rPr>
                <w:rFonts w:hint="eastAsia" w:ascii="宋体" w:hAnsi="宋体" w:eastAsia="宋体" w:cs="宋体"/>
                <w:b w:val="0"/>
                <w:color w:val="000000" w:themeColor="text1"/>
                <w:kern w:val="0"/>
                <w:sz w:val="24"/>
                <w:szCs w:val="24"/>
                <w:highlight w:val="none"/>
                <w:u w:val="single"/>
                <w:lang w:val="en-US" w:eastAsia="zh-CN" w:bidi="ar-SA"/>
                <w14:textFill>
                  <w14:solidFill>
                    <w14:schemeClr w14:val="tx1"/>
                  </w14:solidFill>
                </w14:textFill>
              </w:rPr>
              <w:t>承接</w:t>
            </w:r>
            <w:r>
              <w:rPr>
                <w:rFonts w:hint="eastAsia" w:ascii="宋体" w:hAnsi="宋体" w:eastAsia="宋体" w:cs="宋体"/>
                <w:b w:val="0"/>
                <w:color w:val="000000" w:themeColor="text1"/>
                <w:kern w:val="0"/>
                <w:sz w:val="24"/>
                <w:szCs w:val="24"/>
                <w:highlight w:val="none"/>
                <w:lang w:val="en-US" w:eastAsia="zh-CN" w:bidi="ar-SA"/>
                <w14:textFill>
                  <w14:solidFill>
                    <w14:schemeClr w14:val="tx1"/>
                  </w14:solidFill>
                </w14:textFill>
              </w:rPr>
              <w:t>过类似工程的，不予计</w:t>
            </w:r>
          </w:p>
          <w:p w14:paraId="00EC056C">
            <w:pPr>
              <w:adjustRightInd w:val="0"/>
              <w:snapToGrid w:val="0"/>
              <w:spacing w:line="240" w:lineRule="auto"/>
              <w:jc w:val="left"/>
              <w:rPr>
                <w:rFonts w:hint="eastAsia" w:hAnsi="宋体" w:eastAsia="宋体" w:cs="宋体"/>
                <w:b w:val="0"/>
                <w:color w:val="000000" w:themeColor="text1"/>
                <w:kern w:val="0"/>
                <w:sz w:val="24"/>
                <w:szCs w:val="24"/>
                <w:highlight w:val="none"/>
                <w:lang w:val="en-US" w:eastAsia="zh-CN" w:bidi="ar-SA"/>
                <w14:textFill>
                  <w14:solidFill>
                    <w14:schemeClr w14:val="tx1"/>
                  </w14:solidFill>
                </w14:textFill>
              </w:rPr>
            </w:pPr>
            <w:r>
              <w:rPr>
                <w:rFonts w:hint="eastAsia" w:hAnsi="宋体" w:eastAsia="宋体" w:cs="宋体"/>
                <w:b w:val="0"/>
                <w:color w:val="000000" w:themeColor="text1"/>
                <w:kern w:val="0"/>
                <w:sz w:val="24"/>
                <w:szCs w:val="24"/>
                <w:highlight w:val="none"/>
                <w:lang w:val="en-US" w:eastAsia="zh-CN" w:bidi="ar-SA"/>
                <w14:textFill>
                  <w14:solidFill>
                    <w14:schemeClr w14:val="tx1"/>
                  </w14:solidFill>
                </w14:textFill>
              </w:rPr>
              <w:t>分。</w:t>
            </w:r>
          </w:p>
          <w:p w14:paraId="5ED30B1B">
            <w:pPr>
              <w:adjustRightInd w:val="0"/>
              <w:snapToGrid w:val="0"/>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．本项最高得</w:t>
            </w:r>
            <w:r>
              <w:rPr>
                <w:rFonts w:hint="eastAsia" w:hAnsi="宋体" w:eastAsia="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 xml:space="preserve">分。 </w:t>
            </w:r>
          </w:p>
        </w:tc>
        <w:tc>
          <w:tcPr>
            <w:tcW w:w="3539" w:type="dxa"/>
            <w:vAlign w:val="center"/>
          </w:tcPr>
          <w:p w14:paraId="3656842A">
            <w:pPr>
              <w:spacing w:line="340" w:lineRule="exact"/>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1.需附有关业绩合同协议书</w:t>
            </w:r>
            <w:r>
              <w:rPr>
                <w:rFonts w:hint="eastAsia" w:ascii="宋体" w:hAnsi="宋体" w:eastAsia="宋体" w:cs="宋体"/>
                <w:color w:val="000000" w:themeColor="text1"/>
                <w:kern w:val="0"/>
                <w:sz w:val="24"/>
                <w:szCs w:val="24"/>
                <w:highlight w:val="none"/>
                <w14:textFill>
                  <w14:solidFill>
                    <w14:schemeClr w14:val="tx1"/>
                  </w14:solidFill>
                </w14:textFill>
              </w:rPr>
              <w:t>及中标通知书</w:t>
            </w:r>
            <w:r>
              <w:rPr>
                <w:rFonts w:hint="eastAsia" w:ascii="宋体" w:hAnsi="宋体" w:eastAsia="宋体" w:cs="宋体"/>
                <w:snapToGrid w:val="0"/>
                <w:color w:val="000000" w:themeColor="text1"/>
                <w:kern w:val="0"/>
                <w:sz w:val="24"/>
                <w:szCs w:val="24"/>
                <w:highlight w:val="none"/>
                <w14:textFill>
                  <w14:solidFill>
                    <w14:schemeClr w14:val="tx1"/>
                  </w14:solidFill>
                </w14:textFill>
              </w:rPr>
              <w:t>彩色扫描件</w:t>
            </w:r>
            <w:r>
              <w:rPr>
                <w:rFonts w:hint="eastAsia" w:hAnsi="宋体" w:eastAsia="宋体" w:cs="宋体"/>
                <w:snapToGrid w:val="0"/>
                <w:color w:val="000000" w:themeColor="text1"/>
                <w:kern w:val="0"/>
                <w:sz w:val="24"/>
                <w:szCs w:val="24"/>
                <w:highlight w:val="none"/>
                <w:lang w:eastAsia="zh-CN"/>
                <w14:textFill>
                  <w14:solidFill>
                    <w14:schemeClr w14:val="tx1"/>
                  </w14:solidFill>
                </w14:textFill>
              </w:rPr>
              <w:t>（</w:t>
            </w:r>
            <w:r>
              <w:rPr>
                <w:rFonts w:hint="eastAsia" w:hAnsi="宋体" w:eastAsia="宋体" w:cs="宋体"/>
                <w:snapToGrid w:val="0"/>
                <w:color w:val="000000" w:themeColor="text1"/>
                <w:kern w:val="0"/>
                <w:sz w:val="24"/>
                <w:szCs w:val="24"/>
                <w:highlight w:val="none"/>
                <w:lang w:val="en-US" w:eastAsia="zh-CN"/>
                <w14:textFill>
                  <w14:solidFill>
                    <w14:schemeClr w14:val="tx1"/>
                  </w14:solidFill>
                </w14:textFill>
              </w:rPr>
              <w:t>或打印件）</w:t>
            </w:r>
            <w:r>
              <w:rPr>
                <w:rFonts w:hint="eastAsia" w:ascii="宋体" w:hAnsi="宋体" w:eastAsia="宋体" w:cs="宋体"/>
                <w:color w:val="000000" w:themeColor="text1"/>
                <w:kern w:val="0"/>
                <w:sz w:val="24"/>
                <w:szCs w:val="24"/>
                <w:highlight w:val="none"/>
                <w14:textFill>
                  <w14:solidFill>
                    <w14:schemeClr w14:val="tx1"/>
                  </w14:solidFill>
                </w14:textFill>
              </w:rPr>
              <w:t>，证明文件不全不计分。</w:t>
            </w:r>
          </w:p>
          <w:p w14:paraId="3525D327">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2.业绩时间以合同协议书日期为准。</w:t>
            </w:r>
          </w:p>
          <w:p w14:paraId="1F42FFFD">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3.任一业绩有以下情形之一的，该业绩视为无效，不予计分：</w:t>
            </w:r>
          </w:p>
          <w:p w14:paraId="063FD2EC">
            <w:pPr>
              <w:wordWrap w:val="0"/>
              <w:adjustRightInd w:val="0"/>
              <w:snapToGrid w:val="0"/>
              <w:spacing w:line="320" w:lineRule="exac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①业绩不属于类似工程的；</w:t>
            </w:r>
          </w:p>
          <w:p w14:paraId="7C359C2E">
            <w:pPr>
              <w:spacing w:line="340" w:lineRule="exact"/>
              <w:jc w:val="lef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②</w:t>
            </w:r>
            <w:r>
              <w:rPr>
                <w:rFonts w:hint="eastAsia" w:ascii="宋体" w:hAnsi="宋体" w:eastAsia="宋体" w:cs="宋体"/>
                <w:snapToGrid w:val="0"/>
                <w:color w:val="000000" w:themeColor="text1"/>
                <w:kern w:val="0"/>
                <w:sz w:val="24"/>
                <w:szCs w:val="24"/>
                <w:highlight w:val="none"/>
                <w14:textFill>
                  <w14:solidFill>
                    <w14:schemeClr w14:val="tx1"/>
                  </w14:solidFill>
                </w14:textFill>
              </w:rPr>
              <w:t>业绩时间不符合要求的。</w:t>
            </w:r>
          </w:p>
        </w:tc>
      </w:tr>
      <w:tr w14:paraId="18AA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restart"/>
            <w:vAlign w:val="center"/>
          </w:tcPr>
          <w:p w14:paraId="51F376A2">
            <w:pPr>
              <w:widowControl/>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2</w:t>
            </w:r>
          </w:p>
        </w:tc>
        <w:tc>
          <w:tcPr>
            <w:tcW w:w="446" w:type="dxa"/>
            <w:vMerge w:val="restart"/>
            <w:vAlign w:val="center"/>
          </w:tcPr>
          <w:p w14:paraId="1B0F1086">
            <w:pPr>
              <w:widowControl/>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技术部分得</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hAnsi="宋体" w:eastAsia="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w:t>
            </w:r>
          </w:p>
        </w:tc>
        <w:tc>
          <w:tcPr>
            <w:tcW w:w="1514" w:type="dxa"/>
            <w:gridSpan w:val="2"/>
            <w:vAlign w:val="center"/>
          </w:tcPr>
          <w:p w14:paraId="454AD3A2">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对项目的概况的了解</w:t>
            </w:r>
          </w:p>
          <w:p w14:paraId="7030DBB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2F20667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对本次招标项目的概况、规模等描述详尽、透彻的。有此项描述得基本分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30D1EAB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014F624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3DB680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4DA3AFE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40BDC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01C44D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E7A6F5C">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490E6708">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对本招标项目所在地的建设条件的认识</w:t>
            </w:r>
          </w:p>
          <w:p w14:paraId="78DDAA5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0E64555E">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对招标项目所在区域建设条件的认识全面、深刻的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有现场调研记录的</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68DE1788">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2C16BE7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7B6DB900">
            <w:pPr>
              <w:keepNext w:val="0"/>
              <w:keepLines w:val="0"/>
              <w:pageBreakBefore w:val="0"/>
              <w:widowControl w:val="0"/>
              <w:kinsoku/>
              <w:overflowPunct/>
              <w:topLinePunct w:val="0"/>
              <w:autoSpaceDE/>
              <w:autoSpaceDN/>
              <w:bidi w:val="0"/>
              <w:snapToGrid/>
              <w:spacing w:line="360" w:lineRule="exact"/>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1A1DD5AC">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74EEA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414" w:type="dxa"/>
            <w:vMerge w:val="continue"/>
            <w:vAlign w:val="center"/>
          </w:tcPr>
          <w:p w14:paraId="1D01DA2B">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0BBCF6E9">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52BE11B4">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设计方案思路</w:t>
            </w:r>
          </w:p>
          <w:p w14:paraId="2EC3614A">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67CF44A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方案能对项目设计所涉及的相关方面问题提出合理设计思路、经济性及可行性分析详细的</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符合现场客观情况的</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7F440272">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1AD8DD1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5E01FAB">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6D6C6BDD">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23136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55DB7DE">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2F08BF4">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3057E4E8">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设计进度计划安排及保证措施</w:t>
            </w:r>
          </w:p>
          <w:p w14:paraId="5E0D271F">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12D28FA5">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lang w:val="zh-CN"/>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设计进度、</w:t>
            </w:r>
            <w:r>
              <w:rPr>
                <w:rFonts w:hint="eastAsia" w:ascii="宋体" w:hAnsi="Times New Roman" w:eastAsia="宋体" w:cs="Times New Roman"/>
                <w:color w:val="000000" w:themeColor="text1"/>
                <w:sz w:val="24"/>
                <w:szCs w:val="24"/>
                <w:highlight w:val="none"/>
                <w:lang w:val="zh-CN"/>
                <w14:textFill>
                  <w14:solidFill>
                    <w14:schemeClr w14:val="tx1"/>
                  </w14:solidFill>
                </w14:textFill>
              </w:rPr>
              <w:t>质量保证措施具体、针对性强。</w:t>
            </w:r>
            <w:r>
              <w:rPr>
                <w:rFonts w:hint="eastAsia" w:ascii="宋体" w:hAnsi="Times New Roman" w:eastAsia="宋体" w:cs="Times New Roman"/>
                <w:color w:val="000000" w:themeColor="text1"/>
                <w:sz w:val="24"/>
                <w:szCs w:val="24"/>
                <w:highlight w:val="none"/>
                <w14:textFill>
                  <w14:solidFill>
                    <w14:schemeClr w14:val="tx1"/>
                  </w14:solidFill>
                </w14:textFill>
              </w:rPr>
              <w:t>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3D7ABE17">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09EC4BF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2DD35EA4">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0429F6C6">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351A4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2" w:hRule="atLeast"/>
          <w:jc w:val="center"/>
        </w:trPr>
        <w:tc>
          <w:tcPr>
            <w:tcW w:w="414" w:type="dxa"/>
            <w:vMerge w:val="continue"/>
            <w:vAlign w:val="center"/>
          </w:tcPr>
          <w:p w14:paraId="34806FF2">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6FC08266">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1514" w:type="dxa"/>
            <w:gridSpan w:val="2"/>
            <w:vAlign w:val="center"/>
          </w:tcPr>
          <w:p w14:paraId="3F16A86F">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后续服务内容及承诺</w:t>
            </w:r>
          </w:p>
          <w:p w14:paraId="767C36E7">
            <w:pPr>
              <w:keepNext w:val="0"/>
              <w:keepLines w:val="0"/>
              <w:pageBreakBefore w:val="0"/>
              <w:widowControl w:val="0"/>
              <w:kinsoku/>
              <w:overflowPunct/>
              <w:topLinePunct w:val="0"/>
              <w:autoSpaceDE/>
              <w:autoSpaceDN/>
              <w:bidi w:val="0"/>
              <w:snapToGrid/>
              <w:spacing w:line="36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tc>
        <w:tc>
          <w:tcPr>
            <w:tcW w:w="7043" w:type="dxa"/>
            <w:gridSpan w:val="2"/>
            <w:vAlign w:val="center"/>
          </w:tcPr>
          <w:p w14:paraId="4463B78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后续服务安排措施合理、全面、切实可行并提供合理、可靠的承诺。有此项描述得基本分</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1</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1BC8A37C">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【优】得该细项分的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9-1</w:t>
            </w:r>
            <w:r>
              <w:rPr>
                <w:rFonts w:hint="eastAsia" w:ascii="宋体" w:hAnsi="Times New Roman" w:eastAsia="宋体" w:cs="Times New Roman"/>
                <w:color w:val="000000" w:themeColor="text1"/>
                <w:sz w:val="24"/>
                <w:szCs w:val="24"/>
                <w:highlight w:val="none"/>
                <w14:textFill>
                  <w14:solidFill>
                    <w14:schemeClr w14:val="tx1"/>
                  </w14:solidFill>
                </w14:textFill>
              </w:rPr>
              <w:t>.0分；</w:t>
            </w:r>
          </w:p>
          <w:p w14:paraId="4B8B5DDF">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中</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7-0.8</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2B1C60E3">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宋体" w:hAnsi="Times New Roman" w:eastAsia="宋体" w:cs="Times New Roman"/>
                <w:color w:val="000000" w:themeColor="text1"/>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合格</w:t>
            </w:r>
            <w:r>
              <w:rPr>
                <w:rFonts w:hint="eastAsia" w:ascii="宋体" w:hAnsi="Times New Roman" w:eastAsia="宋体" w:cs="Times New Roman"/>
                <w:color w:val="000000" w:themeColor="text1"/>
                <w:sz w:val="24"/>
                <w:szCs w:val="24"/>
                <w:highlight w:val="none"/>
                <w14:textFill>
                  <w14:solidFill>
                    <w14:schemeClr w14:val="tx1"/>
                  </w14:solidFill>
                </w14:textFill>
              </w:rPr>
              <w:t>】得该细项分的</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0</w:t>
            </w:r>
            <w:r>
              <w:rPr>
                <w:rFonts w:hint="eastAsia" w:ascii="宋体" w:hAnsi="Times New Roman" w:eastAsia="宋体" w:cs="Times New Roman"/>
                <w:color w:val="000000" w:themeColor="text1"/>
                <w:sz w:val="24"/>
                <w:szCs w:val="24"/>
                <w:highlight w:val="none"/>
                <w14:textFill>
                  <w14:solidFill>
                    <w14:schemeClr w14:val="tx1"/>
                  </w14:solidFill>
                </w14:textFill>
              </w:rPr>
              <w:t>.</w:t>
            </w: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5-0.6</w:t>
            </w:r>
            <w:r>
              <w:rPr>
                <w:rFonts w:hint="eastAsia" w:ascii="宋体" w:hAnsi="Times New Roman" w:eastAsia="宋体" w:cs="Times New Roman"/>
                <w:color w:val="000000" w:themeColor="text1"/>
                <w:sz w:val="24"/>
                <w:szCs w:val="24"/>
                <w:highlight w:val="none"/>
                <w14:textFill>
                  <w14:solidFill>
                    <w14:schemeClr w14:val="tx1"/>
                  </w14:solidFill>
                </w14:textFill>
              </w:rPr>
              <w:t>分；</w:t>
            </w:r>
          </w:p>
          <w:p w14:paraId="4B110DA9">
            <w:pPr>
              <w:keepNext w:val="0"/>
              <w:keepLines w:val="0"/>
              <w:pageBreakBefore w:val="0"/>
              <w:widowControl w:val="0"/>
              <w:kinsoku/>
              <w:overflowPunct/>
              <w:topLinePunct w:val="0"/>
              <w:autoSpaceDE/>
              <w:autoSpaceDN/>
              <w:bidi w:val="0"/>
              <w:snapToGrid/>
              <w:spacing w:line="360" w:lineRule="exact"/>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Times New Roman" w:eastAsia="宋体" w:cs="Times New Roman"/>
                <w:color w:val="000000" w:themeColor="text1"/>
                <w:sz w:val="24"/>
                <w:szCs w:val="24"/>
                <w:highlight w:val="none"/>
                <w:lang w:val="en-US" w:eastAsia="zh-CN"/>
                <w14:textFill>
                  <w14:solidFill>
                    <w14:schemeClr w14:val="tx1"/>
                  </w14:solidFill>
                </w14:textFill>
              </w:rPr>
              <w:t>不提供材料或无该项描述的</w:t>
            </w:r>
            <w:r>
              <w:rPr>
                <w:rFonts w:hint="eastAsia" w:ascii="宋体" w:hAnsi="Times New Roman" w:eastAsia="宋体" w:cs="Times New Roman"/>
                <w:color w:val="000000" w:themeColor="text1"/>
                <w:sz w:val="24"/>
                <w:szCs w:val="24"/>
                <w:highlight w:val="none"/>
                <w14:textFill>
                  <w14:solidFill>
                    <w14:schemeClr w14:val="tx1"/>
                  </w14:solidFill>
                </w14:textFill>
              </w:rPr>
              <w:t>得0分</w:t>
            </w:r>
            <w:r>
              <w:rPr>
                <w:rFonts w:hint="eastAsia" w:ascii="宋体" w:hAnsi="Times New Roman" w:eastAsia="宋体" w:cs="Times New Roman"/>
                <w:color w:val="000000" w:themeColor="text1"/>
                <w:sz w:val="24"/>
                <w:szCs w:val="24"/>
                <w:highlight w:val="none"/>
                <w:lang w:eastAsia="zh-CN"/>
                <w14:textFill>
                  <w14:solidFill>
                    <w14:schemeClr w14:val="tx1"/>
                  </w14:solidFill>
                </w14:textFill>
              </w:rPr>
              <w:t>。</w:t>
            </w:r>
          </w:p>
        </w:tc>
      </w:tr>
      <w:tr w14:paraId="2C355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jc w:val="center"/>
        </w:trPr>
        <w:tc>
          <w:tcPr>
            <w:tcW w:w="414" w:type="dxa"/>
            <w:vMerge w:val="restart"/>
            <w:vAlign w:val="center"/>
          </w:tcPr>
          <w:p w14:paraId="0D342AE1">
            <w:pPr>
              <w:widowControl/>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hAnsi="宋体" w:eastAsia="宋体" w:cs="宋体"/>
                <w:color w:val="000000" w:themeColor="text1"/>
                <w:kern w:val="0"/>
                <w:sz w:val="24"/>
                <w:szCs w:val="24"/>
                <w:highlight w:val="none"/>
                <w:lang w:val="en-US" w:eastAsia="zh-CN"/>
                <w14:textFill>
                  <w14:solidFill>
                    <w14:schemeClr w14:val="tx1"/>
                  </w14:solidFill>
                </w14:textFill>
              </w:rPr>
              <w:t>3</w:t>
            </w:r>
          </w:p>
        </w:tc>
        <w:tc>
          <w:tcPr>
            <w:tcW w:w="446" w:type="dxa"/>
            <w:vMerge w:val="restart"/>
            <w:vAlign w:val="center"/>
          </w:tcPr>
          <w:p w14:paraId="27287938">
            <w:pPr>
              <w:pStyle w:val="8"/>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经济部分得分</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b w:val="0"/>
                <w:bCs/>
                <w:color w:val="000000" w:themeColor="text1"/>
                <w:sz w:val="24"/>
                <w:szCs w:val="24"/>
                <w:highlight w:val="none"/>
                <w14:textFill>
                  <w14:solidFill>
                    <w14:schemeClr w14:val="tx1"/>
                  </w14:solidFill>
                </w14:textFill>
              </w:rPr>
              <w:t>50分）</w:t>
            </w:r>
          </w:p>
        </w:tc>
        <w:tc>
          <w:tcPr>
            <w:tcW w:w="573" w:type="dxa"/>
            <w:vAlign w:val="center"/>
          </w:tcPr>
          <w:p w14:paraId="2B9993C9">
            <w:pPr>
              <w:spacing w:line="360" w:lineRule="exact"/>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评标基准价D</w:t>
            </w:r>
          </w:p>
        </w:tc>
        <w:tc>
          <w:tcPr>
            <w:tcW w:w="7984" w:type="dxa"/>
            <w:gridSpan w:val="3"/>
            <w:vAlign w:val="center"/>
          </w:tcPr>
          <w:p w14:paraId="0326390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（1）确定</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下浮系数n：用1～21号球分别代表一个下浮系数，由评委代表从这21个号码中随机抽取3次，每次抽取1个号码，抽出的号球不参与下次抽取。所抽取的3个号码对应下浮系数的算术平均值作为</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下浮系数n。具体号码对应的下浮系数可参考下表。</w:t>
            </w:r>
          </w:p>
          <w:tbl>
            <w:tblPr>
              <w:tblStyle w:val="21"/>
              <w:tblW w:w="0" w:type="auto"/>
              <w:tblInd w:w="113" w:type="dxa"/>
              <w:shd w:val="clear" w:color="auto" w:fill="FFFFFF"/>
              <w:tblLayout w:type="fixed"/>
              <w:tblCellMar>
                <w:top w:w="0" w:type="dxa"/>
                <w:left w:w="108" w:type="dxa"/>
                <w:bottom w:w="0" w:type="dxa"/>
                <w:right w:w="108" w:type="dxa"/>
              </w:tblCellMar>
            </w:tblPr>
            <w:tblGrid>
              <w:gridCol w:w="1408"/>
              <w:gridCol w:w="718"/>
              <w:gridCol w:w="782"/>
              <w:gridCol w:w="792"/>
              <w:gridCol w:w="1025"/>
              <w:gridCol w:w="969"/>
              <w:gridCol w:w="913"/>
              <w:gridCol w:w="753"/>
            </w:tblGrid>
            <w:tr w14:paraId="017D7ABF">
              <w:tblPrEx>
                <w:shd w:val="clear" w:color="auto" w:fill="FFFFFF"/>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17A04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9CCF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811C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77F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8EC7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F6896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5BED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C08F2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r>
            <w:tr w14:paraId="60037B79">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FE29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8996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4E5B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8FB2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122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1272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3EC6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B8C19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r>
            <w:tr w14:paraId="7DAE0518">
              <w:tblPrEx>
                <w:tblCellMar>
                  <w:top w:w="0" w:type="dxa"/>
                  <w:left w:w="108" w:type="dxa"/>
                  <w:bottom w:w="0" w:type="dxa"/>
                  <w:right w:w="108" w:type="dxa"/>
                </w:tblCellMar>
              </w:tblPrEx>
              <w:trPr>
                <w:trHeight w:val="413"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9F2C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CF61F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917D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2953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3B71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77E1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ABE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6D27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r>
            <w:tr w14:paraId="064808D2">
              <w:tblPrEx>
                <w:tblCellMar>
                  <w:top w:w="0" w:type="dxa"/>
                  <w:left w:w="108" w:type="dxa"/>
                  <w:bottom w:w="0" w:type="dxa"/>
                  <w:right w:w="108" w:type="dxa"/>
                </w:tblCellMar>
              </w:tblPrEx>
              <w:trPr>
                <w:trHeight w:val="408"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BCCC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C517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A00AA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0294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C206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26C61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C255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A37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w:t>
                  </w:r>
                </w:p>
              </w:tc>
            </w:tr>
            <w:tr w14:paraId="07864088">
              <w:tblPrEx>
                <w:tblCellMar>
                  <w:top w:w="0" w:type="dxa"/>
                  <w:left w:w="108" w:type="dxa"/>
                  <w:bottom w:w="0" w:type="dxa"/>
                  <w:right w:w="108" w:type="dxa"/>
                </w:tblCellMar>
              </w:tblPrEx>
              <w:trPr>
                <w:trHeight w:val="396"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1F3E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号球</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F08C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6855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2698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C7D4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F547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C342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20</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6300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w:t>
                  </w:r>
                </w:p>
              </w:tc>
            </w:tr>
            <w:tr w14:paraId="715CB189">
              <w:tblPrEx>
                <w:tblCellMar>
                  <w:top w:w="0" w:type="dxa"/>
                  <w:left w:w="108" w:type="dxa"/>
                  <w:bottom w:w="0" w:type="dxa"/>
                  <w:right w:w="108" w:type="dxa"/>
                </w:tblCellMar>
              </w:tblPrEx>
              <w:trPr>
                <w:trHeight w:val="417" w:hRule="atLeast"/>
              </w:trPr>
              <w:tc>
                <w:tcPr>
                  <w:tcW w:w="14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0387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下浮系数（%）</w:t>
                  </w:r>
                </w:p>
              </w:tc>
              <w:tc>
                <w:tcPr>
                  <w:tcW w:w="7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0D18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w:t>
                  </w:r>
                </w:p>
              </w:tc>
              <w:tc>
                <w:tcPr>
                  <w:tcW w:w="78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A662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w:t>
                  </w:r>
                </w:p>
              </w:tc>
              <w:tc>
                <w:tcPr>
                  <w:tcW w:w="7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BD84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w:t>
                  </w:r>
                </w:p>
              </w:tc>
              <w:tc>
                <w:tcPr>
                  <w:tcW w:w="10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4FC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w:t>
                  </w:r>
                </w:p>
              </w:tc>
              <w:tc>
                <w:tcPr>
                  <w:tcW w:w="96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E13B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w:t>
                  </w:r>
                </w:p>
              </w:tc>
              <w:tc>
                <w:tcPr>
                  <w:tcW w:w="9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B1D8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2.9</w:t>
                  </w:r>
                </w:p>
              </w:tc>
              <w:tc>
                <w:tcPr>
                  <w:tcW w:w="7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82FF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3.0</w:t>
                  </w:r>
                </w:p>
              </w:tc>
            </w:tr>
          </w:tbl>
          <w:p w14:paraId="56949C6A">
            <w:pPr>
              <w:spacing w:line="360" w:lineRule="exact"/>
              <w:rPr>
                <w:rFonts w:hint="eastAsia" w:ascii="宋体" w:hAnsi="宋体" w:eastAsia="宋体" w:cs="宋体"/>
                <w:color w:val="000000" w:themeColor="text1"/>
                <w:kern w:val="0"/>
                <w:sz w:val="24"/>
                <w:szCs w:val="24"/>
                <w:highlight w:val="none"/>
                <w:lang w:bidi="ar"/>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（2）评标基准价D＝</w:t>
            </w:r>
            <w:r>
              <w:rPr>
                <w:rFonts w:hint="eastAsia" w:hAnsi="宋体" w:eastAsia="宋体" w:cs="宋体"/>
                <w:color w:val="000000" w:themeColor="text1"/>
                <w:sz w:val="24"/>
                <w:szCs w:val="24"/>
                <w:highlight w:val="none"/>
                <w:lang w:eastAsia="zh-CN"/>
                <w14:textFill>
                  <w14:solidFill>
                    <w14:schemeClr w14:val="tx1"/>
                  </w14:solidFill>
                </w14:textFill>
              </w:rPr>
              <w:t>最高投标限价</w:t>
            </w:r>
            <w:r>
              <w:rPr>
                <w:rFonts w:hint="eastAsia" w:ascii="宋体" w:hAnsi="宋体" w:eastAsia="宋体" w:cs="宋体"/>
                <w:color w:val="000000" w:themeColor="text1"/>
                <w:sz w:val="24"/>
                <w:szCs w:val="24"/>
                <w:highlight w:val="none"/>
                <w14:textFill>
                  <w14:solidFill>
                    <w14:schemeClr w14:val="tx1"/>
                  </w14:solidFill>
                </w14:textFill>
              </w:rPr>
              <w:t>×（1－n）</w:t>
            </w:r>
          </w:p>
        </w:tc>
      </w:tr>
      <w:tr w14:paraId="569CE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9" w:hRule="atLeast"/>
          <w:jc w:val="center"/>
        </w:trPr>
        <w:tc>
          <w:tcPr>
            <w:tcW w:w="414" w:type="dxa"/>
            <w:vMerge w:val="continue"/>
            <w:vAlign w:val="center"/>
          </w:tcPr>
          <w:p w14:paraId="5FA6219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446" w:type="dxa"/>
            <w:vMerge w:val="continue"/>
            <w:vAlign w:val="center"/>
          </w:tcPr>
          <w:p w14:paraId="441B1425">
            <w:pPr>
              <w:widowControl/>
              <w:jc w:val="center"/>
              <w:rPr>
                <w:rFonts w:hint="eastAsia" w:ascii="宋体" w:hAnsi="宋体" w:eastAsia="宋体" w:cs="宋体"/>
                <w:color w:val="000000" w:themeColor="text1"/>
                <w:kern w:val="0"/>
                <w:sz w:val="24"/>
                <w:szCs w:val="24"/>
                <w:highlight w:val="none"/>
                <w14:textFill>
                  <w14:solidFill>
                    <w14:schemeClr w14:val="tx1"/>
                  </w14:solidFill>
                </w14:textFill>
              </w:rPr>
            </w:pPr>
          </w:p>
        </w:tc>
        <w:tc>
          <w:tcPr>
            <w:tcW w:w="573" w:type="dxa"/>
            <w:vAlign w:val="center"/>
          </w:tcPr>
          <w:p w14:paraId="22C160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投标报价</w:t>
            </w:r>
          </w:p>
          <w:p w14:paraId="126D8B2C">
            <w:pPr>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得分N</w:t>
            </w:r>
          </w:p>
        </w:tc>
        <w:tc>
          <w:tcPr>
            <w:tcW w:w="7984" w:type="dxa"/>
            <w:gridSpan w:val="3"/>
            <w:vAlign w:val="center"/>
          </w:tcPr>
          <w:p w14:paraId="7F51508B">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采用内插法计算某投标人的投标报价得分N，即当投标人的投标总价等于评标基准价时得50分，每高于评标基准价一个百分点扣0.5分, 每低于评标基准价一个百分点扣0.3分，扣完为止。公式如下：</w:t>
            </w:r>
          </w:p>
          <w:p w14:paraId="1DE3D16E">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N＝50－（| Di－D | ÷D）×100×E</w:t>
            </w:r>
          </w:p>
          <w:p w14:paraId="64AF5785">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式中：D为评标基准价；Di为某投标人的投标总价；E为扣分因子，当Di＞D时，E＝0.5；当Di＜D时，E＝0.3。</w:t>
            </w:r>
          </w:p>
        </w:tc>
      </w:tr>
      <w:tr w14:paraId="745BE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1433" w:type="dxa"/>
            <w:gridSpan w:val="3"/>
            <w:vAlign w:val="center"/>
          </w:tcPr>
          <w:p w14:paraId="7955603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合计</w:t>
            </w:r>
          </w:p>
        </w:tc>
        <w:tc>
          <w:tcPr>
            <w:tcW w:w="7984" w:type="dxa"/>
            <w:gridSpan w:val="3"/>
            <w:vAlign w:val="center"/>
          </w:tcPr>
          <w:p w14:paraId="70022D64">
            <w:pPr>
              <w:spacing w:line="36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w:t>
            </w:r>
            <w:r>
              <w:rPr>
                <w:rFonts w:hint="eastAsia" w:hAnsi="宋体" w:eastAsia="宋体" w:cs="宋体"/>
                <w:color w:val="000000" w:themeColor="text1"/>
                <w:sz w:val="24"/>
                <w:szCs w:val="24"/>
                <w:highlight w:val="none"/>
                <w:lang w:val="en-US" w:eastAsia="zh-CN"/>
                <w14:textFill>
                  <w14:solidFill>
                    <w14:schemeClr w14:val="tx1"/>
                  </w14:solidFill>
                </w14:textFill>
              </w:rPr>
              <w:t>部分</w:t>
            </w:r>
            <w:r>
              <w:rPr>
                <w:rFonts w:hint="eastAsia" w:ascii="宋体" w:hAnsi="宋体" w:eastAsia="宋体" w:cs="宋体"/>
                <w:color w:val="000000" w:themeColor="text1"/>
                <w:sz w:val="24"/>
                <w:szCs w:val="24"/>
                <w:highlight w:val="none"/>
                <w14:textFill>
                  <w14:solidFill>
                    <w14:schemeClr w14:val="tx1"/>
                  </w14:solidFill>
                </w14:textFill>
              </w:rPr>
              <w:t>得分</w:t>
            </w:r>
            <w:r>
              <w:rPr>
                <w:rFonts w:hint="eastAsia" w:hAnsi="宋体" w:eastAsia="宋体" w:cs="宋体"/>
                <w:color w:val="000000" w:themeColor="text1"/>
                <w:sz w:val="24"/>
                <w:szCs w:val="24"/>
                <w:highlight w:val="none"/>
                <w:lang w:val="en-US" w:eastAsia="zh-CN"/>
                <w14:textFill>
                  <w14:solidFill>
                    <w14:schemeClr w14:val="tx1"/>
                  </w14:solidFill>
                </w14:textFill>
              </w:rPr>
              <w:t>+技术部分得分</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hAnsi="宋体" w:eastAsia="宋体" w:cs="宋体"/>
                <w:color w:val="000000" w:themeColor="text1"/>
                <w:sz w:val="24"/>
                <w:szCs w:val="24"/>
                <w:highlight w:val="none"/>
                <w:lang w:val="en-US" w:eastAsia="zh-CN"/>
                <w14:textFill>
                  <w14:solidFill>
                    <w14:schemeClr w14:val="tx1"/>
                  </w14:solidFill>
                </w14:textFill>
              </w:rPr>
              <w:t>经济部分</w:t>
            </w:r>
            <w:r>
              <w:rPr>
                <w:rFonts w:hint="eastAsia" w:ascii="宋体" w:hAnsi="宋体" w:eastAsia="宋体" w:cs="宋体"/>
                <w:color w:val="000000" w:themeColor="text1"/>
                <w:sz w:val="24"/>
                <w:szCs w:val="24"/>
                <w:highlight w:val="none"/>
                <w14:textFill>
                  <w14:solidFill>
                    <w14:schemeClr w14:val="tx1"/>
                  </w14:solidFill>
                </w14:textFill>
              </w:rPr>
              <w:t>报价得分=总得分</w:t>
            </w:r>
          </w:p>
        </w:tc>
      </w:tr>
    </w:tbl>
    <w:p w14:paraId="652B4D38">
      <w:pPr>
        <w:spacing w:line="440" w:lineRule="exact"/>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kern w:val="0"/>
          <w:szCs w:val="24"/>
          <w:highlight w:val="none"/>
          <w14:textFill>
            <w14:solidFill>
              <w14:schemeClr w14:val="tx1"/>
            </w14:solidFill>
          </w14:textFill>
        </w:rPr>
        <w:t>备注：</w:t>
      </w:r>
    </w:p>
    <w:p w14:paraId="4203939C">
      <w:pPr>
        <w:spacing w:line="440" w:lineRule="exact"/>
        <w:ind w:firstLine="482" w:firstLineChars="200"/>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综合评分表中注明“扫描件”为原件扫描件。</w:t>
      </w:r>
    </w:p>
    <w:p w14:paraId="4C82F864">
      <w:pPr>
        <w:spacing w:line="440" w:lineRule="exact"/>
        <w:ind w:firstLine="482" w:firstLineChars="200"/>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评分如出现小数点，则保留小数点后两位，第三位四舍五入。</w:t>
      </w:r>
    </w:p>
    <w:p w14:paraId="60FF2AA3">
      <w:pPr>
        <w:spacing w:line="440" w:lineRule="exact"/>
        <w:ind w:firstLine="482" w:firstLineChars="200"/>
        <w:rPr>
          <w:rFonts w:hint="eastAsia" w:asciiTheme="minorEastAsia" w:hAnsiTheme="minorEastAsia" w:eastAsiaTheme="minorEastAsia" w:cstheme="minorEastAsia"/>
          <w:b/>
          <w:color w:val="000000" w:themeColor="text1"/>
          <w:kern w:val="1"/>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u w:val="double"/>
          <w14:textFill>
            <w14:solidFill>
              <w14:schemeClr w14:val="tx1"/>
            </w14:solidFill>
          </w14:textFill>
        </w:rPr>
        <w:t>如果某投标人的建安工程费下浮率高于15%时，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14:paraId="644408AA">
      <w:pPr>
        <w:wordWrap w:val="0"/>
        <w:adjustRightInd w:val="0"/>
        <w:snapToGrid w:val="0"/>
        <w:spacing w:line="440" w:lineRule="exact"/>
        <w:ind w:firstLine="520" w:firstLineChars="200"/>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pPr>
    </w:p>
    <w:p w14:paraId="124DC73F">
      <w:pPr>
        <w:wordWrap w:val="0"/>
        <w:adjustRightInd w:val="0"/>
        <w:snapToGrid w:val="0"/>
        <w:spacing w:line="440" w:lineRule="exact"/>
        <w:ind w:firstLine="52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14.</w:t>
      </w:r>
      <w:r>
        <w:rPr>
          <w:rFonts w:hint="eastAsia" w:asciiTheme="minorEastAsia" w:hAnsiTheme="minorEastAsia" w:eastAsiaTheme="minorEastAsia" w:cstheme="minorEastAsia"/>
          <w:bCs/>
          <w:color w:val="000000" w:themeColor="text1"/>
          <w:spacing w:val="10"/>
          <w:kern w:val="0"/>
          <w:szCs w:val="24"/>
          <w:highlight w:val="none"/>
          <w:lang w:val="en-US" w:eastAsia="zh-CN"/>
          <w14:textFill>
            <w14:solidFill>
              <w14:schemeClr w14:val="tx1"/>
            </w14:solidFill>
          </w14:textFill>
        </w:rPr>
        <w:t>5</w:t>
      </w:r>
      <w:r>
        <w:rPr>
          <w:rFonts w:hint="eastAsia" w:asciiTheme="minorEastAsia" w:hAnsiTheme="minorEastAsia" w:eastAsiaTheme="minorEastAsia" w:cstheme="minorEastAsia"/>
          <w:bCs/>
          <w:color w:val="000000" w:themeColor="text1"/>
          <w:spacing w:val="10"/>
          <w:kern w:val="0"/>
          <w:szCs w:val="24"/>
          <w:highlight w:val="none"/>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否决投标说明</w:t>
      </w:r>
    </w:p>
    <w:p w14:paraId="2F46DD7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详细评审阶段否决投标的全部条件，在本章第四节“否决投标条件”第1条至第4条中集中列示。投标人有其中所列任何一种情形的，由评标委员会否决其投标。经详细评审后，有效投标人数量不足3个时，招标人应依法重新组织招标。</w:t>
      </w:r>
    </w:p>
    <w:p w14:paraId="524E4F43">
      <w:pPr>
        <w:pStyle w:val="35"/>
        <w:spacing w:line="400" w:lineRule="exact"/>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注：投标人在详细评审阶段根据评分方法提供的佐证材料，其合法性、有效性和准确性不符合要求的，有关量化因素（或评分因素）的折算、调整（或评分）按相应量化标准（或评分标准）处理，但不否决投标。</w:t>
      </w:r>
    </w:p>
    <w:p w14:paraId="70091841">
      <w:pPr>
        <w:pStyle w:val="45"/>
        <w:ind w:firstLine="482" w:firstLineChars="200"/>
        <w:jc w:val="both"/>
        <w:outlineLvl w:val="9"/>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13A69B6E">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77" w:name="_Toc32481"/>
      <w:bookmarkStart w:id="278" w:name="_Toc21715"/>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15</w:t>
      </w:r>
      <w:r>
        <w:rPr>
          <w:rFonts w:hint="eastAsia" w:asciiTheme="minorEastAsia" w:hAnsiTheme="minorEastAsia" w:eastAsiaTheme="minorEastAsia" w:cstheme="minorEastAsia"/>
          <w:b/>
          <w:color w:val="000000" w:themeColor="text1"/>
          <w:kern w:val="2"/>
          <w:highlight w:val="none"/>
          <w:lang w:val="en-US" w:eastAsia="zh-CN"/>
          <w14:textFill>
            <w14:solidFill>
              <w14:schemeClr w14:val="tx1"/>
            </w14:solidFill>
          </w14:textFill>
        </w:rPr>
        <w:t>、</w:t>
      </w:r>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中标候选人公示</w:t>
      </w:r>
      <w:bookmarkEnd w:id="277"/>
      <w:bookmarkEnd w:id="278"/>
    </w:p>
    <w:p w14:paraId="472398B4">
      <w:pPr>
        <w:pStyle w:val="35"/>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15.1</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招标人自收到评标委员会提交的书面评标报告和中标候选人名单之日起3日内，将评标结果（即中标候选人名单）、中标候选人投标文件、评标过程（评标专家姓名用代码标记）一并在广东省招标投标监管网（http://zbtb.gd.gov.cn）、全国公共资源交易平台（广东省·韶关市）（https://ygp.gdzwfw.gov.cn/ggzy-portal/#/440200/index）进行公示，公示期不得少于3天。</w:t>
      </w:r>
    </w:p>
    <w:p w14:paraId="698089A6">
      <w:pPr>
        <w:pStyle w:val="35"/>
        <w:spacing w:line="400" w:lineRule="exact"/>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15.2</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韶法审〔2020〕19号）执行。</w:t>
      </w:r>
    </w:p>
    <w:p w14:paraId="76AC70F7">
      <w:pPr>
        <w:pStyle w:val="35"/>
        <w:spacing w:line="400" w:lineRule="exact"/>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15.3 中标候选人公示期满无异议（投诉）后，招标人确定第一中标候选人为中标人，并在中标人确定之日起7日内向中标人发出中标通知书。在中标通知书发出后5个工作日内，韶关市公共资源交易中心将投标保证金退还给中标候选人以外的投标人。</w:t>
      </w:r>
    </w:p>
    <w:p w14:paraId="419DA419">
      <w:pPr>
        <w:wordWrap w:val="0"/>
        <w:adjustRightInd w:val="0"/>
        <w:snapToGrid w:val="0"/>
        <w:spacing w:line="440" w:lineRule="exact"/>
        <w:outlineLvl w:val="1"/>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279" w:name="_Hlt112206772"/>
      <w:bookmarkEnd w:id="279"/>
      <w:bookmarkStart w:id="280" w:name="_Hlt69669771"/>
      <w:bookmarkEnd w:id="280"/>
      <w:bookmarkStart w:id="281" w:name="_Toc24184"/>
      <w:bookmarkStart w:id="282" w:name="_Toc11519"/>
      <w:bookmarkStart w:id="283" w:name="_Toc16203"/>
      <w:bookmarkStart w:id="284" w:name="_Toc16649"/>
      <w:bookmarkStart w:id="285" w:name="_Toc21045"/>
      <w:bookmarkStart w:id="286" w:name="_Toc13416"/>
      <w:bookmarkStart w:id="287" w:name="_Toc9083"/>
      <w:bookmarkStart w:id="288" w:name="_Toc16300"/>
      <w:bookmarkStart w:id="289" w:name="_Hlt69698713"/>
      <w:bookmarkStart w:id="290" w:name="_Hlt69698765"/>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第四节 否决投标条件</w:t>
      </w:r>
    </w:p>
    <w:p w14:paraId="37D31EA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本节所集中列示的否决投标条件，是本章第三节“投标人须知正文”的组成部分，是对本章第三节所规定的否决投标条件的总结和补充。投标人未有列入本节情形的，评标时一律不得否决其投标。本节所称“规定”均指招标文件的规定。</w:t>
      </w:r>
    </w:p>
    <w:p w14:paraId="057A333B">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1" w:name="_Toc2586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1．资格评审环节</w:t>
      </w:r>
      <w:bookmarkEnd w:id="291"/>
    </w:p>
    <w:p w14:paraId="5EBB77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投标人有下列情形之一的，评标委员会应否决其投标。被否决的投标人，不进入形式评审环节。</w:t>
      </w:r>
    </w:p>
    <w:p w14:paraId="42BF76F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（1）有本章第三节第4.4条“禁止投标条款”规定的任何一种情形；</w:t>
      </w:r>
    </w:p>
    <w:p w14:paraId="303439C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（2）投标人资质不符合规定的；</w:t>
      </w:r>
    </w:p>
    <w:p w14:paraId="6772FD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14:paraId="0CA531CE">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14:paraId="7523EE7F">
      <w:pPr>
        <w:wordWrap w:val="0"/>
        <w:adjustRightInd w:val="0"/>
        <w:snapToGrid w:val="0"/>
        <w:spacing w:line="440" w:lineRule="exact"/>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根据有关文件精神，投标人的企业相关证书到期的，均按该证书的发证机构相关行政主管部门最新文件执行（如自动顺延或推迟办理延期业务的通知等）投标人须提供相关证明材料附在该证书后面，证明在开标日继续有效的。</w:t>
      </w:r>
    </w:p>
    <w:p w14:paraId="11CA74C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（4）拟派项目经理、项目技术负责人、专职安全员、设计负责人的条件不符合规定的；拟派专职安全员数量不符合规定的；</w:t>
      </w:r>
    </w:p>
    <w:p w14:paraId="3A8BE00D">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（5）《项目经理简历表》中拟派项目经理与《开标一览表》不一致的；建造师的注册证书不是</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住房和城乡建设部</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门颁发的；建造师</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设计负责人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的注册单位与投标人不一致的；项目管理班子组成人员的各类证书、证件、证明不在有效期内的（建造师注册证书不在使用有效期内的）；擅自修改、遗漏《项目经理任职声明》实质性内容的；</w:t>
      </w:r>
    </w:p>
    <w:p w14:paraId="5C290081">
      <w:pPr>
        <w:wordWrap w:val="0"/>
        <w:adjustRightInd w:val="0"/>
        <w:snapToGrid w:val="0"/>
        <w:spacing w:line="440" w:lineRule="exact"/>
        <w:ind w:firstLine="723" w:firstLineChars="3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注：投标人已经工商变更，但其员工执业资格注册证书的注册单位名称未完成变更的，不得否决其投标。</w:t>
      </w:r>
    </w:p>
    <w:p w14:paraId="3E6E6AC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（6）联合体投标，未提交《联合体协议书》的；擅自修改、遗漏《联合体协议书》实质性内容的；联合体成员的数量、资质不符合规定的；联合体成员同时以自己名义单独投标或者参加其他联合体投标的；</w:t>
      </w:r>
    </w:p>
    <w:p w14:paraId="37BB7948">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（7）投标人为外省建筑企业，但未提供“进粤企业和人员诚信信息登记平台”企业和拟派人员信息情况打印页或网页截图的。</w:t>
      </w:r>
    </w:p>
    <w:p w14:paraId="41D23B3A">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2" w:name="_Toc16862"/>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2．形式评审环节</w:t>
      </w:r>
      <w:bookmarkEnd w:id="292"/>
    </w:p>
    <w:p w14:paraId="5BD3436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投标人有下列情形之一的，评标委员会应否决其投标。被否决的投标人，不进入响应性评审环节。</w:t>
      </w:r>
    </w:p>
    <w:p w14:paraId="2208CC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8</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）本章第三节第11.2.2目中规定的“所有投标人均应提供”的组成内容（包括该组成内容的所附资料）中，任何一项有缺漏的；</w:t>
      </w:r>
    </w:p>
    <w:p w14:paraId="3D21ACF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9</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关键字迹模糊、无法辨认，且该种过错将导致评标委员会无法判断投标文件是否响应招标文件实质性要求的；出现手工涂改、行间插字或删除，但未加盖单位章或由投标人的法定代表人或其委托代理人签字确认的；</w:t>
      </w:r>
    </w:p>
    <w:p w14:paraId="7414069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0</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）投标文件未按规定签字、盖章的；</w:t>
      </w:r>
    </w:p>
    <w:p w14:paraId="290C357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3" w:name="_Toc11607"/>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3．响应性评审环节</w:t>
      </w:r>
      <w:bookmarkEnd w:id="293"/>
    </w:p>
    <w:p w14:paraId="7F5913C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投标人有下列情形之一的，评标委员会应否决其投标。被否决的投标人，不进入详细评审阶段。</w:t>
      </w:r>
    </w:p>
    <w:p w14:paraId="6D3A250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）承诺的投标有效期短于规定的；工期超出规定的；擅自修改、遗漏《投标函》《各项承诺一览表》实质性内容的；</w:t>
      </w:r>
    </w:p>
    <w:p w14:paraId="6AF21AA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14:paraId="6118D55F">
      <w:pPr>
        <w:wordWrap w:val="0"/>
        <w:adjustRightInd w:val="0"/>
        <w:snapToGrid w:val="0"/>
        <w:spacing w:line="440" w:lineRule="exact"/>
        <w:outlineLvl w:val="1"/>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bookmarkStart w:id="294" w:name="_Toc29578"/>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4．其他</w:t>
      </w:r>
      <w:bookmarkEnd w:id="294"/>
    </w:p>
    <w:p w14:paraId="29E5663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在任何评标环节（或阶段），投标人有下列情形之一的，评标委员会应否决其投标。被否决的投标人，不进入下一环节（或阶段）。</w:t>
      </w:r>
    </w:p>
    <w:p w14:paraId="3A2D1E1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（14）不按评标委员会要求澄清、说明或补正的；</w:t>
      </w:r>
    </w:p>
    <w:p w14:paraId="3E049FB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（15）有下列情形之一，被评标委员会认定属于串通投标的：</w:t>
      </w:r>
    </w:p>
    <w:p w14:paraId="7D30B0F8">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①不同投标人的投标文件两处以上（含两处）错、漏一致；</w:t>
      </w:r>
    </w:p>
    <w:p w14:paraId="572F1E6B">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②不同投标人的投标总价相近且各分项报价、综合单价分析表内容混乱不能相互对应、乱调乱压或乱抬的，而在询标时没有合理的解释或者不能提供计算依据和报价依据；</w:t>
      </w:r>
    </w:p>
    <w:p w14:paraId="2D72A87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③不同投标人的投标各项报价存在异常一致或者呈规律性变化；</w:t>
      </w:r>
    </w:p>
    <w:p w14:paraId="5FBCB26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④不同投标人的投标文件由同一单位或者同一个人编制；</w:t>
      </w:r>
    </w:p>
    <w:p w14:paraId="2C8B44E2">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⑤不同投标人的投标文件中投标资料（包括电子资料）相互混装或项目班子成员出现同一人；</w:t>
      </w:r>
    </w:p>
    <w:p w14:paraId="530885B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⑥不同投标人的投标文件由同一电脑编制或同一台附属设备打印，或投标报价用同一个预算编制软件密码锁制作或出自同一电子文档；</w:t>
      </w:r>
    </w:p>
    <w:p w14:paraId="6A9CD7D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⑦不同投标人的投标保证由同一企业或同一账户资金缴纳；</w:t>
      </w:r>
    </w:p>
    <w:p w14:paraId="69D505B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⑧不同投标人委托同一个人或注册在同一家企业的注册人员或同一家企业为其投标提供投标咨询、商务报价、技术咨询（招标工程本身要求采用专有技术的除外）等服务。</w:t>
      </w:r>
    </w:p>
    <w:p w14:paraId="728F1526">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footerReference r:id="rId5" w:type="default"/>
          <w:endnotePr>
            <w:numFmt w:val="decimal"/>
          </w:endnotePr>
          <w:pgSz w:w="11906" w:h="16838"/>
          <w:pgMar w:top="1701" w:right="1531" w:bottom="1417" w:left="1531" w:header="850" w:footer="992" w:gutter="0"/>
          <w:pgNumType w:fmt="decimal" w:start="1"/>
          <w:cols w:space="720" w:num="1"/>
          <w:docGrid w:linePitch="327" w:charSpace="0"/>
        </w:sectPr>
      </w:pPr>
    </w:p>
    <w:p w14:paraId="2680555D">
      <w:pPr>
        <w:pStyle w:val="36"/>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295" w:name="_Toc6532"/>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第二章</w:t>
      </w:r>
      <w:bookmarkStart w:id="296" w:name="_Hlt87793831"/>
      <w:bookmarkEnd w:id="29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拟签订合同的主要条款</w:t>
      </w:r>
      <w:bookmarkEnd w:id="281"/>
      <w:bookmarkEnd w:id="282"/>
      <w:bookmarkEnd w:id="283"/>
      <w:bookmarkEnd w:id="284"/>
      <w:bookmarkEnd w:id="285"/>
      <w:bookmarkEnd w:id="286"/>
      <w:bookmarkEnd w:id="287"/>
      <w:bookmarkEnd w:id="288"/>
      <w:bookmarkEnd w:id="295"/>
    </w:p>
    <w:p w14:paraId="028A984B">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289"/>
    <w:bookmarkEnd w:id="290"/>
    <w:p w14:paraId="5B0BC685">
      <w:pPr>
        <w:pStyle w:val="37"/>
        <w:keepNext/>
        <w:keepLines/>
        <w:ind w:firstLine="480"/>
        <w:jc w:val="both"/>
        <w:rPr>
          <w:rFonts w:hint="eastAsia" w:asciiTheme="minorEastAsia" w:hAnsiTheme="minorEastAsia" w:eastAsiaTheme="minorEastAsia" w:cstheme="minorEastAsia"/>
          <w:b/>
          <w:color w:val="000000" w:themeColor="text1"/>
          <w:kern w:val="2"/>
          <w:highlight w:val="none"/>
          <w14:textFill>
            <w14:solidFill>
              <w14:schemeClr w14:val="tx1"/>
            </w14:solidFill>
          </w14:textFill>
        </w:rPr>
      </w:pPr>
      <w:bookmarkStart w:id="297" w:name="_Toc8407"/>
      <w:bookmarkStart w:id="298" w:name="_Toc22879"/>
      <w:bookmarkStart w:id="299" w:name="_Toc18454"/>
      <w:bookmarkStart w:id="300" w:name="_Toc12651"/>
      <w:bookmarkStart w:id="301" w:name="_Toc28378"/>
      <w:bookmarkStart w:id="302" w:name="_Toc322793288"/>
      <w:bookmarkStart w:id="303" w:name="_Toc326916629"/>
      <w:bookmarkStart w:id="304" w:name="_Toc26552"/>
      <w:bookmarkStart w:id="305" w:name="_Toc19931"/>
      <w:bookmarkStart w:id="306" w:name="_Toc7347"/>
      <w:bookmarkStart w:id="307" w:name="_Toc1163"/>
      <w:bookmarkStart w:id="308" w:name="_Toc21667"/>
      <w:bookmarkStart w:id="309" w:name="_Hlt69698769"/>
      <w:bookmarkStart w:id="310" w:name="_Hlt69698741"/>
      <w:bookmarkStart w:id="311" w:name="_Hlt69698722"/>
      <w:r>
        <w:rPr>
          <w:rFonts w:hint="eastAsia" w:asciiTheme="minorEastAsia" w:hAnsiTheme="minorEastAsia" w:eastAsiaTheme="minorEastAsia" w:cstheme="minorEastAsia"/>
          <w:b/>
          <w:color w:val="000000" w:themeColor="text1"/>
          <w:kern w:val="2"/>
          <w:highlight w:val="none"/>
          <w14:textFill>
            <w14:solidFill>
              <w14:schemeClr w14:val="tx1"/>
            </w14:solidFill>
          </w14:textFill>
        </w:rPr>
        <w:t>1 工程承包方式</w:t>
      </w:r>
      <w:bookmarkEnd w:id="297"/>
      <w:bookmarkEnd w:id="298"/>
      <w:bookmarkEnd w:id="299"/>
      <w:bookmarkEnd w:id="300"/>
      <w:bookmarkEnd w:id="301"/>
      <w:bookmarkEnd w:id="302"/>
      <w:bookmarkEnd w:id="303"/>
      <w:bookmarkEnd w:id="304"/>
      <w:bookmarkEnd w:id="305"/>
      <w:bookmarkEnd w:id="306"/>
      <w:bookmarkEnd w:id="307"/>
      <w:bookmarkEnd w:id="308"/>
    </w:p>
    <w:p w14:paraId="127D77C7">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1.1承包人按中标价以总承包方式在规定的期限内对</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highlight w:val="none"/>
          <w14:textFill>
            <w14:solidFill>
              <w14:schemeClr w14:val="tx1"/>
            </w14:solidFill>
          </w14:textFill>
        </w:rPr>
        <w:t>设计、施工（包工</w:t>
      </w:r>
      <w:bookmarkStart w:id="312" w:name="_Hlt87948212"/>
      <w:bookmarkEnd w:id="312"/>
      <w:r>
        <w:rPr>
          <w:rFonts w:hint="eastAsia" w:asciiTheme="minorEastAsia" w:hAnsiTheme="minorEastAsia" w:eastAsiaTheme="minorEastAsia" w:cstheme="minorEastAsia"/>
          <w:color w:val="000000" w:themeColor="text1"/>
          <w:highlight w:val="none"/>
          <w14:textFill>
            <w14:solidFill>
              <w14:schemeClr w14:val="tx1"/>
            </w14:solidFill>
          </w14:textFill>
        </w:rPr>
        <w:t>包料、包质量、包机械、包绿色安全文明施工、包工期等）进行总承包，不允许转包和违法分包，如承包人无相应专业资质，确需分包须与发包人协商并得到发包人和监理人同意并报工程主管部门备案。</w:t>
      </w:r>
    </w:p>
    <w:p w14:paraId="610509CE">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1.1.1 包工包料：材料符合招标文件要求</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及合同的相关约定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，报验使用；办理用工保险。</w:t>
      </w:r>
    </w:p>
    <w:p w14:paraId="6F1A281D">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1.1.2 包质量：符合招标文件要求</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及合同有关质量的相关约定</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49CBA812">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1.1.3 包安全包文明施工：符合国家及省、市的相关规定及招标文件、合同的相关约定要求。</w:t>
      </w:r>
    </w:p>
    <w:p w14:paraId="0721E94B">
      <w:pPr>
        <w:pStyle w:val="35"/>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1.1.4 包工期：</w:t>
      </w:r>
      <w:r>
        <w:rPr>
          <w:rFonts w:hint="eastAsia"/>
          <w:snapToGrid w:val="0"/>
          <w:color w:val="000000" w:themeColor="text1"/>
          <w:kern w:val="0"/>
          <w:szCs w:val="21"/>
          <w:highlight w:val="none"/>
          <w14:textFill>
            <w14:solidFill>
              <w14:schemeClr w14:val="tx1"/>
            </w14:solidFill>
          </w14:textFill>
        </w:rPr>
        <w:t>本招标工程</w:t>
      </w:r>
      <w:r>
        <w:rPr>
          <w:rFonts w:hint="eastAsia" w:ascii="宋体" w:hAnsi="宋体" w:cs="宋体"/>
          <w:bCs/>
          <w:color w:val="000000" w:themeColor="text1"/>
          <w:szCs w:val="21"/>
          <w:highlight w:val="none"/>
          <w14:textFill>
            <w14:solidFill>
              <w14:schemeClr w14:val="tx1"/>
            </w14:solidFill>
          </w14:textFill>
        </w:rPr>
        <w:t>勘察、设计、施工</w:t>
      </w:r>
      <w:r>
        <w:rPr>
          <w:rFonts w:hint="eastAsia"/>
          <w:snapToGrid w:val="0"/>
          <w:color w:val="000000" w:themeColor="text1"/>
          <w:kern w:val="0"/>
          <w:szCs w:val="21"/>
          <w:highlight w:val="none"/>
          <w14:textFill>
            <w14:solidFill>
              <w14:schemeClr w14:val="tx1"/>
            </w14:solidFill>
          </w14:textFill>
        </w:rPr>
        <w:t>必须在招标</w:t>
      </w:r>
      <w:r>
        <w:rPr>
          <w:rFonts w:hint="eastAsia"/>
          <w:snapToGrid w:val="0"/>
          <w:color w:val="000000" w:themeColor="text1"/>
          <w:kern w:val="0"/>
          <w:szCs w:val="21"/>
          <w:highlight w:val="none"/>
          <w:lang w:val="en-US" w:eastAsia="zh-CN"/>
          <w14:textFill>
            <w14:solidFill>
              <w14:schemeClr w14:val="tx1"/>
            </w14:solidFill>
          </w14:textFill>
        </w:rPr>
        <w:t>文件</w:t>
      </w:r>
      <w:r>
        <w:rPr>
          <w:rFonts w:hint="eastAsia" w:ascii="宋体" w:hAnsi="宋体" w:eastAsia="宋体" w:cs="宋体"/>
          <w:color w:val="000000" w:themeColor="text1"/>
          <w:highlight w:val="none"/>
          <w14:textFill>
            <w14:solidFill>
              <w14:schemeClr w14:val="tx1"/>
            </w14:solidFill>
          </w14:textFill>
        </w:rPr>
        <w:t>规定</w:t>
      </w:r>
      <w:r>
        <w:rPr>
          <w:rFonts w:hint="eastAsia" w:ascii="宋体" w:hAnsi="宋体" w:eastAsia="宋体" w:cs="宋体"/>
          <w:color w:val="000000" w:themeColor="text1"/>
          <w:highlight w:val="none"/>
          <w:lang w:val="en-US" w:eastAsia="zh-CN"/>
          <w14:textFill>
            <w14:solidFill>
              <w14:schemeClr w14:val="tx1"/>
            </w14:solidFill>
          </w14:textFill>
        </w:rPr>
        <w:t>的</w:t>
      </w:r>
      <w:r>
        <w:rPr>
          <w:rFonts w:hint="eastAsia"/>
          <w:snapToGrid w:val="0"/>
          <w:color w:val="000000" w:themeColor="text1"/>
          <w:kern w:val="0"/>
          <w:szCs w:val="21"/>
          <w:highlight w:val="none"/>
          <w14:textFill>
            <w14:solidFill>
              <w14:schemeClr w14:val="tx1"/>
            </w14:solidFill>
          </w14:textFill>
        </w:rPr>
        <w:t>工期内完成</w:t>
      </w:r>
      <w:r>
        <w:rPr>
          <w:rFonts w:hint="eastAsia" w:asciiTheme="minorEastAsia" w:hAnsiTheme="minorEastAsia" w:eastAsiaTheme="minorEastAsia" w:cstheme="minorEastAsia"/>
          <w:color w:val="000000" w:themeColor="text1"/>
          <w:highlight w:val="none"/>
          <w14:textFill>
            <w14:solidFill>
              <w14:schemeClr w14:val="tx1"/>
            </w14:solidFill>
          </w14:textFill>
        </w:rPr>
        <w:t>。</w:t>
      </w:r>
    </w:p>
    <w:p w14:paraId="5DC2B73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 xml:space="preserve">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限额设计要求：</w:t>
      </w:r>
    </w:p>
    <w:p w14:paraId="0C3537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初步设计概算中的建安工程费不得超过招标文件明确的建安工程估算金额，</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施工图预算中的建安工程费不得超过初步设计概算中的建安工程费且不得超过建安工程费的中标价。</w:t>
      </w:r>
    </w:p>
    <w:p w14:paraId="6C5E2BD5">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1.2.2 承包人在提交设计施工图时必须同时提交施工图预算。施工图预算作为承包人自我核算是否符合限额设计要求的依据。若造价咨询单位按施工图编制或审核的建安工程费高于前条1.2.1条规定时，承包人必须无条件对施工图进行修改，直至满足限额设计要求，不另行增加设计费，且由此造成发包人委托的造价咨询单位重复编制或审核施工图预算的费用由承包人承担，结算时在设计费中扣除。</w:t>
      </w:r>
    </w:p>
    <w:p w14:paraId="78691A86">
      <w:pPr>
        <w:pStyle w:val="51"/>
        <w:keepNext/>
        <w:keepLines/>
        <w:ind w:firstLine="480"/>
        <w:jc w:val="both"/>
        <w:rPr>
          <w:rFonts w:hint="eastAsia" w:asciiTheme="minorEastAsia" w:hAnsiTheme="minorEastAsia" w:eastAsiaTheme="minorEastAsia" w:cstheme="minorEastAsia"/>
          <w:b/>
          <w:color w:val="000000" w:themeColor="text1"/>
          <w:highlight w:val="none"/>
          <w14:textFill>
            <w14:solidFill>
              <w14:schemeClr w14:val="tx1"/>
            </w14:solidFill>
          </w14:textFill>
        </w:rPr>
      </w:pPr>
      <w:bookmarkStart w:id="313" w:name="_Toc16582"/>
      <w:bookmarkStart w:id="314" w:name="_Toc467587699"/>
      <w:bookmarkStart w:id="315" w:name="_Toc10533"/>
      <w:bookmarkStart w:id="316" w:name="_Toc13383"/>
      <w:bookmarkStart w:id="317" w:name="_Toc469940920"/>
      <w:bookmarkStart w:id="318" w:name="_Toc27815"/>
      <w:bookmarkStart w:id="319" w:name="_Toc4817"/>
      <w:bookmarkStart w:id="320" w:name="_Toc6740"/>
      <w:bookmarkStart w:id="321" w:name="_Toc3936"/>
      <w:bookmarkStart w:id="322" w:name="_Toc16000"/>
      <w:bookmarkStart w:id="323" w:name="_Toc20951"/>
      <w:bookmarkStart w:id="324" w:name="_Toc1359"/>
      <w:r>
        <w:rPr>
          <w:rFonts w:hint="eastAsia" w:asciiTheme="minorEastAsia" w:hAnsiTheme="minorEastAsia" w:eastAsiaTheme="minorEastAsia" w:cstheme="minorEastAsia"/>
          <w:b/>
          <w:color w:val="000000" w:themeColor="text1"/>
          <w:highlight w:val="none"/>
          <w14:textFill>
            <w14:solidFill>
              <w14:schemeClr w14:val="tx1"/>
            </w14:solidFill>
          </w14:textFill>
        </w:rPr>
        <w:t>2 施工图工程量清单预算的编制原则</w:t>
      </w:r>
      <w:bookmarkEnd w:id="313"/>
      <w:bookmarkEnd w:id="314"/>
      <w:bookmarkEnd w:id="315"/>
      <w:bookmarkEnd w:id="316"/>
      <w:bookmarkEnd w:id="317"/>
      <w:bookmarkEnd w:id="318"/>
      <w:bookmarkEnd w:id="319"/>
      <w:bookmarkEnd w:id="320"/>
      <w:bookmarkEnd w:id="321"/>
      <w:bookmarkEnd w:id="322"/>
      <w:bookmarkEnd w:id="323"/>
      <w:bookmarkEnd w:id="324"/>
    </w:p>
    <w:p w14:paraId="09A1E1C1">
      <w:pPr>
        <w:pStyle w:val="52"/>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 施工图设计必须符合本项目限额设计要求。本项目的建安工程费预算价不得超过已批复概算中相应的建安工程费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且不得超过建安工程费的中标价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。否则，承包人必须进行调整，直至符合限额设计要求为止。</w:t>
      </w:r>
    </w:p>
    <w:p w14:paraId="6FED40E9">
      <w:pPr>
        <w:spacing w:line="360" w:lineRule="auto"/>
        <w:ind w:firstLine="480" w:firstLineChars="200"/>
        <w:jc w:val="left"/>
        <w:rPr>
          <w:rFonts w:hint="eastAsia" w:asciiTheme="minorEastAsia" w:hAnsiTheme="minorEastAsia" w:eastAsiaTheme="minorEastAsia" w:cstheme="minorEastAsia"/>
          <w:i/>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施工图工程量清单预算价的编制：承包人根据招标文件及设计任务书等相关的文件完成本项目的</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设计工作，承包人设计的施工图经发包人确认后由发包人委托有资质的审图公司审查，施工图经审查合格后，由承包人编制的施工图工程量清单预算</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需经过发包人委托的第三方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造价咨询单位审核</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通过后，并报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审核</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图工程量清单预算的编制依据为：（1）《建设工程工程量清单计价规范》（GB50500—2013）；（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工程量按施工图计算，主要材料价格按预算编制时（招标文件所规定的设计预算编制工期内）当季</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工程造价管理机构发布的人工、材料、机械台班综合单价（若</w:t>
      </w:r>
      <w:r>
        <w:rPr>
          <w:rFonts w:hint="eastAsia" w:asciiTheme="minorEastAsia" w:hAnsiTheme="minorEastAsia" w:eastAsiaTheme="minorEastAsia" w:cstheme="minorEastAsia"/>
          <w:color w:val="000000" w:themeColor="text1"/>
          <w:kern w:val="0"/>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未发布信息则依次参照广东省韶关市、广东省清远市、广东省肇庆市、广东省佛山市、广东省东莞市、广东省广州市，若以上城市均没有信息价则按市场询价，市场询价方式优先从京东、国美、苏宁等大型电商平台查询）执行、经发包人确认的材料价格或暂定材料价格计算，规费、税金等其它费用则按有关规定计算（费率有上、下限的按平均值计算），预算包干费按2018年广东省计价办法的规定计算，赶工措施费不另行计算。</w:t>
      </w:r>
    </w:p>
    <w:p w14:paraId="34CE21CF">
      <w:pPr>
        <w:pStyle w:val="4"/>
        <w:keepNext/>
        <w:keepLines/>
        <w:spacing w:line="360" w:lineRule="auto"/>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25" w:name="_Toc3958"/>
      <w:bookmarkStart w:id="326" w:name="_Toc30405"/>
      <w:bookmarkStart w:id="327" w:name="_Toc11307"/>
      <w:bookmarkStart w:id="328" w:name="_Toc13437"/>
      <w:bookmarkStart w:id="329" w:name="_Toc3531"/>
      <w:bookmarkStart w:id="330" w:name="_Toc28537"/>
      <w:bookmarkStart w:id="331" w:name="_Toc6675"/>
      <w:bookmarkStart w:id="332" w:name="_Toc466640604"/>
      <w:bookmarkStart w:id="333" w:name="_Toc755"/>
      <w:bookmarkStart w:id="334" w:name="_Toc25565"/>
      <w:bookmarkStart w:id="335" w:name="_Toc2286"/>
      <w:bookmarkStart w:id="336" w:name="_Hlt87948449"/>
      <w:bookmarkStart w:id="337" w:name="_Hlt87948447"/>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3 工程结算原则</w:t>
      </w:r>
      <w:bookmarkEnd w:id="325"/>
      <w:bookmarkEnd w:id="326"/>
      <w:bookmarkEnd w:id="327"/>
      <w:bookmarkEnd w:id="328"/>
      <w:bookmarkEnd w:id="329"/>
      <w:bookmarkEnd w:id="330"/>
      <w:bookmarkEnd w:id="331"/>
      <w:bookmarkEnd w:id="332"/>
      <w:bookmarkEnd w:id="333"/>
      <w:bookmarkEnd w:id="334"/>
      <w:bookmarkEnd w:id="335"/>
    </w:p>
    <w:p w14:paraId="203FD975">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设计费结算原则</w:t>
      </w:r>
    </w:p>
    <w:p w14:paraId="12A55B10">
      <w:pPr>
        <w:spacing w:line="360" w:lineRule="auto"/>
        <w:ind w:firstLine="480" w:firstLineChars="200"/>
        <w:jc w:val="left"/>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3.1.1勘察</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设计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费结算价：按经审定的建安工程费招标控制价×勘察设计费中标费率进行结算</w:t>
      </w:r>
      <w:r>
        <w:rPr>
          <w:rFonts w:hint="eastAsia" w:asciiTheme="minorEastAsia" w:hAnsiTheme="minorEastAsia" w:eastAsiaTheme="minorEastAsia" w:cstheme="minorEastAsia"/>
          <w:color w:val="000000" w:themeColor="text1"/>
          <w:kern w:val="1"/>
          <w:szCs w:val="24"/>
          <w:highlight w:val="none"/>
          <w14:textFill>
            <w14:solidFill>
              <w14:schemeClr w14:val="tx1"/>
            </w14:solidFill>
          </w14:textFill>
        </w:rPr>
        <w:t>。</w:t>
      </w:r>
    </w:p>
    <w:p w14:paraId="300B2F64">
      <w:pPr>
        <w:spacing w:line="360" w:lineRule="auto"/>
        <w:ind w:firstLine="480" w:firstLineChars="200"/>
        <w:jc w:val="left"/>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3.1.2勘察设计费在中标价范围内按实结算，结算价超中标价时按中标价结算。</w:t>
      </w:r>
    </w:p>
    <w:p w14:paraId="732A3D05">
      <w:pPr>
        <w:spacing w:line="360" w:lineRule="auto"/>
        <w:ind w:firstLine="480" w:firstLineChars="200"/>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3.2工程费用结算基准价的确定：以</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本章</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第2条工程预算价编制原则编制的经审核后的预算价乘以（1－承包人中标下浮率）作为此工程项目的建安工程结算基准价（不含预备费），其分部分项工程量清单对应的综合单价即为结算基准单价。</w:t>
      </w:r>
    </w:p>
    <w:p w14:paraId="469E3744">
      <w:pPr>
        <w:spacing w:line="360" w:lineRule="auto"/>
        <w:ind w:firstLine="480" w:firstLineChars="200"/>
        <w:jc w:val="left"/>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费用结算原则：发包人在不增减建设规模的情况下，结算价即为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结算基准价</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，但下列情形除外：</w:t>
      </w:r>
    </w:p>
    <w:p w14:paraId="26D1DB1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3.3.1 国家政策性人工价差调整：</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调整方式按省、市有关规定调整。</w:t>
      </w:r>
    </w:p>
    <w:p w14:paraId="1883FD6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3.3.2 当后继相关法律、法规、规章和政策引起安全文明施工费发生变化时，应当按照省建设行政主管部门或省、韶关市、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工程造价管理机构据此发布的规定调整；</w:t>
      </w:r>
    </w:p>
    <w:p w14:paraId="665781D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3.3.3 当后继相关法律、法规、规章和政策引起规费、税金等发生变化时，应当按照省政府或省、韶关市、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有关主管部门据此发布的规定调整；</w:t>
      </w:r>
    </w:p>
    <w:p w14:paraId="569FF8D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3.3.4 当施工期间市场物价发生涨落，引起工程所在地工程造价管理机构发布的价格信息中材料价格变化，主要建筑材料价格浮动超过±5%（指钢材、商品砼、商品砂浆、水泥、砂、石等主要材料），则双方同意调整5％以外部分价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人工费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根据国家政策按实调整；机械费浮动超过±10%，双方同意调整10％以外部分价差。其工、料、机消耗量以发包人确认的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施工图工程量清单预算</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及进度中的消耗量为准。</w:t>
      </w:r>
    </w:p>
    <w:p w14:paraId="443527C1">
      <w:pPr>
        <w:spacing w:line="440" w:lineRule="exact"/>
        <w:ind w:firstLine="482" w:firstLineChars="200"/>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注：人工费、材料单价、机械台班的价差调整基数是以施工当季《</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始兴县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（如信息价没有时参考施工当月&lt;韶关建筑工程造价信息&gt;）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公布的信息价（包括人工费、材料单价、机械台班）为F1与编制施工图工程量清单预算当季</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w:t>
      </w:r>
      <w:r>
        <w:rPr>
          <w:rFonts w:hint="eastAsia" w:asciiTheme="minorEastAsia" w:hAnsiTheme="minorEastAsia" w:eastAsiaTheme="minorEastAsia" w:cstheme="minorEastAsia"/>
          <w:b/>
          <w:bCs/>
          <w:color w:val="000000" w:themeColor="text1"/>
          <w:kern w:val="0"/>
          <w:szCs w:val="24"/>
          <w:highlight w:val="none"/>
          <w:u w:val="single"/>
          <w:lang w:val="en-US" w:eastAsia="zh-CN"/>
          <w14:textFill>
            <w14:solidFill>
              <w14:schemeClr w14:val="tx1"/>
            </w14:solidFill>
          </w14:textFill>
        </w:rPr>
        <w:t>始兴县</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建筑工程造价信息》</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（如信息价没有时参考预算编制当月</w:t>
      </w:r>
      <w:r>
        <w:rPr>
          <w:rFonts w:hint="eastAsia" w:asciiTheme="minorEastAsia" w:hAnsiTheme="minorEastAsia" w:eastAsiaTheme="minorEastAsia" w:cstheme="minorEastAsia"/>
          <w:b/>
          <w:color w:val="000000" w:themeColor="text1"/>
          <w:kern w:val="0"/>
          <w:szCs w:val="24"/>
          <w:highlight w:val="none"/>
          <w:u w:val="single"/>
          <w14:textFill>
            <w14:solidFill>
              <w14:schemeClr w14:val="tx1"/>
            </w14:solidFill>
          </w14:textFill>
        </w:rPr>
        <w:t>（招标文件所规定的设计预算编制工期内）</w:t>
      </w:r>
      <w:r>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t>&lt;韶关建筑工程造价信息&gt;）</w:t>
      </w:r>
      <w:r>
        <w:rPr>
          <w:rFonts w:hint="eastAsia" w:asciiTheme="minorEastAsia" w:hAnsiTheme="minorEastAsia" w:eastAsiaTheme="minorEastAsia" w:cstheme="minorEastAsia"/>
          <w:b/>
          <w:bCs/>
          <w:color w:val="000000" w:themeColor="text1"/>
          <w:kern w:val="0"/>
          <w:szCs w:val="24"/>
          <w:highlight w:val="none"/>
          <w:u w:val="single"/>
          <w14:textFill>
            <w14:solidFill>
              <w14:schemeClr w14:val="tx1"/>
            </w14:solidFill>
          </w14:textFill>
        </w:rPr>
        <w:t>公布的信息价（包括人工费、材料单价、机械台班）F0比较。</w:t>
      </w:r>
    </w:p>
    <w:p w14:paraId="37A3F83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1）人工费调整方式：按省、市有关规定调整。</w:t>
      </w:r>
    </w:p>
    <w:p w14:paraId="2C0380D6">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2）材料补差方式：</w:t>
      </w:r>
    </w:p>
    <w:p w14:paraId="50240B22">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2E220CC">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当材料涨价时，材料补差= F0×（A-5%），当材料跌价时，材料补差= F0×（A+5%），材料补差只计算相应的规费和税金。</w:t>
      </w:r>
    </w:p>
    <w:p w14:paraId="2DCF655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3）施工机械使用费补差方式：</w:t>
      </w:r>
    </w:p>
    <w:p w14:paraId="0DDF170A">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调价系数A=（F1-F0）÷F0×100%</w:t>
      </w:r>
    </w:p>
    <w:p w14:paraId="24B5ACA7">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当施工机械台班费涨价时，机械台班补差= F0×（A-10%），当施工机械台班费跌价时，机械台班补差= F0×（A+10%）， 施工机械使用费补差只计算相应的规费和税金。</w:t>
      </w:r>
    </w:p>
    <w:p w14:paraId="5FCA901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4）若项目规模、建设标准等发生变化，因变化而发生的措施项目费结算时进行相应增减。</w:t>
      </w:r>
    </w:p>
    <w:p w14:paraId="032C553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5）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3.3.5款情形的，应当按照其规定调整；其他情形的，按照以下规定调整：</w:t>
      </w:r>
    </w:p>
    <w:p w14:paraId="662934E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①结算基准价中有适用于变更工程项目的，按照该项目的单价或合价调整；</w:t>
      </w:r>
    </w:p>
    <w:p w14:paraId="5C96A91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②结算基准价中没有适用、只有类似于变更工程项目的，可在合理范围内参照类似项目的单价或合价调整；</w:t>
      </w:r>
    </w:p>
    <w:p w14:paraId="10E0BB8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③结算基准价中没有适用也没有类似于变更工程项目的，根据变更工程资料、计量规则和计价办法、施工期间工程造价管理机构发布的价格信息，按本结算原则第3.3.5款重新确定综合单价后，相应调整工程价款；</w:t>
      </w:r>
    </w:p>
    <w:p w14:paraId="65DD96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④结算基准价中没有适用也没有类似于变更工程项目，且施工期间工程造价管理机构发布的价格信息缺项的，根据变更工程资料、计量规则、计价办法和通过市场调查等的有合法依据的市场价格，按本原则第3.3.5条提出变更工程项目的单价或合价，经发、承包双方确认后调整；</w:t>
      </w:r>
    </w:p>
    <w:p w14:paraId="03A5169B">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⑤如发包人只调整材料的等级、规格或品牌，则其综合单价按结算基准价中单价＋该项材料的价差（经发包人审定后的材料单价-结算基准价中的材料单价）进行调整，规费、税金按有关规定调整。</w:t>
      </w:r>
    </w:p>
    <w:p w14:paraId="47B400A0">
      <w:pPr>
        <w:spacing w:line="360" w:lineRule="auto"/>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6）建设工程完工后，发、承包双方和受其委托具有相应资质的工程造价咨询企业必须按照GB50500-2013年《建设工程工程量清单计价规范》和省的有关规定办理竣工结算。</w:t>
      </w:r>
    </w:p>
    <w:p w14:paraId="5BBE6D4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3.3.5 工程造价调整项目若是结算基准价中没有的项目，其造价调整如下：</w:t>
      </w:r>
    </w:p>
    <w:p w14:paraId="253A3E8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发、承包双方签证确认的、应予计量的实际完成的工程量计算，主要材料价格按施工同期工程所在地工程造价管理机构发布的价格信息中的综合单价计算，工程所在地工程造价管理机构发布的价格信息中参考价没有的材料价由发、承包双方市场询价确定，规费、税金等其它费用则按有关规定计算（费率有上、下限的以下限计算），预算包干费及赶工措施费不予计算。经发包人或其指定的有关单位审核，经审核后的造价按承包人的建安工程费中标下浮率下浮后作为工程结算价。</w:t>
      </w:r>
    </w:p>
    <w:p w14:paraId="65EE150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清单项目如只单独调整人工、材料、机械台班价差的，其人工、材料、机械台班消耗量均以审定施工图预算中的该清单项目的人工、材料、机械台班消耗量为准。</w:t>
      </w:r>
    </w:p>
    <w:p w14:paraId="5A12654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承包人不得以不完全了解现场情况为理由，提出额外付款或延长工期等要求。对此类要求，发包人不作任何考虑及答复。</w:t>
      </w:r>
    </w:p>
    <w:p w14:paraId="0A7AF76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合同履行期间，由于承包人原因导致发生设计变更或现场签证的，由此增加的工程造价费用，由承包人自行承担，发包人不予以考虑和补偿，同时按相关违约条款处罚。</w:t>
      </w:r>
    </w:p>
    <w:p w14:paraId="54D8B07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3.4 如发包人减少建设规模，则</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经发包人确认的预算书</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扣减减少</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部分工程造价。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最终结算价由</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财政局投资评审中心审定为准</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 </w:t>
      </w:r>
    </w:p>
    <w:p w14:paraId="4AC7E498">
      <w:pPr>
        <w:spacing w:line="360" w:lineRule="auto"/>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3.5 预备费：</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由发包人掌握使用，不发生时不计入结算总价。使用范围用于以下情形：</w:t>
      </w:r>
    </w:p>
    <w:p w14:paraId="4D2F6EBF">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（1）由于发包人的要求导致发生设计变更或合同约定调整因素出现时的工程价款调整以及发生的索赔、现场签证等，其工程量按实调整，结算时按实际施工工作量及招标文件、合同约定进行结算，</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不发生时不计入结算总价</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60EE5A4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（2）国家政策变化导致的调整。</w:t>
      </w:r>
    </w:p>
    <w:p w14:paraId="520FB0E5">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（3）施工期间市场物价涨落，引起工程所在地工程造价管理机构发布的价格信息中材料价格变化，主要建筑材料（具体参照第3.3.4条款）价格浮动超过+5%的。</w:t>
      </w:r>
    </w:p>
    <w:p w14:paraId="33EC593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（4）施工合同签订时尚未确定或者不可预见的所需材料、设备、服务的采购。结算时按实际发生根据本招标文件的工程结算原则第3.3.5款进行结算。</w:t>
      </w:r>
    </w:p>
    <w:p w14:paraId="791D0F7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（5）因不可预见的原因施工局部调整或施工技术工艺调整或应急工作需要发生的工程量。</w:t>
      </w:r>
    </w:p>
    <w:p w14:paraId="71947CF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（6）土石方工程等相应的投资概算范围之外的及因地质情况引起的基础变更的工程价款调整：其工程量按实调整，结算时按实际施工工作量及招标文件、合同约定进行结算。</w:t>
      </w:r>
    </w:p>
    <w:p w14:paraId="20EAC7DF">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3.6 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14:paraId="08A75463">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3.7本工程结算不另行计取高温补贴费用、预算编制费、专业分包总包服务及配合费、设计优化及修改增加的费用。</w:t>
      </w:r>
    </w:p>
    <w:p w14:paraId="5F346420">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3.8 本工程暂估价（若有）为发包人用于支付必然发生但暂时不能确定价格的材料、工程设备的单价以及专业工程的金额，其结算原则按本章“2～3 工程结算原则”有关条款进行结算，结算时不得超过预算中所列相应的暂估价。</w:t>
      </w:r>
    </w:p>
    <w:p w14:paraId="72F28E1E">
      <w:pPr>
        <w:spacing w:line="50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3.9 因本项目为设计、施工总承包，如果设计图纸、施工图预算由于设计深度原因导致的设计变更，不另行增加费用。</w:t>
      </w:r>
    </w:p>
    <w:p w14:paraId="00025507">
      <w:pPr>
        <w:spacing w:line="500" w:lineRule="exac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3.10 项目工程费用最终结算价以</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财政局投资评审中心的审定意见为准：若最终结算价超过中标价，则按中标价结算；若最终结算价未超过中标价，则按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财政局投资评审中心审定的结算价进行结算。</w:t>
      </w:r>
    </w:p>
    <w:bookmarkEnd w:id="336"/>
    <w:bookmarkEnd w:id="337"/>
    <w:p w14:paraId="70D6157D">
      <w:pPr>
        <w:pStyle w:val="37"/>
        <w:keepNext/>
        <w:keepLines/>
        <w:spacing w:line="500" w:lineRule="exact"/>
        <w:ind w:firstLine="480"/>
        <w:jc w:val="both"/>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pPr>
      <w:bookmarkStart w:id="338" w:name="_Hlt112206782"/>
      <w:bookmarkEnd w:id="338"/>
      <w:bookmarkStart w:id="339" w:name="_Toc11208"/>
      <w:bookmarkStart w:id="340" w:name="_Toc2973"/>
      <w:bookmarkStart w:id="341" w:name="_Toc30894"/>
      <w:bookmarkStart w:id="342" w:name="_Toc322793290"/>
      <w:bookmarkStart w:id="343" w:name="_Toc29998"/>
      <w:bookmarkStart w:id="344" w:name="_Toc20983"/>
      <w:bookmarkStart w:id="345" w:name="_Toc15300"/>
      <w:bookmarkStart w:id="346" w:name="_Toc16793"/>
      <w:bookmarkStart w:id="347" w:name="_Toc326916631"/>
      <w:bookmarkStart w:id="348" w:name="_Toc23408"/>
      <w:bookmarkStart w:id="349" w:name="_Toc10403"/>
      <w:bookmarkStart w:id="350" w:name="_Toc24211"/>
      <w:bookmarkStart w:id="351" w:name="_Hlt87951777"/>
      <w:r>
        <w:rPr>
          <w:rFonts w:hint="eastAsia" w:asciiTheme="minorEastAsia" w:hAnsiTheme="minorEastAsia" w:eastAsiaTheme="minorEastAsia" w:cstheme="minorEastAsia"/>
          <w:b/>
          <w:color w:val="000000" w:themeColor="text1"/>
          <w:kern w:val="2"/>
          <w:szCs w:val="24"/>
          <w:highlight w:val="none"/>
          <w14:textFill>
            <w14:solidFill>
              <w14:schemeClr w14:val="tx1"/>
            </w14:solidFill>
          </w14:textFill>
        </w:rPr>
        <w:t>4 工程付款办法</w:t>
      </w:r>
      <w:bookmarkEnd w:id="339"/>
      <w:bookmarkEnd w:id="340"/>
      <w:bookmarkEnd w:id="341"/>
      <w:bookmarkEnd w:id="342"/>
      <w:bookmarkEnd w:id="343"/>
      <w:bookmarkEnd w:id="344"/>
      <w:bookmarkEnd w:id="345"/>
      <w:bookmarkEnd w:id="346"/>
      <w:bookmarkEnd w:id="347"/>
      <w:bookmarkEnd w:id="348"/>
      <w:bookmarkEnd w:id="349"/>
      <w:bookmarkEnd w:id="350"/>
    </w:p>
    <w:bookmarkEnd w:id="351"/>
    <w:p w14:paraId="321EF06C">
      <w:pPr>
        <w:pStyle w:val="35"/>
        <w:spacing w:line="500" w:lineRule="exact"/>
        <w:ind w:firstLine="48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352" w:name="_Hlt66591689"/>
      <w:bookmarkEnd w:id="352"/>
      <w:bookmarkStart w:id="353" w:name="_Hlt69114106"/>
      <w:bookmarkEnd w:id="353"/>
      <w:bookmarkStart w:id="354" w:name="_Hlt69700007"/>
      <w:bookmarkEnd w:id="354"/>
      <w:bookmarkStart w:id="355" w:name="_Hlt70150985"/>
      <w:bookmarkEnd w:id="355"/>
      <w:bookmarkStart w:id="356" w:name="_Hlt69669774"/>
      <w:bookmarkEnd w:id="356"/>
      <w:bookmarkStart w:id="357" w:name="_Hlt66593437"/>
      <w:bookmarkEnd w:id="357"/>
      <w:bookmarkStart w:id="358" w:name="_Hlt66608388"/>
      <w:bookmarkEnd w:id="358"/>
      <w:bookmarkStart w:id="359" w:name="_Hlt88976467"/>
      <w:bookmarkEnd w:id="359"/>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4.1</w:t>
      </w:r>
      <w:r>
        <w:rPr>
          <w:rFonts w:hint="eastAsia" w:asciiTheme="minorEastAsia" w:hAnsiTheme="minorEastAsia" w:eastAsiaTheme="minorEastAsia" w:cstheme="minorEastAsia"/>
          <w:b/>
          <w:bCs/>
          <w:color w:val="000000" w:themeColor="text1"/>
          <w:szCs w:val="22"/>
          <w:highlight w:val="none"/>
          <w:lang w:val="en-US" w:eastAsia="zh-CN"/>
          <w14:textFill>
            <w14:solidFill>
              <w14:schemeClr w14:val="tx1"/>
            </w14:solidFill>
          </w14:textFill>
        </w:rPr>
        <w:t>勘察</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设计费的支付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0075D262">
      <w:pPr>
        <w:pStyle w:val="35"/>
        <w:spacing w:line="440" w:lineRule="exact"/>
        <w:ind w:firstLine="480"/>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4.1.1</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提交初步勘察报告、初步</w:t>
      </w:r>
      <w:r>
        <w:rPr>
          <w:rFonts w:hint="eastAsia" w:asciiTheme="minorEastAsia" w:hAnsiTheme="minorEastAsia" w:eastAsiaTheme="minorEastAsia" w:cstheme="minorEastAsia"/>
          <w:color w:val="000000" w:themeColor="text1"/>
          <w:highlight w:val="none"/>
          <w14:textFill>
            <w14:solidFill>
              <w14:schemeClr w14:val="tx1"/>
            </w14:solidFill>
          </w14:textFill>
        </w:rPr>
        <w:t>设计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文件及工程概算</w:t>
      </w:r>
      <w:r>
        <w:rPr>
          <w:rFonts w:hint="eastAsia" w:asciiTheme="minorEastAsia" w:hAnsiTheme="minorEastAsia" w:eastAsiaTheme="minorEastAsia" w:cstheme="minorEastAsia"/>
          <w:color w:val="000000" w:themeColor="text1"/>
          <w:highlight w:val="none"/>
          <w14:textFill>
            <w14:solidFill>
              <w14:schemeClr w14:val="tx1"/>
            </w14:solidFill>
          </w14:textFill>
        </w:rPr>
        <w:t>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highlight w:val="none"/>
          <w14:textFill>
            <w14:solidFill>
              <w14:schemeClr w14:val="tx1"/>
            </w14:solidFill>
          </w14:textFill>
        </w:rPr>
        <w:t>设计费合同价款的30%</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w:t>
      </w:r>
    </w:p>
    <w:p w14:paraId="360E13A3">
      <w:pPr>
        <w:pStyle w:val="35"/>
        <w:spacing w:line="44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4.1.2提交详细勘察报告、</w:t>
      </w:r>
      <w:r>
        <w:rPr>
          <w:rFonts w:hint="eastAsia" w:asciiTheme="minorEastAsia" w:hAnsiTheme="minorEastAsia" w:eastAsiaTheme="minorEastAsia" w:cstheme="minorEastAsia"/>
          <w:color w:val="000000" w:themeColor="text1"/>
          <w:highlight w:val="none"/>
          <w14:textFill>
            <w14:solidFill>
              <w14:schemeClr w14:val="tx1"/>
            </w14:solidFill>
          </w14:textFill>
        </w:rPr>
        <w:t>施工图设计</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文件和施工图预算</w:t>
      </w:r>
      <w:r>
        <w:rPr>
          <w:rFonts w:hint="eastAsia" w:asciiTheme="minorEastAsia" w:hAnsiTheme="minorEastAsia" w:eastAsiaTheme="minorEastAsia" w:cstheme="minorEastAsia"/>
          <w:color w:val="000000" w:themeColor="text1"/>
          <w:highlight w:val="none"/>
          <w14:textFill>
            <w14:solidFill>
              <w14:schemeClr w14:val="tx1"/>
            </w14:solidFill>
          </w14:textFill>
        </w:rPr>
        <w:t>，</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且</w:t>
      </w:r>
      <w:r>
        <w:rPr>
          <w:rFonts w:hint="eastAsia" w:asciiTheme="minorEastAsia" w:hAnsiTheme="minorEastAsia" w:eastAsiaTheme="minorEastAsia" w:cstheme="minorEastAsia"/>
          <w:color w:val="000000" w:themeColor="text1"/>
          <w:highlight w:val="none"/>
          <w14:textFill>
            <w14:solidFill>
              <w14:schemeClr w14:val="tx1"/>
            </w14:solidFill>
          </w14:textFill>
        </w:rPr>
        <w:t>本项目工程施工图设计经发包人委托具有资质的第三方审图机构审查合格并提交合格的完整施工图设计成果文件后，相关请款资料经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财政局审批后10个工作日内，支付至</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highlight w:val="none"/>
          <w14:textFill>
            <w14:solidFill>
              <w14:schemeClr w14:val="tx1"/>
            </w14:solidFill>
          </w14:textFill>
        </w:rPr>
        <w:t>设计费合同价款的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highlight w:val="none"/>
          <w14:textFill>
            <w14:solidFill>
              <w14:schemeClr w14:val="tx1"/>
            </w14:solidFill>
          </w14:textFill>
        </w:rPr>
        <w:t>0%。</w:t>
      </w:r>
    </w:p>
    <w:p w14:paraId="0A548E9B">
      <w:pPr>
        <w:pStyle w:val="35"/>
        <w:spacing w:line="440" w:lineRule="exact"/>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4.1.3工</w:t>
      </w:r>
      <w:r>
        <w:rPr>
          <w:rFonts w:hint="eastAsia" w:asciiTheme="minorEastAsia" w:hAnsiTheme="minorEastAsia" w:eastAsiaTheme="minorEastAsia" w:cstheme="minorEastAsia"/>
          <w:color w:val="000000" w:themeColor="text1"/>
          <w:highlight w:val="none"/>
          <w14:textFill>
            <w14:solidFill>
              <w14:schemeClr w14:val="tx1"/>
            </w14:solidFill>
          </w14:textFill>
        </w:rPr>
        <w:t>程竣工验收合格后，相关请款资料经</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highlight w:val="none"/>
          <w14:textFill>
            <w14:solidFill>
              <w14:schemeClr w14:val="tx1"/>
            </w14:solidFill>
          </w14:textFill>
        </w:rPr>
        <w:t>财政局审批后10个工作日内支付剩余的</w:t>
      </w:r>
      <w:r>
        <w:rPr>
          <w:rFonts w:hint="eastAsia" w:asciiTheme="minorEastAsia" w:hAnsiTheme="minorEastAsia" w:eastAsiaTheme="minorEastAsia" w:cstheme="minorEastAsia"/>
          <w:color w:val="000000" w:themeColor="text1"/>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highlight w:val="none"/>
          <w14:textFill>
            <w14:solidFill>
              <w14:schemeClr w14:val="tx1"/>
            </w14:solidFill>
          </w14:textFill>
        </w:rPr>
        <w:t>设计费余额。</w:t>
      </w:r>
    </w:p>
    <w:p w14:paraId="67BD3E49">
      <w:pPr>
        <w:pStyle w:val="35"/>
        <w:spacing w:line="500" w:lineRule="exact"/>
        <w:ind w:firstLine="482"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 xml:space="preserve">4.2 </w:t>
      </w:r>
      <w:r>
        <w:rPr>
          <w:rFonts w:hint="eastAsia" w:asciiTheme="minorEastAsia" w:hAnsiTheme="minorEastAsia" w:eastAsiaTheme="minorEastAsia" w:cstheme="minorEastAsia"/>
          <w:b/>
          <w:bCs/>
          <w:color w:val="000000" w:themeColor="text1"/>
          <w:szCs w:val="21"/>
          <w:highlight w:val="none"/>
          <w14:textFill>
            <w14:solidFill>
              <w14:schemeClr w14:val="tx1"/>
            </w14:solidFill>
          </w14:textFill>
        </w:rPr>
        <w:t>建安工程款的支付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w:t>
      </w:r>
    </w:p>
    <w:p w14:paraId="68558E75">
      <w:pPr>
        <w:pStyle w:val="35"/>
        <w:spacing w:line="500" w:lineRule="exact"/>
        <w:ind w:firstLine="48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4.2.1 本工程</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支付</w:t>
      </w:r>
      <w:r>
        <w:rPr>
          <w:rFonts w:hint="eastAsia" w:asciiTheme="minorEastAsia" w:hAnsiTheme="minorEastAsia" w:eastAsiaTheme="minorEastAsia" w:cstheme="minorEastAsia"/>
          <w:color w:val="000000" w:themeColor="text1"/>
          <w:highlight w:val="none"/>
          <w14:textFill>
            <w14:solidFill>
              <w14:schemeClr w14:val="tx1"/>
            </w14:solidFill>
          </w14:textFill>
        </w:rPr>
        <w:t>施工预付款。</w:t>
      </w:r>
    </w:p>
    <w:p w14:paraId="60174964">
      <w:pPr>
        <w:pStyle w:val="35"/>
        <w:spacing w:line="500" w:lineRule="exact"/>
        <w:ind w:firstLine="480"/>
        <w:rPr>
          <w:rFonts w:hint="eastAsia" w:asciiTheme="minorEastAsia" w:hAnsiTheme="minorEastAsia" w:eastAsiaTheme="minorEastAsia" w:cstheme="minorEastAsia"/>
          <w:i/>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4.2.2 </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施工预付款必须专用于合同工程，并按以下原则支付和抵扣：</w:t>
      </w:r>
    </w:p>
    <w:p w14:paraId="786D911A">
      <w:pPr>
        <w:adjustRightInd w:val="0"/>
        <w:snapToGrid w:val="0"/>
        <w:spacing w:line="500" w:lineRule="exact"/>
        <w:ind w:firstLine="56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 施工预付款支付比例为：按施工合同价（预备费除外）的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30%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支付（视资金到位情况为准），施工预付款中包含工人工资预付款，其中工人工资预付款比例为施工合同价（预备费除外）的1%。</w:t>
      </w:r>
    </w:p>
    <w:p w14:paraId="4A499DAE">
      <w:pPr>
        <w:adjustRightInd w:val="0"/>
        <w:snapToGrid w:val="0"/>
        <w:spacing w:line="500" w:lineRule="exact"/>
        <w:ind w:firstLine="56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（2）本工程要求承包人提供与预付款等额的预付款银行保函（</w:t>
      </w:r>
      <w:r>
        <w:rPr>
          <w:rFonts w:hint="eastAsia" w:asciiTheme="minorEastAsia" w:hAnsiTheme="minorEastAsia" w:eastAsiaTheme="minorEastAsia" w:cstheme="minorEastAsia"/>
          <w:snapToGrid w:val="0"/>
          <w:color w:val="000000" w:themeColor="text1"/>
          <w:kern w:val="0"/>
          <w:szCs w:val="22"/>
          <w:highlight w:val="none"/>
          <w14:textFill>
            <w14:solidFill>
              <w14:schemeClr w14:val="tx1"/>
            </w14:solidFill>
          </w14:textFill>
        </w:rPr>
        <w:t>预付款银行保函按发包人提供的格式，详见招标文件第八章：预付款保函</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且本工程预付款保函期限原则上不少于</w:t>
      </w:r>
      <w:r>
        <w:rPr>
          <w:rFonts w:hint="eastAsia" w:asciiTheme="minorEastAsia" w:hAnsiTheme="minorEastAsia" w:eastAsiaTheme="minorEastAsia" w:cstheme="minorEastAsia"/>
          <w:b/>
          <w:snapToGrid w:val="0"/>
          <w:color w:val="000000" w:themeColor="text1"/>
          <w:kern w:val="0"/>
          <w:szCs w:val="24"/>
          <w:highlight w:val="none"/>
          <w:lang w:val="en-US" w:eastAsia="zh-CN"/>
          <w14:textFill>
            <w14:solidFill>
              <w14:schemeClr w14:val="tx1"/>
            </w14:solidFill>
          </w14:textFill>
        </w:rPr>
        <w:t>3</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个月，承包人的预付款保函有效期应保证在扣回预付款前有效，未扣回预付款但保函过期的，承包人应重新开具预付款保函。</w:t>
      </w:r>
    </w:p>
    <w:p w14:paraId="12338FAE">
      <w:pPr>
        <w:pStyle w:val="35"/>
        <w:ind w:firstLine="48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（3）承包人应在签订施工合同后，在提供等额的预付款保函及具备施工条件的前提下（如承包人主要人员及主要机械进场到位），向发包人提交预付款支付申请。</w:t>
      </w:r>
    </w:p>
    <w:p w14:paraId="359DBA68">
      <w:pPr>
        <w:pStyle w:val="35"/>
        <w:ind w:firstLine="480" w:firstLineChars="200"/>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发包人在收到支付申请的7天内进行核实后，按程序向财政部门申请一次性支付预付款（工人工资预付款单独支付至工人工资专用账户）。</w:t>
      </w:r>
      <w:r>
        <w:rPr>
          <w:rFonts w:hint="eastAsia" w:asciiTheme="minorEastAsia" w:hAnsiTheme="minorEastAsia" w:eastAsiaTheme="minorEastAsia" w:cstheme="minorEastAsia"/>
          <w:b/>
          <w:snapToGrid w:val="0"/>
          <w:color w:val="000000" w:themeColor="text1"/>
          <w:kern w:val="0"/>
          <w:highlight w:val="none"/>
          <w14:textFill>
            <w14:solidFill>
              <w14:schemeClr w14:val="tx1"/>
            </w14:solidFill>
          </w14:textFill>
        </w:rPr>
        <w:t>凡未签订合同、未提供预付款保函或不具备施工条件的工程，发包人不预付工程款。</w:t>
      </w:r>
    </w:p>
    <w:p w14:paraId="75193BA4">
      <w:pPr>
        <w:pStyle w:val="35"/>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（4）预付款应从每支付期应支付给承包人的工程进度款中扣回，扣回比例为每支付期的工程进度款的50%，直到扣回的金额达到合同约定的预付款金额为止。</w:t>
      </w:r>
    </w:p>
    <w:p w14:paraId="24B08995">
      <w:pPr>
        <w:pStyle w:val="35"/>
        <w:ind w:firstLine="480" w:firstLineChars="200"/>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4.2.3工程进度款支付条件：承包人必须提供完整的施工图预算（加盖承包人公章及注册造价工程师注册章）报发包人审核后方可支付工程进度款。</w:t>
      </w:r>
    </w:p>
    <w:p w14:paraId="09E8B826">
      <w:pPr>
        <w:pStyle w:val="35"/>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4.2.4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施工过程中按月支付工程进度款：承包人每月按</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工程形象进度申</w:t>
      </w:r>
      <w:r>
        <w:rPr>
          <w:rFonts w:hint="eastAsia" w:asciiTheme="minorEastAsia" w:hAnsiTheme="minorEastAsia" w:eastAsiaTheme="minorEastAsia" w:cstheme="minorEastAsia"/>
          <w:color w:val="000000" w:themeColor="text1"/>
          <w:highlight w:val="none"/>
          <w14:textFill>
            <w14:solidFill>
              <w14:schemeClr w14:val="tx1"/>
            </w14:solidFill>
          </w14:textFill>
        </w:rPr>
        <w:t>报，截止日为当月26日，形象进度和</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《工程付款申请书》</w:t>
      </w:r>
      <w:r>
        <w:rPr>
          <w:rFonts w:hint="eastAsia" w:asciiTheme="minorEastAsia" w:hAnsiTheme="minorEastAsia" w:eastAsiaTheme="minorEastAsia" w:cstheme="minorEastAsia"/>
          <w:color w:val="000000" w:themeColor="text1"/>
          <w:highlight w:val="none"/>
          <w14:textFill>
            <w14:solidFill>
              <w14:schemeClr w14:val="tx1"/>
            </w14:solidFill>
          </w14:textFill>
        </w:rPr>
        <w:t>由监理单位核实确认，经</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造价咨询单位（如有造价单位）审核，</w:t>
      </w:r>
      <w:r>
        <w:rPr>
          <w:rFonts w:hint="eastAsia" w:asciiTheme="minorEastAsia" w:hAnsiTheme="minorEastAsia" w:eastAsiaTheme="minorEastAsia" w:cstheme="minorEastAsia"/>
          <w:color w:val="000000" w:themeColor="text1"/>
          <w:highlight w:val="none"/>
          <w14:textFill>
            <w14:solidFill>
              <w14:schemeClr w14:val="tx1"/>
            </w14:solidFill>
          </w14:textFill>
        </w:rPr>
        <w:t>再经发包人审核确认后于申报工程进度款的次月支付。</w:t>
      </w:r>
    </w:p>
    <w:p w14:paraId="566482A7">
      <w:pPr>
        <w:spacing w:line="360" w:lineRule="auto"/>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4.2.5</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每月的工程进度款按应付金额的 80 ％支付，工程进度款中的作业工人工资款项暂为该月工程进度款的 30 ％，具体工人工资拨付金额以该月实际审核确认的为准，由发包人将该月审核确认后的作业工人工资款项单独足额拨付到承包人的工资专户。</w:t>
      </w:r>
    </w:p>
    <w:p w14:paraId="7ECE29DE">
      <w:pPr>
        <w:pStyle w:val="35"/>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4.3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措施项目费中的“绿色施工安全防护措施费”拨付按照《广东省建设工程计价依据（2018）》执行，按照</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韶关市住房和城乡建设管理局《关于明确建筑工程安全防护、文明施工措施费用具体管理办法的通知》韶市建字〔2015〕26号文的</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有关规定支付。发生一般事故及以上等级重大安全事故的，发包人可扣除承包人金额相当于所有“绿色施工安全防护措施费”的工程管理费。</w:t>
      </w:r>
    </w:p>
    <w:p w14:paraId="41722079">
      <w:pPr>
        <w:wordWrap w:val="0"/>
        <w:adjustRightInd w:val="0"/>
        <w:snapToGrid w:val="0"/>
        <w:spacing w:line="360" w:lineRule="auto"/>
        <w:ind w:firstLine="480" w:firstLineChars="200"/>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变更工程造价必须经监理单位核实及造价咨询单位（如有造价单位）审核，并经发包人核定后方可支付。</w:t>
      </w:r>
    </w:p>
    <w:p w14:paraId="16EADF1F">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4.5 工程完工后可支付至80％（但不局限于80％）</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highlight w:val="none"/>
          <w14:textFill>
            <w14:solidFill>
              <w14:schemeClr w14:val="tx1"/>
            </w14:solidFill>
          </w14:textFill>
        </w:rPr>
        <w:t>结算审核完成后，于次月支付至审定总造价的97%。</w:t>
      </w:r>
    </w:p>
    <w:p w14:paraId="41A5B087">
      <w:pPr>
        <w:pStyle w:val="35"/>
        <w:rPr>
          <w:rFonts w:hint="eastAsia" w:asciiTheme="minorEastAsia" w:hAnsiTheme="minorEastAsia" w:eastAsiaTheme="minorEastAsia" w:cstheme="minorEastAsia"/>
          <w:strike/>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4.6 剩余3%为工程质量保证金，从工程竣工验收合格之日起满</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2</w:t>
      </w:r>
      <w:r>
        <w:rPr>
          <w:rFonts w:hint="eastAsia" w:asciiTheme="minorEastAsia" w:hAnsiTheme="minorEastAsia" w:eastAsiaTheme="minorEastAsia" w:cstheme="minorEastAsia"/>
          <w:color w:val="000000" w:themeColor="text1"/>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若未发现质量问题，</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承包人向发包人申请退还质量保证（或保证金），发包人按照《建设工程质量保证金管理办法》及合同的有关规定和约定将质量保证（或保证金）</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于次月</w:t>
      </w:r>
      <w:r>
        <w:rPr>
          <w:rFonts w:hint="eastAsia" w:asciiTheme="minorEastAsia" w:hAnsiTheme="minorEastAsia" w:eastAsiaTheme="minorEastAsia" w:cstheme="minorEastAsia"/>
          <w:bCs/>
          <w:snapToGrid w:val="0"/>
          <w:color w:val="000000" w:themeColor="text1"/>
          <w:kern w:val="0"/>
          <w:highlight w:val="none"/>
          <w14:textFill>
            <w14:solidFill>
              <w14:schemeClr w14:val="tx1"/>
            </w14:solidFill>
          </w14:textFill>
        </w:rPr>
        <w:t>退还给承包人</w:t>
      </w:r>
      <w:r>
        <w:rPr>
          <w:rFonts w:hint="eastAsia" w:asciiTheme="minorEastAsia" w:hAnsiTheme="minorEastAsia" w:eastAsiaTheme="minorEastAsia" w:cstheme="minorEastAsia"/>
          <w:bCs/>
          <w:color w:val="000000" w:themeColor="text1"/>
          <w:kern w:val="0"/>
          <w:highlight w:val="none"/>
          <w14:textFill>
            <w14:solidFill>
              <w14:schemeClr w14:val="tx1"/>
            </w14:solidFill>
          </w14:textFill>
        </w:rPr>
        <w:t>（不计息）。</w:t>
      </w:r>
    </w:p>
    <w:p w14:paraId="3B1F805D">
      <w:pPr>
        <w:wordWrap w:val="0"/>
        <w:adjustRightInd w:val="0"/>
        <w:snapToGrid w:val="0"/>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4.7承包人提供的工程款发票必须按照发包人要求提供相应增值税发票给发包人，发包人收到符合要求的发票后方可支付工程款。</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如果承包人无法提供符合要求的发票，由此造成的相应损失由承包人承担。</w:t>
      </w:r>
    </w:p>
    <w:p w14:paraId="7216B678">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4.8本项目为政府全额投资，所有支付手续经发包人审批后，还须报政府财政部门审批完毕方可支付，如经发包人审批后已及时履行了向财政部门申报审批手续，则发包人不支付延期付</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款的利息，承包人也不得因政府财政部门履行审批程序所造成的延期付款而暂停施工和相关服务。</w:t>
      </w:r>
    </w:p>
    <w:p w14:paraId="7E13DF6A">
      <w:pPr>
        <w:wordWrap w:val="0"/>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4.9</w:t>
      </w:r>
      <w:r>
        <w:rPr>
          <w:rFonts w:hint="eastAsia" w:asciiTheme="minorEastAsia" w:hAnsiTheme="minorEastAsia" w:eastAsiaTheme="minorEastAsia" w:cstheme="minorEastAsia"/>
          <w:color w:val="000000" w:themeColor="text1"/>
          <w:highlight w:val="none"/>
          <w14:textFill>
            <w14:solidFill>
              <w14:schemeClr w14:val="tx1"/>
            </w14:solidFill>
          </w14:textFill>
        </w:rPr>
        <w:t>预备费支付方式：与每个月的工程进度款一并报送（若发生符合使用范围的情形需使用预备费时），在预备费的范围内由监理单位进行签认，造价咨询单位审核，发包人确认，进度款中需要列明涉及预备费的部分。在预备费的范围内由监理单位进行签证，造价咨询单位审核后，经发包人确认后按该进度款项的50％支付，其余部分待结算完成审核后支付。预备费如有余额归发包人，不发生时不计入结算总价。</w:t>
      </w:r>
    </w:p>
    <w:p w14:paraId="609BF42D">
      <w:pPr>
        <w:wordWrap w:val="0"/>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4.10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本工程按政府有关要求或资金安排情况、合同有关约定，经双方协商可调整建安费支付办法。</w:t>
      </w:r>
    </w:p>
    <w:p w14:paraId="4D87B18B">
      <w:pPr>
        <w:pStyle w:val="3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补充条款：</w:t>
      </w:r>
    </w:p>
    <w:p w14:paraId="78092894">
      <w:pPr>
        <w:pStyle w:val="35"/>
        <w:numPr>
          <w:ilvl w:val="0"/>
          <w:numId w:val="5"/>
        </w:numPr>
        <w:ind w:firstLine="361" w:firstLineChars="15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施工部分</w:t>
      </w:r>
    </w:p>
    <w:p w14:paraId="7C85417A">
      <w:pPr>
        <w:pStyle w:val="53"/>
        <w:widowControl/>
        <w:spacing w:line="360" w:lineRule="auto"/>
        <w:ind w:firstLine="420"/>
        <w:jc w:val="left"/>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5.1</w:t>
      </w:r>
      <w:r>
        <w:rPr>
          <w:rFonts w:hint="eastAsia" w:asciiTheme="minorEastAsia" w:hAnsiTheme="minorEastAsia" w:eastAsiaTheme="minorEastAsia" w:cstheme="minorEastAsia"/>
          <w:b/>
          <w:bCs/>
          <w:color w:val="000000" w:themeColor="text1"/>
          <w:highlight w:val="none"/>
          <w:lang w:val="zh-CN"/>
          <w14:textFill>
            <w14:solidFill>
              <w14:schemeClr w14:val="tx1"/>
            </w14:solidFill>
          </w14:textFill>
        </w:rPr>
        <w:t>项目管理</w:t>
      </w:r>
    </w:p>
    <w:p w14:paraId="78BB4858">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5.1.1项目经理要求：</w:t>
      </w:r>
    </w:p>
    <w:p w14:paraId="102046D0">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项目经理与投标文件承诺不一致或未及时到位，发包人将按照下列方式对承包人进行处罚：</w:t>
      </w:r>
    </w:p>
    <w:p w14:paraId="20177E41">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担任项目经理的注册建造师与投标书承诺不一致，将视为承包人严重违约。除符合广东省住房和城乡建设厅《关于建设工程项目招标中标后监督检查的办法》〔2009〕8号文第九条规定的情形外，项目经理一律不得更换。承包人未经监理工程师和发包人书面同意，擅自更换投标书中确认的本工程项目经理的，监理工程师或发包人有权责令承包人三天内整改，且发包人有权提请建设行政主管部门对其作不良行为记录，有权给予承包人履约评价为不合格，同时发包人有权拒绝承包人3年内参加发包人其它工程的投标。</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擅自更换本工程项目经理的，</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即使发包人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事后</w:t>
      </w: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批准同意更换，承包人仍需支付每换一次15万元的违约金（仅被羁押或判处刑罚、身亡可免责）。</w:t>
      </w:r>
    </w:p>
    <w:p w14:paraId="328A740C">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项目经理每延迟到位一天承包人应向发包人支付违约金5万元/天，超过10天（含10天）发包人有权单方解除合同，并要求承包人承担由此造成的一切损失。</w:t>
      </w:r>
    </w:p>
    <w:p w14:paraId="4D33B316">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必须按时参加工程例会、图纸会审和技术交底、现场协调会、方案论证会、专项工作碰头会，以及发包人要求其参加的会议。未经发包人同意不到会者，承包人每次向发包人支付1万元违约金，并承担一般违约责任1次。</w:t>
      </w:r>
    </w:p>
    <w:p w14:paraId="45B02A2F">
      <w:pPr>
        <w:pStyle w:val="53"/>
        <w:widowControl/>
        <w:numPr>
          <w:ilvl w:val="0"/>
          <w:numId w:val="6"/>
        </w:numPr>
        <w:spacing w:line="360" w:lineRule="auto"/>
        <w:ind w:firstLine="420"/>
        <w:jc w:val="left"/>
        <w:rPr>
          <w:rFonts w:hint="eastAsia" w:asciiTheme="minorEastAsia" w:hAnsiTheme="minorEastAsia" w:eastAsiaTheme="minorEastAsia" w:cstheme="minorEastAsia"/>
          <w:color w:val="000000" w:themeColor="text1"/>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项目经理若需离开施工现场1日以上（含1日）需经发包人批准。在其请假离开的时间段内应委托项目副经理或项目总工全权代表其行使职权，否则每违约一次，承包人应当承担一般违约责任1次。项目经理每月的出勤天数不得少于22天，如少于22天的，按每缺勤一天向发包人支付违约金人民币3仟元，并承担一般违约责任1次。</w:t>
      </w:r>
    </w:p>
    <w:p w14:paraId="484D4B2F">
      <w:pPr>
        <w:pStyle w:val="53"/>
        <w:widowControl/>
        <w:spacing w:line="360" w:lineRule="auto"/>
        <w:ind w:firstLine="480" w:firstLineChars="20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5）对于难以胜任工作项目经理，发包人有权要求承包人进行更换，直至发包人满意为止，且更换人员应在接到书面通知后的3天内到位。更换项目经理期间延误的工期不予顺延，所有费用由承包人承担，给发包人造成的损失由承包人承担。</w:t>
      </w:r>
    </w:p>
    <w:p w14:paraId="70AB9D86">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u w:val="single"/>
          <w14:textFill>
            <w14:solidFill>
              <w14:schemeClr w14:val="tx1"/>
            </w14:solidFill>
          </w14:textFill>
        </w:rPr>
        <w:t>上述违约金由承包人直接向发包人支付，未付清之前，发包人有权暂停支付工程款。</w:t>
      </w:r>
    </w:p>
    <w:p w14:paraId="103D7D44">
      <w:pPr>
        <w:pStyle w:val="53"/>
        <w:widowControl/>
        <w:spacing w:line="360" w:lineRule="auto"/>
        <w:ind w:firstLine="42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5.1.2承包人必须遵守国家相关法律法规、政府相关规定及</w:t>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ab/>
      </w:r>
      <w:r>
        <w:rPr>
          <w:rFonts w:hint="eastAsia" w:asciiTheme="minorEastAsia" w:hAnsiTheme="minorEastAsia" w:eastAsiaTheme="minorEastAsia" w:cstheme="minorEastAsia"/>
          <w:color w:val="000000" w:themeColor="text1"/>
          <w:highlight w:val="none"/>
          <w:lang w:eastAsia="zh-CN"/>
          <w14:textFill>
            <w14:solidFill>
              <w14:schemeClr w14:val="tx1"/>
            </w14:solidFill>
          </w14:textFill>
        </w:rPr>
        <w:t>始兴县住房和城乡建设管理局</w:t>
      </w:r>
      <w:r>
        <w:rPr>
          <w:rFonts w:hint="eastAsia" w:asciiTheme="minorEastAsia" w:hAnsiTheme="minorEastAsia" w:eastAsiaTheme="minorEastAsia" w:cstheme="minorEastAsia"/>
          <w:color w:val="000000" w:themeColor="text1"/>
          <w:highlight w:val="none"/>
          <w14:textFill>
            <w14:solidFill>
              <w14:schemeClr w14:val="tx1"/>
            </w14:solidFill>
          </w14:textFill>
        </w:rPr>
        <w:t>的工程管理制度。</w:t>
      </w:r>
    </w:p>
    <w:p w14:paraId="1C814542">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5.1.3承包人应根据工程实际需要，配备满足进度要求的施工机械，自备发电机保证供电稳定，所有费用已包含在合同价中。</w:t>
      </w:r>
    </w:p>
    <w:p w14:paraId="2239CEC0">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如果承包人未能按照规定的工期完成合同工程（含材料、设备采购等），或者未能在相应的工期内完成某区段或某单项工程，经发包人书面发出通知要求承包人在规定时间内完成前述工程后，承包人仍未完成，则发包人有权直接雇用他人执行该项指令，并向其支付有关费用，所发生的费用从承包人合同总价中扣除，同时，在工程结算时发包人有权扣除承包人向发包人支付所发生费用10%的违约金，并由承包人承担影响工期的一切责任。</w:t>
      </w:r>
    </w:p>
    <w:p w14:paraId="0FB0B478">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5.1.5在合同履行中如发包人、承包人双方发生争议，承包人不得以争议未解决为由擅自停工，否则将视为违约，由此产生工期的延误不予顺延。</w:t>
      </w:r>
    </w:p>
    <w:p w14:paraId="1ED02A19">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5.1.6对于隐蔽工程，若发现承包人在验收合格后到隐蔽施工前，对合格部分做任何改动，应重新进行验收；若承包人同一分项工程验收两次仍不合格，则以后每增加一次验收，承包人向发包人支付违约金5000元。如出现未经验收就进行隐蔽施工，承包人向发包人支付10万元/次的违约金，并且发包人有权暂停支付该部分进度款，直至发包人确认该部分工程合格为止，并通报相关部门，由此产生质量、工期延误等等均由承包人负责。</w:t>
      </w:r>
    </w:p>
    <w:p w14:paraId="6040F85F">
      <w:pPr>
        <w:wordWrap w:val="0"/>
        <w:adjustRightInd w:val="0"/>
        <w:snapToGrid w:val="0"/>
        <w:spacing w:line="44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经承包人的自检确认隐蔽工程和工程的隐蔽部位具备覆盖条件后的24小时内，承包人应通知监理人进行检查，通知应按规定的格式说明检查地点、内容和检查时间，并附有承包人自检记录和必要的检查资料。监理人应按通知约定的时间派员到场进行检查，在监理人员确认质量符合要求，并在检查记录上签字后，承包人才能进行覆盖。</w:t>
      </w:r>
    </w:p>
    <w:p w14:paraId="3EF93B12">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承包人未及时通知监理人到场检查，私自将隐蔽部位覆盖，监理人有权指示承包人采用钻孔探测揭开进行检查，由此增加的费用和工期延误责任由承包人承担。</w:t>
      </w:r>
    </w:p>
    <w:p w14:paraId="4743ECAB">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5.1.7承包人必须编制合理的交通维护方案并负责实施，保证施工期间的交通组织符合</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公安交通管理的有关规定，确保施工安全，其费用包含在合同价中。</w:t>
      </w:r>
    </w:p>
    <w:p w14:paraId="776AEB15">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5.1.8发生伤亡事故，承包人应在第一时间通知发包人，并按规定立即上报有关部门，同时按法律、法规及相关规定的要求及时处理，否则记承包人严重违约责任一次。</w:t>
      </w:r>
    </w:p>
    <w:p w14:paraId="28DC510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因承包人原因，承包人施工现场发生工伤或其他责任事故的，除按相关法律法规依法接受处理和赔偿所造成的损失外，承包人还须按下列标准向发包人支付惩罚性违约金：</w:t>
      </w:r>
    </w:p>
    <w:p w14:paraId="6844AD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（1）一次事故或全年累计死亡3人及以上：安全第一责任人在韶关市地区建设范围内公开检查；承包人必须撤换项目经理、安全主管，同时支付合同价款15％的惩罚性违约金。</w:t>
      </w:r>
    </w:p>
    <w:p w14:paraId="1410A39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（2）一次事故或全年累计死亡2人：安全第一责任人在韶关市地区建设范围内公开检查；承包人必须撤换项目经理、安全主管，同时支付合同价款10％的惩罚性违约金。</w:t>
      </w:r>
    </w:p>
    <w:p w14:paraId="41932B3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（3）全年死亡1人：安全第一责任人在韶关市地区建设范围内公开检查，并报其上级单位；承包人必须撤换项目经理、安全主管；同时支付合同价款5％的惩罚性违约金。</w:t>
      </w:r>
    </w:p>
    <w:p w14:paraId="7DDCCE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（4）重伤事故、造成10人及以上集体中毒住院、经济损失重大的火灾、设备及交通事故，依法由承包人承担责任，并支付惩罚性违约金3万元。</w:t>
      </w:r>
    </w:p>
    <w:p w14:paraId="2A4F27DB">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（5）因施工造成的道路交通中断、通讯中断、管线漏水漏气等全部责任事故，依法由承包人承担责任，并支付惩罚性违约金2万元。</w:t>
      </w:r>
    </w:p>
    <w:p w14:paraId="5183712F">
      <w:pPr>
        <w:pStyle w:val="53"/>
        <w:widowControl/>
        <w:spacing w:line="360" w:lineRule="auto"/>
        <w:ind w:firstLine="42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5.1.9 承包人必须遵守有关环境保护的法律法规，并采取有效措施控制施工现场的各种粉尘、废气、废弃物、噪声、振动等对身体健康和周边环境造成的危害和污染，有关费用已包含在合同价中。 </w:t>
      </w:r>
    </w:p>
    <w:p w14:paraId="603F17E2">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5.1.10 工程竣工验收合格后30天内，承包人必须及时</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韶关市城市建设档案要求及发包人要求提交真实完整的竣工图纸等竣工资料，并由承包人负责汇总后，移交相关管理部门，且办理完成相关移交手续，否则每延迟１天，承包人向发包人支付2000元/天的违约金。同时，承包人向发包人提供完整的竣工图纸等竣工资料各8套（包括声像及电子文件），档案的制作费用由承包人承担。 </w:t>
      </w:r>
    </w:p>
    <w:p w14:paraId="3725CCE5">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5.1.11 如承包人不按合同内容及条款施工，或违反正常施工程序、施工工艺进行施工，或施工质量、安全、环保等达不到有关要求，或施工用材料设备不符合规定，发包人有权勒令承包人暂停施工，承包人必须停工整改，一切责任由承包人负责。</w:t>
      </w:r>
    </w:p>
    <w:p w14:paraId="32A1CF90">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5.1.12 承包人全体现场施工人员佩戴安全帽，全部施工人员佩戴工作牌。</w:t>
      </w:r>
    </w:p>
    <w:p w14:paraId="6AD3CEDC">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5.1.13 未经发包人书面许可，承包人不得在施工现场布置任何与本项目工程无关的商业广告，否则发包人有权要求承包人予以拆除，承包人并向发包人每次支付违约金10000元。</w:t>
      </w:r>
    </w:p>
    <w:p w14:paraId="5CB8657B">
      <w:pPr>
        <w:autoSpaceDE w:val="0"/>
        <w:autoSpaceDN w:val="0"/>
        <w:adjustRightInd w:val="0"/>
        <w:snapToGrid w:val="0"/>
        <w:spacing w:beforeLines="50"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5.1.14 承包人下列人员有以下情形的，承包人必须在24小时内将其调离，并应在3天内补充经发包人批准的相关合格人员。若承包人不及时履行，发包人则有权要求承包人按每人每次支付违约金1000元/天，具体情形如下：</w:t>
      </w:r>
    </w:p>
    <w:p w14:paraId="0B14D97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（1）发包人确认无法胜任工作者，包括：对分部分项工程施工进度及施工质量达不到合同要求负有责任的施工人员、不熟悉本专业的施工人员、工作责任心不强的施工人员等；</w:t>
      </w:r>
    </w:p>
    <w:p w14:paraId="1B468EA9">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（2）不积极配合发包人、监理工程师正常工作人员；</w:t>
      </w:r>
    </w:p>
    <w:p w14:paraId="00BD5E1E">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（3）违反承包人或发包人工地现场管理规定的人员；</w:t>
      </w:r>
    </w:p>
    <w:p w14:paraId="3B17D936">
      <w:pPr>
        <w:autoSpaceDE w:val="0"/>
        <w:autoSpaceDN w:val="0"/>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（4）无证上岗人员（适用于按规定必须有上岗证的）；</w:t>
      </w:r>
    </w:p>
    <w:p w14:paraId="787AE936">
      <w:pPr>
        <w:adjustRightInd w:val="0"/>
        <w:snapToGrid w:val="0"/>
        <w:spacing w:line="360" w:lineRule="auto"/>
        <w:ind w:firstLine="240"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（5）与本工程施工无关的人员。</w:t>
      </w:r>
    </w:p>
    <w:p w14:paraId="6AC7036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5.1.15 本工程禁止转包，若发包人和监理人认为承包人有转包行为，且经行政主管部门落实认定。发包人有权勒令承包人停工、驱逐其出现场，并提请建设行政主管部门对承包人按相关法律法规进行行政处罚；发包人还有权给予承包人履约评价为不合格，及有权拒绝承包人3年内参加发包人其它工程的投标；同时发包人有权单方面解除本合同。由此造成的损失均由承包人承担。 </w:t>
      </w:r>
    </w:p>
    <w:p w14:paraId="2DAEF13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5.2 用工和劳务</w:t>
      </w:r>
    </w:p>
    <w:p w14:paraId="7C93CBD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5.2.1承包人不得从为发包人或工程师服务的人员中招雇任何人员。</w:t>
      </w:r>
    </w:p>
    <w:p w14:paraId="19CD34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5.2.2承包人不得以任何理由延期支付雇员的工资和劳务分包人的劳务费用。对发包人支付的工程款，承包人须优先用于支付工人劳动报酬，确保不发生因拖欠工人工资、劳务费而停工、上访，或因此在媒体曝光等事件。如果发生因拖欠工人工资、劳务费而停工上访，或因此在媒体曝光等事件，视为承包人违约，发包人有权要求承包人支付违约金20万元/次。</w:t>
      </w:r>
    </w:p>
    <w:p w14:paraId="415D10D3">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5.2.3承包人应避免发包人因施工工人追索劳务费或工程款而将发包人诉至法庭或仲裁庭，否则一切责任由承包人承担，所发生的所有费用（包括但不限于诉讼费、调查费、律师费、赔偿费、违约金等）全部由承包人承担，发包人有权将此等费用从任何应支付的工程款中扣除或没收履约保函中的相应金额。</w:t>
      </w:r>
    </w:p>
    <w:p w14:paraId="3F52A9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5.2.4如果现场工程师需要了解承包人在现场的管理人员和各种劳务工种操作人员情况，以及工程师要求的有关承包人机械设备、主要施工机具、周转材料等的详细资料。承包人则应向工程师提交一份详细的统计表，其格式和提交的间隔时间应符合工程师的规定。</w:t>
      </w:r>
    </w:p>
    <w:p w14:paraId="53E514FC">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5.3施工准备工作</w:t>
      </w:r>
    </w:p>
    <w:p w14:paraId="57C4C8F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5.3.1承包人应充分认识到本工程的特殊性和复杂性，施工前应切实做好各项准备工作，包括但不限于以下（1）、（2）、（3）的内容：</w:t>
      </w:r>
    </w:p>
    <w:p w14:paraId="29357F1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（1）必须按要求完成临时设施建设和现场指挥部建设。</w:t>
      </w:r>
    </w:p>
    <w:p w14:paraId="230FD77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（2）按照相关规定及发包人要求做好现场申报、宣传、走访、排查和解释工作。</w:t>
      </w:r>
    </w:p>
    <w:p w14:paraId="0CAB7F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（3）根据现场实际环境，做好防火、防盗、防坠落等各项措施，排除安全隐患，确保施工期间施工的安全。</w:t>
      </w:r>
    </w:p>
    <w:p w14:paraId="7B0951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5.3.2存在设计图纸疑问，必须在施工前30日提出，不得在施工时临时提出，也不得以此手段要求任何索赔，由此造成的一切损失由承包人承担。</w:t>
      </w:r>
    </w:p>
    <w:p w14:paraId="71434D4E">
      <w:pPr>
        <w:spacing w:line="360" w:lineRule="auto"/>
        <w:ind w:left="480" w:leftChars="200"/>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5.4工程变更</w:t>
      </w:r>
    </w:p>
    <w:p w14:paraId="1E334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5.4.1承包人报送的变更价款，应实事求是，不得虚报数量，增加或变更的工程内容按招标文件中约定计价办法进行计量。若其报送金额超出建设工程造价管理部门或政府审核部门审定金额15%以上的，每次承包人向发包人支付人民币伍仟（￥5000）元的违约金，并在结算中予以扣除。</w:t>
      </w:r>
    </w:p>
    <w:p w14:paraId="34CBA07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5.4.2承包人应充分考虑工程设计变更带来的风险。工程变更须按政府及发包人的有关规定、审批权限和审批程序进行审批，凡未经发包人审批同意，承包人擅自实施的，一律视为无效变更，结算时发包人不予承认。</w:t>
      </w:r>
    </w:p>
    <w:p w14:paraId="1E4F8A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5.4.3承包人应按</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人民政府办公室《关于加强市本级政府投资项目财政投资评审监督管理的实施意见》雄府办函[2023]5号的规定及时申报办理工程变更审批手续，并于申请当期工程款之前或一并申报完整的工程变更资料予以备案；凡不符合实施意见要求的变更均为无效变更。</w:t>
      </w:r>
    </w:p>
    <w:p w14:paraId="4413A9BD">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5.5工程量计量的约定：</w:t>
      </w:r>
    </w:p>
    <w:p w14:paraId="1B9138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①承包人不得自行取消施工图或清单中的任何项目，发包人根据需要取消的未施工项目，经监理工程师核实后予以扣减，相应的措施费用予以扣减。</w:t>
      </w:r>
    </w:p>
    <w:p w14:paraId="508395B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②承包人自身原因造成的返工工程量，不予计量。</w:t>
      </w:r>
    </w:p>
    <w:p w14:paraId="567A697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③凡超出图纸范围又未经变更审批的工程量，不予计量。</w:t>
      </w:r>
    </w:p>
    <w:p w14:paraId="0A91B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④不符合工程质量标准的工程量，不予计量。</w:t>
      </w:r>
    </w:p>
    <w:p w14:paraId="281ADA9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⑤发包人书面通知承包人取消的工程量，不予计量。</w:t>
      </w:r>
    </w:p>
    <w:p w14:paraId="006747B2">
      <w:pPr>
        <w:pStyle w:val="30"/>
        <w:spacing w:line="360" w:lineRule="auto"/>
        <w:jc w:val="left"/>
        <w:rPr>
          <w:rFonts w:hint="eastAsia" w:asciiTheme="minorEastAsia" w:hAnsiTheme="minorEastAsia" w:eastAsiaTheme="minorEastAsia" w:cstheme="minorEastAsia"/>
          <w:b w:val="0"/>
          <w:bCs/>
          <w:color w:val="000000" w:themeColor="text1"/>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 w:val="24"/>
          <w:highlight w:val="none"/>
          <w14:textFill>
            <w14:solidFill>
              <w14:schemeClr w14:val="tx1"/>
            </w14:solidFill>
          </w14:textFill>
        </w:rPr>
        <w:t>承包人编制的工程量预算清单中的综合单价为按技术规范与技术要求完成一个规定计量单位的工程所需的人工费、材料费、机械使用费、管理费、利润并考虑风险因素。按技术规范、招标文件、设计图纸、国标《建设工程工程量清单计价规范》、省市现行计价规程等要求为完成一个规定计量单位的工程量所需的其他一切费用，承包人不得以综合单价和措施费所含工作内容缺漏项为由，向发包人提出任何变更工程价款的要求。</w:t>
      </w:r>
    </w:p>
    <w:p w14:paraId="5B66EE14">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u w:val="singl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5.6承包人对专业分包的总要求</w:t>
      </w:r>
    </w:p>
    <w:p w14:paraId="30F3A50D">
      <w:pPr>
        <w:adjustRightInd w:val="0"/>
        <w:snapToGrid w:val="0"/>
        <w:spacing w:beforeLines="50"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5.6.1承包人对本工程所有分包人的管理费和相互间的配合费用由承包人与分包人自行商定，已含在承包人的投标报价中，发包人不予任何补偿。承包人承担全部管理、组织、协调和配合工作。</w:t>
      </w:r>
    </w:p>
    <w:p w14:paraId="746013FF">
      <w:pPr>
        <w:spacing w:line="360" w:lineRule="auto"/>
        <w:ind w:firstLine="495"/>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5.6.2若承包人的施工承包资质缺少本工程的专业承包资质，应按照有关规定事先报发包人和监理工程师审查并取得发包人批准后分包给具有相应资质的专业承包人（如果分包工程按规定需要进行招标的，由承包人在建设交易中心自行组织），由此产生的一切分包费用、配合费、招标费用以及其他可能存在风险所产生的费用都含在合同价中。承包人因上述情况提出的任何索赔或工期延长申请将不获批准。若承包人在施工过程中由于自身缺少本工程要求的专业承包资质，而又不能按规定时间发包给具有资质的专业承包企业或者分包企业不能按照设计要求实施专业工程的，由此造成工期延误，每延误1天承包人向发包人支付违约金3万元；给发包人造成质量损失的，承包人负责赔偿，同时发包人有权从合同价中按分包工程的审定预算价扣除，并委托其他施工单位实施，承包人须无条件与分包人签订合同。</w:t>
      </w:r>
    </w:p>
    <w:p w14:paraId="15DE5AF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5.6.3若同一分包工程的分包申请被否定二次，发包人有权就该分包工程采用单独招标形式确定分包人或直接指定分包人，承包人须无条件与分包人签订合同，并不得收取任何费用。同时发包人有权从合同价中按分包工程的审定预算价扣除，并委托其他施工单位实施，承包人须无条件与分包人签订合同。同时由此造成工期延误，每延误1天承包人向发包人支付违约金3万元；给发包人造成质量损失的，承包人负责赔偿。</w:t>
      </w:r>
    </w:p>
    <w:p w14:paraId="04D3C4F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5.6.4经工程师、发包人认可，承包人与分包人签订分包合同后的5天内，承包人必须将分包合同等相关资料按规定送建设行政主管部门及其他相关管理部门备案，分包合同与本施工合同发生抵触，以本施工合同为准。承包人对分包合同承担连带责任。分包合同不解除承包人任何义务与责任，承包人在分包现场应派驻监督管理人员，保证合同的履行。分包人的任何违约或疏忽，均视为承包人违约或疏忽。</w:t>
      </w:r>
    </w:p>
    <w:p w14:paraId="37ACC9A9">
      <w:pPr>
        <w:adjustRightInd w:val="0"/>
        <w:snapToGrid w:val="0"/>
        <w:spacing w:line="360" w:lineRule="auto"/>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5.6.5若发包人和监理均认定承包人有未经发包人同意的分包行为（无须承包人认可，除非承包人在发包人发出通知后3天内提出有效举证），发包人有权勒令其停工、驱逐出现场等，由此造成的损失均由承包人承担，同时承包人向发包人支付违约金30万元/每次。发包人有权提请建设行政主管部门对其作不良行为记录，有权给予承包人履约评价为不合格，同时发包人有权拒绝承包人3年内参加发包人其它工程的投标。 </w:t>
      </w:r>
    </w:p>
    <w:p w14:paraId="5A16A14B">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5.7 措施项目</w:t>
      </w:r>
    </w:p>
    <w:p w14:paraId="5E1F995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5.7.1现场安全文明设计必须满足国家、省市相关的要求，除此之外，尚应满足如下要求：</w:t>
      </w:r>
    </w:p>
    <w:p w14:paraId="7BC26F82">
      <w:pPr>
        <w:numPr>
          <w:ilvl w:val="0"/>
          <w:numId w:val="7"/>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安全、文明、临时设施要求：①主要管理人员与投标文件内填写的应一致；</w:t>
      </w:r>
    </w:p>
    <w:p w14:paraId="0D331E9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②施工现场应封闭施工。进出口要设大门、门卫和门卫制度。主进出口门头设企业标志，两侧要挂“七牌一图”，标牌应规范、整齐；</w:t>
      </w:r>
    </w:p>
    <w:p w14:paraId="3778AF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场地及生活区的所有临时道路，无污水、积水，地面要平整，路面满足施工及生活需要；排水要通畅，要有防止泥浆、污物堵塞排水管道的措施；按要求张挂各种安全标志牌和标语，设宣传栏，读报栏和黑板报并设有吸烟处；有绿化布置；</w:t>
      </w:r>
    </w:p>
    <w:p w14:paraId="4C8D10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④施工期间，承包人应随时根据现场情况对围挡进行维修和保护，确保施工界面达到韶关市、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和建设部有关规定的标准。为确保施工安全，防止无关人员进入现场，承包人必须对施工范围（特殊情况除外）进行全封闭围挡，并设置车辆进出口，若确因条件限制或环境要求无法实施封闭围挡，承包人应切实做好安全防护及安全通道，设置合理科学的安全警示标志。如果承包人开工后经监理工程师下达整改通知后3天内仍未按规定实施，发包人有权安排其他施工队伍进场作好封闭围挡，相应费用从本合同总价中的现场安全文明措施费中扣除。承包人承诺按发包人制定的此条款执行，不得有任何异议；</w:t>
      </w:r>
    </w:p>
    <w:p w14:paraId="792267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⑤施工场内，建筑材料、构件和料具要按施工现场平面图的布置要求堆放整齐，并挂物料名称，品种，规格等标牌，施工现场渣土和垃圾清运应当采取喷淋压尘装载；</w:t>
      </w:r>
    </w:p>
    <w:p w14:paraId="2667BD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⑥承包人必须按照粤建安字〔2009〕20号文件要求，在开工前按有关规定要求，编制施工组织设计和施工现场消防设施平面布置图，按规定配备合格的消防器材等，满足施工现场所需的消防措施、制度和灭火器材，灭火器材配置、消防水源所有器材和设备应合理、合格，使用明火应有动火审批手续和动火监护，所发生的费用已含合同中；</w:t>
      </w:r>
    </w:p>
    <w:p w14:paraId="47AF990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⑦施工现场的施工区、 办公区、生活区应当分开设置，实行区划管理，临时办公和生活用房应采用轻钢板房，并要具有抗强台风的措施，确保安全；</w:t>
      </w:r>
    </w:p>
    <w:p w14:paraId="47A5396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⑧工地内要配备经培训的急救人员、保健医药箱、安全急救措施和急救器材，要开展卫生、防病自救、互救宣传教育；</w:t>
      </w:r>
    </w:p>
    <w:p w14:paraId="353A981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⑨要建立治安保卫制度，责任要分解到人。承包人在施工过程中的施工人员应配备必要的劳动、安全保护用品并佩戴工作证，以及满足招标文件中其他相关规定。</w:t>
      </w:r>
    </w:p>
    <w:p w14:paraId="3DF1D3AE">
      <w:pPr>
        <w:numPr>
          <w:ilvl w:val="0"/>
          <w:numId w:val="7"/>
        </w:num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环保要求：承包人在施工过程中必须根据环保部门和城管部门的要求采取一切可能的措施做好环境保护和水土保持工作，有效控制施工现场的各种粉尘、废气、废弃物、噪音、振动、雨污水等对周边环境造成的污染和危害，避免对周围的管线、道路、构筑物、建筑物造成损坏，环境保护所采用的措施包括但不局限于：</w:t>
      </w:r>
    </w:p>
    <w:p w14:paraId="5AFB43C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环境污染防治措施：禁止向周边和雨水口、河道倾倒一切废物，包括生产和生活污水、生产和生活垃圾等；生活废水要自建生活污水处理装置；生活垃圾要收集在有防雨棚和防地表径流冲刷的临时垃圾池内，及时集中、清运；堆土区表面进行覆盖；</w:t>
      </w:r>
    </w:p>
    <w:p w14:paraId="30DFED8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②大气污染防治措施：采用洒水湿法抑尘；重点时段防护如：对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工地进出运输</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车辆进行冲洗；运送散装物料的机动车、存放散装物料的堆放场地必须用棚布遮盖，拌和设备尽量封闭；</w:t>
      </w:r>
    </w:p>
    <w:p w14:paraId="0FF900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③施工噪音防护措施：施工噪音执行《建筑施工噪音标准限值》（GB12523-90）规定的有关标准，未经环保部门批准中午和夜间不得施工作业；对高噪音的施工机械或加工环节尽量安排在远离民居的地方；</w:t>
      </w:r>
    </w:p>
    <w:p w14:paraId="0161DB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4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④</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针对固体废物可能产生的多种环境影响，须采取必要的措施分类收集，运至指定地点和按规定进行处理；</w:t>
      </w:r>
    </w:p>
    <w:p w14:paraId="718AC42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5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⑤</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制定建筑废弃物管理计划，达到绿色安全文明施工的要求；</w:t>
      </w:r>
    </w:p>
    <w:p w14:paraId="59FE887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begin"/>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instrText xml:space="preserve"> = 6 \* GB3 </w:instrTex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Cs w:val="24"/>
          <w:highlight w:val="none"/>
          <w:lang w:val="zh-CN"/>
          <w14:textFill>
            <w14:solidFill>
              <w14:schemeClr w14:val="tx1"/>
            </w14:solidFill>
          </w14:textFill>
        </w:rPr>
        <w:t>⑥</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fldChar w:fldCharType="end"/>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红线范围内必须落实雨污分流，生活污水须经过化粪池处理后接入市政管网排放。</w:t>
      </w:r>
    </w:p>
    <w:p w14:paraId="2306595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由于承包人原因导致的投诉、索赔、指控，由承包人承担全部责任，同时造成工期延误的，发包人将按照合同条款相关约定进行索赔。</w:t>
      </w:r>
    </w:p>
    <w:p w14:paraId="13761A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以上须采取的所有措施费用及相关的费用已含在合同价中。</w:t>
      </w:r>
    </w:p>
    <w:p w14:paraId="7BA3A14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承包人须按建设主管部门的相关规定，在工地安装视频监控系统，覆盖全场，保证正常使用。采取相应保卫措施防止出现财、物被盗行为，相关费用已包括在安全文明施工措施费中，发包人不再另行支付此类费用。</w:t>
      </w:r>
    </w:p>
    <w:p w14:paraId="789AB0B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5.7.2已完工程及设备保护费</w:t>
      </w:r>
    </w:p>
    <w:p w14:paraId="3F98CB8B">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①承包人应充分考虑本工程的</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已完工程及设备保护，其费用已包含在合同价内，结算不再调整；</w:t>
      </w:r>
    </w:p>
    <w:p w14:paraId="781BF7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②承包人应充分考虑施工影响范围内的地上、地下设施，建筑物的临时保护等措施，</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以及</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周围建筑物、周围道路管线的沉降和位移按照施工规范进行质量、安全性检查，对于现场及周边临近的可能发生的危险情况及时向监理工程师或主管部门报告，在施工现场根据相关要求准备应急物资并及时采取有效措施，保护费用已包含在合同价中，结算时不再调整。</w:t>
      </w:r>
    </w:p>
    <w:p w14:paraId="7D2D94E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5.7.3施工降排水</w:t>
      </w:r>
    </w:p>
    <w:p w14:paraId="6546BEE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按照地质报告、设计图纸要求、降水水位要求、现场实际和工程经验等对降排水进行深化设计、维护和加固，其深化应经过设计单位的审批、监理工程师和发包人的同意，施工降排水应包括设计、施工、加固、维护直至竣工的全部施工和抽排水工作，同时</w:t>
      </w: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保证护栏的安全性。</w:t>
      </w:r>
    </w:p>
    <w:p w14:paraId="77FB8265">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本工程施工期间地表及地下水采用有组织的排放，尤其是主体结构工程施工期间，应确保满足低于设计抗浮水位要求并满足防水工程需要，采取的施工排水、降水应确保周边建（构）筑物的安全等有效措施。 </w:t>
      </w:r>
    </w:p>
    <w:p w14:paraId="39A8D46D">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承包人应综合考虑施工期间除不可抗力原因外的气候条件造成的现场工程量的增加及其它风险（如发包人提供的地质报告等相关资料可能存在与实际不符）。</w:t>
      </w:r>
    </w:p>
    <w:p w14:paraId="7F1E713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雨季施工随时与气象部门保持联系，在大雨、台风到来之前按有关主管部门规定的防洪防汛应急措施等。</w:t>
      </w:r>
    </w:p>
    <w:p w14:paraId="679C99AF">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以上有关费用已含在合同价中，结算不作调整。</w:t>
      </w:r>
    </w:p>
    <w:p w14:paraId="7928913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5.7.4水土保持</w:t>
      </w:r>
    </w:p>
    <w:p w14:paraId="64FD2D2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必须按照水土保持方案以及监理和检测单位的要求，采取设置排水沟、排洪沟、沉砂池、砂袋、植草等水土保持和防洪排涝措施，优化挖方填方，对土石方合理利用；对已完工土石方工程裸露表面，及时采取防护措施、严格控制水土流失，实现水土流失防治目标；及时做好排水导流工作，使地表径流和工程用水经沉砂池沉降后方可排放，沉砂池要定期清理，减轻水流对裸露地表的冲刷，防止泥砂流出对周边区域造成危害；临时堆土要全面覆盖，减少粉尘及雨水冲刷，堆土清理后或其他裸露地要采取恢复植被或其他防止水土流失措施。</w:t>
      </w:r>
    </w:p>
    <w:p w14:paraId="3AC489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5.7.5施工用水、用电等</w:t>
      </w:r>
    </w:p>
    <w:p w14:paraId="77846A2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（1）承包人根据现场条件和工程情况，接通生活和生产区场内外的给水、排水、施工用电、通讯等工作，</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同时承包人应自备充足的发电机，确保施工过程中的水、电安全稳定供应，结算费用不作调整。</w:t>
      </w:r>
    </w:p>
    <w:p w14:paraId="6782BD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（2）所有施工范围内涉及的清理、外运全部拆除物与垃圾，以及场地平整。</w:t>
      </w:r>
    </w:p>
    <w:p w14:paraId="20248CD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（3）为建设单位、监理单位提供施工现场临时办公用房和办公必须品，并开通通讯线路。</w:t>
      </w:r>
    </w:p>
    <w:p w14:paraId="19CD12B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（4）合同工期和顺延工期内临时用地（含占道）、房屋租赁的手续费和租金。</w:t>
      </w:r>
    </w:p>
    <w:p w14:paraId="3A01F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承包人在投标报价时应充分考虑施工场地现状与地形图不符的风险，谨慎报价，该部分报价为包干费用，承包人不得以任何理由提出增加费用。</w:t>
      </w:r>
    </w:p>
    <w:p w14:paraId="3A47F9A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5.7.6与其他工程的衔接、管理与配合费</w:t>
      </w:r>
    </w:p>
    <w:p w14:paraId="2A3D1D7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由承包人负责工程衔接各专业工程进度安排、施工现场管理协调等工作。对安全、文明、施工、运输、仓储、住宿统筹管理；确定合理的工序和进度计划、安排作业面与通道、提供场地；工程完工后的整体调试、验收和竣工资料整理；按专业设计图纸要求配合做好埋件、预留洞、预埋管等工作；提供脚手架供专业承包人使用；提供照明、临时水电等设施。其费用在对其他工程的衔接、管理和配合费用中报价，结算不做调整。</w:t>
      </w:r>
    </w:p>
    <w:p w14:paraId="6217F1D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5.7.7因承包人原因而引起的罚款、索赔和指控等责任由承包人自行承担。</w:t>
      </w:r>
    </w:p>
    <w:p w14:paraId="66C2614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5.7.8工程完工后需要恢复的建筑物、构筑物，承包人必须及时恢复，并使监理工程师和发包人满意，满足政府管理部门的规定和要求。</w:t>
      </w:r>
    </w:p>
    <w:p w14:paraId="541B945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5.7.9承包人必须按有关法规、标准、规定或发包人的合理要求实施有关措施项目，若以上设施或措施达不到要求，工程师发出指令后，承包人应按照要求予以整改，其费用由承包人承担。承包人拒绝整改的，发包人有权要求承包人支付违约金50万元，并将其列入履约考评不良记录，同时发包人有权委托第三方实施，所有费用由承包人承担。由于承包人原因导致的投诉、索赔、指控，由承包人承担全部责任，同时造成工期延误的，发包人将按照合同条款相关约定进行索赔。</w:t>
      </w:r>
    </w:p>
    <w:p w14:paraId="06D651C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5.7.10承包人必须按照《建设工程安全生产管理条例》和《危险性较大的分部分项工程安全管理办法》进行施工，应按有关规定提供相应的防护措施且在施工前编制危险性较大分部分项工程的专项施工方案，有关费用已含在合同价中。因承包人原因，导致的安全事故，由承包人承担相应责任及发生的费用。</w:t>
      </w:r>
    </w:p>
    <w:p w14:paraId="73A270B4">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5.7.11承包人必须严格按照相关规定和安全规范等，以及设计图纸，结合实际情况对施工作业面进行处理，以保证各施工机械有效支撑，确保其施工安全和正常使用。任何对支护的修改必须经设计单位、发包人和监理工程师同意，方可实施，同时承包人必须对周边建筑物、周边道路管线的沉降和位移进行巡查和跟踪，如因承包人的措施无法满足施工安全、正常施工的要求，有关的责任、损失、补救费用全部由承包人自行承担。</w:t>
      </w:r>
    </w:p>
    <w:p w14:paraId="2F679E4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5.7.12根据广东省、韶关市、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建设主管部门的相关文件规定，承包人须在工程施工现场安装使用视频监控系统、工人实名制系统并接入至</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住建主管部门建筑工地视频监控专网及发包人视频监控系统。</w:t>
      </w:r>
    </w:p>
    <w:p w14:paraId="6F1FC301">
      <w:pPr>
        <w:spacing w:line="360" w:lineRule="auto"/>
        <w:ind w:firstLine="480" w:firstLineChars="200"/>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以上措施项目有关费用已含在合同价中，结算不作调整。</w:t>
      </w:r>
    </w:p>
    <w:p w14:paraId="1939669D">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5.8 解除合同后续工程的补充约定</w:t>
      </w:r>
    </w:p>
    <w:p w14:paraId="4927225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5.8.1发包人向承包人发出解除或部分解除合同通知到达后，本合同即解除或部分解除，承包人必须在3日内停止施工，5日内将现场施工材料设备、工程用机具设备和人员等撤出施工场地，完成现场和有关资料的移交，并于完成交接工作当日内离场。承包人应保护好已完工程、已购设备材料，保证所移交的资料齐全完整。承包人无特殊原因未在规定期限内移交、离场或移交完整资料，发包人有权处理其留在现场的材料、设备和其他物件，处理费用由承包人承担。</w:t>
      </w:r>
    </w:p>
    <w:p w14:paraId="001FD7E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对于部分解除合同的情形，承包人拒不履行配合，发包人有权全部解除合同，如果引致发包人工期延误和其他方面的损失，发包人将要求承包人赔偿有关损失。发包人在发出解除合同的通知后，发包人即可清理现场、委托重新招标或委托新的承包人承接该工程。同时，承包人不得影响或阻碍新的承包人办理进场手续和相关工作。</w:t>
      </w:r>
    </w:p>
    <w:p w14:paraId="44A6A0B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5.8.2由于承包人原因导致的合同解除或部分合同解除，承包人已经订货的材料、设备，以及已进场尚未安装的材料设备均由承包人负责退货或解除订货合同，不能退还的货款、定金、订金，因退货和解除订货合同发生的费用以及因无法退货造成的损失均由承包人承担，发包人不予补偿。</w:t>
      </w:r>
    </w:p>
    <w:p w14:paraId="53AC4137">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承包人没有正当合理的理由中途退场，除扣除合同价款20％作为履约违约金外，承包人还须承当因其无故中途退场所造成的全部损失责任。</w:t>
      </w:r>
    </w:p>
    <w:p w14:paraId="376BF3D8">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5.8.3非承包人原因导致的合同解除或部分合同解除，承包人已经签订订货合同，但尚未进场的材料、设备；或虽已进场但发包人或监理工程师验货不合格的，解除订货合同或退货发生的费用以及因无法退货造成的损失均由承包人承担，发包人不予补偿。</w:t>
      </w:r>
    </w:p>
    <w:p w14:paraId="5A974252">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经发包人或监理工程验货、签收，且已进场的材料设备但尚未安装的材料设备，费用由发包人承担。数量按发包人、监理工程师审核确认的数量；原投标设备材料表中已列明单价，单价按投标报价计算，原投标设备材料表中未列明单价的，按预算审定价中的材料设备价*（1－下浮率）计算。</w:t>
      </w:r>
    </w:p>
    <w:p w14:paraId="4CC66889">
      <w:pPr>
        <w:spacing w:line="360" w:lineRule="auto"/>
        <w:ind w:left="-2" w:leftChars="-1" w:firstLine="424" w:firstLineChars="177"/>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5.8.4承包人的已完工程结算时间由发包人确定。按本合同结算条款约定办理结算，同时必须按合同约定扣除违约金、赔偿金。</w:t>
      </w:r>
    </w:p>
    <w:p w14:paraId="54132F86">
      <w:pPr>
        <w:spacing w:line="360" w:lineRule="auto"/>
        <w:ind w:left="-2" w:leftChars="-1" w:firstLine="424" w:firstLineChars="17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5.8.5因承包人原因导致解除合同，发包人所遭受的一切损失，由承包人承担全部赔偿责任。</w:t>
      </w:r>
    </w:p>
    <w:p w14:paraId="6867EE40">
      <w:pPr>
        <w:adjustRightInd w:val="0"/>
        <w:snapToGrid w:val="0"/>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5.9承包人违约责任追究补充细则</w:t>
      </w:r>
    </w:p>
    <w:p w14:paraId="22E0DC8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5.9.1工程质量达不到合同约定的质量标准承包人违约责任：如未达到合格标准，除则按合同价款的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%向发包人返纳质量违约金外，发包人有权利选择以下方式返工或修复，承包人不得异议：</w:t>
      </w:r>
    </w:p>
    <w:p w14:paraId="10001D3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（1）发包人要求承包人在监理工程师和发包人要求的合理时间内，完成质量不合格工程的返工或修复工作，直至合同约定的质量标准，由此造成的工期延误和所有费用，全部由承包人承担；</w:t>
      </w:r>
    </w:p>
    <w:p w14:paraId="754ABB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（2）发包人直接委托其它承包人完成质量不合格部分工程的返工或修复工作，由此造成的工期延误和所有费用，全部由承包人承担。</w:t>
      </w:r>
    </w:p>
    <w:p w14:paraId="52325D7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（3）无论采取以上何种方式返工或修复，发包人均有权提请建设行政主管部门对其作不良行为记录，有权给予承包人履约评价为不合格，同时发包人有权拒绝承包人3年内参加发包人其它工程的投标。</w:t>
      </w:r>
    </w:p>
    <w:p w14:paraId="4634E8E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5.9.2承包人违反本合同的约定，应当按约定向发包人承担相应的违约责任。本合同违约责任形式按以下情况分类：</w:t>
      </w:r>
    </w:p>
    <w:p w14:paraId="67E2AEE4">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 限期改正。承包人未履行或未按时履行或未按质履行义务时，发包人有权提出书面警告，承包人必须在发包人限定的时间内履行义务。每一次书面警告扣除违约金人民币壹仟元（￥1000）。</w:t>
      </w:r>
    </w:p>
    <w:p w14:paraId="26BD3F6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（2）一般违约责任。承包人按本合同约定应当承担一般违约责任时，在发包人提出书面警告或通知后扣除违约金人民币伍仟元（￥5000）/次。合同另有约定的除外。</w:t>
      </w:r>
    </w:p>
    <w:p w14:paraId="0F42D53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（3）严重违约责任。承包人按本合同约定应当承担严重违约责任时，在发包人提出书面警告或通知后扣除违约金伍万元（￥50000）/次。合同另有约定的除外。</w:t>
      </w:r>
    </w:p>
    <w:p w14:paraId="2DBFF27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（4）部分解除合同。三次受到发包人书面警告，发包人有权直接解除合同或部分解除合同，按承包人违约解除合同的条款执行。</w:t>
      </w:r>
    </w:p>
    <w:p w14:paraId="07636EB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5.9.3三次限期改正责任相当于一次一般违约责任，三次一般违约责任相当于一次严重违约责任；累计三次严重违约责任，发包人有权单方部分解除合同；累计五次严重违约责任，发包人有权全部解除合同。合同另有约定的除外。</w:t>
      </w:r>
    </w:p>
    <w:p w14:paraId="62628184">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5.9.4承包人未按合同要求建立组织架构、派驻项目管理人员和投入设备，承包人必须按发包人要求限期整改，并承担相应违约责任。具体约定为：</w:t>
      </w:r>
    </w:p>
    <w:p w14:paraId="70F636B7">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1）在中标通知书发出后3日内，承包人承诺的项目技术负责人（总工）不到位，或到位后又离开，造成该岗位空缺。发包人一旦发现，将要求承包人做出书面解释并保证限期到位，同时将承担一般违约责任1次；若承包人拒不配合，未在发包人提出限期改正的期限内进行整改的，应承担严重违约责任1次，发包人有权单方提出解除合同，并要求承包人承担由此造成的一切损失。</w:t>
      </w:r>
    </w:p>
    <w:p w14:paraId="6CA84E81">
      <w:pPr>
        <w:adjustRightInd w:val="0"/>
        <w:snapToGrid w:val="0"/>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2）在规定的时间内施工人员和设备进场后3日内，承包人在投标文件中承诺的其他主要管理人员未能足额到位，或到位后又离开，造成该岗位空缺，以及未按承诺依时、足额投入有关设备，发包人一旦发现将要求承包人做出书面解释并保证人员、设备限期到位。上述情况每发生1次，承包人应承担限期改正责任1次。如果承包人拒不配合，未在发包人提出限期改正的期限内进行整改的，承包人应承担一般违约责任1次，连续二次书面通知整改拒不配合的，承包人应承担严重违约责任1次。</w:t>
      </w:r>
    </w:p>
    <w:p w14:paraId="07DF6BF6">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5.9.5承包人如需要调换除项目经理外的其他主要管理人员，必须事先征得发包人书面同意。如承包人未经发包人书面同意，擅自调换项目主要管理人员，除必须限期改正外，承包人必须承担严重违约责任，发包人有权暂停支付工程款，并保留索赔的权利。</w:t>
      </w:r>
    </w:p>
    <w:p w14:paraId="70A95FC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5.9.6除项目经理外的其他主要管理人员需离开施工现场3日以上（含3日）需报发包人批准。在其请假离开的时间段内应书面委托其他驻场管理人员全权代表其行使相应职权。否则，每违约一次，承包人应当承担限期整改责任1次。在国家法定节假日期间，承包人应做好管理人员的轮休，并保证现场管理人员不少于3名。在工程实施期间，承包人应对现场主要管理人员进行考勤，并在每月1日前将前一月考勤表报送甲方审核。现场主要管理人员出勤天数均不得少于22天，若少于22天将按每缺勤一天扣减工程费用叁仟元（￥3000）/每人次处理。</w:t>
      </w:r>
    </w:p>
    <w:p w14:paraId="0ABAA57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5.9.7承包人项目经理和主要管理人员的考勤实行实名制打卡，承包人项目经理和主要管理人员的考勤若发现有弄虚作假行为，发现一次，承包人应承担一般违约责任1次。</w:t>
      </w:r>
    </w:p>
    <w:p w14:paraId="6266F5EC">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5.9.8对于难以胜任工作的承包人管理人员和主要操作技术人员，发包人有权要求承包人进行更换，直至发包人满意为止，且更换人员应在接到书面通知后的3天内到位。</w:t>
      </w:r>
    </w:p>
    <w:p w14:paraId="2E7522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5.9.9承包人未按招标文件及合同要求按期提交发包人工程指挥部所需要的各项设施，应承担限期整改责任1次，若限期整改仍不提交，应承担一般违约责任1次，发包人有权自行安排临时设施的建设，所有费用由承包人工程费用中扣减。</w:t>
      </w:r>
    </w:p>
    <w:p w14:paraId="73C4DA5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5.9.10承包人未按合同及投标书所作的承诺投入机械、设备、材料等，被监理工程师或发包人发现后，承包人除必须限期改正外，应承担限期改正责任1次。</w:t>
      </w:r>
    </w:p>
    <w:p w14:paraId="4CEFE0EB">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5.9.11工程承包人每次的进场材料，若出现不合格材料使用于工程上并造成质量缺陷，承包人必须承担一般违约责任1次。若出现质量事故或经济损失一次人民币壹拾万元（￥100,000）以上的，必须承担严重违约责任1次。造成重大质量安全事故（按国家安监部门规定界定），发包人视情况部分或全部解除合同。同时，发包人有权追究当事人和承包人的法律责任。</w:t>
      </w:r>
    </w:p>
    <w:p w14:paraId="377325AE">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5.9.12承包人的工程质量，经监理工程师、发包人或工程质量监督机构抽查，发现质量有不合格、或未按设计要求和有关规范进行施工的，每发现一处承包人应承担一般违约责任1次；出现大面积质量不合格（占比达30％及以上），每发现一处承包人应承担严重违约责任1次，发包人将情况通报纪检监察和建设行政主管部门，必要时申请调查责任相关人员，且承包人应赔偿发包人的经济损失。</w:t>
      </w:r>
    </w:p>
    <w:p w14:paraId="31ED0165">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5.9.13承包人没有按投标承诺和有关规定做好文明施工措施及安全生产，当发生包括但不限于以下情况：工人不统一着装、施工临时材料如脚手架、泥网等过于陈旧、现场垃圾未安排专人清理、现场排水不畅污水横流、交通组织不力现场交通严重拥挤、材料设备堆放混乱、安全防护不符合要求、既有管线被破坏、野蛮施工造成周边环境破坏及警示安全标志不齐等，被监理工程师、发包人发现后，承包人除必须限期改正外， 每发生一次（或一处），承包人必须承担限期改正责任1次。由此而被上级主管部门通报批评、被新闻媒体曝光的，承包人应承担一般违约责任1次；若由此发生安全生产事故，承包人应承担严重违约责任1次；造成严重安全事故等情节严重的，发包人有权部分或全部解除合同。</w:t>
      </w:r>
    </w:p>
    <w:p w14:paraId="68C2E3B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5.9.14因承包人原因造成工程投资增加的，承包人应赔偿发包人由此遭受的实际损失，情况严重时发包人有权单方解除本施工合同。</w:t>
      </w:r>
    </w:p>
    <w:p w14:paraId="1590743A">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若因承包人未按设计规定和施工技术规程要求认真做好施工现场的临时降水、排水（尤其是雨季施工期间）工作导致需要进行地基处理、边坡加固等情况时，每发生一处承包人应负严重违约责任1次，由此造成的工程投资增加由承包人承担。</w:t>
      </w:r>
    </w:p>
    <w:p w14:paraId="475B1687">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（2）若承包人未严格按施工进度计划要求组织施工造成工期拖延，导致一些工程项目被迫进入雨季施工而引起投资增加的，承包人应承担严重违约责任1次，由此造成的投资增加由承包人负责。</w:t>
      </w:r>
    </w:p>
    <w:p w14:paraId="398EC30F">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（3）承包人未经监理工程师、发包人同意擅自改变施工技术方案和工艺，造成投资增加的，应承担严重违约责任1次，由此造成的投资增加由承包人负责。</w:t>
      </w:r>
    </w:p>
    <w:p w14:paraId="283EA991">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承包人未拟定临时设施方案并经监理工程师、发包人审批同意擅自实施临时设施建设，若此临时设施建设经核实无法达到合同规定的要求，承包人应承担限期整改责任1次，若承包人拒绝限期整改应当承担一般违约责任1次，同时发包人有权按实际发生重新核定安全文明施工措施费。</w:t>
      </w:r>
    </w:p>
    <w:p w14:paraId="274AA020">
      <w:pPr>
        <w:adjustRightInd w:val="0"/>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（5）承包人提供虚假情况或制造现场假象造成设计变更及投资增加时，经监理公司、发包人发现，承包人应承担严重违约责任1次，造成的投资增加由承包人承担。 </w:t>
      </w:r>
    </w:p>
    <w:p w14:paraId="07B5B62D">
      <w:pPr>
        <w:adjustRightInd w:val="0"/>
        <w:snapToGrid w:val="0"/>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5.10、</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发包人将根据承包人的投标文件，严格考核施工项目管理人员的日常到位情况，并定期按照发包人的合同履约评价管理办法、质量安全评估管理办法对承包人的合同履行情况进行评价和评估，评价和评估内容包含人员到位情况、服务配合程度、工程质量、安全、项目后期服务及信用评价结果、评估结果的运用等。履约评价为不合格的，发包人有权拒绝承包人3年内参加发包人任何其它工程的投标，有权报请建设行政主管部门对其作不良行为记录。</w:t>
      </w:r>
    </w:p>
    <w:p w14:paraId="1E122EF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5.11 承包人提供竣工资料的约定：</w:t>
      </w:r>
    </w:p>
    <w:p w14:paraId="700D6D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本工程具备竣工验收条件后14天内，承包人按国家建设部、广东省及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有关规定和发包人的要求编制工程竣工资料（包括施工原始记录、照片等资料），向工程师提供完整竣工验收资料8套、竣工验收报告和相应的声像、电子文件，并由承包人及时向主管部门和监督部门备案。工程师收到竣工验收资料后，应在10天内审核，若不符合要求，工程师可提出整改意见。承包人按要求整改合格后报工程师，工程师在整改验收合格后10天内应组织有关单位进行初步验收，并在10天内对工程质量予以认可或提出再次整改意见。承包人按要求再次整改，并承担由其自身原因造成的整改费用。编制竣工图、竣工资料的费用已含在合同价中。</w:t>
      </w:r>
    </w:p>
    <w:p w14:paraId="132049E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竣工验收资料包括全部工程（包括项目单位发包项目及其他分包工程）的竣工图纸和竣工资料，以及经确认的深化设计图纸和技术资料。各类分包工程的竣工资料均由承包人负责编制、指导、审阅、汇总、整理、归档，费用由本合同承包人自行承担。    </w:t>
      </w:r>
    </w:p>
    <w:p w14:paraId="42D36ACF">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5.12工程移交及档案管理</w:t>
      </w:r>
    </w:p>
    <w:p w14:paraId="0F3C57F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5.12.1工程完工后，承包人必须及时按城建相关档案管理规定整理及移交竣工档案，承包人办理工程结算需提交相关工程档案移交签字单，否则结算不予办理。</w:t>
      </w:r>
    </w:p>
    <w:p w14:paraId="0797B9F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5.12.2工程竣工验收合格后承包人必须将成品移交给发包人指定的接管单位。在移交工作完成前，现场所有安全及成品保护责任和费用由承包人承担。</w:t>
      </w:r>
    </w:p>
    <w:p w14:paraId="1A87B62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5.12.3在向发包人指定的接管单位移交钥匙的同时提供下列清单：</w:t>
      </w:r>
    </w:p>
    <w:p w14:paraId="022B39D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①办理钥匙移交清单（如有）；</w:t>
      </w:r>
    </w:p>
    <w:p w14:paraId="06DD834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②双方抄好水表电表底数；</w:t>
      </w:r>
    </w:p>
    <w:p w14:paraId="423FDB8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③列出详细的设备、物件移交清单，标明名称、数量、外观、状态等基本资料</w:t>
      </w:r>
    </w:p>
    <w:p w14:paraId="611CAF5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5.12.4按国家、省市和建设主管部门的相关规定应当移交的其他资料。</w:t>
      </w:r>
    </w:p>
    <w:p w14:paraId="3B36859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5.13在质量缺陷保修期内，承包人必须在接到保修通知之日起7天内无条件派人先行保修，发生涉及结构安全、严重影响使用功能的质量缺陷或给排水、供电、燃气、通信及路灯等特殊工程的紧急抢修事故的，承包人接到保修通知后，必须立即到达现场实施保修。质量保修完成后，由发包人组织承包人和监理人，配合项目使用（管养）单位验收。涉及结构安全的，发包人将报当地相关行政主管部门备案，同时承包人应将其产生的原因、补救措施、完成保修情况以书面形式提交发包人。</w:t>
      </w:r>
    </w:p>
    <w:p w14:paraId="76C973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5.14在工程质量缺陷保修期内，承包人的违约责任。</w:t>
      </w:r>
    </w:p>
    <w:p w14:paraId="2827B9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5.14.1在保修期内发生质量缺陷或紧急抢修事故的时，如发包人无法联系到承包人，或联系到承包人但承包人不能及时履行保修义务时，无论缺陷责任是否属于承包人，承包人必须承担由此产生的一切保修费用、相关损失及违约责任。</w:t>
      </w:r>
    </w:p>
    <w:p w14:paraId="25871C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5.14.2若承包人未及时到达现场实施保修，发包人有权直接委托其他单位或管养单位代承包人组织实施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14219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5.14.3若承包人及时到达现场，但认为自行无法按时完成保修义务，可与发包人协商，直接委托管养单位或发包人确认的其他单位实施保修。若承包人未及时与发包人完成协商事宜，又未能在规定时限内完成保修的，发包人有权通知管养单位或其他单位进行保修，承包人必须承担由此发生的一切保修费用及相关损失。发包人将在缺陷质量保修金中扣除保修费，并处承包人保修费用30%的违约金，如缺陷质量保修金余额不足，发包人将向承包人索赔。发包人还将承包人不履行保修义务的不良行为报送相关行政主管部门。</w:t>
      </w:r>
    </w:p>
    <w:p w14:paraId="3D2308D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5.14.4若承包人及时到达现场，并与发包人完成协商，同意直接委托管养单位或发包人确认的其他单位实施保修。承包人在收到支付工程保修费用的通知7天内，应将保修费用支付给代其实施保修的单位。如在规定时间内未支付有关费用的，发包人可直接从工程质量缺陷保修金中扣除该保修费用，并支付给保修单位，并处承包人保修费用30%的违约金，如缺陷质量保修金余额不足，发包人将向承包人索赔。发包人还将承包人不履行保修义务的不良行为报送相关行政主管部门。</w:t>
      </w:r>
    </w:p>
    <w:p w14:paraId="59C363C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5.14.5若承包人按照发包人的要求及时履行了保修义务，并能提供证据说明质量缺陷非承包人的责任，保修费用及相关损失由缺陷责任方承担。</w:t>
      </w:r>
    </w:p>
    <w:p w14:paraId="62CF27DC">
      <w:pPr>
        <w:pStyle w:val="55"/>
        <w:adjustRightInd w:val="0"/>
        <w:snapToGrid w:val="0"/>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5.14.6对于涉及结构安全的工程质量问题，无论何时，在所有人、使用人或者第三方向当地建设行政主管部门报告并通知承包人后，承包人应立即采取安全防范措施，同时发包人将委托原设计单位或者具有相应资质等级的设计单位提出保修方案后，承包人应立即实施保修。承包人立即实施了有效的防范措施和保修的，保修费用、人身和财产损害赔偿，由经过法定程序确认的缺陷责任方承担。承包人拖延安全防范措施或者拖延保修，所造成的一切人身、财产损害责任和赔偿均由承包人承担，同时发包人将提请相关行政主管部门按相关法律、法规对承包人予以处罚。</w:t>
      </w:r>
    </w:p>
    <w:p w14:paraId="619BC1E9">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5.15发包人有权根据有关管理制度对承包人的履约情况纳入履约信用评价和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第三方质量安全评估</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体系进行履约信用评价和</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评估，并将评价结果和评估结果报送给有关监管部门。</w:t>
      </w:r>
    </w:p>
    <w:p w14:paraId="13337630">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和</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第三方质量安全评估按发包人履约信用评价</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质量安全</w:t>
      </w: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t>评估</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管理规定执行，评价内容包含人员到位情况、服务配合程度、工程质量、安全、项目后期服务及信用评价结果、评估结果的运用等。</w:t>
      </w:r>
    </w:p>
    <w:p w14:paraId="6EA2CC4B">
      <w:pPr>
        <w:tabs>
          <w:tab w:val="left" w:pos="1260"/>
        </w:tabs>
        <w:snapToGrid w:val="0"/>
        <w:spacing w:line="360" w:lineRule="auto"/>
        <w:ind w:firstLine="442" w:firstLineChars="200"/>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pacing w:val="-10"/>
          <w:szCs w:val="24"/>
          <w:highlight w:val="none"/>
          <w14:textFill>
            <w14:solidFill>
              <w14:schemeClr w14:val="tx1"/>
            </w14:solidFill>
          </w14:textFill>
        </w:rPr>
        <w:t>6.设计部分：</w:t>
      </w:r>
    </w:p>
    <w:p w14:paraId="7F0A5DBC">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6.1 本合同设计总价包括所有设计事务工作收费、技术工作收费、税金和完成合同约定的所有与工程设计有关的全部费用。</w:t>
      </w:r>
    </w:p>
    <w:p w14:paraId="79ADA182">
      <w:pPr>
        <w:tabs>
          <w:tab w:val="left" w:pos="1260"/>
        </w:tabs>
        <w:snapToGrid w:val="0"/>
        <w:spacing w:line="360" w:lineRule="auto"/>
        <w:ind w:firstLine="44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0"/>
          <w:szCs w:val="24"/>
          <w:highlight w:val="none"/>
          <w14:textFill>
            <w14:solidFill>
              <w14:schemeClr w14:val="tx1"/>
            </w14:solidFill>
          </w14:textFill>
        </w:rPr>
        <w:t>6.2 承包人必须严格按有关设计规范设</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计图纸，承包人必须秉承合理、经济、环保、适用等原则进行施工图设计，发包人有权委托第三方对承包人每阶段的设计成果（含节能、结构计算模型等）进行精细化审图、各专业优化工作，承包人需无条件根据经发包人确认的精细化审图、结构优化报告进行设计文件修改，费用不另计。</w:t>
      </w:r>
    </w:p>
    <w:p w14:paraId="28097565">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Cs w:val="24"/>
          <w:highlight w:val="none"/>
          <w14:textFill>
            <w14:solidFill>
              <w14:schemeClr w14:val="tx1"/>
            </w14:solidFill>
          </w14:textFill>
        </w:rPr>
        <w:t xml:space="preserve">6.3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承包人未经发包人同意擅自对工程设计进行分包的，发包人有权收回未经发包人同意的设计分包内容，已支付该部分分包内容设计费用的在下次支付设计费时扣除，未支付的将不予支付该部分分包内容设计费 。如需其他专业分包，需提前向发包人报备，并提供相应专业资质文件，发包人同意后方可进行分包。</w:t>
      </w:r>
    </w:p>
    <w:p w14:paraId="5239C024">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60" w:name="_Toc390613831"/>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6.4.知识产权和专利权</w:t>
      </w:r>
      <w:bookmarkEnd w:id="360"/>
    </w:p>
    <w:p w14:paraId="082AB312">
      <w:pPr>
        <w:tabs>
          <w:tab w:val="left" w:pos="1260"/>
        </w:tabs>
        <w:snapToGrid w:val="0"/>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6.4.1承包人保证投标文件及资料均未侵犯他人的知识产权，否则必须承担全部责任。若承包人使用了他人的专利、专有技术，涉及的费用由承包人负责。合同价包括所有应支付的对专利权和版权、设计和其他知识产权而需要向其他方支付的版税。</w:t>
      </w:r>
    </w:p>
    <w:p w14:paraId="7AF9765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6.4.2承包人应保护发包人的知识产权，不得向第三人泄露、转让发包人提交的产品图纸等技术经济资料。未经发包人同意，承包人不得将设计成果转让给第三方。如发生以上情况并给发包人造成经济损失，发包人有权向承包人索赔。</w:t>
      </w:r>
    </w:p>
    <w:p w14:paraId="27A39A72">
      <w:pPr>
        <w:spacing w:beforeLines="50" w:line="360" w:lineRule="auto"/>
        <w:ind w:firstLine="472" w:firstLineChars="19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6.4.3承包人应保证发包人在本项目建设过程中使用其设计文件和设计文件的任何一部分时，发包人免受第三方提出侵犯其专利权、商标权或其他知识产权的起诉。</w:t>
      </w:r>
    </w:p>
    <w:p w14:paraId="7646EA2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承包人保证发包人使用承包人设计成果将不会对任何第三方构成侵权，如因此引起任何第三方向发包人提出侵权之诉讼或索赔，均由承包人承担处理、应诉和赔偿责任。</w:t>
      </w:r>
    </w:p>
    <w:p w14:paraId="169961C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6.4.4承包人提交给发包人的设计文件，其著作权、版权、专利权和使用权归发包人所有（署名权除外）。   </w:t>
      </w:r>
    </w:p>
    <w:p w14:paraId="230ACE2B">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承包人在合同有效期内，应当履行合同约定的义务，如因承包人的原因产生设计质量事故、工期延误或设计缺陷，造成损失的应承担赔偿责任。</w:t>
      </w:r>
    </w:p>
    <w:p w14:paraId="6C7B466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（1）因设计错误而造成一般质量事故的，承包人除应免收受损失部分的设计费外，还应无偿修改和完善设计，并承担给发包人造成的直接损失。</w:t>
      </w:r>
    </w:p>
    <w:p w14:paraId="132FC15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（2）因设计错误而造成重大质量事故的，承包人承担给发包人造成的直接损失，发包人有权解除设计合同，并报请有关主管部门视事故造成的损失情况给予其他处罚。</w:t>
      </w:r>
    </w:p>
    <w:p w14:paraId="08F0760F">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若因承包人原因导致提交的设计成果文件无法通过发包人组织的设计审查，发包人有权发出如下任何指令，承包人必须遵照执行。</w:t>
      </w:r>
    </w:p>
    <w:p w14:paraId="5FF4E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对不合格部分进行重新设计或修改，由此引起的费用增加和工期延误由承包人负全部责任，发包人还可视造成的时间延误和费用损失，承包人按合同价的5%～10%向甲方支付违约金；同时发包人有权解除设计合同。</w:t>
      </w:r>
    </w:p>
    <w:p w14:paraId="5DE95EF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如果重新设计或修改后的设计成果仍不能通过设计审查，或承包人没有能力完成该部分设计，发包人解除该不合格部分的合同，发包人将该不合格部分指定分包给其他设计单位，并扣除设计单位合同总价中此部分的设计费用；</w:t>
      </w:r>
    </w:p>
    <w:p w14:paraId="054A489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（3）承包人须在发包人书面同意后，将该部分内容另行委托给其他具有相应资质等级的单位设计，直至通过设计审查，该部分设计费用已包含在合同价中，不另行计算，造成损失的依法承担赔偿责任。</w:t>
      </w:r>
    </w:p>
    <w:p w14:paraId="5E30E04C">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承包人应赔偿因设计质量或设计图纸不完善带来的设计变更所引发的工程费增加、施工返工费、误工费等，处理原则如下：</w:t>
      </w:r>
    </w:p>
    <w:p w14:paraId="2E5541B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（1）由于设计质量或设计图纸不完善引起的施工返工，承包人应及时处理，并每次扣减设计合同价的2%作为违约金。</w:t>
      </w:r>
    </w:p>
    <w:p w14:paraId="5C92582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由于设计质量或设计图纸不完善引起的施工返工、停工，承包人未能及时处理，每次扣减设计合同价的2%作为违约金，对施工工期造成较大影响，还须按设计合同价的15%赔偿，经监理单位和发包人确认后，承包人在申请当期设计费之前支付给发包人。</w:t>
      </w:r>
    </w:p>
    <w:p w14:paraId="700BDE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由于设计质量或设计图纸不完善导致的设计变更引起工程造价增加，以至超出审批的概算投资额，如设计变更未对施工工期造成影响，承包人按超额部分的5%赔偿发包人；如设计变更对施工工期造成影响，承包人按超额部分的10%赔偿发包人。承包人还应对设计进行修改或调整，以保证工程总费用控制在总投资计划内或限额设计指标内。</w:t>
      </w:r>
    </w:p>
    <w:p w14:paraId="58EF93D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由于设计质量设计图纸不完善所引起的工程费增加，超出审批的概算投资额，承包人无法调整到限额内，发包人有权不支付设计费，已支付的设计费承包人应返还发包人，发包人有权拒绝承包人参加发包人的任何设计项目的投标，并将承包人的不良行为上报行业主管部门。</w:t>
      </w:r>
    </w:p>
    <w:p w14:paraId="140D7E72">
      <w:pPr>
        <w:pStyle w:val="68"/>
        <w:ind w:firstLine="602"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6.7.1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工程变更的程序和管理按</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项目所在地的</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政府投资项目财政投资评审</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相关文件</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执行。如因设计人的责任引起变更造成投资规模增加，按如下规定追究设计人的违约责任：</w:t>
      </w:r>
    </w:p>
    <w:p w14:paraId="36AB7623">
      <w:pPr>
        <w:pStyle w:val="68"/>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（1）因设计人责任引起变更造成投资规模增加10%以上的，扣减设计人设计合同价20%的违约金；</w:t>
      </w:r>
    </w:p>
    <w:p w14:paraId="1B80E621">
      <w:pPr>
        <w:pStyle w:val="68"/>
        <w:ind w:firstLine="600" w:firstLineChars="2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（2）因设计人责任引起变更造成投资规模增加15%以上的，扣减设计人设计合同价30%的违约金；</w:t>
      </w:r>
    </w:p>
    <w:p w14:paraId="6450AEF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（3）因设计人责任引起变更造成投资规模增加20%以上的，扣减设计人设计合同价40%的违约金。</w:t>
      </w:r>
    </w:p>
    <w:p w14:paraId="52D74DB7">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未按照国家及建设部现行的强制性技术标准、规范和规程进行设计，或承包人在设计成果中未经发包人认可擅自指定或变相指定材料或设备生产厂商、供应商的，承包人按合同价的5%～10%向发包人支付违约金。</w:t>
      </w:r>
    </w:p>
    <w:p w14:paraId="58645C64">
      <w:pPr>
        <w:spacing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承包人保证，未经发包人书面同意，不得将本合同项下的任何工作任务委托第三人履行，对于工程设计内容中超出承包人资质条件的分部、分项工程，承包人不得超越自身资质条件进行设计或自行将设计任务转包、分包，否则，发包人可以立即解除本合同，并且不需要向承包人支付任何费用。发包人将有权终止合同，承包人按合同价的5%～10%向发包人支付违约金。</w:t>
      </w:r>
    </w:p>
    <w:p w14:paraId="1D5B2D9E">
      <w:pPr>
        <w:pStyle w:val="8"/>
        <w:snapToGrid w:val="0"/>
        <w:spacing w:line="360" w:lineRule="auto"/>
        <w:ind w:left="63" w:right="63" w:firstLine="482" w:firstLineChars="200"/>
        <w:jc w:val="left"/>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0"/>
          <w:szCs w:val="24"/>
          <w:highlight w:val="none"/>
          <w14:textFill>
            <w14:solidFill>
              <w14:schemeClr w14:val="tx1"/>
            </w14:solidFill>
          </w14:textFill>
        </w:rPr>
        <w:t>6.10 除招标文件规定的服务内容外，承包人还须完成以下各阶段服务内容：</w:t>
      </w:r>
    </w:p>
    <w:p w14:paraId="05A389AA">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6.10.1 施工图设计阶段</w:t>
      </w:r>
    </w:p>
    <w:p w14:paraId="17150E23">
      <w:pPr>
        <w:pStyle w:val="35"/>
        <w:ind w:firstLine="240" w:firstLineChars="100"/>
        <w:jc w:val="left"/>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（1）负责完成并制作总图、建筑、结构、</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建筑装饰装修、给排水、电气、照明、消防、节能、无障碍设计、安防及智能系统、充电桩、</w:t>
      </w:r>
      <w:r>
        <w:rPr>
          <w:rFonts w:hint="eastAsia" w:asciiTheme="minorEastAsia" w:hAnsiTheme="minorEastAsia" w:eastAsiaTheme="minorEastAsia" w:cstheme="minorEastAsia"/>
          <w:snapToGrid w:val="0"/>
          <w:color w:val="000000" w:themeColor="text1"/>
          <w:kern w:val="0"/>
          <w:highlight w:val="none"/>
          <w:u w:val="none" w:color="auto"/>
          <w14:textFill>
            <w14:solidFill>
              <w14:schemeClr w14:val="tx1"/>
            </w14:solidFill>
          </w14:textFill>
        </w:rPr>
        <w:t>海绵城市</w:t>
      </w:r>
      <w:r>
        <w:rPr>
          <w:rFonts w:hint="eastAsia" w:asciiTheme="minorEastAsia" w:hAnsiTheme="minorEastAsia" w:eastAsiaTheme="minorEastAsia" w:cstheme="minorEastAsia"/>
          <w:snapToGrid w:val="0"/>
          <w:color w:val="000000" w:themeColor="text1"/>
          <w:kern w:val="0"/>
          <w:highlight w:val="none"/>
          <w:u w:val="none" w:color="auto"/>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kern w:val="0"/>
          <w:highlight w:val="none"/>
          <w14:textFill>
            <w14:solidFill>
              <w14:schemeClr w14:val="tx1"/>
            </w14:solidFill>
          </w14:textFill>
        </w:rPr>
        <w:t>雨污分流、道路、综合管网等所有专项设计及红线范围内的所有工程及相关配套工程、设施等本项目涉及的全部专业的施工图设计文件；</w:t>
      </w:r>
    </w:p>
    <w:p w14:paraId="1956F6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（2）对发包人的审核修改意见进行修改、完善，保证其设计意图的最终实现； </w:t>
      </w:r>
    </w:p>
    <w:p w14:paraId="743FBD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（3）根据项目开发进度要求及时提供各阶段报审图纸，协助发包人进行报审工作，根据审查结果在本合同约定的范围内进行修改调整，直至审查通过，并最终向发包人提交正式的施工图设计文件； </w:t>
      </w:r>
    </w:p>
    <w:p w14:paraId="0ADCC5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（4）协助发包人进行工程招标答疑。</w:t>
      </w:r>
    </w:p>
    <w:p w14:paraId="0383F98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6.10.2 施工配合阶段</w:t>
      </w:r>
    </w:p>
    <w:p w14:paraId="4A574B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（1）负责工程设计交底，解答施工过程中施工承包人有关施工图的问题，项目负责人及各专业设计负责人，及时对施工中与设计有关的问题做出回应，保证设计满足施工要求； </w:t>
      </w:r>
    </w:p>
    <w:p w14:paraId="2472C73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（2）根据发包人要求，及时参加与设计有关的专题会，现场解决技术问题； </w:t>
      </w:r>
    </w:p>
    <w:p w14:paraId="4B44A9D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（3）协助发包人处理工程洽商和设计变更，负责有关设计修改，及时办理相关手续； </w:t>
      </w:r>
    </w:p>
    <w:p w14:paraId="420862F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（4）参与与承包人相关的必要的验收以及项目竣工验收工作，并及时办理相关手续； </w:t>
      </w:r>
    </w:p>
    <w:p w14:paraId="5EDF068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（5）提供产品选型、设备加工订货、建筑材料选择以及分包商考察等技术咨询工作； </w:t>
      </w:r>
    </w:p>
    <w:p w14:paraId="0888DE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（6）应发包人要求协助审核各分包商的设计文件是否满足接口条件并签署意见，以保证其与总体设计协调一致，并满足工程要求。</w:t>
      </w:r>
    </w:p>
    <w:p w14:paraId="76F4A36F">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6.11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承包人义务及违约责任</w:t>
      </w:r>
    </w:p>
    <w:p w14:paraId="2C3A3EBA">
      <w:pPr>
        <w:spacing w:line="360" w:lineRule="auto"/>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6.11.1 承包人义务</w:t>
      </w:r>
    </w:p>
    <w:p w14:paraId="17D7AC56">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（1）中标通知书发出后30天内第一中标候选人不按招标文件约定条款签订设计合同的，视为自动放弃中标资格，没收投标保证金，并确定第二中标候选人为承包人，以此类推。并上报建设行政主管部门。</w:t>
      </w:r>
    </w:p>
    <w:p w14:paraId="0DFEDA0F">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（2）合同生效后，承包人要求终止或解除合同视为承包人违约，扣除履约保证金。</w:t>
      </w:r>
    </w:p>
    <w:p w14:paraId="33A5488B">
      <w:pPr>
        <w:adjustRightInd w:val="0"/>
        <w:snapToGrid w:val="0"/>
        <w:spacing w:line="360" w:lineRule="auto"/>
        <w:ind w:firstLine="360" w:firstLineChars="15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承包人负责按照合同规定承包范围、内容和方式，在规定时间内提交满足规定质量要求的设计成果，并完成约定的服务内容。承包人交付设计文件后，按规定参加有关的设计审查，并根据审查结论负责不超出原定范围的内容做必要调整补充。承包人按合同规定时限交付设计文件，负责向发包人及施工单位进行设计交底、处理有关设计问题和参加竣工验收。施工过程中负责有关工程变更的变更设计和变更预算编制。</w:t>
      </w:r>
    </w:p>
    <w:p w14:paraId="604E97C5">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（4）承包人应对发包人提供的文件、资料进行认真研究，对本项目的特点和不确定因素进行认真考虑，并提出合理建议和评价，对影响设计稳定的重大问题要进行多方案比较选择。</w:t>
      </w:r>
    </w:p>
    <w:p w14:paraId="28A65C99">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（5）设计应尽可能减少施工难度，为施工创造方便合理的施工条件；应尽量减少施工对城市交通、市民生活以及水利、通航的干扰，并尽可能减少对施工期的影响。</w:t>
      </w:r>
    </w:p>
    <w:p w14:paraId="43EA8292">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（6）未经发包人书面同意，承包人不得对已批准的设计和勘探点布置方案作重大修改、增减或删除。</w:t>
      </w:r>
    </w:p>
    <w:p w14:paraId="67F146A7">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（7）承包人提交的全部设计文件应考虑地质因素、正常施工中可能出现的各种因素，对设计文件出现的遗漏或错误负责修改或补充。</w:t>
      </w:r>
    </w:p>
    <w:p w14:paraId="2425312F">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（8）承包人承诺在交付项目的部分或全部设计文件后，如有更好的新工艺、新技术、新材料、新设备等适用于本项目，应及时向发包人推荐并提供科学的评估和来源证明。</w:t>
      </w:r>
    </w:p>
    <w:p w14:paraId="583ADEAE">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（9）承包人驻</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始兴县</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办公的项目负责人（即投标文件所拟派的项目负责人）必须负责本项目设计全过程（包括施工图设计审查、施工图设计修编、图纸会审和技术交底）。</w:t>
      </w:r>
    </w:p>
    <w:p w14:paraId="67D8145B">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10）承包人应委派1名参与并熟悉本项目设计任务，有现场处理经验的设计代表常驻项目现场。承包人应为派驻现场的设计工作人员提供工作、生活及交通等方面的便利条件及准备必要的劳动保护装备。在正常施工阶段，每月应保证最少20天在现场。</w:t>
      </w:r>
    </w:p>
    <w:p w14:paraId="6485A340">
      <w:pPr>
        <w:adjustRightInd w:val="0"/>
        <w:snapToGrid w:val="0"/>
        <w:spacing w:line="360" w:lineRule="auto"/>
        <w:ind w:firstLine="240" w:firstLineChars="1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（11）承包人要按照批准的设计任务书，按照批准的总概算控制施工图设计，即限额设计。承包人要无条件对设计文件出现的遗漏或错误负责修改或补充，直到满足要求。</w:t>
      </w:r>
    </w:p>
    <w:p w14:paraId="3457E2D1">
      <w:pPr>
        <w:adjustRightInd w:val="0"/>
        <w:snapToGrid w:val="0"/>
        <w:spacing w:line="360" w:lineRule="auto"/>
        <w:ind w:firstLine="244" w:firstLineChars="1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 xml:space="preserve"> （12）发包人及咨询</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单</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位、上级</w:t>
      </w:r>
      <w:r>
        <w:rPr>
          <w:rFonts w:hint="eastAsia" w:asciiTheme="minorEastAsia" w:hAnsiTheme="minorEastAsia" w:eastAsiaTheme="minorEastAsia" w:cstheme="minorEastAsia"/>
          <w:color w:val="000000" w:themeColor="text1"/>
          <w:spacing w:val="1"/>
          <w:szCs w:val="24"/>
          <w:highlight w:val="none"/>
          <w14:textFill>
            <w14:solidFill>
              <w14:schemeClr w14:val="tx1"/>
            </w14:solidFill>
          </w14:textFill>
        </w:rPr>
        <w:t>主</w:t>
      </w:r>
      <w:r>
        <w:rPr>
          <w:rFonts w:hint="eastAsia" w:asciiTheme="minorEastAsia" w:hAnsiTheme="minorEastAsia" w:eastAsiaTheme="minorEastAsia" w:cstheme="minorEastAsia"/>
          <w:color w:val="000000" w:themeColor="text1"/>
          <w:spacing w:val="2"/>
          <w:szCs w:val="24"/>
          <w:highlight w:val="none"/>
          <w14:textFill>
            <w14:solidFill>
              <w14:schemeClr w14:val="tx1"/>
            </w14:solidFill>
          </w14:textFill>
        </w:rPr>
        <w:t>管部门对设计</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文件的审查并不免除承包人的责任。</w:t>
      </w:r>
    </w:p>
    <w:p w14:paraId="76582261">
      <w:pPr>
        <w:adjustRightInd w:val="0"/>
        <w:snapToGrid w:val="0"/>
        <w:spacing w:line="360" w:lineRule="auto"/>
        <w:ind w:firstLine="360" w:firstLineChars="15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（13）中标通知书发出后三天内，中标单位法定代表人及主要负责人、项目经理、设计负责人应积极主动与发包人接洽工作，迅速有效推动工程前期工作顺利开展，逾期未履行，作违约处理。</w:t>
      </w:r>
    </w:p>
    <w:p w14:paraId="1AA5A9B9">
      <w:pPr>
        <w:adjustRightInd w:val="0"/>
        <w:snapToGrid w:val="0"/>
        <w:spacing w:line="360" w:lineRule="auto"/>
        <w:ind w:firstLine="120" w:firstLineChars="5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6.11.2 </w:t>
      </w: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承包人违约的处理</w:t>
      </w:r>
    </w:p>
    <w:p w14:paraId="4D58CA9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（1）承包人发生合同约定的违约情况时，无论发包人是否解除合同，发包人均有权按相关规定</w:t>
      </w:r>
      <w:r>
        <w:rPr>
          <w:rFonts w:hint="eastAsia" w:asciiTheme="minorEastAsia" w:hAnsiTheme="minorEastAsia" w:eastAsiaTheme="minorEastAsia" w:cstheme="minorEastAsia"/>
          <w:color w:val="000000" w:themeColor="text1"/>
          <w:highlight w:val="none"/>
          <w14:textFill>
            <w14:solidFill>
              <w14:schemeClr w14:val="tx1"/>
            </w14:solidFill>
          </w14:textFill>
        </w:rPr>
        <w:t>扣除</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违约金，并由发包人将其违约行为记录在合同履约评价报告中，作为合同履约综合评价的依据。同时，发包人将</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的违约行为</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上报建设行政主管部门。</w:t>
      </w:r>
    </w:p>
    <w:p w14:paraId="407377F9">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开出的任何违约金，除合同另有规定外，均从发包人应向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支付的</w:t>
      </w:r>
      <w:r>
        <w:rPr>
          <w:rFonts w:hint="eastAsia" w:asciiTheme="minorEastAsia" w:hAnsiTheme="minorEastAsia" w:eastAsiaTheme="minorEastAsia" w:cstheme="minorEastAsia"/>
          <w:color w:val="000000" w:themeColor="text1"/>
          <w:highlight w:val="none"/>
          <w14:textFill>
            <w14:solidFill>
              <w14:schemeClr w14:val="tx1"/>
            </w14:solidFill>
          </w14:textFill>
        </w:rPr>
        <w:t>服务费</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中直接扣除。除非合同另有规定，发包人向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开出的任何违约金将导致承包人最终的应得结算价款相应地减少。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必须完全接受上述条款。</w:t>
      </w:r>
    </w:p>
    <w:p w14:paraId="63194622">
      <w:pPr>
        <w:spacing w:line="360" w:lineRule="auto"/>
        <w:ind w:firstLine="360" w:firstLineChars="15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（3）发包人按合同规定向</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开出的任何违约金的扣除时间，可以在发包人认为合适的任何一个期中支付月份中扣除。发包人扣除违约金时间的延迟或滞后并不代表对</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当时各种行为的认可或默认。</w:t>
      </w:r>
    </w:p>
    <w:p w14:paraId="7F3955F0">
      <w:pPr>
        <w:spacing w:line="360" w:lineRule="auto"/>
        <w:ind w:firstLine="360" w:firstLineChars="15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承包人</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的违约金由发包人掌握使用。</w:t>
      </w:r>
    </w:p>
    <w:p w14:paraId="0598E51B">
      <w:pPr>
        <w:spacing w:line="360" w:lineRule="auto"/>
        <w:ind w:firstLine="480"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6.12</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发包人有权根据有关管理制度对承包人的履约情况纳入履约信用评价体系进行履约信用评价，并将评价结果报送给有关监管部门。</w:t>
      </w:r>
    </w:p>
    <w:p w14:paraId="3F964444">
      <w:pPr>
        <w:pStyle w:val="7"/>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履约信用评价按发包人履约信用评价管理规定执行，评价内容包含人员到位情况、服务配合程度、服务成果质量、项目后期服务及履约信用评价结果的运用等。</w:t>
      </w:r>
    </w:p>
    <w:p w14:paraId="3DA6AA42">
      <w:pPr>
        <w:pStyle w:val="36"/>
        <w:keepNext/>
        <w:keepLines/>
        <w:tabs>
          <w:tab w:val="left" w:pos="885"/>
        </w:tabs>
        <w:spacing w:line="400" w:lineRule="exact"/>
        <w:jc w:val="cente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pPr>
      <w:bookmarkStart w:id="361" w:name="_Toc11306"/>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62" w:name="_Toc32085"/>
      <w:bookmarkStart w:id="363" w:name="_Toc18208"/>
      <w:bookmarkStart w:id="364" w:name="_Toc31905"/>
      <w:bookmarkStart w:id="365" w:name="_Toc28950"/>
      <w:bookmarkStart w:id="366" w:name="_Toc10003"/>
      <w:bookmarkStart w:id="367" w:name="_Toc15865"/>
      <w:bookmarkStart w:id="368" w:name="_Toc16036"/>
      <w:bookmarkStart w:id="369" w:name="_Toc508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第三</w:t>
      </w:r>
      <w:bookmarkStart w:id="370" w:name="_Hlt69669171"/>
      <w:bookmarkEnd w:id="37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71" w:name="_Hlt87793839"/>
      <w:bookmarkEnd w:id="371"/>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中标人须知</w:t>
      </w:r>
      <w:bookmarkEnd w:id="361"/>
      <w:bookmarkEnd w:id="362"/>
      <w:bookmarkEnd w:id="363"/>
      <w:bookmarkEnd w:id="364"/>
      <w:bookmarkEnd w:id="365"/>
      <w:bookmarkEnd w:id="366"/>
      <w:bookmarkEnd w:id="367"/>
      <w:bookmarkEnd w:id="368"/>
      <w:bookmarkEnd w:id="369"/>
    </w:p>
    <w:p w14:paraId="5E0C751A">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09"/>
    <w:bookmarkEnd w:id="310"/>
    <w:bookmarkEnd w:id="311"/>
    <w:p w14:paraId="0058A4E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招标人向中标人发出的《中标通知书》对招标人和中标人均具有法律约束力。中标通知书发出后，招标人改变中标结果和中标人放弃中标的，应当承担法律责任。</w:t>
      </w:r>
    </w:p>
    <w:p w14:paraId="234D73AD">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中标人不与招标人签订合同，招标人可以取消其中标人资格。给招标人造成经济损失的，招标人可以向中标人索赔。</w:t>
      </w:r>
    </w:p>
    <w:p w14:paraId="20496272">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中标人在施工期间应严格遵守国家、省、市有关防火、爆破和施工安全以及文明施工、深夜施工、环卫城管等规定，建立规章制度和防护措施。否则，由此造成的经济损失和法律责任，均由中标人负责。</w:t>
      </w:r>
    </w:p>
    <w:p w14:paraId="69865219">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中标人必须做好施工场地地下地上管线和邻近建筑物、构筑物（包括文物保护建筑）、名树名木（如有）的保护工作。</w:t>
      </w:r>
    </w:p>
    <w:p w14:paraId="424CAA5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中标人应按安全施工的要求，采取严格科学的安全措施，确保施工安全和第三者的安全，承担由于自身安全措施不力所造成的事故责任和发生的费用。</w:t>
      </w:r>
    </w:p>
    <w:p w14:paraId="63C049DA">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372" w:name="_Hlt93117969"/>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为保证施工现场的环境卫生，中标人在本项目施工过程中，所有的车辆必须按招标人规定的行车路线行驶。</w:t>
      </w:r>
    </w:p>
    <w:bookmarkEnd w:id="372"/>
    <w:p w14:paraId="3B62520D">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3.6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中标人的投标书所报的项目管理班子人员（项目经理、技术负责人、施工员、质量员、安全员等）必须是</w:t>
      </w:r>
      <w:bookmarkStart w:id="373" w:name="_Hlt66261069"/>
      <w:bookmarkEnd w:id="373"/>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中标后实际的项目管理班子人员，否则招标人有权终止合同。</w:t>
      </w:r>
    </w:p>
    <w:p w14:paraId="576E7641">
      <w:pPr>
        <w:pStyle w:val="7"/>
        <w:spacing w:line="360" w:lineRule="auto"/>
        <w:ind w:firstLine="48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highlight w:val="none"/>
          <w14:textFill>
            <w14:solidFill>
              <w14:schemeClr w14:val="tx1"/>
            </w14:solidFill>
          </w14:textFill>
        </w:rPr>
        <w:t>根据项目实施进度情况，招标人有权要求中标人增派项目管理人员，以满足项目的现场管理工作要求。</w:t>
      </w:r>
    </w:p>
    <w:p w14:paraId="735E9A98">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项目竣工验收合格后三十个工作日内必须向招标人提供一式八份符合韶关市及</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城市建设档案馆要求的工程竣工档案（含纸质、声像及电子等形式的档案），声像及电子档案的制作费用由中标人承担。</w:t>
      </w:r>
    </w:p>
    <w:p w14:paraId="676A5B7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3.8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合同范围内的工程项目未经招标人同意一律不得分包，一经发现，取消中标人的承包资格，中标人承担由此引起的一切责任和经济损失。</w:t>
      </w:r>
    </w:p>
    <w:p w14:paraId="47B280C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3.9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现场应自设检验实验室，用于对建筑材料、构件和建筑物进行一般性鉴定、检查等。</w:t>
      </w:r>
    </w:p>
    <w:p w14:paraId="3D93099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3.10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中标人须服从工程监理单位对工程质量全方位的监理，施工中的年度计划、季度计划、月度计划、施工方案等应报送监理单位审批和招标人备案。施工中的质量保证等资料均应及时报送监理单位和招标人备案。</w:t>
      </w:r>
    </w:p>
    <w:p w14:paraId="42B876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3.11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招标文件、招标答疑书、投标文件和中标通知书是招标人与中标人双方签订的施工合同的主要组成部分，并与合同一样，具有相同的法律效力。</w:t>
      </w:r>
      <w:bookmarkStart w:id="374" w:name="_Hlt66508904"/>
      <w:bookmarkEnd w:id="374"/>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如中标通知书发出后，发现中标人的投标文件中有与招标文件所述内容及要求不符的，按招标文件执行。</w:t>
      </w:r>
    </w:p>
    <w:p w14:paraId="42E241A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3.12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之后，若招标范围内有专业工程必须分包的，招标人不另行支付总包服务费；其分包合同由中标人与分包人双方签订，招标人不参与中标人与分包人之间的结算，该部分工程的造价仍按中标人与招标人签订的合同的有关结算条款进行结算。</w:t>
      </w:r>
    </w:p>
    <w:p w14:paraId="021D5F7C">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3.13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若设计超过了限额标准，中标人必须无条件优化，直至达到限额要求为止，设计及施工工期不予以顺延，招标人不再支付由此而增加的设计费。</w:t>
      </w:r>
    </w:p>
    <w:p w14:paraId="1AD583C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3.14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提交的施工图阶段的设计成果必须经招标人组织的专家委员会评审确认后，再送有资质的审图单位的进行审查，若由于专家委员会和审图单位在审查过程中提出的设计修改或变更，中标人必须无条件进行修改或优化设计，招标人不再支付由此而增加的设计费用。</w:t>
      </w:r>
    </w:p>
    <w:p w14:paraId="6B02BEA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3.15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增加工程造价在施工14天前中标人必须提供详细的报价书（含工程项目名称、变更部位、理由、预计造价等）给监理单位核实并报招标人或有关审核部门核定后，方可施工。</w:t>
      </w:r>
    </w:p>
    <w:p w14:paraId="143225EE">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3.16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中标人中标后，必须按规定到韶关市公共资源交易中心办理相关手续方可领取中标通知书。</w:t>
      </w:r>
    </w:p>
    <w:p w14:paraId="3574B252">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3.17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中标人中标后必须按招标人的要求采购材料及设备。</w:t>
      </w:r>
    </w:p>
    <w:p w14:paraId="5FF749A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 3.18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中标通知书发出后，中标方应在30个日历天内缴工人工资保证金、意外伤害险等。</w:t>
      </w:r>
    </w:p>
    <w:p w14:paraId="4F086136">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中标人必须在项目开工前，在项目所在地银行</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设立工人工资支付专用账户和安全文明施工措施费专用帐户</w:t>
      </w:r>
      <w:r>
        <w:rPr>
          <w:rFonts w:hint="eastAsia" w:asciiTheme="minorEastAsia" w:hAnsiTheme="minorEastAsia" w:eastAsiaTheme="minorEastAsia" w:cstheme="minorEastAsia"/>
          <w:b/>
          <w:bCs/>
          <w:snapToGrid w:val="0"/>
          <w:color w:val="000000" w:themeColor="text1"/>
          <w:kern w:val="0"/>
          <w:highlight w:val="none"/>
          <w14:textFill>
            <w14:solidFill>
              <w14:schemeClr w14:val="tx1"/>
            </w14:solidFill>
          </w14:textFill>
        </w:rPr>
        <w:t>，</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中标人应在工资专户开立后2个工作日内，将开户银行及其账号、开户协议等资料提交给招标人。</w:t>
      </w:r>
    </w:p>
    <w:p w14:paraId="6F771656">
      <w:pPr>
        <w:spacing w:line="360" w:lineRule="auto"/>
        <w:ind w:firstLine="354" w:firstLineChars="147"/>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中标人应建立劳动用工管理台账，并按月将工人工资支付明细表报招标人备案。若中标人拖延按工期延误处理，拖延一天，则计算工期延误一天。</w:t>
      </w:r>
    </w:p>
    <w:p w14:paraId="508BA343">
      <w:pPr>
        <w:wordWrap w:val="0"/>
        <w:adjustRightInd w:val="0"/>
        <w:snapToGrid w:val="0"/>
        <w:spacing w:line="360" w:lineRule="auto"/>
        <w:ind w:firstLine="482" w:firstLineChars="200"/>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中标人必须按相关规定做好用工实名制管理，建立考勤机制，并实施实名信息化管理。</w:t>
      </w:r>
    </w:p>
    <w:p w14:paraId="75A5DC25">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3.19</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本项目各个阶段的设计成果必须经招标人及有关审批部门同意后方可进行下一工序的设计工作，若招标人或有关审批部门在审批过程中提出的设计修改或变更，中标人必须无条件进行修改或变更，招标人不再支付由此而增加的设计费用。</w:t>
      </w:r>
    </w:p>
    <w:p w14:paraId="333B69E0">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3.20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若中标人自中标通知书发出之日起20个工作日内仍未提供履约担保的，视同中标单位自动放弃中标资格，招标人通报建设行政主管部门后有权另行选择中标人。</w:t>
      </w:r>
    </w:p>
    <w:p w14:paraId="61DB5ED5">
      <w:pPr>
        <w:spacing w:line="360" w:lineRule="auto"/>
        <w:ind w:firstLine="482" w:firstLineChars="20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3.21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若中标人自中标通知书发出之日起30天内仍未签订合同，视同中标人自动放弃中标权利，招标人通报建设行政主管部门后有权另行选择中标人。</w:t>
      </w:r>
    </w:p>
    <w:p w14:paraId="76B3E789">
      <w:pPr>
        <w:pStyle w:val="35"/>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3.22 中标人应按招标人确认后的主要材料的规格、颜色要求采购。如变更规格或颜色，必须经招标人、业主同意，并报有关审核部门重新核定单价后方可采购，并相应调整工程造价。主要材料必须先提供样板或有关资料给招标人、业主确定其规格、颜色、等级等，然后方可使用。</w:t>
      </w:r>
    </w:p>
    <w:p w14:paraId="65A24042">
      <w:pPr>
        <w:snapToGrid w:val="0"/>
        <w:spacing w:line="360" w:lineRule="auto"/>
        <w:ind w:firstLine="472" w:firstLineChars="196"/>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 xml:space="preserve"> 3.23 </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根据《</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印发〈广东省住房和城乡建设厅 广东省发展改革委关于房屋建筑和市政基础设施工程建设项目招标投标全过程信息公开的管理规定〉的通知</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》（粤建规范〔2018〕6号）文件精神，产生中标候选人后，招标人应将中标候选人投标文件商务部分除涉及商业秘密的其他资料在广东省招标投标监管网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公示，公示期不得少于3日。</w:t>
      </w:r>
    </w:p>
    <w:p w14:paraId="41120FDB">
      <w:pPr>
        <w:snapToGrid w:val="0"/>
        <w:spacing w:line="360" w:lineRule="auto"/>
        <w:ind w:firstLine="560"/>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招标人应当在发出中标通知书15日内，将中标结果依法在广东省招标投标监管网、</w:t>
      </w:r>
      <w:r>
        <w:rPr>
          <w:rFonts w:hint="eastAsia" w:asciiTheme="minorEastAsia" w:hAnsiTheme="minorEastAsia" w:eastAsiaTheme="minorEastAsia" w:cstheme="minorEastAsia"/>
          <w:b/>
          <w:bCs/>
          <w:color w:val="000000" w:themeColor="text1"/>
          <w:kern w:val="0"/>
          <w:szCs w:val="24"/>
          <w:highlight w:val="none"/>
          <w14:textFill>
            <w14:solidFill>
              <w14:schemeClr w14:val="tx1"/>
            </w14:solidFill>
          </w14:textFill>
        </w:rPr>
        <w:t>广东省公共资源交易平台（韶关市）</w:t>
      </w: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公示。</w:t>
      </w:r>
    </w:p>
    <w:p w14:paraId="4FF744ED">
      <w:pPr>
        <w:pStyle w:val="35"/>
        <w:ind w:firstLine="590" w:firstLineChars="245"/>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 xml:space="preserve">如果其他投标人或其他利害关系人对公示内容有异议，一经查实有虚假内容等违法违规情况的，将取消其中标候选人资格，并由招投标监管部门按有关规定处理。 </w:t>
      </w:r>
    </w:p>
    <w:p w14:paraId="29411EF3">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3.24中标人须按韶关市、</w:t>
      </w:r>
      <w:r>
        <w:rPr>
          <w:rFonts w:hint="eastAsia" w:asciiTheme="minorEastAsia" w:hAnsiTheme="minorEastAsia" w:eastAsiaTheme="minorEastAsia" w:cstheme="minorEastAsia"/>
          <w:color w:val="000000" w:themeColor="text1"/>
          <w:szCs w:val="24"/>
          <w:highlight w:val="none"/>
          <w:lang w:eastAsia="zh-CN"/>
          <w14:textFill>
            <w14:solidFill>
              <w14:schemeClr w14:val="tx1"/>
            </w14:solidFill>
          </w14:textFill>
        </w:rPr>
        <w:t>始兴县</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关于建筑垃圾运输、建筑渣土管理和扬尘治理等有关规定执行。</w:t>
      </w:r>
    </w:p>
    <w:p w14:paraId="0DD5FCA5">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3.25中标人须按相关规定要求，设置本工程符合相关要求的永久性标牌及规划公示牌，投标人在投标报价时综合考虑在报价内，招标人不另行支付该部分费用。</w:t>
      </w:r>
    </w:p>
    <w:p w14:paraId="431642EE">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3.26中标人须服从招标人的项目管理方式；中标人须无条件组织施工班组按招标人提供的管理软件（如有）及管理流程进行施工管理。</w:t>
      </w:r>
    </w:p>
    <w:p w14:paraId="15187C19">
      <w:pPr>
        <w:pStyle w:val="7"/>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人应根据施工任务做好工期分析工作，按工期节点要求进行人料机的安排，及时根据计划的实施情况调整人料机的投入。</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人作为总承包单位，应合理安排施工工作，统筹各专业单位（如有）的工作界面，不得影响施工进度。</w:t>
      </w:r>
      <w:r>
        <w:rPr>
          <w:rFonts w:hint="eastAsia" w:asciiTheme="minorEastAsia" w:hAnsiTheme="minorEastAsia" w:eastAsiaTheme="minorEastAsia" w:cstheme="minorEastAsia"/>
          <w:b/>
          <w:color w:val="000000" w:themeColor="text1"/>
          <w:sz w:val="24"/>
          <w:szCs w:val="24"/>
          <w:highlight w:val="none"/>
          <w14:textFill>
            <w14:solidFill>
              <w14:schemeClr w14:val="tx1"/>
            </w14:solidFill>
          </w14:textFill>
        </w:rPr>
        <w:t>中标</w:t>
      </w: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人应根据工作面的变化情况及工程进度要求，合理增配人员及施工机械设备。</w:t>
      </w:r>
    </w:p>
    <w:p w14:paraId="47B5D214">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3.27施工视频监控系统必须符合韶市建字〔2014〕163号文件规定，并在投标报价中综合考虑，招标人及项目业主不再另行支付该部分费用。</w:t>
      </w:r>
    </w:p>
    <w:p w14:paraId="0443BEA1">
      <w:pPr>
        <w:spacing w:line="360" w:lineRule="auto"/>
        <w:ind w:firstLine="420" w:firstLineChars="175"/>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开工一个月内必须按相关规定和要求安装视频监控系统，并接入相关部门监控系统，如未按时安装视频监控系统，发包人有权在措施费中扣除相关费用。</w:t>
      </w:r>
    </w:p>
    <w:p w14:paraId="0998303F">
      <w:pPr>
        <w:spacing w:line="360" w:lineRule="auto"/>
        <w:ind w:firstLine="354"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3.28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包括征地拆迁）及现场情况为理由，提出因外界因素造成停工或工期延误的额外付款要求；对此类要求，招标人不作任何考虑及答复。</w:t>
      </w:r>
    </w:p>
    <w:p w14:paraId="3F31406A">
      <w:pPr>
        <w:spacing w:line="360" w:lineRule="auto"/>
        <w:ind w:firstLine="352" w:firstLineChars="147"/>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如因招标人原因（自然灾害等不可抗力因素除外），工程不能按期开工，或开工后全部停滞，工期按相关规定予以顺延。停工发生后，若可复工时，中标人应在收到招标人发出的复工通知书后3日内开始复工。</w:t>
      </w:r>
    </w:p>
    <w:p w14:paraId="32D14A45">
      <w:pPr>
        <w:spacing w:line="360" w:lineRule="auto"/>
        <w:ind w:firstLine="56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3.29</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必须严格按有关设计规范设计图纸，中标人须秉承合理、经济、环保、适用等原则进行施工图设计，招标人有权委托第三方对中标人每阶段的设计成果文件进行精细化审图、各专业优化工作，招标人将根据第三方出具的有关报告及优化金额对中标人进行考核。若中标人成果的建安投资与优化金额（各分项工程进行对比）误差率在3%范围内则不作违约处理（含3%），否则以优化金额的10%从设计费用中扣取违约金（违约金总额以设计费为限，扣取的违约金作为第三方的咨询费），中标人需无条件根据经招标人确认的精细化审图、结构优化报告进行设计文件修改，费用不另计。</w:t>
      </w:r>
    </w:p>
    <w:p w14:paraId="266C1A21">
      <w:pPr>
        <w:spacing w:line="360" w:lineRule="auto"/>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3.30</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中标人须在收到初步设计文件之日起三天内无条件对初步设计文件进行审核，如发现遗漏或错误，须向招标人提出书面报告。</w:t>
      </w:r>
    </w:p>
    <w:p w14:paraId="5B7DEF03">
      <w:pPr>
        <w:spacing w:line="360" w:lineRule="auto"/>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3.31</w:t>
      </w:r>
      <w:r>
        <w:rPr>
          <w:rFonts w:hint="eastAsia" w:asciiTheme="minorEastAsia" w:hAnsiTheme="minorEastAsia" w:eastAsiaTheme="minorEastAsia" w:cstheme="minorEastAsia"/>
          <w:b/>
          <w:color w:val="000000" w:themeColor="text1"/>
          <w:highlight w:val="none"/>
          <w14:textFill>
            <w14:solidFill>
              <w14:schemeClr w14:val="tx1"/>
            </w14:solidFill>
          </w14:textFill>
        </w:rPr>
        <w:t>中标人须在收到中标通知书之日十天内向招标人提交各阶段详细的工期计划承诺书。</w:t>
      </w:r>
    </w:p>
    <w:p w14:paraId="7A645245">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3.32按照《广东省住房和城乡建设厅关于建设工程项目招标中标后监督检查的办法》（粤建市〔2009〕8号）和《韶关市住房和城乡建设局关于加强房屋建筑和市政基础设施工程项目招标中标后监督检查的通知》（韶市建字〔2014〕145号）等相关法律法规。中标人中标之后，工程施工项目负责人和项目管理班子其他成员必须是该工程中标时所承诺的项目管理班子成员。</w:t>
      </w:r>
    </w:p>
    <w:p w14:paraId="59D6A593">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项目管理班子成员不得擅自变更，项目管理班子成员因有粤建市〔2009〕8号第九条所述情形之一确属不能履行职责需要变更的，中标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14:paraId="13D83132">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若中标单位有下列行为之一的，除依照有关法律、法规进行处罚外，将通过市建设与房地产信息网站予以及时曝光，并作为今后该单位参与投标的评分扣分依据直至取消投标资格。</w:t>
      </w:r>
    </w:p>
    <w:p w14:paraId="46B76230">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1.建设单位违反规定指定分包单位的；</w:t>
      </w:r>
    </w:p>
    <w:p w14:paraId="03B4AD11">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2.施工单位转包、违法分包或违反投标承诺分包工程的；   </w:t>
      </w:r>
    </w:p>
    <w:p w14:paraId="49E73FA9">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3.非原参加投标中标的项目经理负责组织施工或在实施过程违反粤建市〔2009〕8号第九条规定更换项目经理的、项目的其他主要管理人员与中标文件确定的人员不相符的；</w:t>
      </w:r>
    </w:p>
    <w:p w14:paraId="311D9E9D">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4.投标文件确定的大型机械设备没有进入施工现场的；</w:t>
      </w:r>
    </w:p>
    <w:p w14:paraId="416A5DDD">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5.建设、监理、施工等单位串通，签认虚假工程量或工程造价的；</w:t>
      </w:r>
    </w:p>
    <w:p w14:paraId="2496E11B">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6.施工现场管理不到位的；</w:t>
      </w:r>
    </w:p>
    <w:p w14:paraId="257C2DA9">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7.非本人资格证书登记所在的单位从事工程项目施工管理的；</w:t>
      </w:r>
    </w:p>
    <w:p w14:paraId="4568D4B7">
      <w:pPr>
        <w:pStyle w:val="53"/>
        <w:widowControl/>
        <w:spacing w:line="360" w:lineRule="auto"/>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8.项目经理同时承担超过一项工程项目的；</w:t>
      </w:r>
    </w:p>
    <w:p w14:paraId="050F0B44">
      <w:pPr>
        <w:pStyle w:val="53"/>
        <w:widowControl/>
        <w:spacing w:line="360" w:lineRule="auto"/>
        <w:ind w:firstLine="480"/>
        <w:jc w:val="left"/>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9.违反有关法律、法规、规章规定的其它行为。</w:t>
      </w:r>
    </w:p>
    <w:p w14:paraId="4EE02A84">
      <w:pPr>
        <w:pStyle w:val="53"/>
        <w:widowControl/>
        <w:spacing w:line="360" w:lineRule="auto"/>
        <w:ind w:firstLine="480"/>
        <w:jc w:val="left"/>
        <w:rPr>
          <w:rFonts w:hint="eastAsia" w:asciiTheme="minorEastAsia" w:hAnsiTheme="minorEastAsia" w:eastAsiaTheme="minorEastAsia" w:cstheme="minorEastAsia"/>
          <w:b/>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8"/>
          <w:highlight w:val="none"/>
          <w14:textFill>
            <w14:solidFill>
              <w14:schemeClr w14:val="tx1"/>
            </w14:solidFill>
          </w14:textFill>
        </w:rPr>
        <w:t>3.33依据《关于印发&lt;广东省建筑工程领域工人工资支付专用账户管理办法&gt;的通知》（粤人社规[2018]14号）文件精神，中标人必须设立工人工资支付专用账户，专门用于发放作业工人工资。</w:t>
      </w:r>
      <w:bookmarkStart w:id="375" w:name="_Hlt69698776"/>
    </w:p>
    <w:p w14:paraId="67FA367E">
      <w:pPr>
        <w:pStyle w:val="35"/>
        <w:ind w:firstLine="480" w:firstLineChars="200"/>
        <w:rPr>
          <w:rFonts w:hint="eastAsia" w:asciiTheme="minorEastAsia" w:hAnsiTheme="minorEastAsia" w:eastAsiaTheme="minorEastAsia" w:cstheme="minorEastAsia"/>
          <w:bCs/>
          <w:color w:val="000000" w:themeColor="text1"/>
          <w:highlight w:val="none"/>
          <w14:textFill>
            <w14:solidFill>
              <w14:schemeClr w14:val="tx1"/>
            </w14:solidFill>
          </w14:textFill>
        </w:rPr>
      </w:pPr>
      <w:r>
        <w:rPr>
          <w:rFonts w:hint="eastAsia" w:asciiTheme="minorEastAsia" w:hAnsiTheme="minorEastAsia" w:eastAsiaTheme="minorEastAsia" w:cstheme="minorEastAsia"/>
          <w:bCs/>
          <w:color w:val="000000" w:themeColor="text1"/>
          <w:highlight w:val="none"/>
          <w14:textFill>
            <w14:solidFill>
              <w14:schemeClr w14:val="tx1"/>
            </w14:solidFill>
          </w14:textFill>
        </w:rPr>
        <w:t>根据《韶关市建设领域施工企业工人工资支付保证金管理办法》（韶人社〔2017〕133号）文件规定，中标人中标后，应在30个日历天内按承包合同工程造价5%的比例（不超过300万元）一次性将工人工资保证金存入银行专用存款账户。逾期未交纳的，招标人将扣留与本项目工人工资保证金等额的工程款（工人工资除外），直至中标人按《韶关市建设领域施工企业工人工资支付保证金管理办法》相关文件要求缴纳工人工资保证金。在中标人未按要求缴纳工人工资保证金期间，招标人扣留的工程款将作为工人工资保证金的预备资金，招标人有权将该部分资金用于处理该项目工人工资拖欠等情况的问题。</w:t>
      </w:r>
    </w:p>
    <w:p w14:paraId="0ED1C48F">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3.34</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中标人在施工图设计前，要充分进行市场调查，主要材料、设备在满足设计规范及建设标准的情况下，尽量采用造价管理机构发布的信息价中有相应型号、规格的标准材料，若必须采用非标准材料的</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必须经招标人同意，否则参照信息价中相近且低于其标准的材料信息价作为该项材料的结算价。</w:t>
      </w:r>
    </w:p>
    <w:p w14:paraId="5993B0D3">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3.35</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中标人应按招标人提供的场地出平图先行进行场地平整。</w:t>
      </w:r>
    </w:p>
    <w:p w14:paraId="14A36D98">
      <w:pPr>
        <w:pStyle w:val="35"/>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3.36</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中标人必须根据设计施工图及现场编制施工组织设计及专项施工方案报有关部门审批。</w:t>
      </w:r>
    </w:p>
    <w:p w14:paraId="7109CA1F">
      <w:pPr>
        <w:pStyle w:val="55"/>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3.37危险性较大的分部分项工程安全管理约定</w:t>
      </w:r>
    </w:p>
    <w:p w14:paraId="559E5490">
      <w:pPr>
        <w:pStyle w:val="55"/>
        <w:wordWrap w:val="0"/>
        <w:adjustRightInd w:val="0"/>
        <w:snapToGrid w:val="0"/>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对危险性较大的工程必须按《危险性较大的分部分项工程安全管理规定》（中华人民共和国住房和城乡建设部令第37号）的规定编制专项施工方案。同时，中标人必须按照《危险性较大的分部分项工程安全管理规定》的规定和经审批的专项施工方案履行安全职责，严格执行国家、地方政府有关施工安全管理方面的法律、法规及规章制度，同时严格执行招标人制订的本项目安全生产管理方面的规章制度、安全检查程序及施工安全管理要求，以及监理人有关安全工作的指令。</w:t>
      </w:r>
    </w:p>
    <w:p w14:paraId="0560B31A">
      <w:pPr>
        <w:pStyle w:val="35"/>
        <w:ind w:firstLine="482" w:firstLineChars="200"/>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中标人应根据《危险性较大的分部分项工程安全管理规定》（住房城乡建设部令第37号）、《住房城乡建设部办公厅关于实施&lt;危险性较大的分部分项工程安全管理规定&gt;有关问题的通知》（建办质〔2018〕31号）、《广东省住房和城乡建设厅关于房屋市政工程危险性较大的分部分项工程安全管理的实施细则的通知》（粤建规范〔2019〕2号） 和《广东省安全生产委员会办公室 广东省住房和城乡建设厅关于&lt;严格落实危险性较大的分部分项工程“六不施工”要求的通知&gt;》（粤安办〔2020〕151 号）等有关危险性较大的分部分项工程的法规规定通知，履行建设工程安全生产管理职责。</w:t>
      </w:r>
    </w:p>
    <w:p w14:paraId="74EE28CF">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3.38</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中标人项目经理和主要管理人员的考勤实行实名制打卡，中标人项目经理和主要管理人员的考勤若发现有弄虚作假行为，发现一次，中标人应承担一般违约责任1次。</w:t>
      </w:r>
    </w:p>
    <w:p w14:paraId="4C86ED20">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 xml:space="preserve">39 </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本项目在建设过程中，中标人的设计及施工的质量安全等相关实施内容要按照业主单位、发包单位的相关管理规定和质量安全考核要求，随时接受业主单位、发包单位自行或委托的第三方的监督检查及考核，中标人必须无条件配合，如中标人不配合或未通过相关的监督检查及考核，中标人须接受业主单位、发包单位的相关管理规定和处罚，并承担相应的责任。</w:t>
      </w:r>
    </w:p>
    <w:p w14:paraId="5D301C72">
      <w:pPr>
        <w:pStyle w:val="35"/>
        <w:ind w:firstLine="482" w:firstLineChars="20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其他事项</w:t>
      </w:r>
    </w:p>
    <w:p w14:paraId="6462C9C9">
      <w:pPr>
        <w:spacing w:line="360" w:lineRule="auto"/>
        <w:ind w:firstLine="542" w:firstLineChars="225"/>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3.4</w:t>
      </w:r>
      <w:r>
        <w:rPr>
          <w:rFonts w:hint="eastAsia" w:asciiTheme="minorEastAsia" w:hAnsiTheme="minorEastAsia" w:eastAsiaTheme="minorEastAsia" w:cstheme="minorEastAsia"/>
          <w:b/>
          <w:color w:val="000000" w:themeColor="text1"/>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b/>
          <w:color w:val="000000" w:themeColor="text1"/>
          <w:highlight w:val="none"/>
          <w:shd w:val="clear" w:color="auto" w:fill="FFFFFF"/>
          <w14:textFill>
            <w14:solidFill>
              <w14:schemeClr w14:val="tx1"/>
            </w14:solidFill>
          </w14:textFill>
        </w:rPr>
        <w:t xml:space="preserve">.1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招标文件中涉及的合同实质性内容以及拟签合同的主要条款内容、中标须知、相关附件、格式内容等为中标后拟签合同实质性内容，在订立合同时不得擅自进行更改。</w:t>
      </w:r>
    </w:p>
    <w:p w14:paraId="4904C669">
      <w:pPr>
        <w:pStyle w:val="30"/>
        <w:spacing w:line="360" w:lineRule="auto"/>
        <w:ind w:firstLine="480"/>
        <w:jc w:val="left"/>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3.4</w:t>
      </w:r>
      <w:r>
        <w:rPr>
          <w:rFonts w:hint="eastAsia" w:asciiTheme="minorEastAsia" w:hAnsiTheme="minorEastAsia" w:eastAsiaTheme="minorEastAsia" w:cstheme="minorEastAsia"/>
          <w:color w:val="000000" w:themeColor="text1"/>
          <w:sz w:val="24"/>
          <w:highlight w:val="none"/>
          <w:shd w:val="clear" w:color="auto" w:fill="FFFFFF"/>
          <w:lang w:val="en-US" w:eastAsia="zh-CN"/>
          <w14:textFill>
            <w14:solidFill>
              <w14:schemeClr w14:val="tx1"/>
            </w14:solidFill>
          </w14:textFill>
        </w:rPr>
        <w:t>0</w:t>
      </w:r>
      <w:r>
        <w:rPr>
          <w:rFonts w:hint="eastAsia" w:asciiTheme="minorEastAsia" w:hAnsiTheme="minorEastAsia" w:eastAsiaTheme="minorEastAsia" w:cstheme="minorEastAsia"/>
          <w:color w:val="000000" w:themeColor="text1"/>
          <w:sz w:val="24"/>
          <w:highlight w:val="none"/>
          <w:shd w:val="clear" w:color="auto" w:fill="FFFFFF"/>
          <w14:textFill>
            <w14:solidFill>
              <w14:schemeClr w14:val="tx1"/>
            </w14:solidFill>
          </w14:textFill>
        </w:rPr>
        <w:t>.2</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中标人应按《关于印发&lt;</w:t>
      </w:r>
      <w:r>
        <w:rPr>
          <w:rFonts w:hint="eastAsia" w:asciiTheme="minorEastAsia" w:hAnsiTheme="minorEastAsia" w:eastAsiaTheme="minorEastAsia" w:cstheme="minorEastAsia"/>
          <w:b w:val="0"/>
          <w:snapToGrid w:val="0"/>
          <w:color w:val="000000" w:themeColor="text1"/>
          <w:kern w:val="0"/>
          <w:sz w:val="24"/>
          <w:highlight w:val="none"/>
          <w:lang w:eastAsia="zh-CN"/>
          <w14:textFill>
            <w14:solidFill>
              <w14:schemeClr w14:val="tx1"/>
            </w14:solidFill>
          </w14:textFill>
        </w:rPr>
        <w:t>始兴县</w:t>
      </w:r>
      <w:r>
        <w:rPr>
          <w:rFonts w:hint="eastAsia" w:asciiTheme="minorEastAsia" w:hAnsiTheme="minorEastAsia" w:eastAsiaTheme="minorEastAsia" w:cstheme="minorEastAsia"/>
          <w:b w:val="0"/>
          <w:snapToGrid w:val="0"/>
          <w:color w:val="000000" w:themeColor="text1"/>
          <w:kern w:val="0"/>
          <w:sz w:val="24"/>
          <w:highlight w:val="none"/>
          <w14:textFill>
            <w14:solidFill>
              <w14:schemeClr w14:val="tx1"/>
            </w14:solidFill>
          </w14:textFill>
        </w:rPr>
        <w:t>安全生产责任保险实施方案（2020-2021）年&gt;的通知》文件办理安全生产责任保险。</w:t>
      </w:r>
    </w:p>
    <w:p w14:paraId="555C4B97">
      <w:pPr>
        <w:pStyle w:val="35"/>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B54C4CB">
      <w:pPr>
        <w:pStyle w:val="36"/>
        <w:keepNext/>
        <w:keepLines/>
        <w:tabs>
          <w:tab w:val="left" w:pos="885"/>
        </w:tabs>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r>
        <w:rPr>
          <w:rFonts w:hint="eastAsia" w:asciiTheme="minorEastAsia" w:hAnsiTheme="minorEastAsia" w:eastAsiaTheme="minorEastAsia" w:cstheme="minorEastAsia"/>
          <w:b/>
          <w:color w:val="000000" w:themeColor="text1"/>
          <w:kern w:val="44"/>
          <w:sz w:val="24"/>
          <w:highlight w:val="none"/>
          <w14:textFill>
            <w14:solidFill>
              <w14:schemeClr w14:val="tx1"/>
            </w14:solidFill>
          </w14:textFill>
        </w:rPr>
        <w:br w:type="page"/>
      </w:r>
      <w:bookmarkStart w:id="376" w:name="_Toc18638"/>
      <w:bookmarkStart w:id="377" w:name="_Toc21424"/>
      <w:bookmarkStart w:id="378" w:name="_Toc27728"/>
      <w:bookmarkStart w:id="379" w:name="_Toc29153"/>
      <w:bookmarkStart w:id="380" w:name="_Toc28287"/>
      <w:bookmarkStart w:id="381" w:name="_Toc16575"/>
      <w:bookmarkStart w:id="382" w:name="_Toc20219"/>
      <w:bookmarkStart w:id="383" w:name="_Toc25756"/>
      <w:bookmarkStart w:id="384" w:name="_Toc24187"/>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第四</w:t>
      </w:r>
      <w:bookmarkStart w:id="385" w:name="_Hlt69669176"/>
      <w:bookmarkEnd w:id="385"/>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章</w:t>
      </w:r>
      <w:bookmarkStart w:id="386" w:name="_Hlt87793847"/>
      <w:bookmarkEnd w:id="386"/>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 投标人提交的其他材料</w:t>
      </w:r>
      <w:bookmarkEnd w:id="376"/>
      <w:bookmarkEnd w:id="377"/>
      <w:bookmarkEnd w:id="378"/>
      <w:bookmarkEnd w:id="379"/>
      <w:bookmarkEnd w:id="380"/>
      <w:bookmarkEnd w:id="381"/>
      <w:bookmarkEnd w:id="382"/>
      <w:bookmarkEnd w:id="383"/>
      <w:bookmarkEnd w:id="384"/>
    </w:p>
    <w:p w14:paraId="4A978215">
      <w:pPr>
        <w:pStyle w:val="35"/>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375"/>
    <w:p w14:paraId="19AA2CEA">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387" w:name="_Hlt66104911"/>
      <w:bookmarkEnd w:id="387"/>
      <w:bookmarkStart w:id="388" w:name="_Hlt66531751"/>
      <w:bookmarkEnd w:id="388"/>
      <w:bookmarkStart w:id="389" w:name="_Toc31172"/>
      <w:bookmarkStart w:id="390" w:name="_Toc24177"/>
      <w:bookmarkStart w:id="391" w:name="_Toc1109"/>
      <w:bookmarkStart w:id="392" w:name="_Toc5733"/>
      <w:bookmarkStart w:id="393" w:name="_Toc21505"/>
      <w:bookmarkStart w:id="394" w:name="_Toc18673"/>
      <w:bookmarkStart w:id="395" w:name="_Toc19932"/>
      <w:bookmarkStart w:id="396" w:name="_Toc5994"/>
      <w:bookmarkStart w:id="397" w:name="_Toc2897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w:t>
      </w:r>
      <w:bookmarkStart w:id="398" w:name="_Hlt69356768"/>
      <w:bookmarkEnd w:id="398"/>
      <w:bookmarkStart w:id="399" w:name="_Hlt66677316"/>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投标保证</w:t>
      </w:r>
      <w:bookmarkEnd w:id="389"/>
      <w:bookmarkEnd w:id="390"/>
      <w:bookmarkEnd w:id="391"/>
      <w:bookmarkEnd w:id="392"/>
      <w:bookmarkEnd w:id="393"/>
      <w:bookmarkEnd w:id="394"/>
      <w:bookmarkEnd w:id="395"/>
      <w:bookmarkEnd w:id="396"/>
      <w:bookmarkEnd w:id="397"/>
      <w:bookmarkEnd w:id="399"/>
    </w:p>
    <w:p w14:paraId="66682DF2">
      <w:pPr>
        <w:snapToGrid w:val="0"/>
        <w:spacing w:beforeLines="50" w:line="360" w:lineRule="auto"/>
        <w:ind w:firstLine="482"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1.1</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投标保证的形式包括投标保证金、投标保证担保、投标保证保险三种，由投标人自主选择。</w:t>
      </w:r>
    </w:p>
    <w:p w14:paraId="105C575E">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采用投标保证金的，投标人在建设工程交易系统获取招标文件完毕后，即可在系统申请缴纳投标保证金，获取本次招标投标保证金缴纳账号。投标人必须于投标保证金到账截止时间（见招标文件“重要事项时间地点一览表”）前，从其基本账户将投标保证金转账到指定的缴纳账号。逾期到账的、从非投标人基本账户转出的，其投标无效。</w:t>
      </w:r>
    </w:p>
    <w:p w14:paraId="7C7D7078">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采用投标保证担保的，投标人应提交有效的银行保函，银行保函的有效期不得短于投标有效期。投标人必须在投标保证担保截止时间（见本招标文件“重要事项时间地点一览表”）前，使用工程建设交易系统完成网上办理电子保函。</w:t>
      </w:r>
    </w:p>
    <w:p w14:paraId="7730A314">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3）采用投标保证保险的，投标人须在投标保证保险投保截止时间（见本招标文件“重要事项时间地点一览表”）前，使用建设工程交易系统完成网上投保。投标人可在系统选择保险机构、录入投保信息、支付保费、打印电子保单，电子保单的有效期不得短于投标有效期。投标人可登录全国公共资源交易平台（广东省·韶关市）（https://ygp.gdzwfw.gov.cn/ggzy-portal/#/440200/index），在【服务指南】栏目中下载《韶关市公共资源建设工程交易系统-投标人操作指南》，了解网上投保具体操作流程。逾期投保的，其投标无效。</w:t>
      </w:r>
    </w:p>
    <w:p w14:paraId="0D940964">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温馨提醒：投标人采用投标保证担保或投标保证保险的，为避免在评标过程中因有效期发生争议，建议投标人将银行保函或电子保单有效期设置为较招标文件规定的投标有效期延长不少于20个日历天。</w:t>
      </w:r>
    </w:p>
    <w:p w14:paraId="5D7C8DF6">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1.2</w:t>
      </w:r>
      <w:r>
        <w:rPr>
          <w:rFonts w:hint="eastAsia" w:asciiTheme="minorEastAsia" w:hAnsiTheme="minorEastAsia" w:eastAsiaTheme="minorEastAsia" w:cstheme="minorEastAsia"/>
          <w:color w:val="000000" w:themeColor="text1"/>
          <w:highlight w:val="none"/>
          <w14:textFill>
            <w14:solidFill>
              <w14:schemeClr w14:val="tx1"/>
            </w14:solidFill>
          </w14:textFill>
        </w:rPr>
        <w:t>投标人撤回已提交的投标文件，应当在投标截止时间前书面通知招标人。投标截止后投标人撤销投标文件的，招标人可以不退还投标保证。</w:t>
      </w:r>
    </w:p>
    <w:p w14:paraId="61CBA223">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1.3</w:t>
      </w:r>
      <w:r>
        <w:rPr>
          <w:rFonts w:hint="eastAsia" w:asciiTheme="minorEastAsia" w:hAnsiTheme="minorEastAsia" w:eastAsiaTheme="minorEastAsia" w:cstheme="minorEastAsia"/>
          <w:color w:val="000000" w:themeColor="text1"/>
          <w:highlight w:val="none"/>
          <w14:textFill>
            <w14:solidFill>
              <w14:schemeClr w14:val="tx1"/>
            </w14:solidFill>
          </w14:textFill>
        </w:rPr>
        <w:t>投标保证的退还方式：</w:t>
      </w:r>
    </w:p>
    <w:p w14:paraId="07FE1BBA">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1）中标候选人公示期满无异议（投诉）后，招标人确定第一中标候选人为中标人，并在中标人确定之日起7个工作日内向中标人发出中标通知书。在中标通知书发出后5个工作日内，韶关市公共资源交易中心将投标保证金（或银行保函）退还给中标候选人以外的投标人。</w:t>
      </w:r>
    </w:p>
    <w:p w14:paraId="6039B922">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highlight w:val="none"/>
          <w14:textFill>
            <w14:solidFill>
              <w14:schemeClr w14:val="tx1"/>
            </w14:solidFill>
          </w14:textFill>
        </w:rPr>
        <w:t>（2）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14:paraId="07ABFB0F">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1.4</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投标人中标后不与招标人依据招标文件要求签订工程合同的，由建设行政主管部门按规定处理其投标保证。</w:t>
      </w:r>
    </w:p>
    <w:p w14:paraId="1A2A67A8">
      <w:pPr>
        <w:pStyle w:val="56"/>
        <w:snapToGrid w:val="0"/>
        <w:ind w:firstLine="57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1.5</w:t>
      </w:r>
      <w:r>
        <w:rPr>
          <w:rFonts w:hint="eastAsia" w:asciiTheme="minorEastAsia" w:hAnsiTheme="minorEastAsia" w:eastAsiaTheme="minorEastAsia" w:cstheme="minorEastAsia"/>
          <w:color w:val="000000" w:themeColor="text1"/>
          <w:highlight w:val="none"/>
          <w14:textFill>
            <w14:solidFill>
              <w14:schemeClr w14:val="tx1"/>
            </w14:solidFill>
          </w14:textFill>
        </w:rPr>
        <w:t xml:space="preserve"> 组成联合体时由联合体牵头人缴纳投标保证。</w:t>
      </w:r>
    </w:p>
    <w:p w14:paraId="50807269">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00" w:name="_Hlt87792499"/>
      <w:bookmarkEnd w:id="400"/>
      <w:bookmarkStart w:id="401" w:name="_Hlt87793359"/>
      <w:bookmarkEnd w:id="401"/>
      <w:bookmarkStart w:id="402" w:name="_Toc20998"/>
      <w:bookmarkStart w:id="403" w:name="_Toc19536"/>
      <w:bookmarkStart w:id="404" w:name="_Toc2109"/>
      <w:bookmarkStart w:id="405" w:name="_Toc10164"/>
      <w:bookmarkStart w:id="406" w:name="_Toc23304"/>
      <w:bookmarkStart w:id="407" w:name="_Toc22441"/>
      <w:bookmarkStart w:id="408" w:name="_Toc3284"/>
      <w:bookmarkStart w:id="409" w:name="_Toc985"/>
      <w:bookmarkStart w:id="410" w:name="_Toc305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履约保证金</w:t>
      </w:r>
      <w:bookmarkEnd w:id="402"/>
      <w:bookmarkEnd w:id="403"/>
      <w:bookmarkEnd w:id="404"/>
      <w:bookmarkEnd w:id="405"/>
      <w:bookmarkEnd w:id="406"/>
      <w:bookmarkEnd w:id="407"/>
      <w:bookmarkEnd w:id="408"/>
      <w:bookmarkEnd w:id="409"/>
      <w:bookmarkEnd w:id="410"/>
    </w:p>
    <w:bookmarkEnd w:id="1"/>
    <w:p w14:paraId="5CCA0AD4">
      <w:pPr>
        <w:widowControl/>
        <w:wordWrap/>
        <w:adjustRightInd/>
        <w:snapToGrid/>
        <w:spacing w:line="360" w:lineRule="auto"/>
        <w:ind w:firstLine="482" w:firstLineChars="200"/>
        <w:jc w:val="left"/>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411" w:name="_Toc466640610"/>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2.1</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中标人须在领取中标通知书之日起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个工作日内、签订合同前向招标人提交金额为中标价</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5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的履约保证。</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联合体中标的，由联合体牵头人提交。同时招标人向中标人提供合同价</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5</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%的支付担保，并将工程款支付担保文书作为建设工程合同的组成部分(担保期限届至招标人支付除工程质量保修金以外的全部工程结算款项之日后</w:t>
      </w:r>
      <w:r>
        <w:rPr>
          <w:rFonts w:asciiTheme="minorEastAsia" w:hAnsiTheme="minorEastAsia" w:eastAsiaTheme="minorEastAsia" w:cstheme="minorEastAsia"/>
          <w:snapToGrid w:val="0"/>
          <w:color w:val="000000" w:themeColor="text1"/>
          <w:kern w:val="0"/>
          <w:szCs w:val="24"/>
          <w:highlight w:val="none"/>
          <w:u w:val="none"/>
          <w14:textFill>
            <w14:solidFill>
              <w14:schemeClr w14:val="tx1"/>
            </w14:solidFill>
          </w14:textFill>
        </w:rPr>
        <w:t>30</w:t>
      </w:r>
      <w:r>
        <w:rPr>
          <w:rFonts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天)。</w:t>
      </w:r>
    </w:p>
    <w:p w14:paraId="54F47084">
      <w:pPr>
        <w:widowControl/>
        <w:wordWrap/>
        <w:adjustRightInd/>
        <w:snapToGrid/>
        <w:spacing w:line="360" w:lineRule="auto"/>
        <w:ind w:firstLine="480" w:firstLineChars="2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lang w:val="en-US" w:eastAsia="zh-CN" w:bidi="ar"/>
          <w14:textFill>
            <w14:solidFill>
              <w14:schemeClr w14:val="tx1"/>
            </w14:solidFill>
          </w14:textFill>
        </w:rPr>
        <w:t>注：</w:t>
      </w:r>
      <w:r>
        <w:rPr>
          <w:rFonts w:hint="eastAsia" w:asciiTheme="minorEastAsia" w:hAnsiTheme="minorEastAsia" w:eastAsiaTheme="minorEastAsia" w:cstheme="minorEastAsia"/>
          <w:i w:val="0"/>
          <w:iCs w:val="0"/>
          <w:snapToGrid w:val="0"/>
          <w:color w:val="000000" w:themeColor="text1"/>
          <w:kern w:val="0"/>
          <w:sz w:val="24"/>
          <w:szCs w:val="24"/>
          <w:highlight w:val="none"/>
          <w:lang w:val="en-US" w:eastAsia="zh-CN" w:bidi="ar"/>
          <w14:textFill>
            <w14:solidFill>
              <w14:schemeClr w14:val="tx1"/>
            </w14:solidFill>
          </w14:textFill>
        </w:rPr>
        <w:t>根据《保障农民工工资支付条例》，发包人必须落实工程款支付担保制度， 需有项目预付款。 2017 年 2 月，国务院出台《关于促进建筑业持续健康发展的意见》， 要求“严格执行工程预付款制度，及时按合同约定足额向承包单位支付预付款。通过工 程款支付担保等经济、法律手段约束建设单位履约行为，预防拖欠工程款。”</w:t>
      </w:r>
    </w:p>
    <w:p w14:paraId="4A5FE97F">
      <w:pPr>
        <w:wordWrap w:val="0"/>
        <w:adjustRightInd w:val="0"/>
        <w:snapToGrid w:val="0"/>
        <w:spacing w:line="360" w:lineRule="auto"/>
        <w:ind w:firstLine="562"/>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2.2</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中标人根据《关于统一在市公共资源交易一体化服务平台缴退工程建设项目履约保证金的通知》办理相关手续，履约保证的形式包括履约保证金、履约保证担保、履约保证保险三种，由中标人自主选择。商业保函、银行保函或保险合同（或保险单）的有效期应当自合同生效之日起至项目通过竣工验收之日后</w:t>
      </w:r>
      <w:r>
        <w:rPr>
          <w:rFonts w:hint="eastAsia" w:asciiTheme="minorEastAsia" w:hAnsiTheme="minorEastAsia" w:eastAsiaTheme="minorEastAsia" w:cstheme="minorEastAsia"/>
          <w:snapToGrid w:val="0"/>
          <w:color w:val="000000" w:themeColor="text1"/>
          <w:kern w:val="0"/>
          <w:szCs w:val="24"/>
          <w:highlight w:val="none"/>
          <w:u w:val="none"/>
          <w:lang w:bidi="ar"/>
          <w14:textFill>
            <w14:solidFill>
              <w14:schemeClr w14:val="tx1"/>
            </w14:solidFill>
          </w14:textFill>
        </w:rPr>
        <w:t>28</w:t>
      </w:r>
      <w:r>
        <w:rPr>
          <w:rFonts w:asciiTheme="minorEastAsia" w:hAnsiTheme="minorEastAsia" w:eastAsiaTheme="minorEastAsia" w:cstheme="minorEastAsia"/>
          <w:snapToGrid w:val="0"/>
          <w:color w:val="000000" w:themeColor="text1"/>
          <w:kern w:val="0"/>
          <w:szCs w:val="24"/>
          <w:highlight w:val="none"/>
          <w:lang w:bidi="ar"/>
          <w14:textFill>
            <w14:solidFill>
              <w14:schemeClr w14:val="tx1"/>
            </w14:solidFill>
          </w14:textFill>
        </w:rPr>
        <w:t>天止。</w:t>
      </w:r>
    </w:p>
    <w:p w14:paraId="66EBDFAF">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2.3</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14:paraId="3ACC46F5">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2.4</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在工程实施过程中，如果中标人（即招标阶段的中标人，下同）由于自身的资金、技术、质量、非不可抗力等原因给招标人（即招标阶段的招标人，下同）造成经济损失，扣除相应履约保证。</w:t>
      </w:r>
    </w:p>
    <w:p w14:paraId="643EEAB2">
      <w:pPr>
        <w:wordWrap w:val="0"/>
        <w:adjustRightInd w:val="0"/>
        <w:snapToGrid w:val="0"/>
        <w:spacing w:line="360" w:lineRule="auto"/>
        <w:ind w:firstLine="482"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2.5</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项目通过竣工验收之日后28天内，招标人将履约保证</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或全部履约保证金（不计算利息）</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退还给中标人。</w:t>
      </w:r>
    </w:p>
    <w:p w14:paraId="66F39DBB">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12" w:name="_Toc464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szCs w:val="24"/>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质量保证</w:t>
      </w:r>
      <w:bookmarkEnd w:id="412"/>
    </w:p>
    <w:p w14:paraId="79F6FD7D">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本工程缺陷责任期为</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1</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年（自通过竣工验收之日起计），在此期间预留金额为结算价</w:t>
      </w:r>
      <w:r>
        <w:rPr>
          <w:rFonts w:hint="eastAsia" w:asciiTheme="minorEastAsia" w:hAnsiTheme="minorEastAsia" w:eastAsiaTheme="minorEastAsia" w:cstheme="minorEastAsia"/>
          <w:bCs/>
          <w:snapToGrid w:val="0"/>
          <w:color w:val="000000" w:themeColor="text1"/>
          <w:kern w:val="0"/>
          <w:szCs w:val="24"/>
          <w:highlight w:val="none"/>
          <w:u w:val="single"/>
          <w14:textFill>
            <w14:solidFill>
              <w14:schemeClr w14:val="tx1"/>
            </w14:solidFill>
          </w14:textFill>
        </w:rPr>
        <w:t>3%</w:t>
      </w:r>
      <w:r>
        <w:rPr>
          <w:rFonts w:hint="eastAsia" w:asciiTheme="minorEastAsia" w:hAnsiTheme="minorEastAsia" w:eastAsiaTheme="minorEastAsia" w:cstheme="minorEastAsia"/>
          <w:bCs/>
          <w:snapToGrid w:val="0"/>
          <w:color w:val="000000" w:themeColor="text1"/>
          <w:kern w:val="0"/>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的质量保证。</w:t>
      </w:r>
    </w:p>
    <w:p w14:paraId="0827A14A">
      <w:pPr>
        <w:wordWrap w:val="0"/>
        <w:adjustRightInd w:val="0"/>
        <w:snapToGrid w:val="0"/>
        <w:spacing w:line="360" w:lineRule="auto"/>
        <w:ind w:firstLine="56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3.2</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质量保证的形式包括质量保证金、质量保证担保、质量保证保险三种，由中标人自主选择。</w:t>
      </w:r>
    </w:p>
    <w:p w14:paraId="1B90E0A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（1）采用质量保证金形式的，在结清审定总造价时一次性扣留相应金额作为质量保证金。</w:t>
      </w:r>
    </w:p>
    <w:p w14:paraId="5899375C">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（2）采用质量保证担保或质量保证保险的，中标人应在竣工验收时向招标人提交有效的银行保函原件或保险合同原件（或保险单），银行保函或保险合同原件（或保险单）的有效期不得短于缺陷责任期。</w:t>
      </w:r>
    </w:p>
    <w:p w14:paraId="2A806795">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3.3</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由中标人原因造成的缺陷，中标人应负责维修，并承担鉴定及维修费用。如果中标人不维修也不承担费用，招标人可按合同约定从质量保证中扣除，维修费用超出保证金额的，招标人可按合同约定向中标人进行索赔。中标人维修并承担相应费用后，不免除对工程的损失赔偿责任。</w:t>
      </w:r>
    </w:p>
    <w:p w14:paraId="18324B43">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由他人原因造成的缺陷，招标人负责组织维修，中标人不承担费用，且招标人不得从质量保证中扣除费用。</w:t>
      </w:r>
    </w:p>
    <w:p w14:paraId="7148BBA8">
      <w:pPr>
        <w:wordWrap w:val="0"/>
        <w:adjustRightInd w:val="0"/>
        <w:snapToGrid w:val="0"/>
        <w:spacing w:line="360" w:lineRule="auto"/>
        <w:ind w:firstLine="561"/>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t>3.4</w:t>
      </w: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 xml:space="preserve"> 缺陷责任期内，中标人应认真履行合同约定的责任。缺陷责任期到期后，中标人向招标人申请退还质量保证，招标人应按照《建设工程质量保证金管理办法》有关规定将质量保证退还给中标人（不计息）。</w:t>
      </w:r>
    </w:p>
    <w:p w14:paraId="0859BDA5">
      <w:pP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br w:type="page"/>
      </w:r>
    </w:p>
    <w:p w14:paraId="42439C0F">
      <w:pPr>
        <w:pStyle w:val="2"/>
        <w:rPr>
          <w:rFonts w:hint="eastAsia"/>
          <w:color w:val="000000" w:themeColor="text1"/>
          <w:highlight w:val="none"/>
          <w14:textFill>
            <w14:solidFill>
              <w14:schemeClr w14:val="tx1"/>
            </w14:solidFill>
          </w14:textFill>
        </w:rPr>
      </w:pPr>
    </w:p>
    <w:p w14:paraId="067FC25D">
      <w:pPr>
        <w:pStyle w:val="36"/>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13" w:name="_Toc29236"/>
      <w:bookmarkStart w:id="414" w:name="_Toc16873"/>
      <w:bookmarkStart w:id="415" w:name="_Toc26916"/>
      <w:bookmarkStart w:id="416" w:name="_Toc17661"/>
      <w:bookmarkStart w:id="417" w:name="_Toc28371"/>
      <w:bookmarkStart w:id="418" w:name="_Toc25046"/>
      <w:bookmarkStart w:id="419" w:name="_Toc12936"/>
      <w:bookmarkStart w:id="420" w:name="_Toc4262"/>
      <w:bookmarkStart w:id="421" w:name="_Toc22105"/>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第五章 招标工程的技术要求和前期文件</w:t>
      </w:r>
      <w:bookmarkEnd w:id="411"/>
      <w:bookmarkEnd w:id="413"/>
      <w:bookmarkEnd w:id="414"/>
      <w:bookmarkEnd w:id="415"/>
      <w:bookmarkEnd w:id="416"/>
      <w:bookmarkEnd w:id="417"/>
      <w:bookmarkEnd w:id="418"/>
      <w:bookmarkEnd w:id="419"/>
      <w:bookmarkEnd w:id="420"/>
      <w:bookmarkEnd w:id="421"/>
    </w:p>
    <w:p w14:paraId="1EE2FAAA">
      <w:pPr>
        <w:pStyle w:val="4"/>
        <w:spacing w:line="360" w:lineRule="auto"/>
        <w:ind w:firstLine="241" w:firstLineChars="100"/>
        <w:outlineLvl w:val="1"/>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422" w:name="_Hlt87793346"/>
      <w:bookmarkEnd w:id="422"/>
      <w:bookmarkStart w:id="423" w:name="_Hlt87793370"/>
      <w:bookmarkEnd w:id="423"/>
      <w:bookmarkStart w:id="424" w:name="_Hlt68774758"/>
      <w:bookmarkEnd w:id="424"/>
      <w:bookmarkStart w:id="425" w:name="_Hlt75685840"/>
      <w:bookmarkEnd w:id="425"/>
      <w:bookmarkStart w:id="426" w:name="_Hlt69359335"/>
      <w:bookmarkEnd w:id="426"/>
      <w:bookmarkStart w:id="427" w:name="_Hlt80411122"/>
      <w:bookmarkEnd w:id="427"/>
      <w:bookmarkStart w:id="428" w:name="_Hlt69357851"/>
      <w:bookmarkEnd w:id="428"/>
      <w:bookmarkStart w:id="429" w:name="_Hlt69116854"/>
      <w:bookmarkEnd w:id="429"/>
      <w:bookmarkStart w:id="430" w:name="_Hlt69265216"/>
      <w:bookmarkEnd w:id="430"/>
      <w:bookmarkStart w:id="431" w:name="_Hlt66104926"/>
      <w:bookmarkEnd w:id="431"/>
      <w:bookmarkStart w:id="432" w:name="_Hlt69358207"/>
      <w:bookmarkEnd w:id="432"/>
      <w:bookmarkStart w:id="433" w:name="_Toc1436"/>
      <w:bookmarkStart w:id="434" w:name="_Toc8935"/>
      <w:bookmarkStart w:id="435" w:name="_Toc7837"/>
      <w:bookmarkStart w:id="436" w:name="_Toc1173"/>
      <w:bookmarkStart w:id="437" w:name="_Toc466640611"/>
      <w:bookmarkStart w:id="438" w:name="_Toc25463"/>
      <w:bookmarkStart w:id="439" w:name="_Toc5215"/>
      <w:bookmarkStart w:id="440" w:name="_Toc21545"/>
      <w:bookmarkStart w:id="441" w:name="_Toc31511"/>
    </w:p>
    <w:p w14:paraId="50BE59D3">
      <w:pPr>
        <w:pStyle w:val="4"/>
        <w:spacing w:line="360" w:lineRule="auto"/>
        <w:ind w:firstLine="241" w:firstLineChars="100"/>
        <w:outlineLvl w:val="1"/>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442" w:name="_Toc30995"/>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工程的技术要求</w:t>
      </w:r>
      <w:bookmarkEnd w:id="433"/>
      <w:bookmarkEnd w:id="434"/>
      <w:bookmarkEnd w:id="435"/>
      <w:bookmarkEnd w:id="436"/>
      <w:bookmarkEnd w:id="437"/>
      <w:bookmarkEnd w:id="438"/>
      <w:bookmarkEnd w:id="439"/>
      <w:bookmarkEnd w:id="440"/>
      <w:bookmarkEnd w:id="441"/>
      <w:bookmarkEnd w:id="442"/>
    </w:p>
    <w:p w14:paraId="56F7A36D">
      <w:pPr>
        <w:widowControl/>
        <w:spacing w:line="360" w:lineRule="auto"/>
        <w:ind w:firstLine="241" w:firstLineChars="100"/>
        <w:jc w:val="left"/>
        <w:rPr>
          <w:rFonts w:hint="eastAsia" w:asciiTheme="minorEastAsia" w:hAnsiTheme="minorEastAsia" w:eastAsiaTheme="minorEastAsia" w:cstheme="minorEastAsia"/>
          <w:b/>
          <w:bCs/>
          <w:color w:val="000000" w:themeColor="text1"/>
          <w:highlight w:val="none"/>
          <w14:textFill>
            <w14:solidFill>
              <w14:schemeClr w14:val="tx1"/>
            </w14:solidFill>
          </w14:textFill>
        </w:rPr>
      </w:pPr>
      <w:r>
        <w:rPr>
          <w:rFonts w:hint="eastAsia" w:asciiTheme="minorEastAsia" w:hAnsiTheme="minorEastAsia" w:eastAsiaTheme="minorEastAsia" w:cstheme="minorEastAsia"/>
          <w:b/>
          <w:bCs/>
          <w:color w:val="000000" w:themeColor="text1"/>
          <w:highlight w:val="none"/>
          <w14:textFill>
            <w14:solidFill>
              <w14:schemeClr w14:val="tx1"/>
            </w14:solidFill>
          </w14:textFill>
        </w:rPr>
        <w:t>1.1.本工程必须达到且不限于以下规范的要求：</w:t>
      </w:r>
    </w:p>
    <w:p w14:paraId="6B2EAC5D">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bookmarkStart w:id="443" w:name="_Hlt69359086"/>
      <w:bookmarkEnd w:id="443"/>
      <w:bookmarkStart w:id="444" w:name="_Hlt69116858"/>
      <w:bookmarkEnd w:id="444"/>
      <w:bookmarkStart w:id="445" w:name="_Hlt69359245"/>
      <w:bookmarkEnd w:id="445"/>
      <w:bookmarkStart w:id="446" w:name="_Hlt69359243"/>
      <w:bookmarkEnd w:id="446"/>
      <w:bookmarkStart w:id="447" w:name="_Hlt69635252"/>
      <w:bookmarkEnd w:id="447"/>
      <w:bookmarkStart w:id="448" w:name="_Hlt69358458"/>
      <w:bookmarkEnd w:id="448"/>
      <w:bookmarkStart w:id="449" w:name="_Hlt78709799"/>
      <w:bookmarkEnd w:id="449"/>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1）《建筑工程施工质量验收统一标准》（GB50300-2013）；</w:t>
      </w:r>
    </w:p>
    <w:p w14:paraId="6AE950D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2）《建筑装饰装修工程质量验收规范》（GB50210-2018）；</w:t>
      </w:r>
    </w:p>
    <w:p w14:paraId="4F286E4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3）《建筑照明设计标准》（GB50034-2013）；</w:t>
      </w:r>
    </w:p>
    <w:p w14:paraId="58B2E906">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4）《建筑设计防火规范》（GB50016-2014）；</w:t>
      </w:r>
    </w:p>
    <w:p w14:paraId="1BBBF06E">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5）《屋面工程技术规范》（GB50345-2012）；</w:t>
      </w:r>
    </w:p>
    <w:p w14:paraId="78305BD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6）《建筑地面设计规范》（GB50037-2013）；</w:t>
      </w:r>
    </w:p>
    <w:p w14:paraId="1A2A490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7）《公共建筑节能设计标准》（GB50189-2015）；</w:t>
      </w:r>
    </w:p>
    <w:p w14:paraId="4BD4D23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8）《无障碍设计规范》（GB50763-2012）；</w:t>
      </w:r>
    </w:p>
    <w:p w14:paraId="6321B7CC">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9）《屋面工程质量验收规范》（GB50207-2012）；</w:t>
      </w:r>
    </w:p>
    <w:p w14:paraId="731D78A0">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10）《城市绿化工程施工及验收规范》；</w:t>
      </w:r>
    </w:p>
    <w:p w14:paraId="128A1E2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11）《给水排水构筑物施 工及验收规范》GB 50141-2008</w:t>
      </w:r>
    </w:p>
    <w:p w14:paraId="26FFE9D7">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12）《建筑给水排水设计规范》（GB50015-2019）；</w:t>
      </w:r>
    </w:p>
    <w:p w14:paraId="5F97FA0D">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13）《室外给水设计规范》（GB50013-2018）；</w:t>
      </w:r>
    </w:p>
    <w:p w14:paraId="251BA0E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14）《低压配电设计规范》（GB50054-2011）；</w:t>
      </w:r>
    </w:p>
    <w:p w14:paraId="4C853FE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15）《建筑采光设计标准》（GB50033-2013）；</w:t>
      </w:r>
    </w:p>
    <w:p w14:paraId="271DA582">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16）《建筑工程设计文件编制深度规定》（建设部2016年版）；</w:t>
      </w:r>
    </w:p>
    <w:p w14:paraId="787F8A9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17）《公共文化体育设施条例》；</w:t>
      </w:r>
    </w:p>
    <w:p w14:paraId="5BCC20C3">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18）《建筑地面设计规范》；</w:t>
      </w:r>
    </w:p>
    <w:p w14:paraId="14F658F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19）《市政道路工程质量检验评定标准》；</w:t>
      </w:r>
    </w:p>
    <w:p w14:paraId="70225D68">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20）《城市工程管线综合规划规范》；</w:t>
      </w:r>
    </w:p>
    <w:p w14:paraId="48404635">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21）《建筑抗震设计规范》（GB50011-2010）（2016 年修订版）；</w:t>
      </w:r>
    </w:p>
    <w:p w14:paraId="1557CC5D">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22）《城市道路路基工程施工及验收规范》；</w:t>
      </w:r>
    </w:p>
    <w:p w14:paraId="7E583A75">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23）《韶关市城市规划管理技术规定（2015 年版）》；</w:t>
      </w:r>
    </w:p>
    <w:p w14:paraId="0E2862EE">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24）《室外排水设计标准》GB 50014-2021；</w:t>
      </w:r>
    </w:p>
    <w:p w14:paraId="39881DAA">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25）《室外给水设计标准》GB 50013-2018；</w:t>
      </w:r>
    </w:p>
    <w:p w14:paraId="211FA9A6">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26）《建筑给水排水设计标准》GB 50015-2019；</w:t>
      </w:r>
    </w:p>
    <w:p w14:paraId="7746F821">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27）《城市排水工程规划规范》GB 50318-2017；</w:t>
      </w:r>
    </w:p>
    <w:p w14:paraId="6C6A7778">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28）《城市给水工程规划规范》GB 50282-2016；</w:t>
      </w:r>
    </w:p>
    <w:p w14:paraId="290CE8BF">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29）《城镇给水排水技术规范》GB 50788-2012；</w:t>
      </w:r>
    </w:p>
    <w:p w14:paraId="26E3AC5C">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30）《镇（乡）村排水工程技术规程》CJJ 124-2008；</w:t>
      </w:r>
    </w:p>
    <w:p w14:paraId="2A657194">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31）《混凝土和钢筋混凝土排水管》GB/T 11836-2009；</w:t>
      </w:r>
    </w:p>
    <w:p w14:paraId="520EFA79">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32）《给水排水工程构筑物结构设计规范》GB 50069-2002；</w:t>
      </w:r>
    </w:p>
    <w:p w14:paraId="542D8FAC">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33）《给水排水 管道工程施工及验收规范》GB 50268-2008；</w:t>
      </w:r>
    </w:p>
    <w:p w14:paraId="4A11A3E3">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34）其他现行国家、广东省关于房建、市政工程的施工及验收规范、规程、标准。</w:t>
      </w:r>
    </w:p>
    <w:p w14:paraId="2C7BB60F">
      <w:pPr>
        <w:wordWrap w:val="0"/>
        <w:adjustRightInd w:val="0"/>
        <w:snapToGrid w:val="0"/>
        <w:spacing w:line="440" w:lineRule="exact"/>
        <w:ind w:left="420"/>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snapToGrid w:val="0"/>
          <w:color w:val="000000" w:themeColor="text1"/>
          <w:kern w:val="0"/>
          <w:szCs w:val="24"/>
          <w:highlight w:val="none"/>
          <w14:textFill>
            <w14:solidFill>
              <w14:schemeClr w14:val="tx1"/>
            </w14:solidFill>
          </w14:textFill>
        </w:rPr>
        <w:t>35）符合国家及地方现行的设计标准及规范，符合本项目的可研研究报告的要求。</w:t>
      </w:r>
    </w:p>
    <w:p w14:paraId="20A3100E">
      <w:pPr>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p>
    <w:p w14:paraId="6F7C93CA">
      <w:pPr>
        <w:spacing w:line="360" w:lineRule="auto"/>
        <w:ind w:firstLine="482" w:firstLineChars="200"/>
        <w:rPr>
          <w:rFonts w:hint="eastAsia" w:asciiTheme="minorEastAsia" w:hAnsiTheme="minorEastAsia" w:eastAsiaTheme="minorEastAsia" w:cstheme="minorEastAsia"/>
          <w:b/>
          <w:color w:val="000000" w:themeColor="text1"/>
          <w:highlight w:val="none"/>
          <w14:textFill>
            <w14:solidFill>
              <w14:schemeClr w14:val="tx1"/>
            </w14:solidFill>
          </w14:textFill>
        </w:rPr>
      </w:pPr>
      <w:r>
        <w:rPr>
          <w:rFonts w:hint="eastAsia" w:asciiTheme="minorEastAsia" w:hAnsiTheme="minorEastAsia" w:eastAsiaTheme="minorEastAsia" w:cstheme="minorEastAsia"/>
          <w:b/>
          <w:color w:val="000000" w:themeColor="text1"/>
          <w:highlight w:val="none"/>
          <w14:textFill>
            <w14:solidFill>
              <w14:schemeClr w14:val="tx1"/>
            </w14:solidFill>
          </w14:textFill>
        </w:rPr>
        <w:t>注：以上规范或规定如有更新，则以更新后的规范及规定为准。</w:t>
      </w:r>
    </w:p>
    <w:p w14:paraId="42E3DED4">
      <w:pPr>
        <w:spacing w:line="360" w:lineRule="auto"/>
        <w:rPr>
          <w:rFonts w:hint="eastAsia" w:asciiTheme="minorEastAsia" w:hAnsiTheme="minorEastAsia" w:eastAsiaTheme="minorEastAsia" w:cstheme="minorEastAsia"/>
          <w:b/>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1.2、中标人必须在施工现场准备至少一套上述规范，招标人和监理单位可随时检查中标人的上述规范，并监督中标人按规范要求执行。</w:t>
      </w:r>
      <w:bookmarkStart w:id="450" w:name="_Toc466640612"/>
    </w:p>
    <w:p w14:paraId="31099066">
      <w:pPr>
        <w:spacing w:line="360" w:lineRule="auto"/>
        <w:outlineLvl w:val="9"/>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p>
    <w:p w14:paraId="092099C9">
      <w:pPr>
        <w:pStyle w:val="4"/>
        <w:spacing w:line="360" w:lineRule="auto"/>
        <w:outlineLvl w:val="1"/>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451" w:name="_Toc2810"/>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2</w:t>
      </w:r>
      <w:bookmarkStart w:id="452" w:name="_Hlt69670335"/>
      <w:bookmarkEnd w:id="452"/>
      <w:r>
        <w:rPr>
          <w:rFonts w:hint="eastAsia" w:asciiTheme="minorEastAsia" w:hAnsiTheme="minorEastAsia" w:eastAsiaTheme="minorEastAsia" w:cstheme="minorEastAsia"/>
          <w:b/>
          <w:bCs/>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招标工程的项目前期资料</w:t>
      </w:r>
      <w:bookmarkEnd w:id="450"/>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（另附）</w:t>
      </w:r>
      <w:bookmarkEnd w:id="451"/>
    </w:p>
    <w:p w14:paraId="7279FD93">
      <w:pPr>
        <w:spacing w:line="440" w:lineRule="exact"/>
        <w:ind w:firstLine="480" w:firstLineChars="200"/>
        <w:rPr>
          <w:rFonts w:hint="eastAsia" w:asciiTheme="minorEastAsia" w:hAnsiTheme="minorEastAsia" w:eastAsiaTheme="minorEastAsia" w:cstheme="minorEastAsia"/>
          <w:b w:val="0"/>
          <w:bCs/>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b w:val="0"/>
          <w:bCs/>
          <w:snapToGrid w:val="0"/>
          <w:color w:val="000000" w:themeColor="text1"/>
          <w:kern w:val="0"/>
          <w:szCs w:val="24"/>
          <w:highlight w:val="none"/>
          <w:lang w:val="en-US" w:eastAsia="zh-CN"/>
          <w14:textFill>
            <w14:solidFill>
              <w14:schemeClr w14:val="tx1"/>
            </w14:solidFill>
          </w14:textFill>
        </w:rPr>
        <w:t>2.1设计任务书</w:t>
      </w:r>
      <w:r>
        <w:rPr>
          <w:rFonts w:hint="eastAsia" w:asciiTheme="minorEastAsia" w:hAnsiTheme="minorEastAsia" w:eastAsiaTheme="minorEastAsia" w:cstheme="minorEastAsia"/>
          <w:b w:val="0"/>
          <w:bCs/>
          <w:snapToGrid w:val="0"/>
          <w:color w:val="000000" w:themeColor="text1"/>
          <w:kern w:val="0"/>
          <w:szCs w:val="24"/>
          <w:highlight w:val="none"/>
          <w14:textFill>
            <w14:solidFill>
              <w14:schemeClr w14:val="tx1"/>
            </w14:solidFill>
          </w14:textFill>
        </w:rPr>
        <w:t>。</w:t>
      </w:r>
    </w:p>
    <w:p w14:paraId="0C9B723D">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0C6A9D4">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22877B3">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30BA187D">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571BB2CD">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8244031">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FA93A87">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BE3A37">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7B78315">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0A241A6">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168E25D4">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6D4F622D">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05F1A1F6">
      <w:pPr>
        <w:pStyle w:val="6"/>
        <w:spacing w:line="360" w:lineRule="auto"/>
        <w:ind w:firstLine="480" w:firstLineChars="200"/>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p>
    <w:p w14:paraId="7E591EE9">
      <w:pPr>
        <w:rPr>
          <w:rFonts w:hint="eastAsia"/>
          <w:color w:val="000000" w:themeColor="text1"/>
          <w:highlight w:val="none"/>
          <w14:textFill>
            <w14:solidFill>
              <w14:schemeClr w14:val="tx1"/>
            </w14:solidFill>
          </w14:textFill>
        </w:rPr>
      </w:pPr>
      <w:bookmarkStart w:id="453" w:name="_Toc6133"/>
      <w:bookmarkStart w:id="454" w:name="_Toc5639"/>
      <w:bookmarkStart w:id="455" w:name="_Toc27843"/>
      <w:bookmarkStart w:id="456" w:name="_Toc12955"/>
      <w:bookmarkStart w:id="457" w:name="_Toc16295"/>
      <w:bookmarkStart w:id="458" w:name="_Toc466640614"/>
      <w:bookmarkStart w:id="459" w:name="_Toc1911"/>
      <w:bookmarkStart w:id="460" w:name="_Toc23899"/>
      <w:bookmarkStart w:id="461" w:name="_Toc5422"/>
      <w:bookmarkStart w:id="462" w:name="_Hlt69698785"/>
    </w:p>
    <w:p w14:paraId="2F59520C">
      <w:pPr>
        <w:rPr>
          <w:rFonts w:hint="eastAsia"/>
          <w:color w:val="000000" w:themeColor="text1"/>
          <w:highlight w:val="none"/>
          <w14:textFill>
            <w14:solidFill>
              <w14:schemeClr w14:val="tx1"/>
            </w14:solidFill>
          </w14:textFill>
        </w:rPr>
      </w:pPr>
    </w:p>
    <w:bookmarkEnd w:id="453"/>
    <w:bookmarkEnd w:id="454"/>
    <w:bookmarkEnd w:id="455"/>
    <w:bookmarkEnd w:id="456"/>
    <w:bookmarkEnd w:id="457"/>
    <w:bookmarkEnd w:id="458"/>
    <w:bookmarkEnd w:id="459"/>
    <w:bookmarkEnd w:id="460"/>
    <w:bookmarkEnd w:id="461"/>
    <w:p w14:paraId="0BAE96FA">
      <w:pPr>
        <w:pStyle w:val="36"/>
        <w:keepNext/>
        <w:keepLines/>
        <w:tabs>
          <w:tab w:val="left" w:pos="885"/>
        </w:tabs>
        <w:spacing w:line="240" w:lineRule="auto"/>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463" w:name="_Toc20034"/>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 xml:space="preserve">第六章  </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招标文件</w:t>
      </w:r>
      <w:bookmarkStart w:id="464" w:name="_Hlt75747044"/>
      <w:bookmarkEnd w:id="464"/>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的附件</w:t>
      </w:r>
      <w:bookmarkEnd w:id="463"/>
    </w:p>
    <w:p w14:paraId="4A3E66F5">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62"/>
    <w:p w14:paraId="695B4F72">
      <w:pPr>
        <w:pStyle w:val="4"/>
        <w:spacing w:before="120"/>
        <w:jc w:val="left"/>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pPr>
      <w:bookmarkStart w:id="465" w:name="_附件四：工期承诺书"/>
      <w:bookmarkEnd w:id="465"/>
      <w:bookmarkStart w:id="466" w:name="_附件二：近三年度主要施工项目（竣工及在建）一览表"/>
      <w:bookmarkEnd w:id="466"/>
      <w:bookmarkStart w:id="467" w:name="_附件一：对招标文件条款自愿接受承诺书"/>
      <w:bookmarkEnd w:id="467"/>
      <w:bookmarkStart w:id="468" w:name="_附件一：投标函"/>
      <w:bookmarkEnd w:id="468"/>
      <w:bookmarkStart w:id="469" w:name="_附件五：综合评审合理低价法"/>
      <w:bookmarkEnd w:id="469"/>
      <w:bookmarkStart w:id="470" w:name="_附件二：工期承诺书"/>
      <w:bookmarkEnd w:id="470"/>
      <w:bookmarkStart w:id="471" w:name="_Toc14495"/>
      <w:bookmarkStart w:id="472" w:name="_Toc12527"/>
      <w:bookmarkStart w:id="473" w:name="_Toc3855"/>
      <w:bookmarkStart w:id="474" w:name="_Toc39136360"/>
      <w:bookmarkStart w:id="475" w:name="_Toc12406"/>
      <w:bookmarkStart w:id="476" w:name="_Toc2902"/>
      <w:bookmarkStart w:id="477" w:name="_Toc133160683"/>
      <w:bookmarkStart w:id="478" w:name="_Toc137444778"/>
      <w:bookmarkStart w:id="479" w:name="_Toc142468134"/>
      <w:bookmarkStart w:id="480" w:name="_Toc132687128"/>
      <w:bookmarkStart w:id="481" w:name="_Toc78794873"/>
      <w:bookmarkStart w:id="482" w:name="_Toc133815902"/>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格式一 封面</w:t>
      </w:r>
      <w:bookmarkEnd w:id="471"/>
      <w:bookmarkEnd w:id="472"/>
      <w:bookmarkEnd w:id="473"/>
      <w:bookmarkEnd w:id="474"/>
      <w:bookmarkEnd w:id="475"/>
      <w:bookmarkEnd w:id="476"/>
    </w:p>
    <w:p w14:paraId="38EBFF1A">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60F35822">
      <w:pPr>
        <w:pStyle w:val="46"/>
        <w:widowControl w:val="0"/>
        <w:wordWrap w:val="0"/>
        <w:adjustRightInd w:val="0"/>
        <w:snapToGrid w:val="0"/>
        <w:jc w:val="right"/>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1F0A621">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pPr>
    </w:p>
    <w:p w14:paraId="306826E3">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bookmarkStart w:id="483" w:name="_Hlt69116778"/>
      <w:bookmarkEnd w:id="483"/>
      <w:bookmarkStart w:id="484" w:name="_附件二十五：综合评审合理低价法"/>
      <w:bookmarkEnd w:id="484"/>
      <w:bookmarkStart w:id="485" w:name="_附件二十四：技术标提问单"/>
      <w:bookmarkEnd w:id="485"/>
      <w:bookmarkStart w:id="486" w:name="_附件十：单项工程费汇总表"/>
      <w:bookmarkEnd w:id="486"/>
      <w:bookmarkStart w:id="487" w:name="_Hlt68774664"/>
      <w:bookmarkEnd w:id="487"/>
      <w:bookmarkStart w:id="488" w:name="_Toc15791"/>
      <w:bookmarkStart w:id="489" w:name="_Toc26795"/>
      <w:bookmarkStart w:id="490" w:name="_Toc39136361"/>
      <w:bookmarkStart w:id="491" w:name="_Toc5872"/>
      <w:bookmarkStart w:id="492" w:name="_Toc28483"/>
      <w:bookmarkStart w:id="493" w:name="_Hlt66847557"/>
      <w:bookmarkStart w:id="494" w:name="_Toc66849200"/>
      <w:bookmarkStart w:id="495" w:name="_Toc106418843"/>
      <w:bookmarkStart w:id="496" w:name="_Toc104711098"/>
      <w:bookmarkStart w:id="497" w:name="_Toc466640620"/>
    </w:p>
    <w:p w14:paraId="40A2918D">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24"/>
          <w:highlight w:val="none"/>
          <w14:textFill>
            <w14:solidFill>
              <w14:schemeClr w14:val="tx1"/>
            </w14:solidFill>
          </w14:textFill>
        </w:rPr>
      </w:pPr>
    </w:p>
    <w:p w14:paraId="7CAE7B27">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48"/>
          <w:szCs w:val="48"/>
          <w:highlight w:val="none"/>
          <w:u w:val="single"/>
          <w14:textFill>
            <w14:solidFill>
              <w14:schemeClr w14:val="tx1"/>
            </w14:solidFill>
          </w14:textFill>
        </w:rPr>
        <w:t xml:space="preserve">（项目名称）   </w:t>
      </w:r>
      <w:r>
        <w:rPr>
          <w:rFonts w:hint="eastAsia" w:asciiTheme="minorEastAsia" w:hAnsiTheme="minorEastAsia" w:eastAsiaTheme="minorEastAsia" w:cstheme="minorEastAsia"/>
          <w:b/>
          <w:snapToGrid w:val="0"/>
          <w:color w:val="000000" w:themeColor="text1"/>
          <w:sz w:val="48"/>
          <w:szCs w:val="48"/>
          <w:highlight w:val="none"/>
          <w14:textFill>
            <w14:solidFill>
              <w14:schemeClr w14:val="tx1"/>
            </w14:solidFill>
          </w14:textFill>
        </w:rPr>
        <w:t>招标</w:t>
      </w:r>
    </w:p>
    <w:p w14:paraId="1F094AC6">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271A314">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73F440A">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0FED27C">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6021F149">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72"/>
          <w:highlight w:val="none"/>
          <w14:textFill>
            <w14:solidFill>
              <w14:schemeClr w14:val="tx1"/>
            </w14:solidFill>
          </w14:textFill>
        </w:rPr>
        <w:t>投  标  文  件</w:t>
      </w:r>
    </w:p>
    <w:p w14:paraId="34E6046F">
      <w:pPr>
        <w:pStyle w:val="46"/>
        <w:widowControl w:val="0"/>
        <w:wordWrap w:val="0"/>
        <w:adjustRightInd w:val="0"/>
        <w:snapToGrid w:val="0"/>
        <w:ind w:firstLine="0"/>
        <w:jc w:val="center"/>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73C06724">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25DD5413">
      <w:pPr>
        <w:pStyle w:val="46"/>
        <w:widowControl w:val="0"/>
        <w:wordWrap w:val="0"/>
        <w:adjustRightInd w:val="0"/>
        <w:snapToGrid w:val="0"/>
        <w:ind w:firstLine="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D8E4B58">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4581AE92">
      <w:pPr>
        <w:pStyle w:val="46"/>
        <w:widowControl w:val="0"/>
        <w:wordWrap w:val="0"/>
        <w:adjustRightInd w:val="0"/>
        <w:snapToGrid w:val="0"/>
        <w:rPr>
          <w:rFonts w:hint="eastAsia" w:asciiTheme="minorEastAsia" w:hAnsiTheme="minorEastAsia" w:eastAsiaTheme="minorEastAsia" w:cstheme="minorEastAsia"/>
          <w:b/>
          <w:snapToGrid w:val="0"/>
          <w:color w:val="000000" w:themeColor="text1"/>
          <w:sz w:val="32"/>
          <w:highlight w:val="none"/>
          <w14:textFill>
            <w14:solidFill>
              <w14:schemeClr w14:val="tx1"/>
            </w14:solidFill>
          </w14:textFill>
        </w:rPr>
      </w:pPr>
    </w:p>
    <w:p w14:paraId="1D2843F0">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投标人：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（盖单位章）</w:t>
      </w:r>
    </w:p>
    <w:p w14:paraId="1C895DBE">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DD4FE5">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5A2BC09B">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47F0C4EF">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r>
        <w:rPr>
          <w:rFonts w:hint="eastAsia" w:hAnsi="宋体" w:eastAsia="宋体" w:cs="宋体"/>
          <w:bCs/>
          <w:snapToGrid w:val="0"/>
          <w:color w:val="000000" w:themeColor="text1"/>
          <w:sz w:val="32"/>
          <w:highlight w:val="none"/>
          <w14:textFill>
            <w14:solidFill>
              <w14:schemeClr w14:val="tx1"/>
            </w14:solidFill>
          </w14:textFill>
        </w:rPr>
        <w:t>法定代表人或其委托代理人：</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（签字或盖章）</w:t>
      </w:r>
    </w:p>
    <w:p w14:paraId="21481EC0">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14:textFill>
            <w14:solidFill>
              <w14:schemeClr w14:val="tx1"/>
            </w14:solidFill>
          </w14:textFill>
        </w:rPr>
      </w:pPr>
    </w:p>
    <w:p w14:paraId="157E14DD">
      <w:pPr>
        <w:pStyle w:val="46"/>
        <w:widowControl w:val="0"/>
        <w:wordWrap w:val="0"/>
        <w:adjustRightInd w:val="0"/>
        <w:snapToGrid w:val="0"/>
        <w:ind w:firstLine="0"/>
        <w:jc w:val="center"/>
        <w:rPr>
          <w:rFonts w:hint="eastAsia" w:hAnsi="宋体" w:eastAsia="宋体" w:cs="宋体"/>
          <w:bCs/>
          <w:snapToGrid w:val="0"/>
          <w:color w:val="000000" w:themeColor="text1"/>
          <w:sz w:val="32"/>
          <w:highlight w:val="none"/>
          <w:u w:val="single"/>
          <w14:textFill>
            <w14:solidFill>
              <w14:schemeClr w14:val="tx1"/>
            </w14:solidFill>
          </w14:textFill>
        </w:rPr>
      </w:pPr>
    </w:p>
    <w:p w14:paraId="62209C4C">
      <w:pPr>
        <w:pStyle w:val="46"/>
        <w:widowControl w:val="0"/>
        <w:wordWrap w:val="0"/>
        <w:adjustRightInd w:val="0"/>
        <w:snapToGrid w:val="0"/>
        <w:ind w:firstLine="0"/>
        <w:jc w:val="center"/>
        <w:rPr>
          <w:rFonts w:hint="eastAsia" w:hAnsi="宋体" w:eastAsia="宋体" w:cs="宋体"/>
          <w:b/>
          <w:snapToGrid w:val="0"/>
          <w:color w:val="000000" w:themeColor="text1"/>
          <w:highlight w:val="none"/>
          <w14:textFill>
            <w14:solidFill>
              <w14:schemeClr w14:val="tx1"/>
            </w14:solidFill>
          </w14:textFill>
        </w:rPr>
      </w:pP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年</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月</w:t>
      </w:r>
      <w:r>
        <w:rPr>
          <w:rFonts w:hint="eastAsia" w:hAnsi="宋体" w:eastAsia="宋体" w:cs="宋体"/>
          <w:bCs/>
          <w:snapToGrid w:val="0"/>
          <w:color w:val="000000" w:themeColor="text1"/>
          <w:sz w:val="32"/>
          <w:highlight w:val="none"/>
          <w:u w:val="single"/>
          <w14:textFill>
            <w14:solidFill>
              <w14:schemeClr w14:val="tx1"/>
            </w14:solidFill>
          </w14:textFill>
        </w:rPr>
        <w:t xml:space="preserve">      </w:t>
      </w:r>
      <w:r>
        <w:rPr>
          <w:rFonts w:hint="eastAsia" w:hAnsi="宋体" w:eastAsia="宋体" w:cs="宋体"/>
          <w:bCs/>
          <w:snapToGrid w:val="0"/>
          <w:color w:val="000000" w:themeColor="text1"/>
          <w:sz w:val="32"/>
          <w:highlight w:val="none"/>
          <w14:textFill>
            <w14:solidFill>
              <w14:schemeClr w14:val="tx1"/>
            </w14:solidFill>
          </w14:textFill>
        </w:rPr>
        <w:t>日</w:t>
      </w:r>
    </w:p>
    <w:p w14:paraId="7FD7E94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58AD9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70FF42C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7DF039D">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0778DF5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5DA514C6">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498" w:name="_Toc1621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格式二 </w:t>
      </w:r>
      <w:bookmarkEnd w:id="488"/>
      <w:bookmarkEnd w:id="489"/>
      <w:bookmarkEnd w:id="490"/>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《投标函》及《工程项目总价表》</w:t>
      </w:r>
      <w:bookmarkEnd w:id="491"/>
      <w:bookmarkEnd w:id="492"/>
      <w:bookmarkEnd w:id="498"/>
    </w:p>
    <w:p w14:paraId="7E96A797">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bookmarkStart w:id="499" w:name="_Toc21577"/>
      <w:bookmarkStart w:id="500" w:name="_Toc29375"/>
      <w:bookmarkStart w:id="501" w:name="_Toc39136362"/>
      <w:bookmarkStart w:id="502" w:name="_Toc9280"/>
      <w:bookmarkStart w:id="503" w:name="_Toc10604"/>
      <w:bookmarkStart w:id="504" w:name="_Toc28636"/>
      <w:bookmarkStart w:id="505" w:name="_Toc18294"/>
      <w:bookmarkStart w:id="506" w:name="_Toc8657"/>
      <w:bookmarkStart w:id="507" w:name="_Toc27121"/>
    </w:p>
    <w:p w14:paraId="141A9169">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投  标  函</w:t>
      </w:r>
      <w:bookmarkEnd w:id="499"/>
      <w:bookmarkEnd w:id="500"/>
      <w:bookmarkEnd w:id="501"/>
      <w:bookmarkEnd w:id="502"/>
      <w:bookmarkEnd w:id="503"/>
      <w:bookmarkEnd w:id="504"/>
      <w:bookmarkEnd w:id="505"/>
      <w:bookmarkEnd w:id="506"/>
      <w:bookmarkEnd w:id="507"/>
    </w:p>
    <w:p w14:paraId="391E1D3A">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7008BC0">
      <w:pPr>
        <w:wordWrap w:val="0"/>
        <w:adjustRightInd w:val="0"/>
        <w:snapToGrid w:val="0"/>
        <w:spacing w:line="440" w:lineRule="exact"/>
        <w:rPr>
          <w:rFonts w:hint="eastAsia"/>
          <w:color w:val="000000" w:themeColor="text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0814D29C">
      <w:pPr>
        <w:wordWrap w:val="0"/>
        <w:adjustRightInd w:val="0"/>
        <w:snapToGrid w:val="0"/>
        <w:spacing w:line="440" w:lineRule="exact"/>
        <w:ind w:firstLine="570"/>
        <w:rPr>
          <w:rFonts w:hint="eastAsia" w:asciiTheme="minorEastAsia" w:hAnsiTheme="minorEastAsia" w:eastAsiaTheme="minorEastAsia" w:cstheme="minorEastAsia"/>
          <w:color w:val="000000" w:themeColor="text1"/>
          <w:szCs w:val="22"/>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1.在研</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究        （项目名称）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招标文件和其它相关文件，并对现场进行深入了解后，我方（即文末签名人），考虑了本企业的实力和特点，愿意接受招标文件的全部内容和条件，兹以人民币（大写）：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小写：（¥</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）的投标总价竞投本项目。</w:t>
      </w:r>
    </w:p>
    <w:p w14:paraId="5072A5D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2.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如果我方中标，我方保证按照合同约定的开工日期开始本项目的</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设计、施工，本工程</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设计、施工工期为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个日历天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其中：</w:t>
      </w:r>
      <w:r>
        <w:rPr>
          <w:rFonts w:hint="eastAsia" w:asciiTheme="minorEastAsia" w:hAnsiTheme="minorEastAsia" w:eastAsiaTheme="minorEastAsia" w:cstheme="minorEastAsia"/>
          <w:color w:val="000000" w:themeColor="text1"/>
          <w:szCs w:val="22"/>
          <w:highlight w:val="none"/>
          <w:lang w:val="en-US" w:eastAsia="zh-CN"/>
          <w14:textFill>
            <w14:solidFill>
              <w14:schemeClr w14:val="tx1"/>
            </w14:solidFill>
          </w14:textFill>
        </w:rPr>
        <w:t>勘察、</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设计工期为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日历天，施工工期为</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日历天</w:t>
      </w:r>
      <w:r>
        <w:rPr>
          <w:rFonts w:hint="eastAsia" w:asciiTheme="minorEastAsia" w:hAnsiTheme="minorEastAsia" w:eastAsiaTheme="minorEastAsia" w:cstheme="minorEastAsia"/>
          <w:color w:val="000000" w:themeColor="text1"/>
          <w:szCs w:val="22"/>
          <w:highlight w:val="none"/>
          <w:lang w:eastAsia="zh-CN"/>
          <w14:textFill>
            <w14:solidFill>
              <w14:schemeClr w14:val="tx1"/>
            </w14:solidFill>
          </w14:textFill>
        </w:rPr>
        <w:t>）</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内竣工，并确保工程质量达到</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2"/>
          <w:highlight w:val="none"/>
          <w14:textFill>
            <w14:solidFill>
              <w14:schemeClr w14:val="tx1"/>
            </w14:solidFill>
          </w14:textFill>
        </w:rPr>
        <w:t>标准和维修其中的任何缺陷</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p w14:paraId="0A19A04F">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 本投标函在你方接收我方递交的投标文件之日起、到招标文件规定的投标有效期期满前对我方具有约束力。我方随时准备接受你方发出的中标通知书。</w:t>
      </w:r>
    </w:p>
    <w:p w14:paraId="72A4F4F3">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4．我方在此声明，我方不存在本工程招标文件所列示的“禁止投标条款”所列出的任何一种情形，并愿意承担因我方就此弄虚作假所引起的一切法律后果。</w:t>
      </w:r>
    </w:p>
    <w:p w14:paraId="135CB28E">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5．我方在此承诺，所递交投标文件的全部内容均为真实、有效、准确的，并愿意承担因我方就此弄虚作假所引起的一切法律后果，同时理解和同意有可能被要求提供更多的资料。</w:t>
      </w:r>
    </w:p>
    <w:p w14:paraId="4B83390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 我方理解你方不一定要接纳收到的最低投标总价或任何投标总价的投标人中标，也不要求你方解释我方是否中标的原因。</w:t>
      </w:r>
    </w:p>
    <w:p w14:paraId="73A3D5F4">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29DB08E6">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7813DE58">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6658203">
      <w:pPr>
        <w:wordWrap w:val="0"/>
        <w:adjustRightInd w:val="0"/>
        <w:snapToGrid w:val="0"/>
        <w:spacing w:line="440" w:lineRule="exact"/>
        <w:ind w:firstLine="4080" w:firstLineChars="1700"/>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ABCF19B">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br w:type="page"/>
      </w:r>
    </w:p>
    <w:p w14:paraId="25DEE623">
      <w:pPr>
        <w:jc w:val="lef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E4478DB">
      <w:pPr>
        <w:wordWrap w:val="0"/>
        <w:adjustRightInd w:val="0"/>
        <w:snapToGrid w:val="0"/>
        <w:spacing w:line="440" w:lineRule="exact"/>
        <w:jc w:val="cente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pPr>
      <w:bookmarkStart w:id="508" w:name="_Toc5052"/>
      <w:bookmarkStart w:id="509" w:name="_Toc453"/>
      <w:bookmarkStart w:id="510" w:name="_Toc20338"/>
      <w:bookmarkStart w:id="511" w:name="_Toc25829"/>
      <w:bookmarkStart w:id="512" w:name="_Toc25629"/>
      <w:bookmarkStart w:id="513" w:name="_Toc7915"/>
      <w:bookmarkStart w:id="514" w:name="_Toc39136364"/>
      <w:r>
        <w:rPr>
          <w:rFonts w:hint="eastAsia" w:asciiTheme="minorEastAsia" w:hAnsiTheme="minorEastAsia" w:eastAsiaTheme="minorEastAsia" w:cstheme="minorEastAsia"/>
          <w:b/>
          <w:bCs/>
          <w:color w:val="000000" w:themeColor="text1"/>
          <w:szCs w:val="22"/>
          <w:highlight w:val="none"/>
          <w14:textFill>
            <w14:solidFill>
              <w14:schemeClr w14:val="tx1"/>
            </w14:solidFill>
          </w14:textFill>
        </w:rPr>
        <w:t>工程项目总价表</w:t>
      </w:r>
      <w:bookmarkEnd w:id="508"/>
      <w:bookmarkEnd w:id="509"/>
      <w:bookmarkEnd w:id="510"/>
      <w:bookmarkEnd w:id="511"/>
      <w:bookmarkEnd w:id="512"/>
    </w:p>
    <w:p w14:paraId="2AEF0ABB">
      <w:pPr>
        <w:spacing w:line="360" w:lineRule="auto"/>
        <w:ind w:firstLine="480" w:firstLineChars="200"/>
        <w:rPr>
          <w:rFonts w:hint="eastAsia" w:ascii="宋体" w:hAnsi="宋体" w:eastAsia="宋体" w:cs="宋体"/>
          <w:color w:val="000000" w:themeColor="text1"/>
          <w:highlight w:val="none"/>
          <w14:textFill>
            <w14:solidFill>
              <w14:schemeClr w14:val="tx1"/>
            </w14:solidFill>
          </w14:textFill>
        </w:rPr>
      </w:pPr>
    </w:p>
    <w:tbl>
      <w:tblPr>
        <w:tblStyle w:val="21"/>
        <w:tblW w:w="91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994"/>
        <w:gridCol w:w="1706"/>
        <w:gridCol w:w="2057"/>
        <w:gridCol w:w="1347"/>
        <w:gridCol w:w="2636"/>
      </w:tblGrid>
      <w:tr w14:paraId="02C0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456" w:type="dxa"/>
            <w:noWrap w:val="0"/>
            <w:vAlign w:val="center"/>
          </w:tcPr>
          <w:p w14:paraId="5FC755F5">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序号</w:t>
            </w:r>
          </w:p>
        </w:tc>
        <w:tc>
          <w:tcPr>
            <w:tcW w:w="994" w:type="dxa"/>
            <w:noWrap w:val="0"/>
            <w:vAlign w:val="center"/>
          </w:tcPr>
          <w:p w14:paraId="4C3B9063">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项目名称</w:t>
            </w:r>
          </w:p>
        </w:tc>
        <w:tc>
          <w:tcPr>
            <w:tcW w:w="1706" w:type="dxa"/>
            <w:noWrap w:val="0"/>
            <w:vAlign w:val="center"/>
          </w:tcPr>
          <w:p w14:paraId="6CEC3C41">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报价基数（元）</w:t>
            </w:r>
          </w:p>
        </w:tc>
        <w:tc>
          <w:tcPr>
            <w:tcW w:w="2057" w:type="dxa"/>
            <w:noWrap w:val="0"/>
            <w:vAlign w:val="center"/>
          </w:tcPr>
          <w:p w14:paraId="0612A26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1"/>
                <w:sz w:val="24"/>
                <w:szCs w:val="24"/>
                <w:highlight w:val="none"/>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p>
        </w:tc>
        <w:tc>
          <w:tcPr>
            <w:tcW w:w="1347" w:type="dxa"/>
            <w:noWrap w:val="0"/>
            <w:vAlign w:val="center"/>
          </w:tcPr>
          <w:p w14:paraId="2FAEA2E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投标报价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（元）</w:t>
            </w:r>
          </w:p>
        </w:tc>
        <w:tc>
          <w:tcPr>
            <w:tcW w:w="2636" w:type="dxa"/>
            <w:noWrap w:val="0"/>
            <w:vAlign w:val="center"/>
          </w:tcPr>
          <w:p w14:paraId="56275659">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备注</w:t>
            </w:r>
          </w:p>
        </w:tc>
      </w:tr>
      <w:tr w14:paraId="1B794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456" w:type="dxa"/>
            <w:noWrap w:val="0"/>
            <w:vAlign w:val="center"/>
          </w:tcPr>
          <w:p w14:paraId="55C2073B">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w:t>
            </w:r>
          </w:p>
        </w:tc>
        <w:tc>
          <w:tcPr>
            <w:tcW w:w="994" w:type="dxa"/>
            <w:noWrap w:val="0"/>
            <w:vAlign w:val="center"/>
          </w:tcPr>
          <w:p w14:paraId="75D884AC">
            <w:pPr>
              <w:widowControl/>
              <w:ind w:right="-122" w:rightChars="-51"/>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勘察设计费</w:t>
            </w:r>
          </w:p>
        </w:tc>
        <w:tc>
          <w:tcPr>
            <w:tcW w:w="1706" w:type="dxa"/>
            <w:noWrap w:val="0"/>
            <w:vAlign w:val="center"/>
          </w:tcPr>
          <w:p w14:paraId="150FCA0B">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62258300.00</w:t>
            </w:r>
          </w:p>
        </w:tc>
        <w:tc>
          <w:tcPr>
            <w:tcW w:w="2057" w:type="dxa"/>
            <w:noWrap w:val="0"/>
            <w:vAlign w:val="center"/>
          </w:tcPr>
          <w:p w14:paraId="26B18F9B">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1"/>
                <w:sz w:val="24"/>
                <w:szCs w:val="24"/>
                <w:highlight w:val="none"/>
                <w:lang w:val="zh-CN"/>
                <w14:textFill>
                  <w14:solidFill>
                    <w14:schemeClr w14:val="tx1"/>
                  </w14:solidFill>
                </w14:textFill>
              </w:rPr>
              <w:t>投标费率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44EAF967">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5A6F1AEC">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按最高投标限价</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范围内</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自行报</w:t>
            </w:r>
            <w:r>
              <w:rPr>
                <w:rFonts w:hint="eastAsia" w:asciiTheme="minorEastAsia" w:hAnsiTheme="minorEastAsia" w:eastAsiaTheme="minorEastAsia" w:cstheme="minorEastAsia"/>
                <w:color w:val="000000" w:themeColor="text1"/>
                <w:sz w:val="24"/>
                <w:szCs w:val="24"/>
                <w:highlight w:val="none"/>
                <w:lang w:val="en-US" w:eastAsia="zh-CN"/>
                <w14:textFill>
                  <w14:solidFill>
                    <w14:schemeClr w14:val="tx1"/>
                  </w14:solidFill>
                </w14:textFill>
              </w:rPr>
              <w:t>总</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价及</w:t>
            </w:r>
            <w:r>
              <w:rPr>
                <w:rFonts w:hint="eastAsia" w:asciiTheme="minorEastAsia" w:hAnsiTheme="minorEastAsia" w:eastAsiaTheme="minorEastAsia" w:cstheme="minorEastAsia"/>
                <w:color w:val="000000" w:themeColor="text1"/>
                <w:sz w:val="24"/>
                <w:szCs w:val="24"/>
                <w:highlight w:val="none"/>
                <w:lang w:eastAsia="zh-CN"/>
                <w14:textFill>
                  <w14:solidFill>
                    <w14:schemeClr w14:val="tx1"/>
                  </w14:solidFill>
                </w14:textFill>
              </w:rPr>
              <w:t>投标费</w:t>
            </w:r>
            <w:r>
              <w:rPr>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率。报价基数作为暂定量，仅作为投标报价编制依据，不作为结算依据。</w:t>
            </w:r>
          </w:p>
        </w:tc>
      </w:tr>
      <w:tr w14:paraId="3D02F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456" w:type="dxa"/>
            <w:noWrap w:val="0"/>
            <w:vAlign w:val="center"/>
          </w:tcPr>
          <w:p w14:paraId="2451ABEA">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p>
        </w:tc>
        <w:tc>
          <w:tcPr>
            <w:tcW w:w="994" w:type="dxa"/>
            <w:noWrap w:val="0"/>
            <w:vAlign w:val="center"/>
          </w:tcPr>
          <w:p w14:paraId="2E8F9754">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建安工程费</w:t>
            </w:r>
          </w:p>
        </w:tc>
        <w:tc>
          <w:tcPr>
            <w:tcW w:w="1706" w:type="dxa"/>
            <w:noWrap w:val="0"/>
            <w:vAlign w:val="center"/>
          </w:tcPr>
          <w:p w14:paraId="240F0C5D">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62258300.00</w:t>
            </w:r>
          </w:p>
        </w:tc>
        <w:tc>
          <w:tcPr>
            <w:tcW w:w="2057" w:type="dxa"/>
            <w:noWrap w:val="0"/>
            <w:vAlign w:val="center"/>
          </w:tcPr>
          <w:p w14:paraId="5267856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投标下浮率</w:t>
            </w:r>
            <w:r>
              <w:rPr>
                <w:rFonts w:hint="eastAsia" w:asciiTheme="minorEastAsia" w:hAnsiTheme="minorEastAsia" w:eastAsiaTheme="minorEastAsia" w:cstheme="minorEastAsia"/>
                <w:color w:val="000000" w:themeColor="text1"/>
                <w:kern w:val="0"/>
                <w:sz w:val="24"/>
                <w:szCs w:val="24"/>
                <w:highlight w:val="none"/>
                <w:u w:val="single"/>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408585C2">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0334E49B">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本项目为限额设计，</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工程结算价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未超过建安工程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按实结算，超过建安工程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费中标价的</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则按建安工程</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费</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中标</w:t>
            </w:r>
            <w: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t>价</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结算。建安工程投标报价=</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报价基数</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×（1-投标下浮率）</w:t>
            </w:r>
          </w:p>
        </w:tc>
      </w:tr>
      <w:tr w14:paraId="5A940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456" w:type="dxa"/>
            <w:noWrap w:val="0"/>
            <w:vAlign w:val="center"/>
          </w:tcPr>
          <w:p w14:paraId="4FA2264B">
            <w:pPr>
              <w:widowControl/>
              <w:jc w:val="center"/>
              <w:rPr>
                <w:rFonts w:hint="eastAsia" w:asciiTheme="minorEastAsia" w:hAnsiTheme="minorEastAsia" w:eastAsiaTheme="minorEastAsia" w:cstheme="minorEastAsia"/>
                <w:color w:val="000000" w:themeColor="text1"/>
                <w:kern w:val="0"/>
                <w:sz w:val="24"/>
                <w:szCs w:val="24"/>
                <w:highlight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3</w:t>
            </w:r>
          </w:p>
        </w:tc>
        <w:tc>
          <w:tcPr>
            <w:tcW w:w="994" w:type="dxa"/>
            <w:noWrap w:val="0"/>
            <w:vAlign w:val="center"/>
          </w:tcPr>
          <w:p w14:paraId="0BCDF1F8">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合计（1+</w:t>
            </w: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1706" w:type="dxa"/>
            <w:noWrap w:val="0"/>
            <w:vAlign w:val="center"/>
          </w:tcPr>
          <w:p w14:paraId="39AA7150">
            <w:pPr>
              <w:widowControl/>
              <w:jc w:val="cente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t>/</w:t>
            </w:r>
          </w:p>
        </w:tc>
        <w:tc>
          <w:tcPr>
            <w:tcW w:w="2057" w:type="dxa"/>
            <w:noWrap w:val="0"/>
            <w:vAlign w:val="center"/>
          </w:tcPr>
          <w:p w14:paraId="1AE70A4C">
            <w:pPr>
              <w:widowControl/>
              <w:jc w:val="cente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t>/</w:t>
            </w:r>
          </w:p>
        </w:tc>
        <w:tc>
          <w:tcPr>
            <w:tcW w:w="1347" w:type="dxa"/>
            <w:noWrap w:val="0"/>
            <w:vAlign w:val="center"/>
          </w:tcPr>
          <w:p w14:paraId="5E6536F7">
            <w:pPr>
              <w:widowControl/>
              <w:jc w:val="both"/>
              <w:rPr>
                <w:rFonts w:hint="eastAsia" w:asciiTheme="minorEastAsia" w:hAnsiTheme="minorEastAsia" w:eastAsiaTheme="minorEastAsia" w:cstheme="minorEastAsia"/>
                <w:color w:val="000000" w:themeColor="text1"/>
                <w:kern w:val="0"/>
                <w:sz w:val="24"/>
                <w:szCs w:val="24"/>
                <w:highlight w:val="none"/>
                <w:lang w:val="en-US" w:eastAsia="zh-CN"/>
                <w14:textFill>
                  <w14:solidFill>
                    <w14:schemeClr w14:val="tx1"/>
                  </w14:solidFill>
                </w14:textFill>
              </w:rPr>
            </w:pPr>
          </w:p>
        </w:tc>
        <w:tc>
          <w:tcPr>
            <w:tcW w:w="2636" w:type="dxa"/>
            <w:noWrap w:val="0"/>
            <w:vAlign w:val="center"/>
          </w:tcPr>
          <w:p w14:paraId="037B4BFC">
            <w:pPr>
              <w:widowControl/>
              <w:jc w:val="left"/>
              <w:rPr>
                <w:rFonts w:hint="eastAsia" w:asciiTheme="minorEastAsia" w:hAnsiTheme="minorEastAsia" w:eastAsiaTheme="minorEastAsia" w:cstheme="minorEastAsia"/>
                <w:color w:val="000000" w:themeColor="text1"/>
                <w:kern w:val="0"/>
                <w:sz w:val="24"/>
                <w:szCs w:val="24"/>
                <w:highlight w:val="none"/>
                <w14:textFill>
                  <w14:solidFill>
                    <w14:schemeClr w14:val="tx1"/>
                  </w14:solidFill>
                </w14:textFill>
              </w:rPr>
            </w:pPr>
          </w:p>
        </w:tc>
      </w:tr>
    </w:tbl>
    <w:p w14:paraId="11581250">
      <w:pPr>
        <w:pStyle w:val="30"/>
        <w:rPr>
          <w:rFonts w:ascii="宋体" w:hAnsi="宋体" w:cs="宋体"/>
          <w:color w:val="000000" w:themeColor="text1"/>
          <w:sz w:val="24"/>
          <w:highlight w:val="none"/>
          <w:lang w:val="zh-CN"/>
          <w14:textFill>
            <w14:solidFill>
              <w14:schemeClr w14:val="tx1"/>
            </w14:solidFill>
          </w14:textFill>
        </w:rPr>
      </w:pPr>
    </w:p>
    <w:p w14:paraId="394AFE69">
      <w:pPr>
        <w:pStyle w:val="6"/>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注：投标报价、</w:t>
      </w:r>
      <w:r>
        <w:rPr>
          <w:rFonts w:hint="eastAsia" w:ascii="宋体" w:hAnsi="宋体" w:eastAsia="宋体" w:cs="宋体"/>
          <w:color w:val="000000" w:themeColor="text1"/>
          <w:szCs w:val="21"/>
          <w:highlight w:val="none"/>
          <w:lang w:eastAsia="zh-CN"/>
          <w14:textFill>
            <w14:solidFill>
              <w14:schemeClr w14:val="tx1"/>
            </w14:solidFill>
          </w14:textFill>
        </w:rPr>
        <w:t>投标下浮</w:t>
      </w:r>
      <w:r>
        <w:rPr>
          <w:rFonts w:hint="eastAsia" w:ascii="宋体" w:hAnsi="宋体" w:eastAsia="宋体" w:cs="宋体"/>
          <w:color w:val="000000" w:themeColor="text1"/>
          <w:szCs w:val="21"/>
          <w:highlight w:val="none"/>
          <w14:textFill>
            <w14:solidFill>
              <w14:schemeClr w14:val="tx1"/>
            </w14:solidFill>
          </w14:textFill>
        </w:rPr>
        <w:t>率均保留至小数点后两位</w:t>
      </w:r>
      <w:r>
        <w:rPr>
          <w:rFonts w:hint="eastAsia" w:ascii="宋体" w:hAnsi="宋体" w:eastAsia="宋体" w:cs="宋体"/>
          <w:color w:val="000000" w:themeColor="text1"/>
          <w:szCs w:val="21"/>
          <w:highlight w:val="none"/>
          <w:lang w:eastAsia="zh-CN"/>
          <w14:textFill>
            <w14:solidFill>
              <w14:schemeClr w14:val="tx1"/>
            </w14:solidFill>
          </w14:textFill>
        </w:rPr>
        <w:t>，投标费率保留至小数点后三位。</w:t>
      </w:r>
    </w:p>
    <w:p w14:paraId="3B383A35">
      <w:pPr>
        <w:wordWrap w:val="0"/>
        <w:adjustRightInd w:val="0"/>
        <w:snapToGrid w:val="0"/>
        <w:spacing w:line="276" w:lineRule="auto"/>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1DD2D3A">
      <w:pPr>
        <w:outlineLvl w:val="9"/>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223CC57">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759658B8">
      <w:pPr>
        <w:wordWrap w:val="0"/>
        <w:adjustRightInd w:val="0"/>
        <w:snapToGrid w:val="0"/>
        <w:spacing w:line="276" w:lineRule="auto"/>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5EFD5C53">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2827471C">
      <w:pPr>
        <w:wordWrap w:val="0"/>
        <w:adjustRightInd w:val="0"/>
        <w:snapToGrid w:val="0"/>
        <w:spacing w:line="276" w:lineRule="auto"/>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3A0CC27B">
      <w:pPr>
        <w:spacing w:line="276"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sectPr>
          <w:endnotePr>
            <w:numFmt w:val="decimal"/>
          </w:endnotePr>
          <w:pgSz w:w="11906" w:h="16838"/>
          <w:pgMar w:top="1701" w:right="1335" w:bottom="1417" w:left="1531" w:header="850" w:footer="992" w:gutter="0"/>
          <w:pgNumType w:fmt="decimal"/>
          <w:cols w:space="720" w:num="1"/>
          <w:docGrid w:linePitch="327" w:charSpace="0"/>
        </w:sect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p>
    <w:p w14:paraId="769EA550">
      <w:pPr>
        <w:pStyle w:val="4"/>
        <w:spacing w:before="120"/>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pPr>
      <w:bookmarkStart w:id="515" w:name="_Toc20987"/>
      <w:bookmarkStart w:id="516" w:name="_Toc28529"/>
      <w:bookmarkStart w:id="517" w:name="_Toc919"/>
      <w:bookmarkStart w:id="518" w:name="_Toc29297"/>
      <w:bookmarkStart w:id="519" w:name="_Toc1017"/>
      <w:bookmarkStart w:id="520" w:name="_Toc21928"/>
      <w:bookmarkStart w:id="521" w:name="_Toc32555"/>
      <w:r>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格式三 各项</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承诺</w:t>
      </w:r>
      <w:r>
        <w:rPr>
          <w:rStyle w:val="58"/>
          <w:rFonts w:hint="eastAsia" w:asciiTheme="minorEastAsia" w:hAnsiTheme="minorEastAsia" w:eastAsiaTheme="minorEastAsia" w:cstheme="minorEastAsia"/>
          <w:color w:val="000000" w:themeColor="text1"/>
          <w:sz w:val="24"/>
          <w:szCs w:val="24"/>
          <w:highlight w:val="none"/>
          <w14:textFill>
            <w14:solidFill>
              <w14:schemeClr w14:val="tx1"/>
            </w14:solidFill>
          </w14:textFill>
        </w:rPr>
        <w:t>一览表</w:t>
      </w:r>
      <w:bookmarkEnd w:id="513"/>
      <w:bookmarkEnd w:id="514"/>
      <w:bookmarkEnd w:id="515"/>
      <w:bookmarkEnd w:id="516"/>
      <w:bookmarkEnd w:id="517"/>
      <w:bookmarkEnd w:id="518"/>
    </w:p>
    <w:bookmarkEnd w:id="519"/>
    <w:bookmarkEnd w:id="520"/>
    <w:bookmarkEnd w:id="521"/>
    <w:p w14:paraId="2507BC48">
      <w:pPr>
        <w:spacing w:line="480" w:lineRule="auto"/>
        <w:jc w:val="cente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22" w:name="_Toc20729"/>
      <w:bookmarkStart w:id="523" w:name="_Toc39136365"/>
      <w:bookmarkStart w:id="524" w:name="_Toc21521"/>
      <w:bookmarkStart w:id="525" w:name="_Toc30877"/>
      <w:bookmarkStart w:id="526" w:name="_Toc16438"/>
      <w:bookmarkStart w:id="527" w:name="_Toc31113"/>
      <w:bookmarkStart w:id="528" w:name="_Toc15279"/>
      <w:bookmarkStart w:id="529" w:name="_Toc18136"/>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各项承诺一览表</w:t>
      </w:r>
      <w:bookmarkEnd w:id="522"/>
      <w:bookmarkEnd w:id="523"/>
      <w:bookmarkEnd w:id="524"/>
      <w:bookmarkEnd w:id="525"/>
    </w:p>
    <w:bookmarkEnd w:id="526"/>
    <w:bookmarkEnd w:id="527"/>
    <w:bookmarkEnd w:id="528"/>
    <w:bookmarkEnd w:id="529"/>
    <w:tbl>
      <w:tblPr>
        <w:tblStyle w:val="21"/>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14:paraId="4379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14:paraId="28699F17">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序号</w:t>
            </w:r>
          </w:p>
        </w:tc>
        <w:tc>
          <w:tcPr>
            <w:tcW w:w="1234" w:type="dxa"/>
            <w:noWrap w:val="0"/>
            <w:vAlign w:val="top"/>
          </w:tcPr>
          <w:p w14:paraId="31A8938A">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承诺标题</w:t>
            </w:r>
          </w:p>
        </w:tc>
        <w:tc>
          <w:tcPr>
            <w:tcW w:w="3073" w:type="dxa"/>
            <w:noWrap w:val="0"/>
            <w:vAlign w:val="top"/>
          </w:tcPr>
          <w:p w14:paraId="0723CADE">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承诺内容</w:t>
            </w:r>
          </w:p>
        </w:tc>
        <w:tc>
          <w:tcPr>
            <w:tcW w:w="4796" w:type="dxa"/>
            <w:tcBorders>
              <w:bottom w:val="single" w:color="auto" w:sz="4" w:space="0"/>
            </w:tcBorders>
            <w:noWrap w:val="0"/>
            <w:vAlign w:val="top"/>
          </w:tcPr>
          <w:p w14:paraId="52D24AEA">
            <w:pPr>
              <w:pStyle w:val="35"/>
              <w:spacing w:line="380" w:lineRule="exact"/>
              <w:jc w:val="center"/>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违约承诺</w:t>
            </w:r>
          </w:p>
        </w:tc>
      </w:tr>
      <w:tr w14:paraId="600DB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09D002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p>
        </w:tc>
        <w:tc>
          <w:tcPr>
            <w:tcW w:w="1234" w:type="dxa"/>
            <w:noWrap w:val="0"/>
            <w:vAlign w:val="center"/>
          </w:tcPr>
          <w:p w14:paraId="7004AB1D">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对招标文件条款自愿接受承诺书</w:t>
            </w:r>
          </w:p>
        </w:tc>
        <w:tc>
          <w:tcPr>
            <w:tcW w:w="3073" w:type="dxa"/>
            <w:noWrap w:val="0"/>
            <w:vAlign w:val="center"/>
          </w:tcPr>
          <w:p w14:paraId="721EE92F">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14:paraId="41A7D528">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p>
        </w:tc>
      </w:tr>
      <w:tr w14:paraId="67A6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3BC4748">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p>
        </w:tc>
        <w:tc>
          <w:tcPr>
            <w:tcW w:w="1234" w:type="dxa"/>
            <w:noWrap w:val="0"/>
            <w:vAlign w:val="center"/>
          </w:tcPr>
          <w:p w14:paraId="0BB5AD2B">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无禁止投标</w:t>
            </w:r>
          </w:p>
          <w:p w14:paraId="25B052BF">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情形的承诺</w:t>
            </w:r>
          </w:p>
        </w:tc>
        <w:tc>
          <w:tcPr>
            <w:tcW w:w="3073" w:type="dxa"/>
            <w:noWrap w:val="0"/>
            <w:vAlign w:val="center"/>
          </w:tcPr>
          <w:p w14:paraId="3D971B22">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我方不存在招标文件第一章第三节第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w:t>
            </w:r>
          </w:p>
        </w:tc>
        <w:tc>
          <w:tcPr>
            <w:tcW w:w="4796" w:type="dxa"/>
            <w:noWrap w:val="0"/>
            <w:vAlign w:val="center"/>
          </w:tcPr>
          <w:p w14:paraId="13673D1C">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如果我方有招标文件第一章第三节第</w:t>
            </w:r>
            <w:r>
              <w:rPr>
                <w:rFonts w:hint="eastAsia" w:ascii="宋体" w:hAnsi="宋体" w:eastAsia="宋体" w:cs="宋体"/>
                <w:b/>
                <w:bCs/>
                <w:snapToGrid w:val="0"/>
                <w:color w:val="000000" w:themeColor="text1"/>
                <w:kern w:val="0"/>
                <w:sz w:val="21"/>
                <w:szCs w:val="21"/>
                <w:highlight w:val="none"/>
                <w14:textFill>
                  <w14:solidFill>
                    <w14:schemeClr w14:val="tx1"/>
                  </w14:solidFill>
                </w14:textFill>
              </w:rPr>
              <w:t>2.4</w:t>
            </w:r>
            <w:r>
              <w:rPr>
                <w:rFonts w:hint="eastAsia" w:ascii="宋体" w:hAnsi="宋体" w:eastAsia="宋体" w:cs="宋体"/>
                <w:snapToGrid w:val="0"/>
                <w:color w:val="000000" w:themeColor="text1"/>
                <w:kern w:val="0"/>
                <w:sz w:val="21"/>
                <w:szCs w:val="21"/>
                <w:highlight w:val="none"/>
                <w14:textFill>
                  <w14:solidFill>
                    <w14:schemeClr w14:val="tx1"/>
                  </w14:solidFill>
                </w14:textFill>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14:paraId="24A5B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52394F2">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w:t>
            </w:r>
          </w:p>
        </w:tc>
        <w:tc>
          <w:tcPr>
            <w:tcW w:w="1234" w:type="dxa"/>
            <w:noWrap w:val="0"/>
            <w:vAlign w:val="center"/>
          </w:tcPr>
          <w:p w14:paraId="2C90CA06">
            <w:pPr>
              <w:pStyle w:val="60"/>
              <w:wordWrap w:val="0"/>
              <w:adjustRightInd w:val="0"/>
              <w:snapToGrid w:val="0"/>
              <w:spacing w:line="38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自觉抵制围标串标和弄虚作假行为的承诺</w:t>
            </w:r>
          </w:p>
        </w:tc>
        <w:tc>
          <w:tcPr>
            <w:tcW w:w="3073" w:type="dxa"/>
            <w:noWrap w:val="0"/>
            <w:vAlign w:val="center"/>
          </w:tcPr>
          <w:p w14:paraId="671ABF6E">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我方合法正当、诚实守信地参与投标，不组织、不参加围标串标违法行为，不通过弄虚作假行为骗取中标。</w:t>
            </w:r>
          </w:p>
        </w:tc>
        <w:tc>
          <w:tcPr>
            <w:tcW w:w="4796" w:type="dxa"/>
            <w:noWrap w:val="0"/>
            <w:vAlign w:val="center"/>
          </w:tcPr>
          <w:p w14:paraId="7AF01976">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14:paraId="1DAD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4EB0C70B">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w:t>
            </w:r>
          </w:p>
        </w:tc>
        <w:tc>
          <w:tcPr>
            <w:tcW w:w="1234" w:type="dxa"/>
            <w:noWrap w:val="0"/>
            <w:vAlign w:val="center"/>
          </w:tcPr>
          <w:p w14:paraId="4AE27BCC">
            <w:pPr>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履约保证的承诺</w:t>
            </w:r>
          </w:p>
        </w:tc>
        <w:tc>
          <w:tcPr>
            <w:tcW w:w="3073" w:type="dxa"/>
            <w:noWrap w:val="0"/>
            <w:vAlign w:val="center"/>
          </w:tcPr>
          <w:p w14:paraId="7CB1DA74">
            <w:pPr>
              <w:pStyle w:val="60"/>
              <w:wordWrap w:val="0"/>
              <w:adjustRightInd w:val="0"/>
              <w:snapToGrid w:val="0"/>
              <w:spacing w:line="38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如果我方中标，我方保证在招标文件规定的时限内全额提交履约保证。</w:t>
            </w:r>
          </w:p>
        </w:tc>
        <w:tc>
          <w:tcPr>
            <w:tcW w:w="4796" w:type="dxa"/>
            <w:noWrap w:val="0"/>
            <w:vAlign w:val="center"/>
          </w:tcPr>
          <w:p w14:paraId="6E48051F">
            <w:pPr>
              <w:pStyle w:val="60"/>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如果我方未在招标文件规定的时限内全额提交履约保证，我方接受招标人依据招标文件作出的相应处理以及有关监督部门作出的行政处罚，并承担由此引起的一切法律后果。</w:t>
            </w:r>
          </w:p>
        </w:tc>
      </w:tr>
      <w:tr w14:paraId="2AEE6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14:paraId="2BD73097">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w:t>
            </w:r>
          </w:p>
        </w:tc>
        <w:tc>
          <w:tcPr>
            <w:tcW w:w="1234" w:type="dxa"/>
            <w:noWrap w:val="0"/>
            <w:vAlign w:val="center"/>
          </w:tcPr>
          <w:p w14:paraId="1605709C">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工期、进度承诺书</w:t>
            </w:r>
          </w:p>
        </w:tc>
        <w:tc>
          <w:tcPr>
            <w:tcW w:w="3073" w:type="dxa"/>
            <w:noWrap w:val="0"/>
            <w:vAlign w:val="center"/>
          </w:tcPr>
          <w:p w14:paraId="0BE6F71F">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w:t>
            </w:r>
            <w:r>
              <w:rPr>
                <w:rFonts w:hint="eastAsia" w:ascii="宋体" w:hAnsi="宋体" w:eastAsia="宋体" w:cs="宋体"/>
                <w:b/>
                <w:bCs/>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b/>
                <w:bCs/>
                <w:color w:val="000000" w:themeColor="text1"/>
                <w:sz w:val="21"/>
                <w:szCs w:val="21"/>
                <w:highlight w:val="none"/>
                <w:u w:val="single"/>
                <w14:textFill>
                  <w14:solidFill>
                    <w14:schemeClr w14:val="tx1"/>
                  </w14:solidFill>
                </w14:textFill>
              </w:rPr>
              <w:t>日历天内（</w:t>
            </w:r>
            <w:r>
              <w:rPr>
                <w:rFonts w:hint="eastAsia" w:ascii="宋体" w:hAnsi="宋体" w:eastAsia="宋体" w:cs="宋体"/>
                <w:color w:val="000000" w:themeColor="text1"/>
                <w:sz w:val="21"/>
                <w:szCs w:val="21"/>
                <w:highlight w:val="none"/>
                <w14:textFill>
                  <w14:solidFill>
                    <w14:schemeClr w14:val="tx1"/>
                  </w14:solidFill>
                </w14:textFill>
              </w:rPr>
              <w:t>其中：</w:t>
            </w:r>
            <w:r>
              <w:rPr>
                <w:rFonts w:hint="eastAsia" w:ascii="宋体" w:hAnsi="宋体" w:eastAsia="宋体" w:cs="宋体"/>
                <w:color w:val="000000" w:themeColor="text1"/>
                <w:sz w:val="21"/>
                <w:szCs w:val="21"/>
                <w:highlight w:val="none"/>
                <w:lang w:eastAsia="zh-CN"/>
                <w14:textFill>
                  <w14:solidFill>
                    <w14:schemeClr w14:val="tx1"/>
                  </w14:solidFill>
                </w14:textFill>
              </w:rPr>
              <w:t>勘察</w:t>
            </w:r>
            <w:r>
              <w:rPr>
                <w:rFonts w:hint="eastAsia" w:ascii="宋体" w:hAnsi="宋体" w:eastAsia="宋体" w:cs="宋体"/>
                <w:color w:val="000000" w:themeColor="text1"/>
                <w:sz w:val="21"/>
                <w:szCs w:val="21"/>
                <w:highlight w:val="none"/>
                <w14:textFill>
                  <w14:solidFill>
                    <w14:schemeClr w14:val="tx1"/>
                  </w14:solidFill>
                </w14:textFill>
              </w:rPr>
              <w:t>设计工期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日历天；施工工期</w:t>
            </w:r>
            <w:r>
              <w:rPr>
                <w:rFonts w:hint="eastAsia" w:ascii="宋体" w:hAnsi="宋体" w:eastAsia="宋体" w:cs="宋体"/>
                <w:color w:val="000000" w:themeColor="text1"/>
                <w:sz w:val="2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日历天</w:t>
            </w:r>
            <w:r>
              <w:rPr>
                <w:rFonts w:hint="eastAsia" w:ascii="宋体" w:hAnsi="宋体" w:eastAsia="宋体" w:cs="宋体"/>
                <w:b/>
                <w:bCs/>
                <w:color w:val="000000" w:themeColor="text1"/>
                <w:sz w:val="21"/>
                <w:szCs w:val="21"/>
                <w:highlight w:val="none"/>
                <w:u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完成工程勘察、设计、施工并通过竣工验收。</w:t>
            </w:r>
          </w:p>
        </w:tc>
        <w:tc>
          <w:tcPr>
            <w:tcW w:w="4796" w:type="dxa"/>
            <w:noWrap w:val="0"/>
            <w:vAlign w:val="center"/>
          </w:tcPr>
          <w:p w14:paraId="592D198A">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若因我方原因，没有按期完成</w:t>
            </w:r>
            <w:r>
              <w:rPr>
                <w:rFonts w:hint="eastAsia" w:ascii="宋体" w:hAnsi="宋体" w:eastAsia="宋体" w:cs="宋体"/>
                <w:color w:val="000000" w:themeColor="text1"/>
                <w:sz w:val="21"/>
                <w:szCs w:val="21"/>
                <w:highlight w:val="none"/>
                <w:lang w:eastAsia="zh-CN"/>
                <w14:textFill>
                  <w14:solidFill>
                    <w14:schemeClr w14:val="tx1"/>
                  </w14:solidFill>
                </w14:textFill>
              </w:rPr>
              <w:t>勘察</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设计工作的，</w:t>
            </w:r>
            <w:r>
              <w:rPr>
                <w:rFonts w:hint="eastAsia" w:ascii="宋体" w:hAnsi="宋体" w:eastAsia="宋体" w:cs="宋体"/>
                <w:color w:val="000000" w:themeColor="text1"/>
                <w:sz w:val="21"/>
                <w:szCs w:val="21"/>
                <w:highlight w:val="none"/>
                <w:lang w:eastAsia="zh-CN"/>
                <w14:textFill>
                  <w14:solidFill>
                    <w14:schemeClr w14:val="tx1"/>
                  </w14:solidFill>
                </w14:textFill>
              </w:rPr>
              <w:t>我方</w:t>
            </w:r>
            <w:r>
              <w:rPr>
                <w:rFonts w:hint="eastAsia" w:ascii="宋体" w:hAnsi="宋体" w:eastAsia="宋体" w:cs="宋体"/>
                <w:color w:val="000000" w:themeColor="text1"/>
                <w:sz w:val="21"/>
                <w:szCs w:val="21"/>
                <w:highlight w:val="none"/>
                <w14:textFill>
                  <w14:solidFill>
                    <w14:schemeClr w14:val="tx1"/>
                  </w14:solidFill>
                </w14:textFill>
              </w:rPr>
              <w:t>须在逾期第壹天起每天按</w:t>
            </w:r>
            <w:r>
              <w:rPr>
                <w:rFonts w:hint="eastAsia" w:ascii="宋体" w:hAnsi="宋体" w:eastAsia="宋体" w:cs="宋体"/>
                <w:color w:val="000000" w:themeColor="text1"/>
                <w:sz w:val="21"/>
                <w:szCs w:val="21"/>
                <w:highlight w:val="none"/>
                <w:lang w:eastAsia="zh-CN"/>
                <w14:textFill>
                  <w14:solidFill>
                    <w14:schemeClr w14:val="tx1"/>
                  </w14:solidFill>
                </w14:textFill>
              </w:rPr>
              <w:t>勘察</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设计费合同价款的1‰向招标人返纳逾期违约金</w:t>
            </w:r>
            <w:r>
              <w:rPr>
                <w:rFonts w:hint="eastAsia" w:ascii="宋体" w:hAnsi="宋体" w:eastAsia="宋体" w:cs="宋体"/>
                <w:color w:val="000000" w:themeColor="text1"/>
                <w:sz w:val="21"/>
                <w:szCs w:val="21"/>
                <w:highlight w:val="none"/>
                <w:lang w:eastAsia="zh-CN"/>
                <w14:textFill>
                  <w14:solidFill>
                    <w14:schemeClr w14:val="tx1"/>
                  </w14:solidFill>
                </w14:textFill>
              </w:rPr>
              <w:t>，勘察</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逾期违约金的最高限额为合同勘察</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设计</w:t>
            </w:r>
            <w:r>
              <w:rPr>
                <w:rFonts w:hint="eastAsia" w:ascii="宋体" w:hAnsi="宋体" w:eastAsia="宋体" w:cs="宋体"/>
                <w:color w:val="000000" w:themeColor="text1"/>
                <w:sz w:val="21"/>
                <w:szCs w:val="21"/>
                <w:highlight w:val="none"/>
                <w:lang w:eastAsia="zh-CN"/>
                <w14:textFill>
                  <w14:solidFill>
                    <w14:schemeClr w14:val="tx1"/>
                  </w14:solidFill>
                </w14:textFill>
              </w:rPr>
              <w:t>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工程没有按期竣工并通过验收时，我方在逾期第壹天起每天按合同价款的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‰向招标人返纳逾期竣工违约金</w:t>
            </w:r>
            <w:r>
              <w:rPr>
                <w:rFonts w:hint="eastAsia" w:ascii="宋体" w:hAnsi="宋体" w:eastAsia="宋体" w:cs="宋体"/>
                <w:color w:val="000000" w:themeColor="text1"/>
                <w:sz w:val="21"/>
                <w:szCs w:val="21"/>
                <w:highlight w:val="none"/>
                <w:lang w:eastAsia="zh-CN"/>
                <w14:textFill>
                  <w14:solidFill>
                    <w14:schemeClr w14:val="tx1"/>
                  </w14:solidFill>
                </w14:textFill>
              </w:rPr>
              <w:t>，逾期竣工违约金的最高限额为合同施工价款的</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r w14:paraId="32B02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EC99678">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w:t>
            </w:r>
          </w:p>
        </w:tc>
        <w:tc>
          <w:tcPr>
            <w:tcW w:w="1234" w:type="dxa"/>
            <w:noWrap w:val="0"/>
            <w:vAlign w:val="center"/>
          </w:tcPr>
          <w:p w14:paraId="37CB0D8D">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安全、文明施工承诺书</w:t>
            </w:r>
          </w:p>
        </w:tc>
        <w:tc>
          <w:tcPr>
            <w:tcW w:w="3073" w:type="dxa"/>
            <w:noWrap w:val="0"/>
            <w:vAlign w:val="center"/>
          </w:tcPr>
          <w:p w14:paraId="643DAC63">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14:paraId="11BA15C0">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若因我方原因，在施工期间发生安全事故，造成施工人员或第三者的伤亡，我方愿意承担由此造成的一切经济损失和法律责任。</w:t>
            </w:r>
          </w:p>
          <w:p w14:paraId="3B29240B">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若我方在施工中发生一般事故及以上等级生产安全事故，可扣除相当于所有“安全防护、文明施工措施费”的管理费。</w:t>
            </w:r>
          </w:p>
        </w:tc>
      </w:tr>
      <w:tr w14:paraId="23D5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305166C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w:t>
            </w:r>
          </w:p>
        </w:tc>
        <w:tc>
          <w:tcPr>
            <w:tcW w:w="1234" w:type="dxa"/>
            <w:noWrap w:val="0"/>
            <w:vAlign w:val="center"/>
          </w:tcPr>
          <w:p w14:paraId="3291A7DA">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质量承诺书</w:t>
            </w:r>
          </w:p>
        </w:tc>
        <w:tc>
          <w:tcPr>
            <w:tcW w:w="3073" w:type="dxa"/>
            <w:noWrap w:val="0"/>
            <w:vAlign w:val="center"/>
          </w:tcPr>
          <w:p w14:paraId="5B684535">
            <w:pPr>
              <w:pStyle w:val="35"/>
              <w:spacing w:line="380" w:lineRule="exact"/>
              <w:ind w:firstLine="56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我方保证按照现行的国家和广东省的有关施工技术规范及现行标准，达到合格标准</w:t>
            </w:r>
          </w:p>
        </w:tc>
        <w:tc>
          <w:tcPr>
            <w:tcW w:w="4796" w:type="dxa"/>
            <w:noWrap w:val="0"/>
            <w:vAlign w:val="center"/>
          </w:tcPr>
          <w:p w14:paraId="5B11A466">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14:paraId="359BF430">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14:paraId="129E1C9C">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14:paraId="04C34C59">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未能在限期内完成质量安全隐患整改的，每逾期一天，向建设单位交纳罚金¥1000元；</w:t>
            </w:r>
          </w:p>
          <w:p w14:paraId="19EA5F6B">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未按规定委派专业人员参加检验批、分部分项工程验收，不及时签署验收记录的，一次向建设（委托）单位交纳违约金¥2000元/次、项；</w:t>
            </w:r>
          </w:p>
          <w:p w14:paraId="2AB7BF2D">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不按规定委派相关人员参加项目竣工验收的，一次向建设单位交纳违约金¥50000元/项，不签署意见的交纳违约金¥50000元。</w:t>
            </w:r>
          </w:p>
        </w:tc>
      </w:tr>
      <w:tr w14:paraId="20DD1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14:paraId="14C050E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8</w:t>
            </w:r>
          </w:p>
        </w:tc>
        <w:tc>
          <w:tcPr>
            <w:tcW w:w="1234" w:type="dxa"/>
            <w:noWrap w:val="0"/>
            <w:vAlign w:val="center"/>
          </w:tcPr>
          <w:p w14:paraId="02695FE4">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账户承诺</w:t>
            </w:r>
          </w:p>
        </w:tc>
        <w:tc>
          <w:tcPr>
            <w:tcW w:w="3073" w:type="dxa"/>
            <w:noWrap w:val="0"/>
            <w:vAlign w:val="center"/>
          </w:tcPr>
          <w:p w14:paraId="6F61BD00">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我方保证招标人的资金随时可划入合同中规定的我方账户。</w:t>
            </w:r>
          </w:p>
        </w:tc>
        <w:tc>
          <w:tcPr>
            <w:tcW w:w="4796" w:type="dxa"/>
            <w:noWrap w:val="0"/>
            <w:vAlign w:val="center"/>
          </w:tcPr>
          <w:p w14:paraId="59BA984E">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若因我方原因造成招标人的资金无法划入合同中规定的我方</w:t>
            </w:r>
            <w:r>
              <w:rPr>
                <w:rFonts w:hint="eastAsia" w:ascii="宋体" w:hAnsi="宋体" w:eastAsia="宋体" w:cs="宋体"/>
                <w:color w:val="000000" w:themeColor="text1"/>
                <w:sz w:val="21"/>
                <w:szCs w:val="21"/>
                <w:highlight w:val="none"/>
                <w14:textFill>
                  <w14:solidFill>
                    <w14:schemeClr w14:val="tx1"/>
                  </w14:solidFill>
                </w14:textFill>
              </w:rPr>
              <w:t>账</w:t>
            </w:r>
            <w:r>
              <w:rPr>
                <w:rFonts w:hint="eastAsia" w:ascii="宋体" w:hAnsi="宋体" w:eastAsia="宋体" w:cs="宋体"/>
                <w:color w:val="000000" w:themeColor="text1"/>
                <w:spacing w:val="-2"/>
                <w:sz w:val="21"/>
                <w:szCs w:val="21"/>
                <w:highlight w:val="none"/>
                <w14:textFill>
                  <w14:solidFill>
                    <w14:schemeClr w14:val="tx1"/>
                  </w14:solidFill>
                </w14:textFill>
              </w:rPr>
              <w:t>户，如时间达到30日历天，招标人有权终止合同。我方承担由此造成的所有责任及经济损失。</w:t>
            </w:r>
          </w:p>
        </w:tc>
      </w:tr>
      <w:tr w14:paraId="2F98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487B43">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9</w:t>
            </w:r>
          </w:p>
        </w:tc>
        <w:tc>
          <w:tcPr>
            <w:tcW w:w="1234" w:type="dxa"/>
            <w:noWrap w:val="0"/>
            <w:vAlign w:val="center"/>
          </w:tcPr>
          <w:p w14:paraId="48496C40">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工程的配合服务承诺</w:t>
            </w:r>
          </w:p>
        </w:tc>
        <w:tc>
          <w:tcPr>
            <w:tcW w:w="3073" w:type="dxa"/>
            <w:noWrap w:val="0"/>
            <w:vAlign w:val="center"/>
          </w:tcPr>
          <w:p w14:paraId="2C0E482F">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我方服从业主管理，保证配合与工程承包范围内相关的其他标段（工种、分项）工程施工单位的工程施工，不提出额外增加费用的要求。</w:t>
            </w:r>
          </w:p>
        </w:tc>
        <w:tc>
          <w:tcPr>
            <w:tcW w:w="4796" w:type="dxa"/>
            <w:noWrap w:val="0"/>
            <w:vAlign w:val="center"/>
          </w:tcPr>
          <w:p w14:paraId="210F5CD9">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若因我方未及时配合与工程承包范围内相关的其他标段（工种、分项）工程施工单位的工程施工，给招标人或其他施工单位造成损失的，我方承担所有的责任及经济损失。</w:t>
            </w:r>
          </w:p>
        </w:tc>
      </w:tr>
      <w:tr w14:paraId="4D1E0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55C3A2D">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p>
        </w:tc>
        <w:tc>
          <w:tcPr>
            <w:tcW w:w="1234" w:type="dxa"/>
            <w:noWrap w:val="0"/>
            <w:vAlign w:val="center"/>
          </w:tcPr>
          <w:p w14:paraId="50BBA48D">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5EFD5C77">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3A37F7C">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40D91B2A">
            <w:pPr>
              <w:pStyle w:val="64"/>
              <w:spacing w:line="300" w:lineRule="exact"/>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0141EA37">
            <w:pPr>
              <w:pStyle w:val="64"/>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中标人员承诺</w:t>
            </w:r>
          </w:p>
        </w:tc>
        <w:tc>
          <w:tcPr>
            <w:tcW w:w="3073" w:type="dxa"/>
            <w:noWrap w:val="0"/>
            <w:vAlign w:val="center"/>
          </w:tcPr>
          <w:p w14:paraId="6BDA504F">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6156EF29">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339AD7D6">
            <w:pPr>
              <w:pStyle w:val="64"/>
              <w:spacing w:line="300" w:lineRule="exact"/>
              <w:ind w:firstLine="412" w:firstLineChars="200"/>
              <w:jc w:val="center"/>
              <w:rPr>
                <w:rFonts w:hint="eastAsia" w:ascii="宋体" w:hAnsi="宋体" w:eastAsia="宋体" w:cs="宋体"/>
                <w:color w:val="000000" w:themeColor="text1"/>
                <w:spacing w:val="-2"/>
                <w:sz w:val="21"/>
                <w:szCs w:val="21"/>
                <w:highlight w:val="none"/>
                <w14:textFill>
                  <w14:solidFill>
                    <w14:schemeClr w14:val="tx1"/>
                  </w14:solidFill>
                </w14:textFill>
              </w:rPr>
            </w:pPr>
          </w:p>
          <w:p w14:paraId="2C3E0341">
            <w:pPr>
              <w:pStyle w:val="64"/>
              <w:spacing w:line="300" w:lineRule="exact"/>
              <w:ind w:firstLine="412" w:firstLineChars="20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我方保证投标文件中所拟派的中标人员全部配合施工现场管理施工。</w:t>
            </w:r>
          </w:p>
        </w:tc>
        <w:tc>
          <w:tcPr>
            <w:tcW w:w="4796" w:type="dxa"/>
            <w:noWrap w:val="0"/>
            <w:vAlign w:val="center"/>
          </w:tcPr>
          <w:p w14:paraId="48801C4F">
            <w:pPr>
              <w:pStyle w:val="65"/>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设计单位未能在招标人通知的时间内（提前一天通知，紧急情况随时通知）参加设计交底、处理有关设计问题、参加必要部位隐蔽验收和竣工验收等工作，每人次交纳违约金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14:textFill>
                  <w14:solidFill>
                    <w14:schemeClr w14:val="tx1"/>
                  </w14:solidFill>
                </w14:textFill>
              </w:rPr>
              <w:t>1000元。</w:t>
            </w:r>
          </w:p>
          <w:p w14:paraId="66D503B1">
            <w:pPr>
              <w:pStyle w:val="65"/>
              <w:spacing w:line="300" w:lineRule="exact"/>
              <w:ind w:left="0" w:leftChars="0" w:firstLine="420" w:firstLineChars="200"/>
              <w:rPr>
                <w:rFonts w:hint="eastAsia" w:ascii="宋体" w:hAnsi="宋体" w:eastAsia="宋体" w:cs="宋体"/>
                <w:snapToGrid w:val="0"/>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设计单位驻韶办公的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负责人（即投标文件所拟派的</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负责人）必须负责本项目设计全过程（包括施工图设计审查、施工图设计修编、预算跟踪服务、图纸会审和技术交底）。</w:t>
            </w:r>
            <w:r>
              <w:rPr>
                <w:rFonts w:hint="eastAsia" w:ascii="宋体" w:hAnsi="宋体" w:eastAsia="宋体" w:cs="宋体"/>
                <w:snapToGrid w:val="0"/>
                <w:color w:val="000000" w:themeColor="text1"/>
                <w:sz w:val="21"/>
                <w:szCs w:val="21"/>
                <w:highlight w:val="none"/>
                <w:lang w:eastAsia="zh-CN"/>
                <w14:textFill>
                  <w14:solidFill>
                    <w14:schemeClr w14:val="tx1"/>
                  </w14:solidFill>
                </w14:textFill>
              </w:rPr>
              <w:t>设计</w:t>
            </w:r>
            <w:r>
              <w:rPr>
                <w:rFonts w:hint="eastAsia" w:ascii="宋体" w:hAnsi="宋体" w:eastAsia="宋体" w:cs="宋体"/>
                <w:snapToGrid w:val="0"/>
                <w:color w:val="000000" w:themeColor="text1"/>
                <w:sz w:val="21"/>
                <w:szCs w:val="21"/>
                <w:highlight w:val="none"/>
                <w14:textFill>
                  <w14:solidFill>
                    <w14:schemeClr w14:val="tx1"/>
                  </w14:solidFill>
                </w14:textFill>
              </w:rPr>
              <w:t>负责人未准时参加上述环节工作的，每缺席一次交纳违约金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snapToGrid w:val="0"/>
                <w:color w:val="000000" w:themeColor="text1"/>
                <w:sz w:val="21"/>
                <w:szCs w:val="21"/>
                <w:highlight w:val="none"/>
                <w:lang w:val="en-US" w:eastAsia="zh-CN"/>
                <w14:textFill>
                  <w14:solidFill>
                    <w14:schemeClr w14:val="tx1"/>
                  </w14:solidFill>
                </w14:textFill>
              </w:rPr>
              <w:t>2</w:t>
            </w:r>
            <w:r>
              <w:rPr>
                <w:rFonts w:hint="eastAsia" w:ascii="宋体" w:hAnsi="宋体" w:eastAsia="宋体" w:cs="宋体"/>
                <w:snapToGrid w:val="0"/>
                <w:color w:val="000000" w:themeColor="text1"/>
                <w:sz w:val="21"/>
                <w:szCs w:val="21"/>
                <w:highlight w:val="none"/>
                <w14:textFill>
                  <w14:solidFill>
                    <w14:schemeClr w14:val="tx1"/>
                  </w14:solidFill>
                </w14:textFill>
              </w:rPr>
              <w:t>000元（以招标人发出的违约通知为准）。</w:t>
            </w:r>
          </w:p>
          <w:p w14:paraId="734BF04B">
            <w:pPr>
              <w:pStyle w:val="65"/>
              <w:spacing w:line="300" w:lineRule="exact"/>
              <w:ind w:left="0" w:leftChars="0"/>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snapToGrid w:val="0"/>
                <w:color w:val="000000" w:themeColor="text1"/>
                <w:sz w:val="21"/>
                <w:szCs w:val="21"/>
                <w:highlight w:val="none"/>
                <w14:textFill>
                  <w14:solidFill>
                    <w14:schemeClr w14:val="tx1"/>
                  </w14:solidFill>
                </w14:textFill>
              </w:rPr>
              <w:t>设计单位应委派1名参与并熟悉本项目设计任务，有现场处理经验的设计代表常驻项目现场。中标人应为派驻现场的设计工作人员提供工作、生活及交通等方面的便利条件及准备必要的劳动保护装备。在正常施工阶段，每月应保证最少20天在现场。未经招标人书面许可，缺少1天向建设单位每人每天支付违约金¥2000元/天。</w:t>
            </w:r>
          </w:p>
        </w:tc>
      </w:tr>
      <w:tr w14:paraId="49081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F4914B9">
            <w:pPr>
              <w:pStyle w:val="35"/>
              <w:spacing w:line="38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p>
        </w:tc>
        <w:tc>
          <w:tcPr>
            <w:tcW w:w="1234" w:type="dxa"/>
            <w:noWrap w:val="0"/>
            <w:vAlign w:val="center"/>
          </w:tcPr>
          <w:p w14:paraId="51A1CB7E">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项目管理班子人员承诺</w:t>
            </w:r>
          </w:p>
        </w:tc>
        <w:tc>
          <w:tcPr>
            <w:tcW w:w="3073" w:type="dxa"/>
            <w:noWrap w:val="0"/>
            <w:vAlign w:val="center"/>
          </w:tcPr>
          <w:p w14:paraId="6357FC92">
            <w:pPr>
              <w:pStyle w:val="62"/>
              <w:spacing w:line="4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我方保证投标文件中所拟派的项目经理、技术负责人、施工员、质量员、安全员等工程管理人员全部在施工现场管理施工</w:t>
            </w:r>
          </w:p>
        </w:tc>
        <w:tc>
          <w:tcPr>
            <w:tcW w:w="4796" w:type="dxa"/>
            <w:noWrap w:val="0"/>
            <w:vAlign w:val="center"/>
          </w:tcPr>
          <w:p w14:paraId="29398FF2">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承诺施工期间如左所叙施工现场管理人员按要求每日办理签到手续，如未经招标人同意未办理签到，向建设单位每人每天支付违约金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2"/>
                <w:sz w:val="21"/>
                <w:szCs w:val="21"/>
                <w:highlight w:val="none"/>
                <w14:textFill>
                  <w14:solidFill>
                    <w14:schemeClr w14:val="tx1"/>
                  </w14:solidFill>
                </w14:textFill>
              </w:rPr>
              <w:t>00元（项目经理未签到每天支付违约金</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000元）；</w:t>
            </w:r>
          </w:p>
          <w:p w14:paraId="0449E707">
            <w:pPr>
              <w:pStyle w:val="60"/>
              <w:spacing w:line="380" w:lineRule="exact"/>
              <w:ind w:firstLine="412"/>
              <w:rPr>
                <w:rFonts w:hint="eastAsia" w:ascii="宋体" w:hAnsi="宋体" w:eastAsia="宋体" w:cs="宋体"/>
                <w:color w:val="000000" w:themeColor="text1"/>
                <w:spacing w:val="-2"/>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若我方的投标文件中所拟派的如左所述任何一个管理人员未经招标人或招标人同意擅自离岗，在一个月内达到10次/人，或项目经理、技术负责人在施工过程中每月驻场少于2</w:t>
            </w:r>
            <w:r>
              <w:rPr>
                <w:rFonts w:hint="eastAsia" w:ascii="宋体" w:hAnsi="宋体" w:eastAsia="宋体" w:cs="宋体"/>
                <w:color w:val="000000" w:themeColor="text1"/>
                <w:spacing w:val="-2"/>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pacing w:val="-2"/>
                <w:sz w:val="21"/>
                <w:szCs w:val="21"/>
                <w:highlight w:val="none"/>
                <w14:textFill>
                  <w14:solidFill>
                    <w14:schemeClr w14:val="tx1"/>
                  </w14:solidFill>
                </w14:textFill>
              </w:rPr>
              <w:t>天的，招标人有权终止合同。我方承担由此造成的所有责任及经济损失。</w:t>
            </w:r>
          </w:p>
        </w:tc>
      </w:tr>
      <w:tr w14:paraId="4F091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14:paraId="1B34018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w:t>
            </w:r>
          </w:p>
        </w:tc>
        <w:tc>
          <w:tcPr>
            <w:tcW w:w="1234" w:type="dxa"/>
            <w:noWrap w:val="0"/>
            <w:vAlign w:val="center"/>
          </w:tcPr>
          <w:p w14:paraId="572A10B7">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对支付农民工工资的承诺</w:t>
            </w:r>
          </w:p>
        </w:tc>
        <w:tc>
          <w:tcPr>
            <w:tcW w:w="3073" w:type="dxa"/>
            <w:noWrap w:val="0"/>
            <w:vAlign w:val="center"/>
          </w:tcPr>
          <w:p w14:paraId="164AB79E">
            <w:pPr>
              <w:pStyle w:val="60"/>
              <w:spacing w:line="380" w:lineRule="exact"/>
              <w:ind w:firstLine="206"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w:t>
            </w:r>
          </w:p>
        </w:tc>
        <w:tc>
          <w:tcPr>
            <w:tcW w:w="4796" w:type="dxa"/>
            <w:noWrap w:val="0"/>
            <w:vAlign w:val="center"/>
          </w:tcPr>
          <w:p w14:paraId="4CBB4832">
            <w:pPr>
              <w:pStyle w:val="60"/>
              <w:spacing w:line="380" w:lineRule="exact"/>
              <w:ind w:firstLine="412"/>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如我方中标，我方无条件同意按照用工合同支付</w:t>
            </w:r>
            <w:r>
              <w:rPr>
                <w:rFonts w:hint="eastAsia" w:ascii="宋体" w:hAnsi="宋体" w:eastAsia="宋体" w:cs="宋体"/>
                <w:color w:val="000000" w:themeColor="text1"/>
                <w:sz w:val="21"/>
                <w:szCs w:val="21"/>
                <w:highlight w:val="none"/>
                <w14:textFill>
                  <w14:solidFill>
                    <w14:schemeClr w14:val="tx1"/>
                  </w14:solidFill>
                </w14:textFill>
              </w:rPr>
              <w:t>农民工工资。否则，招标人有权终止合同，扣除履约保证金，并由招标人先行垫付农民工被拖欠的工资，数额以未结清的工程数为限。</w:t>
            </w:r>
          </w:p>
        </w:tc>
      </w:tr>
      <w:tr w14:paraId="1E5FA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57F6B66">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w:t>
            </w:r>
          </w:p>
        </w:tc>
        <w:tc>
          <w:tcPr>
            <w:tcW w:w="1234" w:type="dxa"/>
            <w:noWrap w:val="0"/>
            <w:vAlign w:val="center"/>
          </w:tcPr>
          <w:p w14:paraId="6B8BB558">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施工组织设计承诺</w:t>
            </w:r>
          </w:p>
        </w:tc>
        <w:tc>
          <w:tcPr>
            <w:tcW w:w="3073" w:type="dxa"/>
            <w:noWrap w:val="0"/>
            <w:vAlign w:val="center"/>
          </w:tcPr>
          <w:p w14:paraId="280CF969">
            <w:pPr>
              <w:pStyle w:val="60"/>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我方保证施工组织设计按照国家省市有关规定进行编写。</w:t>
            </w:r>
          </w:p>
        </w:tc>
        <w:tc>
          <w:tcPr>
            <w:tcW w:w="4796" w:type="dxa"/>
            <w:noWrap w:val="0"/>
            <w:vAlign w:val="center"/>
          </w:tcPr>
          <w:p w14:paraId="771F6BE2">
            <w:pPr>
              <w:pStyle w:val="60"/>
              <w:spacing w:line="380" w:lineRule="exact"/>
              <w:ind w:firstLine="210" w:firstLineChars="1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如我方的施工组织设计未根据招标项目情况按照国家省市有关规定进行编写的，扣除全部履约保证金。</w:t>
            </w:r>
          </w:p>
        </w:tc>
      </w:tr>
      <w:tr w14:paraId="72AAB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69CBA5F7">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w:t>
            </w:r>
          </w:p>
        </w:tc>
        <w:tc>
          <w:tcPr>
            <w:tcW w:w="1234" w:type="dxa"/>
            <w:noWrap w:val="0"/>
            <w:vAlign w:val="center"/>
          </w:tcPr>
          <w:p w14:paraId="585B1CF5">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设计承诺</w:t>
            </w:r>
          </w:p>
        </w:tc>
        <w:tc>
          <w:tcPr>
            <w:tcW w:w="3073" w:type="dxa"/>
            <w:noWrap w:val="0"/>
            <w:vAlign w:val="center"/>
          </w:tcPr>
          <w:p w14:paraId="06FDF4B4">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如我方中标，我方保证按设计规范及有关法律法规进行设计，并准时提供相应设计文件经审图机构审查通过。</w:t>
            </w:r>
          </w:p>
        </w:tc>
        <w:tc>
          <w:tcPr>
            <w:tcW w:w="4796" w:type="dxa"/>
            <w:noWrap w:val="0"/>
            <w:vAlign w:val="center"/>
          </w:tcPr>
          <w:p w14:paraId="01EA568A">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14:paraId="4ABDC80B">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由于设计人设计工作错误造成工程设计质量事故，根据责任情况，负责赔偿工程损失费，但最高不超过该项目应收设计费总额，负责采取补救措施。</w:t>
            </w:r>
          </w:p>
          <w:p w14:paraId="10D93F7D">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施工期间除发包人要求或特殊地质原因外，因设计质量和深度不够的原因引起的工程返工或需要设计变更引起工程造价增加的，每次扣减勘察设计合同价款中设计费的2％，扣完为止。</w:t>
            </w:r>
          </w:p>
          <w:p w14:paraId="3C6DF7EF">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因设计单位自身原因造成工程结算超施工招标中标价的，扣除应付设计合同价款中的余款。</w:t>
            </w:r>
          </w:p>
        </w:tc>
      </w:tr>
      <w:tr w14:paraId="7AC1F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78A5C725">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15</w:t>
            </w:r>
          </w:p>
        </w:tc>
        <w:tc>
          <w:tcPr>
            <w:tcW w:w="1234" w:type="dxa"/>
            <w:noWrap w:val="0"/>
            <w:vAlign w:val="center"/>
          </w:tcPr>
          <w:p w14:paraId="17085DFB">
            <w:pPr>
              <w:pStyle w:val="66"/>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勘察承诺</w:t>
            </w:r>
          </w:p>
        </w:tc>
        <w:tc>
          <w:tcPr>
            <w:tcW w:w="3073" w:type="dxa"/>
            <w:noWrap w:val="0"/>
            <w:vAlign w:val="center"/>
          </w:tcPr>
          <w:p w14:paraId="0C3896F7">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如我方中标，我方保证按勘察规范及有关法律法规进行勘察，并准时提供相应满足设计要求的勘察成果。</w:t>
            </w:r>
          </w:p>
        </w:tc>
        <w:tc>
          <w:tcPr>
            <w:tcW w:w="4796" w:type="dxa"/>
            <w:noWrap w:val="0"/>
            <w:vAlign w:val="center"/>
          </w:tcPr>
          <w:p w14:paraId="4C284FC2">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未能按招标文件要求提供勘察成果，招标人有权终止合同，扣除勘察费的10%作为违约罚款，并由招标人另行委托相应资质的单位进行勘察，其费用由中标人支付，施工工期不予顺延且不另外计取赶工措施费。</w:t>
            </w:r>
          </w:p>
          <w:p w14:paraId="47FACFBA">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地质勘探过程中，发包人可随时到现场抽检勘探情况，发现有造假现象的，扣除勘察设计合同价款中勘察费的10%。发现两次以上的则发包人有权解除合同。</w:t>
            </w:r>
          </w:p>
          <w:p w14:paraId="778F1F01">
            <w:pPr>
              <w:pStyle w:val="67"/>
              <w:spacing w:line="300" w:lineRule="exact"/>
              <w:ind w:left="0" w:leftChars="0"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施工过程中，发现现场地质情况与同位置勘察点的勘察成果不符时，每发现一处，需扣除勘察设计合同价款中勘察费的5%，扣完为止。同时免费负责补充相应的地质勘察工作。</w:t>
            </w:r>
          </w:p>
        </w:tc>
      </w:tr>
      <w:tr w14:paraId="1EEEF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16E3174">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16</w:t>
            </w:r>
          </w:p>
        </w:tc>
        <w:tc>
          <w:tcPr>
            <w:tcW w:w="1234" w:type="dxa"/>
            <w:noWrap w:val="0"/>
            <w:vAlign w:val="center"/>
          </w:tcPr>
          <w:p w14:paraId="4471B0CF">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综合服务能力承诺</w:t>
            </w:r>
          </w:p>
        </w:tc>
        <w:tc>
          <w:tcPr>
            <w:tcW w:w="3073" w:type="dxa"/>
            <w:noWrap w:val="0"/>
            <w:vAlign w:val="center"/>
          </w:tcPr>
          <w:p w14:paraId="1F937805">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我方保证中标后，自行解决施工中遇到的各种外部问题，协调周边企业、村民关系，并承担由此产生的所以责任及损失。</w:t>
            </w:r>
          </w:p>
        </w:tc>
        <w:tc>
          <w:tcPr>
            <w:tcW w:w="4796" w:type="dxa"/>
            <w:noWrap w:val="0"/>
            <w:vAlign w:val="center"/>
          </w:tcPr>
          <w:p w14:paraId="32A4256B">
            <w:pPr>
              <w:pStyle w:val="60"/>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53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7D89ADB">
            <w:pPr>
              <w:pStyle w:val="35"/>
              <w:spacing w:line="38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17</w:t>
            </w:r>
          </w:p>
        </w:tc>
        <w:tc>
          <w:tcPr>
            <w:tcW w:w="1234" w:type="dxa"/>
            <w:noWrap w:val="0"/>
            <w:vAlign w:val="center"/>
          </w:tcPr>
          <w:p w14:paraId="4306825F">
            <w:pPr>
              <w:pStyle w:val="6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廉政承诺</w:t>
            </w:r>
          </w:p>
        </w:tc>
        <w:tc>
          <w:tcPr>
            <w:tcW w:w="3073" w:type="dxa"/>
            <w:noWrap w:val="0"/>
            <w:vAlign w:val="center"/>
          </w:tcPr>
          <w:p w14:paraId="0C29C104">
            <w:pPr>
              <w:pStyle w:val="6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如我方中标，我方将严格执行国家、广东省、韶关市有关工程建设廉政的有关法律法规及双方签订的廉政合同。</w:t>
            </w:r>
          </w:p>
        </w:tc>
        <w:tc>
          <w:tcPr>
            <w:tcW w:w="4796" w:type="dxa"/>
            <w:noWrap w:val="0"/>
            <w:vAlign w:val="center"/>
          </w:tcPr>
          <w:p w14:paraId="675E7C52">
            <w:pPr>
              <w:pStyle w:val="60"/>
              <w:spacing w:line="380" w:lineRule="exact"/>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14:paraId="65B6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0C6DB75F">
            <w:pPr>
              <w:pStyle w:val="35"/>
              <w:spacing w:line="24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18</w:t>
            </w:r>
          </w:p>
        </w:tc>
        <w:tc>
          <w:tcPr>
            <w:tcW w:w="1234" w:type="dxa"/>
            <w:noWrap w:val="0"/>
            <w:vAlign w:val="center"/>
          </w:tcPr>
          <w:p w14:paraId="57AB79D9">
            <w:pPr>
              <w:spacing w:line="300" w:lineRule="exact"/>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对外协调关系承诺</w:t>
            </w:r>
          </w:p>
        </w:tc>
        <w:tc>
          <w:tcPr>
            <w:tcW w:w="3073" w:type="dxa"/>
            <w:noWrap w:val="0"/>
            <w:vAlign w:val="center"/>
          </w:tcPr>
          <w:p w14:paraId="089CE4C2">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我方保证中标后，自行解决施工中遇到的各种外部问题，协调周边企业、村民关系，并承担由此产生的所有责任及损失。</w:t>
            </w:r>
          </w:p>
        </w:tc>
        <w:tc>
          <w:tcPr>
            <w:tcW w:w="4796" w:type="dxa"/>
            <w:noWrap w:val="0"/>
            <w:vAlign w:val="center"/>
          </w:tcPr>
          <w:p w14:paraId="58E1BDE3">
            <w:pPr>
              <w:pStyle w:val="9"/>
              <w:spacing w:line="30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若我方未能按招标文件所承诺的各项承诺完成时，我方同意按比例扣除相应履约保证金，并承担由此引起的所有责任。</w:t>
            </w:r>
          </w:p>
        </w:tc>
      </w:tr>
      <w:tr w14:paraId="72B08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19773501">
            <w:pPr>
              <w:pStyle w:val="7"/>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19</w:t>
            </w:r>
          </w:p>
        </w:tc>
        <w:tc>
          <w:tcPr>
            <w:tcW w:w="1234" w:type="dxa"/>
            <w:noWrap w:val="0"/>
            <w:vAlign w:val="center"/>
          </w:tcPr>
          <w:p w14:paraId="7EBE6FAC">
            <w:pPr>
              <w:pStyle w:val="60"/>
              <w:wordWrap w:val="0"/>
              <w:adjustRightInd w:val="0"/>
              <w:snapToGrid w:val="0"/>
              <w:spacing w:line="38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投标文件信息公开承诺</w:t>
            </w:r>
          </w:p>
        </w:tc>
        <w:tc>
          <w:tcPr>
            <w:tcW w:w="3073" w:type="dxa"/>
            <w:noWrap w:val="0"/>
            <w:vAlign w:val="center"/>
          </w:tcPr>
          <w:p w14:paraId="33100E59">
            <w:pPr>
              <w:pStyle w:val="60"/>
              <w:wordWrap w:val="0"/>
              <w:adjustRightInd w:val="0"/>
              <w:snapToGrid w:val="0"/>
              <w:spacing w:line="380" w:lineRule="exact"/>
              <w:ind w:firstLine="42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我方提供完整的电子文件。如</w:t>
            </w:r>
            <w:r>
              <w:rPr>
                <w:rFonts w:hint="eastAsia" w:ascii="宋体" w:hAnsi="宋体" w:eastAsia="宋体" w:cs="宋体"/>
                <w:color w:val="000000" w:themeColor="text1"/>
                <w:sz w:val="21"/>
                <w:szCs w:val="21"/>
                <w:highlight w:val="none"/>
                <w:lang w:eastAsia="zh-CN"/>
                <w14:textFill>
                  <w14:solidFill>
                    <w14:schemeClr w14:val="tx1"/>
                  </w14:solidFill>
                </w14:textFill>
              </w:rPr>
              <w:t>果</w:t>
            </w:r>
            <w:r>
              <w:rPr>
                <w:rFonts w:hint="eastAsia" w:ascii="宋体" w:hAnsi="宋体" w:eastAsia="宋体" w:cs="宋体"/>
                <w:color w:val="000000" w:themeColor="text1"/>
                <w:sz w:val="21"/>
                <w:szCs w:val="21"/>
                <w:highlight w:val="none"/>
                <w14:textFill>
                  <w14:solidFill>
                    <w14:schemeClr w14:val="tx1"/>
                  </w14:solidFill>
                </w14:textFill>
              </w:rPr>
              <w:t>我方成为本项目中标候选人，我方同意并授权招标人</w:t>
            </w:r>
            <w:r>
              <w:rPr>
                <w:rFonts w:hint="eastAsia" w:ascii="宋体" w:hAnsi="宋体" w:eastAsia="宋体" w:cs="宋体"/>
                <w:color w:val="000000" w:themeColor="text1"/>
                <w:sz w:val="21"/>
                <w:szCs w:val="21"/>
                <w:highlight w:val="none"/>
                <w:lang w:eastAsia="zh-CN"/>
                <w14:textFill>
                  <w14:solidFill>
                    <w14:schemeClr w14:val="tx1"/>
                  </w14:solidFill>
                </w14:textFill>
              </w:rPr>
              <w:t>在评标结果公示期内公开</w:t>
            </w:r>
            <w:r>
              <w:rPr>
                <w:rFonts w:hint="eastAsia" w:ascii="宋体" w:hAnsi="宋体" w:eastAsia="宋体" w:cs="宋体"/>
                <w:color w:val="000000" w:themeColor="text1"/>
                <w:sz w:val="21"/>
                <w:szCs w:val="21"/>
                <w:highlight w:val="none"/>
                <w14:textFill>
                  <w14:solidFill>
                    <w14:schemeClr w14:val="tx1"/>
                  </w14:solidFill>
                </w14:textFill>
              </w:rPr>
              <w:t>我方商务部分的</w:t>
            </w:r>
            <w:r>
              <w:rPr>
                <w:rFonts w:hint="eastAsia" w:ascii="宋体" w:hAnsi="宋体" w:eastAsia="宋体" w:cs="宋体"/>
                <w:color w:val="000000" w:themeColor="text1"/>
                <w:sz w:val="21"/>
                <w:szCs w:val="21"/>
                <w:highlight w:val="none"/>
                <w:lang w:eastAsia="zh-CN"/>
                <w14:textFill>
                  <w14:solidFill>
                    <w14:schemeClr w14:val="tx1"/>
                  </w14:solidFill>
                </w14:textFill>
              </w:rPr>
              <w:t>全部</w:t>
            </w:r>
            <w:r>
              <w:rPr>
                <w:rFonts w:hint="eastAsia" w:ascii="宋体" w:hAnsi="宋体" w:eastAsia="宋体" w:cs="宋体"/>
                <w:color w:val="000000" w:themeColor="text1"/>
                <w:sz w:val="21"/>
                <w:szCs w:val="21"/>
                <w:highlight w:val="none"/>
                <w14:textFill>
                  <w14:solidFill>
                    <w14:schemeClr w14:val="tx1"/>
                  </w14:solidFill>
                </w14:textFill>
              </w:rPr>
              <w:t>内容。</w:t>
            </w:r>
          </w:p>
        </w:tc>
        <w:tc>
          <w:tcPr>
            <w:tcW w:w="4796" w:type="dxa"/>
            <w:tcBorders>
              <w:tr2bl w:val="single" w:color="auto" w:sz="4" w:space="0"/>
            </w:tcBorders>
            <w:noWrap w:val="0"/>
            <w:vAlign w:val="center"/>
          </w:tcPr>
          <w:p w14:paraId="53324650">
            <w:pPr>
              <w:pStyle w:val="60"/>
              <w:wordWrap w:val="0"/>
              <w:adjustRightInd w:val="0"/>
              <w:snapToGrid w:val="0"/>
              <w:spacing w:line="380" w:lineRule="exact"/>
              <w:ind w:firstLine="0" w:firstLineChars="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 xml:space="preserve">   </w:t>
            </w:r>
          </w:p>
        </w:tc>
      </w:tr>
      <w:tr w14:paraId="7814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24B4BD6">
            <w:pPr>
              <w:pStyle w:val="7"/>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p>
        </w:tc>
        <w:tc>
          <w:tcPr>
            <w:tcW w:w="1234" w:type="dxa"/>
            <w:noWrap w:val="0"/>
            <w:vAlign w:val="center"/>
          </w:tcPr>
          <w:p w14:paraId="66B21A03">
            <w:pPr>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按时签订合同的承诺</w:t>
            </w:r>
          </w:p>
        </w:tc>
        <w:tc>
          <w:tcPr>
            <w:tcW w:w="3073" w:type="dxa"/>
            <w:noWrap w:val="0"/>
            <w:vAlign w:val="center"/>
          </w:tcPr>
          <w:p w14:paraId="096674D2">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如果我方中标，我方保证在招标文件规定的时限内与招标人签订合同，不提出违背或超出招标文件、中标文件的要求。</w:t>
            </w:r>
          </w:p>
        </w:tc>
        <w:tc>
          <w:tcPr>
            <w:tcW w:w="4796" w:type="dxa"/>
            <w:noWrap w:val="0"/>
            <w:vAlign w:val="center"/>
          </w:tcPr>
          <w:p w14:paraId="0916CEC1">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snapToGrid w:val="0"/>
                <w:color w:val="000000" w:themeColor="text1"/>
                <w:kern w:val="0"/>
                <w:sz w:val="21"/>
                <w:szCs w:val="21"/>
                <w:highlight w:val="none"/>
                <w14:textFill>
                  <w14:solidFill>
                    <w14:schemeClr w14:val="tx1"/>
                  </w14:solidFill>
                </w14:textFill>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r w14:paraId="3541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2D952E80">
            <w:pPr>
              <w:pStyle w:val="7"/>
              <w:spacing w:line="38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w:t>
            </w:r>
          </w:p>
        </w:tc>
        <w:tc>
          <w:tcPr>
            <w:tcW w:w="1234" w:type="dxa"/>
            <w:noWrap w:val="0"/>
            <w:vAlign w:val="center"/>
          </w:tcPr>
          <w:p w14:paraId="0951A09C">
            <w:pPr>
              <w:pStyle w:val="60"/>
              <w:snapToGrid w:val="0"/>
              <w:spacing w:line="400" w:lineRule="exact"/>
              <w:ind w:firstLine="0" w:firstLine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质量安全受检承诺</w:t>
            </w:r>
          </w:p>
        </w:tc>
        <w:tc>
          <w:tcPr>
            <w:tcW w:w="3073" w:type="dxa"/>
            <w:noWrap w:val="0"/>
            <w:vAlign w:val="center"/>
          </w:tcPr>
          <w:p w14:paraId="103581FF">
            <w:pPr>
              <w:pStyle w:val="60"/>
              <w:snapToGrid w:val="0"/>
              <w:spacing w:line="400" w:lineRule="exact"/>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我方中标，我方承诺本项目在建设过程中，设计及施工的质量安全等相关实施内容按照业主单位、发包单位的相关管理规定和质量安全考核要求，随时接受业主单位、发包单位自行或委托的第三方的监督检查及考核，我方保证无条件配合。</w:t>
            </w:r>
          </w:p>
        </w:tc>
        <w:tc>
          <w:tcPr>
            <w:tcW w:w="4796" w:type="dxa"/>
            <w:noWrap w:val="0"/>
            <w:vAlign w:val="center"/>
          </w:tcPr>
          <w:p w14:paraId="471E2361">
            <w:pPr>
              <w:pStyle w:val="60"/>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如我方不配合或未通过相关的监督检查及考核，我方承诺接受业主单位、发包单位的相关管理规定和处罚，并承担相应的责任。</w:t>
            </w:r>
          </w:p>
        </w:tc>
      </w:tr>
      <w:tr w14:paraId="5E06A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14:paraId="590414ED">
            <w:pPr>
              <w:pStyle w:val="7"/>
              <w:spacing w:line="38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22</w:t>
            </w:r>
          </w:p>
        </w:tc>
        <w:tc>
          <w:tcPr>
            <w:tcW w:w="1234" w:type="dxa"/>
            <w:noWrap w:val="0"/>
            <w:vAlign w:val="center"/>
          </w:tcPr>
          <w:p w14:paraId="7055292D">
            <w:pPr>
              <w:pStyle w:val="60"/>
              <w:snapToGrid w:val="0"/>
              <w:spacing w:line="400" w:lineRule="exact"/>
              <w:ind w:firstLine="0" w:firstLineChars="0"/>
              <w:jc w:val="center"/>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对工程预付款的使用承诺</w:t>
            </w:r>
          </w:p>
        </w:tc>
        <w:tc>
          <w:tcPr>
            <w:tcW w:w="3073" w:type="dxa"/>
            <w:noWrap w:val="0"/>
            <w:vAlign w:val="center"/>
          </w:tcPr>
          <w:p w14:paraId="6319074A">
            <w:pPr>
              <w:pStyle w:val="60"/>
              <w:snapToGrid w:val="0"/>
              <w:spacing w:line="400" w:lineRule="exact"/>
              <w:ind w:firstLine="420" w:firstLineChars="200"/>
              <w:rPr>
                <w:rFonts w:hint="eastAsia" w:ascii="宋体" w:hAnsi="宋体" w:eastAsia="宋体" w:cs="宋体"/>
                <w:snapToGrid w:val="0"/>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我方保证工程预付款用于主要建筑材料的备料及支付工人工资。</w:t>
            </w:r>
          </w:p>
        </w:tc>
        <w:tc>
          <w:tcPr>
            <w:tcW w:w="4796" w:type="dxa"/>
            <w:tcBorders>
              <w:tr2bl w:val="single" w:color="auto" w:sz="4" w:space="0"/>
            </w:tcBorders>
            <w:noWrap w:val="0"/>
            <w:vAlign w:val="center"/>
          </w:tcPr>
          <w:p w14:paraId="77E1D587">
            <w:pPr>
              <w:pStyle w:val="60"/>
              <w:wordWrap w:val="0"/>
              <w:adjustRightInd w:val="0"/>
              <w:snapToGrid w:val="0"/>
              <w:spacing w:line="380" w:lineRule="exact"/>
              <w:ind w:firstLine="420"/>
              <w:rPr>
                <w:rFonts w:hint="eastAsia" w:ascii="宋体" w:hAnsi="宋体" w:eastAsia="宋体" w:cs="宋体"/>
                <w:snapToGrid w:val="0"/>
                <w:color w:val="000000" w:themeColor="text1"/>
                <w:kern w:val="0"/>
                <w:sz w:val="21"/>
                <w:szCs w:val="21"/>
                <w:highlight w:val="none"/>
                <w14:textFill>
                  <w14:solidFill>
                    <w14:schemeClr w14:val="tx1"/>
                  </w14:solidFill>
                </w14:textFill>
              </w:rPr>
            </w:pPr>
          </w:p>
        </w:tc>
      </w:tr>
    </w:tbl>
    <w:p w14:paraId="44326297">
      <w:pPr>
        <w:pStyle w:val="68"/>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8243121">
      <w:pPr>
        <w:pStyle w:val="68"/>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注：所有违约金均从中标人的进度款中扣除，最终结算以扣除违约金总数后的金额为准。</w:t>
      </w:r>
    </w:p>
    <w:p w14:paraId="4F109FDC">
      <w:pPr>
        <w:pStyle w:val="35"/>
        <w:spacing w:line="400" w:lineRule="exact"/>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0BE4A8C5">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投标人：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（盖单位章）</w:t>
      </w:r>
    </w:p>
    <w:p w14:paraId="6DF638EC">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p>
    <w:p w14:paraId="275CDFC8">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法定代表人或其委托代理人：</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（签字或盖章）</w:t>
      </w:r>
    </w:p>
    <w:p w14:paraId="7E57DB37">
      <w:pPr>
        <w:pStyle w:val="11"/>
        <w:wordWrap w:val="0"/>
        <w:adjustRightInd w:val="0"/>
        <w:snapToGrid w:val="0"/>
        <w:spacing w:line="420" w:lineRule="exact"/>
        <w:ind w:firstLine="480" w:firstLineChars="200"/>
        <w:jc w:val="right"/>
        <w:rPr>
          <w:rFonts w:hint="eastAsia" w:ascii="宋体" w:hAnsi="宋体" w:eastAsia="宋体" w:cs="宋体"/>
          <w:snapToGrid w:val="0"/>
          <w:color w:val="000000" w:themeColor="text1"/>
          <w:kern w:val="0"/>
          <w:sz w:val="24"/>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p>
    <w:p w14:paraId="6A141A49">
      <w:pPr>
        <w:widowControl/>
        <w:jc w:val="righ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宋体" w:hAnsi="宋体" w:eastAsia="宋体" w:cs="宋体"/>
          <w:snapToGrid w:val="0"/>
          <w:color w:val="000000" w:themeColor="text1"/>
          <w:kern w:val="0"/>
          <w:sz w:val="24"/>
          <w:szCs w:val="24"/>
          <w:highlight w:val="non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年</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月</w:t>
      </w:r>
      <w:r>
        <w:rPr>
          <w:rFonts w:hint="eastAsia" w:ascii="宋体" w:hAnsi="宋体" w:eastAsia="宋体" w:cs="宋体"/>
          <w:snapToGrid w:val="0"/>
          <w:color w:val="000000" w:themeColor="text1"/>
          <w:kern w:val="0"/>
          <w:sz w:val="24"/>
          <w:szCs w:val="24"/>
          <w:highlight w:val="none"/>
          <w:u w:val="single"/>
          <w14:textFill>
            <w14:solidFill>
              <w14:schemeClr w14:val="tx1"/>
            </w14:solidFill>
          </w14:textFill>
        </w:rPr>
        <w:t xml:space="preserve">    </w:t>
      </w:r>
      <w:r>
        <w:rPr>
          <w:rFonts w:hint="eastAsia" w:ascii="宋体" w:hAnsi="宋体" w:eastAsia="宋体" w:cs="宋体"/>
          <w:snapToGrid w:val="0"/>
          <w:color w:val="000000" w:themeColor="text1"/>
          <w:kern w:val="0"/>
          <w:sz w:val="24"/>
          <w:szCs w:val="24"/>
          <w:highlight w:val="none"/>
          <w14:textFill>
            <w14:solidFill>
              <w14:schemeClr w14:val="tx1"/>
            </w14:solidFill>
          </w14:textFill>
        </w:rPr>
        <w:t>日</w:t>
      </w:r>
      <w: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br w:type="page"/>
      </w:r>
    </w:p>
    <w:p w14:paraId="4B19F682">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0" w:name="_Toc30764"/>
      <w:bookmarkStart w:id="531" w:name="_Toc31048"/>
      <w:bookmarkStart w:id="532" w:name="_Toc6896"/>
      <w:bookmarkStart w:id="533" w:name="_Toc10981"/>
      <w:bookmarkStart w:id="534" w:name="_Toc30463"/>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格式四 授权委托书</w:t>
      </w:r>
      <w:bookmarkEnd w:id="530"/>
      <w:bookmarkEnd w:id="531"/>
      <w:bookmarkEnd w:id="532"/>
      <w:bookmarkEnd w:id="533"/>
      <w:bookmarkEnd w:id="534"/>
    </w:p>
    <w:p w14:paraId="3ADCFDEF">
      <w:pPr>
        <w:wordWrap w:val="0"/>
        <w:adjustRightInd w:val="0"/>
        <w:snapToGrid w:val="0"/>
        <w:spacing w:line="440" w:lineRule="exac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p w14:paraId="34CFB3DC">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授权委托书</w:t>
      </w:r>
    </w:p>
    <w:p w14:paraId="78AFEB4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7103A9E">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本人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（投标人名称）的法定代表人，现委托</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（姓名）为我方代理人。代理人根据授权，以我方名义签署、澄清、说明、补正、递交、撤回、修改</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（项目名称）投标文件、签订合同和处理有关事宜，其法律后果由我方承担。</w:t>
      </w:r>
    </w:p>
    <w:p w14:paraId="35025E8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委托期限：至</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年   月   日</w:t>
      </w:r>
      <w:r>
        <w:rPr>
          <w:rFonts w:hint="eastAsia" w:asciiTheme="minorEastAsia" w:hAnsiTheme="minorEastAsia" w:eastAsiaTheme="minorEastAsia" w:cstheme="minorEastAsia"/>
          <w:i/>
          <w:iCs/>
          <w:snapToGrid w:val="0"/>
          <w:color w:val="000000" w:themeColor="text1"/>
          <w:kern w:val="0"/>
          <w:szCs w:val="24"/>
          <w:highlight w:val="none"/>
          <w:u w:val="single"/>
          <w14:textFill>
            <w14:solidFill>
              <w14:schemeClr w14:val="tx1"/>
            </w14:solidFill>
          </w14:textFill>
        </w:rPr>
        <w:t>（不得短于招标文件规定的投标有效期）</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p>
    <w:p w14:paraId="388E33EC">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代理人无转委托权。</w:t>
      </w:r>
    </w:p>
    <w:p w14:paraId="4790C8F1">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48F8D5A">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79CDA10">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  标  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7178EF4">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4910192">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3731AF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F477B2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639A250B">
      <w:pPr>
        <w:wordWrap w:val="0"/>
        <w:adjustRightInd w:val="0"/>
        <w:snapToGrid w:val="0"/>
        <w:spacing w:line="440" w:lineRule="exact"/>
        <w:ind w:firstLine="480" w:firstLineChars="200"/>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45F4FEDC">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B3334F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22DA218">
      <w:pPr>
        <w:wordWrap w:val="0"/>
        <w:adjustRightInd w:val="0"/>
        <w:snapToGrid w:val="0"/>
        <w:spacing w:line="44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21CDB063">
      <w:pPr>
        <w:wordWrap w:val="0"/>
        <w:adjustRightInd w:val="0"/>
        <w:snapToGrid w:val="0"/>
        <w:ind w:firstLine="5520" w:firstLineChars="23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3360;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14:paraId="6212300E">
                      <w:pPr>
                        <w:jc w:val="center"/>
                        <w:rPr>
                          <w:rFonts w:hint="default"/>
                          <w:szCs w:val="21"/>
                        </w:rPr>
                      </w:pPr>
                    </w:p>
                    <w:p w14:paraId="392B6583">
                      <w:pPr>
                        <w:jc w:val="center"/>
                        <w:rPr>
                          <w:rFonts w:hint="default"/>
                          <w:szCs w:val="21"/>
                        </w:rPr>
                      </w:pPr>
                    </w:p>
                    <w:p w14:paraId="3A12F76C">
                      <w:pPr>
                        <w:jc w:val="center"/>
                        <w:rPr>
                          <w:rFonts w:hint="default"/>
                          <w:szCs w:val="21"/>
                        </w:rPr>
                      </w:pPr>
                    </w:p>
                    <w:p w14:paraId="76520C7F">
                      <w:pPr>
                        <w:jc w:val="center"/>
                        <w:rPr>
                          <w:rFonts w:hint="eastAsia" w:ascii="宋体" w:hAnsi="宋体" w:eastAsia="宋体" w:cs="宋体"/>
                          <w:szCs w:val="21"/>
                        </w:rPr>
                      </w:pPr>
                      <w:r>
                        <w:rPr>
                          <w:rFonts w:hint="eastAsia" w:ascii="宋体" w:hAnsi="宋体" w:eastAsia="宋体" w:cs="宋体"/>
                          <w:szCs w:val="21"/>
                        </w:rPr>
                        <w:t>委托代理人身份证彩色扫描件正、反面</w:t>
                      </w:r>
                    </w:p>
                  </w:txbxContent>
                </v:textbox>
              </v:shape>
            </w:pict>
          </mc:Fallback>
        </mc:AlternateContent>
      </w:r>
    </w:p>
    <w:p w14:paraId="435F828D">
      <w:pPr>
        <w:pStyle w:val="8"/>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A72F4A7">
      <w:pP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1C4AFC9">
      <w:pPr>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headerReference r:id="rId6" w:type="default"/>
          <w:footerReference r:id="rId7" w:type="default"/>
          <w:endnotePr>
            <w:numFmt w:val="decimal"/>
          </w:endnotePr>
          <w:pgSz w:w="11906" w:h="16838"/>
          <w:pgMar w:top="1701" w:right="1531" w:bottom="1417" w:left="1531" w:header="850" w:footer="737" w:gutter="0"/>
          <w:pgNumType w:fmt="decimal"/>
          <w:cols w:space="720" w:num="1"/>
          <w:docGrid w:linePitch="327" w:charSpace="0"/>
        </w:sectPr>
      </w:pPr>
    </w:p>
    <w:p w14:paraId="3FD84A8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5" w:name="_Toc25231"/>
      <w:bookmarkStart w:id="536" w:name="_Toc12031"/>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格式五 法定代表人身份证明</w:t>
      </w:r>
      <w:bookmarkEnd w:id="535"/>
      <w:bookmarkEnd w:id="536"/>
    </w:p>
    <w:p w14:paraId="4516AF38">
      <w:pPr>
        <w:wordWrap w:val="0"/>
        <w:adjustRightInd w:val="0"/>
        <w:snapToGrid w:val="0"/>
        <w:spacing w:line="440" w:lineRule="exac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450DC350">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法定代表人身份证明</w:t>
      </w:r>
    </w:p>
    <w:p w14:paraId="2809809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3E481A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47A92B05">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p>
    <w:p w14:paraId="7119E73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系</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（投标人名称）的法定代表人。</w:t>
      </w:r>
    </w:p>
    <w:p w14:paraId="67B4367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特此证明。</w:t>
      </w:r>
    </w:p>
    <w:p w14:paraId="414C0FF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B7156C0">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16BC1EB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13245FAD">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C82B7B">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640E0D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1A9F4A2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75875AC">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日       </w:t>
      </w:r>
    </w:p>
    <w:p w14:paraId="3E7BE46F">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23E4B240">
      <w:pPr>
        <w:wordWrap w:val="0"/>
        <w:adjustRightInd w:val="0"/>
        <w:snapToGrid w:val="0"/>
        <w:spacing w:line="440" w:lineRule="exact"/>
        <w:ind w:firstLine="720" w:firstLineChars="300"/>
        <w:rPr>
          <w:rFonts w:hint="eastAsia" w:asciiTheme="minorEastAsia" w:hAnsiTheme="minorEastAsia" w:eastAsiaTheme="minorEastAsia" w:cstheme="minorEastAsia"/>
          <w:i/>
          <w:iCs/>
          <w:snapToGrid w:val="0"/>
          <w:color w:val="000000" w:themeColor="text1"/>
          <w:kern w:val="0"/>
          <w:szCs w:val="24"/>
          <w:highlight w:val="none"/>
          <w14:textFill>
            <w14:solidFill>
              <w14:schemeClr w14:val="tx1"/>
            </w14:solidFill>
          </w14:textFill>
        </w:rPr>
      </w:pPr>
    </w:p>
    <w:p w14:paraId="659C4946">
      <w:pPr>
        <w:wordWrap w:val="0"/>
        <w:adjustRightInd w:val="0"/>
        <w:snapToGrid w:val="0"/>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2336;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14:paraId="30EDDE0C">
                      <w:pPr>
                        <w:jc w:val="center"/>
                        <w:rPr>
                          <w:rFonts w:hint="default"/>
                          <w:szCs w:val="21"/>
                        </w:rPr>
                      </w:pPr>
                    </w:p>
                    <w:p w14:paraId="68574360">
                      <w:pPr>
                        <w:jc w:val="center"/>
                        <w:rPr>
                          <w:rFonts w:hint="default"/>
                          <w:szCs w:val="21"/>
                        </w:rPr>
                      </w:pPr>
                    </w:p>
                    <w:p w14:paraId="4719C687">
                      <w:pPr>
                        <w:jc w:val="center"/>
                        <w:rPr>
                          <w:rFonts w:hint="default"/>
                          <w:szCs w:val="21"/>
                        </w:rPr>
                      </w:pPr>
                    </w:p>
                    <w:p w14:paraId="07B3FA8F">
                      <w:pPr>
                        <w:jc w:val="center"/>
                        <w:rPr>
                          <w:rFonts w:hint="eastAsia" w:ascii="宋体" w:hAnsi="宋体" w:eastAsia="宋体" w:cs="宋体"/>
                          <w:szCs w:val="21"/>
                        </w:rPr>
                      </w:pPr>
                      <w:r>
                        <w:rPr>
                          <w:rFonts w:hint="eastAsia" w:ascii="宋体" w:hAnsi="宋体" w:eastAsia="宋体" w:cs="宋体"/>
                          <w:szCs w:val="21"/>
                        </w:rPr>
                        <w:t>法定代表人身份证彩色扫描件正、反面</w:t>
                      </w:r>
                    </w:p>
                  </w:txbxContent>
                </v:textbox>
              </v:shape>
            </w:pict>
          </mc:Fallback>
        </mc:AlternateContent>
      </w:r>
    </w:p>
    <w:p w14:paraId="2E318E0B">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652531">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633E6118">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CEC2D37">
      <w:pPr>
        <w:wordWrap w:val="0"/>
        <w:adjustRightInd w:val="0"/>
        <w:snapToGrid w:val="0"/>
        <w:spacing w:line="48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06BC645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37" w:name="_Toc26875"/>
      <w:bookmarkStart w:id="538" w:name="_Toc26395"/>
      <w:bookmarkStart w:id="539" w:name="_Toc16430"/>
      <w:bookmarkStart w:id="540" w:name="_Toc21193"/>
      <w:bookmarkStart w:id="541" w:name="_Toc30665"/>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格式六 联合体协议书</w:t>
      </w:r>
      <w:bookmarkEnd w:id="537"/>
      <w:bookmarkEnd w:id="538"/>
      <w:bookmarkEnd w:id="539"/>
      <w:bookmarkEnd w:id="540"/>
      <w:bookmarkEnd w:id="541"/>
    </w:p>
    <w:p w14:paraId="1E169E49">
      <w:pPr>
        <w:pStyle w:val="46"/>
        <w:widowControl w:val="0"/>
        <w:wordWrap w:val="0"/>
        <w:adjustRightInd w:val="0"/>
        <w:snapToGrid w:val="0"/>
        <w:spacing w:before="240" w:after="240" w:line="44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联合体协议书</w:t>
      </w:r>
    </w:p>
    <w:p w14:paraId="48A14098">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B55964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FAA8F3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FCF3D5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7468D4F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9290C7A">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64B1A82">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14174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660DA1A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法定住所：</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p>
    <w:p w14:paraId="32D7A4E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CC9F319">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07BD02E7">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44FA1284">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上述各成员单位经过友好协商，自愿组成联合体，共同参加</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（项目名称）（以下简称“本项目”）的投标并争取赢得本项目EPC总承包合同（以下简称合同）。现就联合体投标事宜订立如下协议：</w:t>
      </w:r>
    </w:p>
    <w:p w14:paraId="719956F5">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1．</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（某成员单位名称）为联合体牵头人。</w:t>
      </w:r>
    </w:p>
    <w:p w14:paraId="437C48F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14:paraId="506AF19F">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相关责任。</w:t>
      </w:r>
    </w:p>
    <w:p w14:paraId="682E636A">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4．联合体各成员单位内部的职责分工如下：</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w:t>
      </w:r>
    </w:p>
    <w:p w14:paraId="1F0E38F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5．投标工作和联合体在中标后工程实施过程中的有关费用按各自承担的工作量分摊。</w:t>
      </w:r>
    </w:p>
    <w:p w14:paraId="4AF650F6">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6．联合体中标后，本联合体协议是合同的附件，对联合体各成员单位有合同约束力。</w:t>
      </w:r>
    </w:p>
    <w:p w14:paraId="3904DBFB">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7．本协议书自签署之日起生效，联合体未中标或者中标时合同履行完毕后自动失效。</w:t>
      </w:r>
    </w:p>
    <w:p w14:paraId="4F0D01DD">
      <w:pPr>
        <w:pStyle w:val="46"/>
        <w:widowControl w:val="0"/>
        <w:wordWrap w:val="0"/>
        <w:adjustRightInd w:val="0"/>
        <w:snapToGrid w:val="0"/>
        <w:spacing w:line="440" w:lineRule="exact"/>
        <w:ind w:firstLine="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8．本协议书一式</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份，联合体成员和招标人各执一份。</w:t>
      </w:r>
    </w:p>
    <w:p w14:paraId="6B5D6CF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EEB2D1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3A4F23C">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牵头人名称：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5678A31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w:t>
      </w:r>
    </w:p>
    <w:p w14:paraId="75EE1DF6">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698C4154">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5475F658">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成员二名称：</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（盖单位章）</w:t>
      </w:r>
    </w:p>
    <w:p w14:paraId="3D484E5F">
      <w:pPr>
        <w:pStyle w:val="46"/>
        <w:widowControl w:val="0"/>
        <w:wordWrap w:val="0"/>
        <w:adjustRightInd w:val="0"/>
        <w:snapToGrid w:val="0"/>
        <w:spacing w:line="440" w:lineRule="exact"/>
        <w:ind w:firstLine="0"/>
        <w:jc w:val="both"/>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84A654B">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（签字或盖章）</w:t>
      </w:r>
    </w:p>
    <w:p w14:paraId="533ECC54">
      <w:pPr>
        <w:pStyle w:val="46"/>
        <w:widowControl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3A01DDEF">
      <w:pPr>
        <w:pStyle w:val="46"/>
        <w:widowControl w:val="0"/>
        <w:wordWrap w:val="0"/>
        <w:adjustRightInd w:val="0"/>
        <w:snapToGrid w:val="0"/>
        <w:spacing w:line="440" w:lineRule="exact"/>
        <w:ind w:firstLine="3840" w:firstLineChars="1600"/>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 xml:space="preserve"> ……</w:t>
      </w:r>
    </w:p>
    <w:p w14:paraId="3E94A3B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61178B74">
      <w:pPr>
        <w:pStyle w:val="46"/>
        <w:widowControl w:val="0"/>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sz w:val="24"/>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sz w:val="24"/>
          <w:szCs w:val="24"/>
          <w:highlight w:val="none"/>
          <w:u w:val="single"/>
          <w:lang w:eastAsia="zh-CN"/>
          <w14:textFill>
            <w14:solidFill>
              <w14:schemeClr w14:val="tx1"/>
            </w14:solidFill>
          </w14:textFill>
        </w:rPr>
        <w:t>日</w:t>
      </w:r>
    </w:p>
    <w:p w14:paraId="114BFA46">
      <w:pPr>
        <w:pStyle w:val="46"/>
        <w:widowControl w:val="0"/>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9F84F11">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4712C5B5">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7503721D">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p>
    <w:p w14:paraId="25E89DE6">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t>说明：《联合体协议书》由委托代理人签字或盖章的，应附法定代表人签字或盖章的授权委托书。</w:t>
      </w:r>
    </w:p>
    <w:p w14:paraId="24B66360">
      <w:pPr>
        <w:pStyle w:val="46"/>
        <w:widowControl w:val="0"/>
        <w:wordWrap w:val="0"/>
        <w:adjustRightInd w:val="0"/>
        <w:snapToGrid w:val="0"/>
        <w:spacing w:line="440" w:lineRule="exact"/>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4F4448E0">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42" w:name="_Toc19868"/>
      <w:bookmarkStart w:id="543" w:name="_Toc31264"/>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格式七 投标人基本情况表</w:t>
      </w:r>
      <w:bookmarkEnd w:id="542"/>
      <w:bookmarkEnd w:id="543"/>
    </w:p>
    <w:p w14:paraId="244162F3">
      <w:pPr>
        <w:pStyle w:val="46"/>
        <w:widowControl w:val="0"/>
        <w:wordWrap w:val="0"/>
        <w:adjustRightInd w:val="0"/>
        <w:snapToGrid w:val="0"/>
        <w:spacing w:before="260" w:after="260" w:line="400" w:lineRule="exact"/>
        <w:ind w:firstLine="0"/>
        <w:jc w:val="center"/>
        <w:rPr>
          <w:rFonts w:hint="eastAsia" w:asciiTheme="minorEastAsia" w:hAnsiTheme="minorEastAsia" w:eastAsiaTheme="minorEastAsia" w:cstheme="minorEastAsia"/>
          <w:snapToGrid w:val="0"/>
          <w:color w:val="000000" w:themeColor="text1"/>
          <w:sz w:val="24"/>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sz w:val="24"/>
          <w:szCs w:val="24"/>
          <w:highlight w:val="none"/>
          <w14:textFill>
            <w14:solidFill>
              <w14:schemeClr w14:val="tx1"/>
            </w14:solidFill>
          </w14:textFill>
        </w:rPr>
        <w:t>投标人基本情况表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1"/>
        <w:gridCol w:w="1140"/>
        <w:gridCol w:w="833"/>
        <w:gridCol w:w="460"/>
        <w:gridCol w:w="832"/>
        <w:gridCol w:w="269"/>
        <w:gridCol w:w="735"/>
        <w:gridCol w:w="1470"/>
      </w:tblGrid>
      <w:tr w14:paraId="13AF6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7031DA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投标人名称</w:t>
            </w:r>
          </w:p>
        </w:tc>
        <w:tc>
          <w:tcPr>
            <w:tcW w:w="7280" w:type="dxa"/>
            <w:gridSpan w:val="8"/>
            <w:noWrap/>
            <w:vAlign w:val="center"/>
          </w:tcPr>
          <w:p w14:paraId="2922417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CB8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60196E6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注册地址</w:t>
            </w:r>
          </w:p>
        </w:tc>
        <w:tc>
          <w:tcPr>
            <w:tcW w:w="3514" w:type="dxa"/>
            <w:gridSpan w:val="3"/>
            <w:noWrap/>
            <w:vAlign w:val="center"/>
          </w:tcPr>
          <w:p w14:paraId="2534C5B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28151D4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邮政编码</w:t>
            </w:r>
          </w:p>
        </w:tc>
        <w:tc>
          <w:tcPr>
            <w:tcW w:w="2474" w:type="dxa"/>
            <w:gridSpan w:val="3"/>
            <w:noWrap/>
            <w:vAlign w:val="center"/>
          </w:tcPr>
          <w:p w14:paraId="648CA5B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6A5A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restart"/>
            <w:noWrap/>
            <w:vAlign w:val="center"/>
          </w:tcPr>
          <w:p w14:paraId="77005BE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联系方式</w:t>
            </w:r>
          </w:p>
        </w:tc>
        <w:tc>
          <w:tcPr>
            <w:tcW w:w="1541" w:type="dxa"/>
            <w:noWrap/>
            <w:vAlign w:val="center"/>
          </w:tcPr>
          <w:p w14:paraId="6DA39D2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联系人</w:t>
            </w:r>
          </w:p>
        </w:tc>
        <w:tc>
          <w:tcPr>
            <w:tcW w:w="1973" w:type="dxa"/>
            <w:gridSpan w:val="2"/>
            <w:noWrap/>
            <w:vAlign w:val="center"/>
          </w:tcPr>
          <w:p w14:paraId="220FDAE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3F88FF0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  话</w:t>
            </w:r>
          </w:p>
        </w:tc>
        <w:tc>
          <w:tcPr>
            <w:tcW w:w="2474" w:type="dxa"/>
            <w:gridSpan w:val="3"/>
            <w:noWrap/>
            <w:vAlign w:val="center"/>
          </w:tcPr>
          <w:p w14:paraId="78E42A5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3A46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vMerge w:val="continue"/>
            <w:noWrap/>
            <w:vAlign w:val="center"/>
          </w:tcPr>
          <w:p w14:paraId="30DD40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541" w:type="dxa"/>
            <w:noWrap/>
            <w:vAlign w:val="center"/>
          </w:tcPr>
          <w:p w14:paraId="2D42253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传  真</w:t>
            </w:r>
          </w:p>
        </w:tc>
        <w:tc>
          <w:tcPr>
            <w:tcW w:w="1973" w:type="dxa"/>
            <w:gridSpan w:val="2"/>
            <w:noWrap/>
            <w:vAlign w:val="center"/>
          </w:tcPr>
          <w:p w14:paraId="0A57192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2" w:type="dxa"/>
            <w:gridSpan w:val="2"/>
            <w:noWrap/>
            <w:vAlign w:val="center"/>
          </w:tcPr>
          <w:p w14:paraId="7D8EAB59">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电子邮箱</w:t>
            </w:r>
          </w:p>
        </w:tc>
        <w:tc>
          <w:tcPr>
            <w:tcW w:w="2474" w:type="dxa"/>
            <w:gridSpan w:val="3"/>
            <w:noWrap/>
            <w:vAlign w:val="center"/>
          </w:tcPr>
          <w:p w14:paraId="44C31D6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46A94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13BED66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单位性质</w:t>
            </w:r>
          </w:p>
        </w:tc>
        <w:tc>
          <w:tcPr>
            <w:tcW w:w="7280" w:type="dxa"/>
            <w:gridSpan w:val="8"/>
            <w:noWrap/>
            <w:vAlign w:val="center"/>
          </w:tcPr>
          <w:p w14:paraId="18E12F0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4AA9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504111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法定代表人</w:t>
            </w:r>
          </w:p>
        </w:tc>
        <w:tc>
          <w:tcPr>
            <w:tcW w:w="1541" w:type="dxa"/>
            <w:noWrap/>
            <w:vAlign w:val="center"/>
          </w:tcPr>
          <w:p w14:paraId="3C89A13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姓名</w:t>
            </w:r>
          </w:p>
        </w:tc>
        <w:tc>
          <w:tcPr>
            <w:tcW w:w="1140" w:type="dxa"/>
            <w:noWrap/>
            <w:vAlign w:val="center"/>
          </w:tcPr>
          <w:p w14:paraId="692AF9C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noWrap/>
            <w:vAlign w:val="center"/>
          </w:tcPr>
          <w:p w14:paraId="2074D5C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技术职称</w:t>
            </w:r>
          </w:p>
        </w:tc>
        <w:tc>
          <w:tcPr>
            <w:tcW w:w="1101" w:type="dxa"/>
            <w:gridSpan w:val="2"/>
            <w:noWrap/>
            <w:vAlign w:val="center"/>
          </w:tcPr>
          <w:p w14:paraId="5520AFA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735" w:type="dxa"/>
            <w:noWrap/>
            <w:vAlign w:val="center"/>
          </w:tcPr>
          <w:p w14:paraId="3E1A255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电话</w:t>
            </w:r>
          </w:p>
        </w:tc>
        <w:tc>
          <w:tcPr>
            <w:tcW w:w="1470" w:type="dxa"/>
            <w:noWrap/>
            <w:vAlign w:val="center"/>
          </w:tcPr>
          <w:p w14:paraId="46DEE77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F286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03DF737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成立时间</w:t>
            </w:r>
          </w:p>
        </w:tc>
        <w:tc>
          <w:tcPr>
            <w:tcW w:w="2681" w:type="dxa"/>
            <w:gridSpan w:val="2"/>
            <w:noWrap/>
            <w:vAlign w:val="center"/>
          </w:tcPr>
          <w:p w14:paraId="5D1CC06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4599" w:type="dxa"/>
            <w:gridSpan w:val="6"/>
            <w:noWrap/>
            <w:vAlign w:val="center"/>
          </w:tcPr>
          <w:p w14:paraId="547C094B">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员工总人数（个）：</w:t>
            </w:r>
          </w:p>
        </w:tc>
      </w:tr>
      <w:tr w14:paraId="360E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jc w:val="center"/>
        </w:trPr>
        <w:tc>
          <w:tcPr>
            <w:tcW w:w="1540" w:type="dxa"/>
            <w:noWrap/>
            <w:vAlign w:val="center"/>
          </w:tcPr>
          <w:p w14:paraId="43C9CD15">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企业资质</w:t>
            </w:r>
          </w:p>
          <w:p w14:paraId="2DA599A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类型和等级</w:t>
            </w:r>
          </w:p>
        </w:tc>
        <w:tc>
          <w:tcPr>
            <w:tcW w:w="2681" w:type="dxa"/>
            <w:gridSpan w:val="2"/>
            <w:noWrap/>
            <w:vAlign w:val="center"/>
          </w:tcPr>
          <w:p w14:paraId="435587D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restart"/>
            <w:noWrap/>
            <w:vAlign w:val="center"/>
          </w:tcPr>
          <w:p w14:paraId="6416198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其中</w:t>
            </w:r>
          </w:p>
        </w:tc>
        <w:tc>
          <w:tcPr>
            <w:tcW w:w="1836" w:type="dxa"/>
            <w:gridSpan w:val="3"/>
            <w:noWrap/>
            <w:vAlign w:val="center"/>
          </w:tcPr>
          <w:p w14:paraId="1585BAA8">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项目经理</w:t>
            </w:r>
          </w:p>
        </w:tc>
        <w:tc>
          <w:tcPr>
            <w:tcW w:w="1470" w:type="dxa"/>
            <w:noWrap/>
            <w:vAlign w:val="center"/>
          </w:tcPr>
          <w:p w14:paraId="33668F7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633D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364B863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营业执照号</w:t>
            </w:r>
          </w:p>
        </w:tc>
        <w:tc>
          <w:tcPr>
            <w:tcW w:w="2681" w:type="dxa"/>
            <w:gridSpan w:val="2"/>
            <w:noWrap/>
            <w:vAlign w:val="center"/>
          </w:tcPr>
          <w:p w14:paraId="3661E2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1E22C19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06E84F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高级职称人员</w:t>
            </w:r>
          </w:p>
        </w:tc>
        <w:tc>
          <w:tcPr>
            <w:tcW w:w="1470" w:type="dxa"/>
            <w:noWrap/>
            <w:vAlign w:val="center"/>
          </w:tcPr>
          <w:p w14:paraId="0C76BE9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5008C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540" w:type="dxa"/>
            <w:noWrap/>
            <w:vAlign w:val="center"/>
          </w:tcPr>
          <w:p w14:paraId="407B426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注册资金</w:t>
            </w:r>
          </w:p>
        </w:tc>
        <w:tc>
          <w:tcPr>
            <w:tcW w:w="2681" w:type="dxa"/>
            <w:gridSpan w:val="2"/>
            <w:noWrap/>
            <w:vAlign w:val="center"/>
          </w:tcPr>
          <w:p w14:paraId="275B6FE6">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1E4C8E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6596F59D">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中级职称人员</w:t>
            </w:r>
          </w:p>
        </w:tc>
        <w:tc>
          <w:tcPr>
            <w:tcW w:w="1470" w:type="dxa"/>
            <w:noWrap/>
            <w:vAlign w:val="center"/>
          </w:tcPr>
          <w:p w14:paraId="443F8464">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26FC6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1540" w:type="dxa"/>
            <w:noWrap/>
            <w:vAlign w:val="center"/>
          </w:tcPr>
          <w:p w14:paraId="5CD5626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E6EFF7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开户银行</w:t>
            </w:r>
          </w:p>
        </w:tc>
        <w:tc>
          <w:tcPr>
            <w:tcW w:w="2681" w:type="dxa"/>
            <w:gridSpan w:val="2"/>
            <w:noWrap/>
            <w:vAlign w:val="center"/>
          </w:tcPr>
          <w:p w14:paraId="35963BB3">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451799A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1C90B777">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初级职称人员</w:t>
            </w:r>
          </w:p>
        </w:tc>
        <w:tc>
          <w:tcPr>
            <w:tcW w:w="1470" w:type="dxa"/>
            <w:noWrap/>
            <w:vAlign w:val="center"/>
          </w:tcPr>
          <w:p w14:paraId="5185F20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A1E4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exact"/>
          <w:jc w:val="center"/>
        </w:trPr>
        <w:tc>
          <w:tcPr>
            <w:tcW w:w="1540" w:type="dxa"/>
            <w:noWrap/>
            <w:vAlign w:val="center"/>
          </w:tcPr>
          <w:p w14:paraId="5F1EB85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基本账户</w:t>
            </w:r>
          </w:p>
          <w:p w14:paraId="5954040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银行账号</w:t>
            </w:r>
          </w:p>
        </w:tc>
        <w:tc>
          <w:tcPr>
            <w:tcW w:w="2681" w:type="dxa"/>
            <w:gridSpan w:val="2"/>
            <w:noWrap/>
            <w:vAlign w:val="center"/>
          </w:tcPr>
          <w:p w14:paraId="6EEEA4D0">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293" w:type="dxa"/>
            <w:gridSpan w:val="2"/>
            <w:vMerge w:val="continue"/>
            <w:noWrap/>
            <w:vAlign w:val="center"/>
          </w:tcPr>
          <w:p w14:paraId="730649CA">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c>
          <w:tcPr>
            <w:tcW w:w="1836" w:type="dxa"/>
            <w:gridSpan w:val="3"/>
            <w:noWrap/>
            <w:vAlign w:val="center"/>
          </w:tcPr>
          <w:p w14:paraId="283128EF">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技术员</w:t>
            </w:r>
          </w:p>
        </w:tc>
        <w:tc>
          <w:tcPr>
            <w:tcW w:w="1470" w:type="dxa"/>
            <w:noWrap/>
            <w:vAlign w:val="center"/>
          </w:tcPr>
          <w:p w14:paraId="13BB8B81">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7745C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exact"/>
          <w:jc w:val="center"/>
        </w:trPr>
        <w:tc>
          <w:tcPr>
            <w:tcW w:w="1540" w:type="dxa"/>
            <w:noWrap/>
            <w:vAlign w:val="center"/>
          </w:tcPr>
          <w:p w14:paraId="653E3CAE">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经营范围</w:t>
            </w:r>
          </w:p>
        </w:tc>
        <w:tc>
          <w:tcPr>
            <w:tcW w:w="7280" w:type="dxa"/>
            <w:gridSpan w:val="8"/>
            <w:noWrap/>
            <w:vAlign w:val="center"/>
          </w:tcPr>
          <w:p w14:paraId="790185DB">
            <w:pPr>
              <w:pStyle w:val="42"/>
              <w:wordWrap w:val="0"/>
              <w:adjustRightInd w:val="0"/>
              <w:snapToGrid w:val="0"/>
              <w:jc w:val="left"/>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r w14:paraId="1CCBE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1540" w:type="dxa"/>
            <w:noWrap/>
            <w:vAlign w:val="center"/>
          </w:tcPr>
          <w:p w14:paraId="2BB6AB5C">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关联企业情况</w:t>
            </w:r>
          </w:p>
        </w:tc>
        <w:tc>
          <w:tcPr>
            <w:tcW w:w="7280" w:type="dxa"/>
            <w:gridSpan w:val="8"/>
            <w:noWrap/>
            <w:vAlign w:val="center"/>
          </w:tcPr>
          <w:p w14:paraId="6EE38209">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包括但不限于与投标人存在以下关系的不同单位：</w:t>
            </w:r>
          </w:p>
          <w:p w14:paraId="1844A97D">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1．法定代表人为同一人的。</w:t>
            </w:r>
          </w:p>
          <w:p w14:paraId="643D42A4">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2．存在控股、管理关系的。</w:t>
            </w:r>
          </w:p>
          <w:p w14:paraId="1EAED253">
            <w:pPr>
              <w:pStyle w:val="42"/>
              <w:wordWrap w:val="0"/>
              <w:adjustRightInd w:val="0"/>
              <w:snapToGrid w:val="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3．主要人员相互任职的。</w:t>
            </w:r>
          </w:p>
        </w:tc>
      </w:tr>
      <w:tr w14:paraId="7A1C0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540" w:type="dxa"/>
            <w:noWrap/>
            <w:vAlign w:val="center"/>
          </w:tcPr>
          <w:p w14:paraId="1D753AD6">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备注</w:t>
            </w:r>
          </w:p>
        </w:tc>
        <w:tc>
          <w:tcPr>
            <w:tcW w:w="7280" w:type="dxa"/>
            <w:gridSpan w:val="8"/>
            <w:noWrap/>
            <w:vAlign w:val="center"/>
          </w:tcPr>
          <w:p w14:paraId="6D279D12">
            <w:pPr>
              <w:pStyle w:val="42"/>
              <w:wordWrap w:val="0"/>
              <w:adjustRightInd w:val="0"/>
              <w:snapToGrid w:val="0"/>
              <w:jc w:val="cente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p>
        </w:tc>
      </w:tr>
    </w:tbl>
    <w:p w14:paraId="7B89B98D">
      <w:pPr>
        <w:pStyle w:val="42"/>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highlight w:val="none"/>
          <w14:textFill>
            <w14:solidFill>
              <w14:schemeClr w14:val="tx1"/>
            </w14:solidFill>
          </w14:textFill>
        </w:rPr>
        <w:t>说明：</w:t>
      </w:r>
    </w:p>
    <w:bookmarkEnd w:id="493"/>
    <w:bookmarkEnd w:id="494"/>
    <w:bookmarkEnd w:id="495"/>
    <w:bookmarkEnd w:id="496"/>
    <w:bookmarkEnd w:id="497"/>
    <w:p w14:paraId="3825431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bookmarkStart w:id="544" w:name="_Toc1659"/>
      <w:bookmarkStart w:id="545" w:name="_Toc118541763"/>
      <w:bookmarkStart w:id="546" w:name="_Toc535300004"/>
      <w:bookmarkStart w:id="547" w:name="_Toc534641863"/>
      <w:bookmarkStart w:id="548" w:name="_Toc210101349"/>
      <w:bookmarkStart w:id="549" w:name="_Toc48547015"/>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1．《投标人基本情况表》后应附以下资料：</w:t>
      </w:r>
    </w:p>
    <w:p w14:paraId="663DA07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（1）企业营业执照、资质证书、安全生产许可证</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施工企业提供</w:t>
      </w:r>
      <w:r>
        <w:rPr>
          <w:rFonts w:hint="eastAsia" w:asciiTheme="minorEastAsia" w:hAnsiTheme="minorEastAsia" w:eastAsiaTheme="minorEastAsia" w:cstheme="minorEastAsia"/>
          <w:snapToGrid w:val="0"/>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的</w:t>
      </w:r>
      <w:r>
        <w:rPr>
          <w:rFonts w:hint="eastAsia" w:asciiTheme="minorEastAsia" w:hAnsiTheme="minorEastAsia" w:eastAsiaTheme="minorEastAsia" w:cstheme="minorEastAsia"/>
          <w:snapToGrid w:val="0"/>
          <w:color w:val="000000" w:themeColor="text1"/>
          <w:sz w:val="21"/>
          <w:szCs w:val="21"/>
          <w:highlight w:val="none"/>
          <w:lang w:val="en-US" w:eastAsia="zh-CN"/>
          <w14:textFill>
            <w14:solidFill>
              <w14:schemeClr w14:val="tx1"/>
            </w14:solidFill>
          </w14:textFill>
        </w:rPr>
        <w:t>扫描</w:t>
      </w: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件</w:t>
      </w:r>
      <w:r>
        <w:rPr>
          <w:rFonts w:hint="eastAsia" w:asciiTheme="minorEastAsia" w:hAnsiTheme="minorEastAsia" w:eastAsiaTheme="minorEastAsia" w:cstheme="minorEastAsia"/>
          <w:b w:val="0"/>
          <w:bCs w:val="0"/>
          <w:snapToGrid w:val="0"/>
          <w:color w:val="000000" w:themeColor="text1"/>
          <w:sz w:val="21"/>
          <w:szCs w:val="21"/>
          <w:highlight w:val="none"/>
          <w14:textFill>
            <w14:solidFill>
              <w14:schemeClr w14:val="tx1"/>
            </w14:solidFill>
          </w14:textFill>
        </w:rPr>
        <w:t>（因推行电子证照，企业的营业执照、资质证书等可以提供电子证照。为实时掌握项目</w:t>
      </w:r>
      <w:r>
        <w:rPr>
          <w:rFonts w:hint="eastAsia" w:asciiTheme="minorEastAsia" w:hAnsiTheme="minorEastAsia" w:eastAsiaTheme="minorEastAsia" w:cstheme="minorEastAsia"/>
          <w:b/>
          <w:bCs/>
          <w:snapToGrid w:val="0"/>
          <w:color w:val="000000" w:themeColor="text1"/>
          <w:sz w:val="21"/>
          <w:szCs w:val="21"/>
          <w:highlight w:val="none"/>
          <w14:textFill>
            <w14:solidFill>
              <w14:schemeClr w14:val="tx1"/>
            </w14:solidFill>
          </w14:textFill>
        </w:rPr>
        <w:t>投标单位的是否具备企业安全生产条件，企业的安全生产许可证需提供企业实时网页查询页，实时查询页的打印时间应在项目招标公告发布之日起至开标前。如中标后，投标单位安全生产许可证发生被暂扣情形，需双方另行协商）；</w:t>
      </w:r>
    </w:p>
    <w:p w14:paraId="21234B0F">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（2）外省建筑企业须提供“进粤企业和人员诚信信息登记平台”企业信息情况打印页。</w:t>
      </w:r>
    </w:p>
    <w:p w14:paraId="4D00A3DC">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2．联合体投标的，联合体成员单位均应填写《投标人基本情况表》并提供以上所需资料。</w:t>
      </w:r>
    </w:p>
    <w:p w14:paraId="3F793927">
      <w:pPr>
        <w:pStyle w:val="46"/>
        <w:widowControl w:val="0"/>
        <w:wordWrap w:val="0"/>
        <w:adjustRightInd w:val="0"/>
        <w:snapToGrid w:val="0"/>
        <w:spacing w:line="400" w:lineRule="exact"/>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sectPr>
          <w:endnotePr>
            <w:numFmt w:val="decimal"/>
          </w:endnotePr>
          <w:pgSz w:w="11906" w:h="16838"/>
          <w:pgMar w:top="122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sz w:val="21"/>
          <w:szCs w:val="21"/>
          <w:highlight w:val="none"/>
          <w14:textFill>
            <w14:solidFill>
              <w14:schemeClr w14:val="tx1"/>
            </w14:solidFill>
          </w14:textFill>
        </w:rPr>
        <w:t>3.《法人和非法人组织公共信用信息报告》打印件（在“信用中国”网站企业查询界面中下载）。</w:t>
      </w:r>
    </w:p>
    <w:p w14:paraId="046ADA4A">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0" w:name="_Toc1934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格式八 项目经理简历表</w:t>
      </w:r>
      <w:bookmarkEnd w:id="544"/>
      <w:bookmarkEnd w:id="550"/>
    </w:p>
    <w:p w14:paraId="2B375A7A">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215F8D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5B8832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FBC68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876908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3DC7EB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EDD0D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4CF2A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58E7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051D1A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549D4F7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973DA6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08BFF83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77F32BD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93C2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7F0C2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9DBFC4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7DDA83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6FCC0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2458BC5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2050B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356F285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以项目经理身份参与过的主要业绩（已完工项目）</w:t>
            </w:r>
          </w:p>
        </w:tc>
      </w:tr>
      <w:tr w14:paraId="6921A2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7B6F9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013625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32CF8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76DA2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57C2F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FD45D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468EC3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763A7F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A59F68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45A56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4272EC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BF3CA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F4CE40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16811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2E4B5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1926A2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14FDAD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41946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CC1054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A57807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A98C6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1F63A0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EA7951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428B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A8DF59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31B0A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475A699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B29AD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D8206F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F91A0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DB887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58EC9B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43166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7E130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B0BEAF0">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项目经理简历表</w:t>
      </w:r>
    </w:p>
    <w:p w14:paraId="598C1A20">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44DC5543">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0A8A1A7">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项目经理：</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5E163C89">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596E09A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5CD3B3E0">
      <w:pPr>
        <w:outlineLvl w:val="9"/>
        <w:rPr>
          <w:rFonts w:hint="eastAsia"/>
          <w:color w:val="000000" w:themeColor="text1"/>
          <w:highlight w:val="none"/>
          <w14:textFill>
            <w14:solidFill>
              <w14:schemeClr w14:val="tx1"/>
            </w14:solidFill>
          </w14:textFill>
        </w:rPr>
      </w:pPr>
    </w:p>
    <w:p w14:paraId="39724635">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说明：《项目经理简历表》后应附拟派项目经理以下资料：</w:t>
      </w:r>
    </w:p>
    <w:p w14:paraId="234E50E1">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62F97137">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2．建造师电子注册证书（在使用有效期内的有效电子证书）彩色扫描件；</w:t>
      </w:r>
    </w:p>
    <w:p w14:paraId="24918F13">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3．B类安全生产考核合格证书彩色扫描件或广东省建筑施工企业管理人员安全生产考核系统考核合格信息彩色扫描件；</w:t>
      </w:r>
    </w:p>
    <w:p w14:paraId="01350D00">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）彩色扫描件；拟派项目经理为退休返聘人员无法提供社保证明的，提供退休证和劳动合同彩色扫描件。</w:t>
      </w:r>
    </w:p>
    <w:p w14:paraId="2E1D7FA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p>
    <w:p w14:paraId="722A95E1">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1" w:name="_Toc21382"/>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格式九 项目经理任职声明</w:t>
      </w:r>
      <w:bookmarkEnd w:id="551"/>
    </w:p>
    <w:p w14:paraId="4ADE852D">
      <w:pPr>
        <w:wordWrap w:val="0"/>
        <w:adjustRightInd w:val="0"/>
        <w:snapToGrid w:val="0"/>
        <w:spacing w:line="440" w:lineRule="exact"/>
        <w:jc w:val="left"/>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p>
    <w:p w14:paraId="5B39C3F5">
      <w:pPr>
        <w:wordWrap w:val="0"/>
        <w:adjustRightInd w:val="0"/>
        <w:snapToGrid w:val="0"/>
        <w:spacing w:before="260" w:after="260"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项目经理任职声明</w:t>
      </w:r>
    </w:p>
    <w:p w14:paraId="5BBE975C">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64C715F">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2" w:name="_Toc21599"/>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（招标人名称）：</w:t>
      </w:r>
    </w:p>
    <w:p w14:paraId="4B31BB21">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我方在此声明，我方拟派往</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（项目名称）的项目经理</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（项目经理姓名）现阶段没有担任任何在施（包括已中标未开工、已开工未竣工）建设工程项目的项目经理。</w:t>
      </w:r>
    </w:p>
    <w:p w14:paraId="243E9439">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我方保证上述信息的真实和准确，并愿意承担因我方就此弄虚作假所引起的一切法律后果。</w:t>
      </w:r>
    </w:p>
    <w:p w14:paraId="5CFC49FD">
      <w:pPr>
        <w:wordWrap w:val="0"/>
        <w:adjustRightInd w:val="0"/>
        <w:snapToGrid w:val="0"/>
        <w:spacing w:line="440" w:lineRule="exact"/>
        <w:ind w:firstLine="48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42D74EF3">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特此承诺　　</w:t>
      </w:r>
    </w:p>
    <w:p w14:paraId="741114B9">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2024B237">
      <w:pPr>
        <w:wordWrap w:val="0"/>
        <w:adjustRightInd w:val="0"/>
        <w:snapToGrid w:val="0"/>
        <w:spacing w:line="44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w:t>
      </w:r>
    </w:p>
    <w:p w14:paraId="142252A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投标人：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（盖单位章）</w:t>
      </w:r>
    </w:p>
    <w:p w14:paraId="4F2DA4C9">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B18FAC1">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7DEBFFFA">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法定代表人或其委托代理人：</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（签字或盖章）</w:t>
      </w:r>
    </w:p>
    <w:p w14:paraId="2E059885">
      <w:pPr>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210DF30">
      <w:pPr>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日</w:t>
      </w:r>
    </w:p>
    <w:p w14:paraId="06228FEA">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06BB2E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4164BC2">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2026C2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6BFF4F88">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FF9C360">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9DCFF06">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4DCA274">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724D5AB">
      <w:pPr>
        <w:spacing w:before="120"/>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46560B8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3" w:name="_Toc3727"/>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 项目技术负责人简历表</w:t>
      </w:r>
      <w:bookmarkEnd w:id="552"/>
      <w:bookmarkEnd w:id="553"/>
    </w:p>
    <w:p w14:paraId="69C790BB">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38EB5E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D6AA48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83FD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68A7925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27A4DC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38B8580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58D611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86C66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2476F0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69F66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7097239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7ADE52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5311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2B67543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8548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46B699E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69DF1E0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44B5375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0E5C09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F85F9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1F832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以项目技术负责人身份参与过的主要业绩（已完工项目）</w:t>
            </w:r>
          </w:p>
        </w:tc>
      </w:tr>
      <w:tr w14:paraId="1EF5AD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AC114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1D03F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44A4A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8E336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66DE2BB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CD231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019F1C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A06DF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6BB8E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41503D2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6B84B5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715D18C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771F479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DD65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B24CE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1B883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C54A9D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2EA809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A69EDA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87966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ACF1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01CC66C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2D86993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7094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813A8E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550C1E0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26A8E26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D8322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626EFD5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9310F2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FF21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14736BC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3D771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7EBDB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0B95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92E004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44A1762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AF7719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03DA3EA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B15926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A6415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371C6CAC">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项目技术负责人简历表</w:t>
      </w:r>
    </w:p>
    <w:p w14:paraId="17AC5CE6">
      <w:pPr>
        <w:pStyle w:val="47"/>
        <w:wordWrap w:val="0"/>
        <w:adjustRightInd w:val="0"/>
        <w:snapToGrid w:val="0"/>
        <w:spacing w:line="440" w:lineRule="exact"/>
        <w:jc w:val="both"/>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1575718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4D95344E">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项目技术负责人：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2C0A8BBB">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1B8FEEF">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1B25A8B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31204AF5">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C04728">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699FB7E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说明：《项目技术负责人简历表》后应附拟派项目技术负责人以下资料：</w:t>
      </w:r>
    </w:p>
    <w:p w14:paraId="4637044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1．身份证彩色扫描件；</w:t>
      </w:r>
    </w:p>
    <w:p w14:paraId="333723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2．职称证彩色扫描件；</w:t>
      </w:r>
    </w:p>
    <w:p w14:paraId="4FDA75C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szCs w:val="24"/>
          <w:highlight w:val="none"/>
          <w14:textFill>
            <w14:solidFill>
              <w14:schemeClr w14:val="tx1"/>
            </w14:solidFill>
          </w14:textFill>
        </w:rPr>
        <w:sectPr>
          <w:endnotePr>
            <w:numFmt w:val="decimal"/>
          </w:endnotePr>
          <w:pgSz w:w="11906" w:h="16838"/>
          <w:pgMar w:top="1701" w:right="1531" w:bottom="1417" w:left="1531" w:header="850" w:footer="992" w:gutter="0"/>
          <w:pgNumType w:fmt="decimal"/>
          <w:cols w:space="720" w:num="1"/>
          <w:docGrid w:linePitch="327" w:charSpace="0"/>
        </w:sect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）彩色扫描件；拟派技术负责人为退休返聘人员无法提供社保证明的，提供退休证和劳动合同彩色扫描件。</w:t>
      </w:r>
    </w:p>
    <w:p w14:paraId="7F2BF5ED">
      <w:pPr>
        <w:pStyle w:val="4"/>
        <w:spacing w:before="120"/>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54" w:name="_Toc7048"/>
      <w:bookmarkStart w:id="555" w:name="_Toc3151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格式十一 项目设计负责人简历表</w:t>
      </w:r>
      <w:bookmarkEnd w:id="554"/>
      <w:bookmarkEnd w:id="555"/>
    </w:p>
    <w:p w14:paraId="6BE0E100">
      <w:pPr>
        <w:wordWrap w:val="0"/>
        <w:adjustRightInd w:val="0"/>
        <w:snapToGrid w:val="0"/>
        <w:spacing w:line="440" w:lineRule="exact"/>
        <w:jc w:val="left"/>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p>
    <w:tbl>
      <w:tblPr>
        <w:tblStyle w:val="21"/>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14:paraId="7959C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31D87E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   名</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3110D74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1E67DD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  别</w:t>
            </w:r>
          </w:p>
        </w:tc>
        <w:tc>
          <w:tcPr>
            <w:tcW w:w="1946" w:type="dxa"/>
            <w:tcBorders>
              <w:top w:val="single" w:color="auto" w:sz="6" w:space="0"/>
              <w:left w:val="single" w:color="auto" w:sz="6" w:space="0"/>
              <w:bottom w:val="single" w:color="auto" w:sz="6" w:space="0"/>
              <w:right w:val="single" w:color="auto" w:sz="6" w:space="0"/>
            </w:tcBorders>
            <w:noWrap/>
            <w:vAlign w:val="center"/>
          </w:tcPr>
          <w:p w14:paraId="0F58B60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0E75D2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   龄</w:t>
            </w:r>
          </w:p>
        </w:tc>
        <w:tc>
          <w:tcPr>
            <w:tcW w:w="1327" w:type="dxa"/>
            <w:tcBorders>
              <w:top w:val="single" w:color="auto" w:sz="6" w:space="0"/>
              <w:left w:val="single" w:color="auto" w:sz="6" w:space="0"/>
              <w:bottom w:val="single" w:color="auto" w:sz="6" w:space="0"/>
              <w:right w:val="single" w:color="auto" w:sz="6" w:space="0"/>
            </w:tcBorders>
            <w:noWrap/>
            <w:vAlign w:val="center"/>
          </w:tcPr>
          <w:p w14:paraId="36CA4E5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D556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7B359A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务</w:t>
            </w:r>
          </w:p>
        </w:tc>
        <w:tc>
          <w:tcPr>
            <w:tcW w:w="1232" w:type="dxa"/>
            <w:gridSpan w:val="2"/>
            <w:tcBorders>
              <w:top w:val="single" w:color="auto" w:sz="6" w:space="0"/>
              <w:left w:val="single" w:color="auto" w:sz="6" w:space="0"/>
              <w:bottom w:val="single" w:color="auto" w:sz="6" w:space="0"/>
              <w:right w:val="single" w:color="auto" w:sz="6" w:space="0"/>
            </w:tcBorders>
            <w:noWrap/>
            <w:vAlign w:val="center"/>
          </w:tcPr>
          <w:p w14:paraId="4730A6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294" w:type="dxa"/>
            <w:tcBorders>
              <w:top w:val="single" w:color="auto" w:sz="6" w:space="0"/>
              <w:left w:val="single" w:color="auto" w:sz="6" w:space="0"/>
              <w:bottom w:val="single" w:color="auto" w:sz="6" w:space="0"/>
              <w:right w:val="single" w:color="auto" w:sz="6" w:space="0"/>
            </w:tcBorders>
            <w:noWrap/>
            <w:vAlign w:val="center"/>
          </w:tcPr>
          <w:p w14:paraId="24DA3C3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  称</w:t>
            </w:r>
          </w:p>
        </w:tc>
        <w:tc>
          <w:tcPr>
            <w:tcW w:w="1946" w:type="dxa"/>
            <w:tcBorders>
              <w:top w:val="single" w:color="auto" w:sz="6" w:space="0"/>
              <w:left w:val="single" w:color="auto" w:sz="6" w:space="0"/>
              <w:bottom w:val="single" w:color="auto" w:sz="6" w:space="0"/>
              <w:right w:val="single" w:color="auto" w:sz="6" w:space="0"/>
            </w:tcBorders>
            <w:noWrap/>
            <w:vAlign w:val="center"/>
          </w:tcPr>
          <w:p w14:paraId="4BC2079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33" w:type="dxa"/>
            <w:gridSpan w:val="2"/>
            <w:tcBorders>
              <w:top w:val="single" w:color="auto" w:sz="6" w:space="0"/>
              <w:left w:val="single" w:color="auto" w:sz="6" w:space="0"/>
              <w:bottom w:val="single" w:color="auto" w:sz="6" w:space="0"/>
              <w:right w:val="single" w:color="auto" w:sz="6" w:space="0"/>
            </w:tcBorders>
            <w:noWrap/>
            <w:vAlign w:val="center"/>
          </w:tcPr>
          <w:p w14:paraId="660188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学   历</w:t>
            </w:r>
          </w:p>
        </w:tc>
        <w:tc>
          <w:tcPr>
            <w:tcW w:w="1327" w:type="dxa"/>
            <w:tcBorders>
              <w:top w:val="single" w:color="auto" w:sz="6" w:space="0"/>
              <w:left w:val="single" w:color="auto" w:sz="6" w:space="0"/>
              <w:bottom w:val="single" w:color="auto" w:sz="6" w:space="0"/>
              <w:right w:val="single" w:color="auto" w:sz="6" w:space="0"/>
            </w:tcBorders>
            <w:noWrap/>
            <w:vAlign w:val="center"/>
          </w:tcPr>
          <w:p w14:paraId="412EF28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9465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ign w:val="center"/>
          </w:tcPr>
          <w:p w14:paraId="663345B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ign w:val="center"/>
          </w:tcPr>
          <w:p w14:paraId="0D984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3679" w:type="dxa"/>
            <w:gridSpan w:val="3"/>
            <w:tcBorders>
              <w:top w:val="single" w:color="auto" w:sz="6" w:space="0"/>
              <w:left w:val="single" w:color="auto" w:sz="6" w:space="0"/>
              <w:bottom w:val="single" w:color="auto" w:sz="6" w:space="0"/>
              <w:right w:val="single" w:color="auto" w:sz="6" w:space="0"/>
            </w:tcBorders>
            <w:noWrap/>
            <w:vAlign w:val="center"/>
          </w:tcPr>
          <w:p w14:paraId="26FDD6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ign w:val="center"/>
          </w:tcPr>
          <w:p w14:paraId="39EAC85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5F36B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ign w:val="center"/>
          </w:tcPr>
          <w:p w14:paraId="0D1766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以项目设计负责人身份参与过的主要业绩（已完工项目）</w:t>
            </w:r>
          </w:p>
        </w:tc>
      </w:tr>
      <w:tr w14:paraId="4F4E9F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1266138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D7CE1F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221C20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0E6D81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建设内容和规模</w:t>
            </w:r>
          </w:p>
        </w:tc>
        <w:tc>
          <w:tcPr>
            <w:tcW w:w="1706" w:type="dxa"/>
            <w:tcBorders>
              <w:top w:val="single" w:color="auto" w:sz="6" w:space="0"/>
              <w:left w:val="single" w:color="auto" w:sz="6" w:space="0"/>
              <w:bottom w:val="single" w:color="auto" w:sz="6" w:space="0"/>
              <w:right w:val="single" w:color="auto" w:sz="6" w:space="0"/>
            </w:tcBorders>
            <w:noWrap/>
            <w:vAlign w:val="center"/>
          </w:tcPr>
          <w:p w14:paraId="42CA1BE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开、竣工日期</w:t>
            </w:r>
          </w:p>
        </w:tc>
        <w:tc>
          <w:tcPr>
            <w:tcW w:w="1327" w:type="dxa"/>
            <w:tcBorders>
              <w:top w:val="single" w:color="auto" w:sz="6" w:space="0"/>
              <w:left w:val="single" w:color="auto" w:sz="6" w:space="0"/>
              <w:bottom w:val="single" w:color="auto" w:sz="6" w:space="0"/>
              <w:right w:val="single" w:color="auto" w:sz="6" w:space="0"/>
            </w:tcBorders>
            <w:noWrap/>
            <w:vAlign w:val="center"/>
          </w:tcPr>
          <w:p w14:paraId="1A33B0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质量等级</w:t>
            </w:r>
          </w:p>
        </w:tc>
      </w:tr>
      <w:tr w14:paraId="6BEE23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3C274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30C26B5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73E20D6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7976D5B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6FE87C2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5B39C68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5E975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549D15E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69DB31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67931EE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50AF41E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166BA8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0CDE6F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1C35CF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301E4D0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0CD1A4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7DED1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7B6C6B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03E7EC7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16CC8DC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1616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A89EC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1CCC90C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024051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93B20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2D28771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37B106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D1B45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ign w:val="center"/>
          </w:tcPr>
          <w:p w14:paraId="275FF3B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7" w:type="dxa"/>
            <w:gridSpan w:val="2"/>
            <w:tcBorders>
              <w:top w:val="single" w:color="auto" w:sz="6" w:space="0"/>
              <w:left w:val="single" w:color="auto" w:sz="4" w:space="0"/>
              <w:bottom w:val="single" w:color="auto" w:sz="6" w:space="0"/>
              <w:right w:val="single" w:color="auto" w:sz="6" w:space="0"/>
            </w:tcBorders>
            <w:noWrap/>
            <w:vAlign w:val="center"/>
          </w:tcPr>
          <w:p w14:paraId="57AFE7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42" w:type="dxa"/>
            <w:gridSpan w:val="2"/>
            <w:tcBorders>
              <w:top w:val="single" w:color="auto" w:sz="6" w:space="0"/>
              <w:left w:val="single" w:color="auto" w:sz="6" w:space="0"/>
              <w:bottom w:val="single" w:color="auto" w:sz="6" w:space="0"/>
              <w:right w:val="single" w:color="auto" w:sz="6" w:space="0"/>
            </w:tcBorders>
            <w:noWrap/>
            <w:vAlign w:val="center"/>
          </w:tcPr>
          <w:p w14:paraId="5A4A0C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973" w:type="dxa"/>
            <w:gridSpan w:val="2"/>
            <w:tcBorders>
              <w:top w:val="single" w:color="auto" w:sz="6" w:space="0"/>
              <w:left w:val="single" w:color="auto" w:sz="6" w:space="0"/>
              <w:bottom w:val="single" w:color="auto" w:sz="6" w:space="0"/>
              <w:right w:val="single" w:color="auto" w:sz="6" w:space="0"/>
            </w:tcBorders>
            <w:noWrap/>
            <w:vAlign w:val="center"/>
          </w:tcPr>
          <w:p w14:paraId="3488E2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706" w:type="dxa"/>
            <w:tcBorders>
              <w:top w:val="single" w:color="auto" w:sz="6" w:space="0"/>
              <w:left w:val="single" w:color="auto" w:sz="6" w:space="0"/>
              <w:bottom w:val="single" w:color="auto" w:sz="6" w:space="0"/>
              <w:right w:val="single" w:color="auto" w:sz="6" w:space="0"/>
            </w:tcBorders>
            <w:noWrap/>
            <w:vAlign w:val="center"/>
          </w:tcPr>
          <w:p w14:paraId="38B644F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327" w:type="dxa"/>
            <w:tcBorders>
              <w:top w:val="single" w:color="auto" w:sz="6" w:space="0"/>
              <w:left w:val="single" w:color="auto" w:sz="6" w:space="0"/>
              <w:bottom w:val="single" w:color="auto" w:sz="6" w:space="0"/>
              <w:right w:val="single" w:color="auto" w:sz="6" w:space="0"/>
            </w:tcBorders>
            <w:noWrap/>
            <w:vAlign w:val="center"/>
          </w:tcPr>
          <w:p w14:paraId="67F470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bl>
    <w:p w14:paraId="04EB943A">
      <w:pPr>
        <w:wordWrap w:val="0"/>
        <w:adjustRightInd w:val="0"/>
        <w:snapToGrid w:val="0"/>
        <w:spacing w:line="440" w:lineRule="exact"/>
        <w:jc w:val="center"/>
        <w:rPr>
          <w:rFonts w:hint="eastAsia" w:asciiTheme="minorEastAsia" w:hAnsiTheme="minorEastAsia" w:eastAsiaTheme="minorEastAsia" w:cstheme="minorEastAsia"/>
          <w:b/>
          <w:bCs/>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项目设计负责人简历表</w:t>
      </w:r>
    </w:p>
    <w:p w14:paraId="3506B618">
      <w:pPr>
        <w:wordWrap w:val="0"/>
        <w:adjustRightInd w:val="0"/>
        <w:snapToGrid w:val="0"/>
        <w:spacing w:line="44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A8464B6">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25F73BA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项目</w:t>
      </w:r>
      <w:r>
        <w:rPr>
          <w:rFonts w:hint="eastAsia" w:asciiTheme="minorEastAsia" w:hAnsiTheme="minorEastAsia" w:eastAsiaTheme="minorEastAsia" w:cstheme="minorEastAsia"/>
          <w:snapToGrid w:val="0"/>
          <w:color w:val="000000" w:themeColor="text1"/>
          <w:kern w:val="0"/>
          <w:sz w:val="24"/>
          <w:szCs w:val="24"/>
          <w:highlight w:val="none"/>
          <w:lang w:val="en-US" w:eastAsia="zh-CN"/>
          <w14:textFill>
            <w14:solidFill>
              <w14:schemeClr w14:val="tx1"/>
            </w14:solidFill>
          </w14:textFill>
        </w:rPr>
        <w:t>设计</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负责人：</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（签字）</w:t>
      </w:r>
    </w:p>
    <w:p w14:paraId="10647B72">
      <w:pPr>
        <w:pStyle w:val="47"/>
        <w:wordWrap w:val="0"/>
        <w:adjustRightInd w:val="0"/>
        <w:snapToGrid w:val="0"/>
        <w:spacing w:line="440" w:lineRule="exact"/>
        <w:jc w:val="right"/>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p>
    <w:p w14:paraId="74901679">
      <w:pPr>
        <w:pStyle w:val="47"/>
        <w:wordWrap w:val="0"/>
        <w:adjustRightInd w:val="0"/>
        <w:snapToGrid w:val="0"/>
        <w:spacing w:line="440" w:lineRule="exact"/>
        <w:jc w:val="cente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年</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月</w:t>
      </w:r>
      <w:r>
        <w:rPr>
          <w:rFonts w:hint="eastAsia" w:asciiTheme="minorEastAsia" w:hAnsiTheme="minorEastAsia" w:eastAsiaTheme="minorEastAsia" w:cstheme="minorEastAsia"/>
          <w:snapToGrid w:val="0"/>
          <w:color w:val="000000" w:themeColor="text1"/>
          <w:kern w:val="0"/>
          <w:sz w:val="24"/>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snapToGrid w:val="0"/>
          <w:color w:val="000000" w:themeColor="text1"/>
          <w:kern w:val="0"/>
          <w:sz w:val="24"/>
          <w:szCs w:val="24"/>
          <w:highlight w:val="none"/>
          <w14:textFill>
            <w14:solidFill>
              <w14:schemeClr w14:val="tx1"/>
            </w14:solidFill>
          </w14:textFill>
        </w:rPr>
        <w:t>日</w:t>
      </w:r>
    </w:p>
    <w:p w14:paraId="01884584">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9F06DFC">
      <w:pPr>
        <w:wordWrap w:val="0"/>
        <w:adjustRightInd w:val="0"/>
        <w:snapToGrid w:val="0"/>
        <w:spacing w:line="400" w:lineRule="exact"/>
        <w:ind w:firstLine="57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054F7E9E">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说明：《项目设计负责人简历表》后应附拟派项目设计负责人以下资料：</w:t>
      </w:r>
    </w:p>
    <w:p w14:paraId="4B633D0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1．身份证彩色扫描件；</w:t>
      </w:r>
    </w:p>
    <w:p w14:paraId="586E437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注册</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证彩色扫描件；</w:t>
      </w:r>
    </w:p>
    <w:p w14:paraId="0B22D139">
      <w:pPr>
        <w:wordWrap w:val="0"/>
        <w:adjustRightInd w:val="0"/>
        <w:snapToGrid w:val="0"/>
        <w:spacing w:line="400" w:lineRule="exact"/>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）彩色扫描件；拟派设计负责人为退休返聘人员无法提供社保证明的，提供退休证和劳动合同彩色扫描件。</w:t>
      </w:r>
      <w:bookmarkEnd w:id="545"/>
      <w:bookmarkEnd w:id="546"/>
      <w:bookmarkEnd w:id="547"/>
      <w:bookmarkEnd w:id="548"/>
      <w:bookmarkEnd w:id="549"/>
    </w:p>
    <w:p w14:paraId="6E013105">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4．“进粤企业和人员诚信信息登记平台”个人信息情况截图。（适用于省外建筑企业）。</w:t>
      </w:r>
    </w:p>
    <w:p w14:paraId="4AF244B7">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Cs/>
          <w:color w:val="000000" w:themeColor="text1"/>
          <w:szCs w:val="24"/>
          <w:highlight w:val="none"/>
          <w14:textFill>
            <w14:solidFill>
              <w14:schemeClr w14:val="tx1"/>
            </w14:solidFill>
          </w14:textFill>
        </w:rPr>
        <w:br w:type="page"/>
      </w:r>
      <w:bookmarkStart w:id="556" w:name="_Toc10080"/>
      <w:bookmarkStart w:id="557" w:name="_Toc8264"/>
    </w:p>
    <w:p w14:paraId="052519CD">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p w14:paraId="5B71362B">
      <w:pPr>
        <w:pStyle w:val="4"/>
        <w:spacing w:before="120"/>
        <w:rPr>
          <w:rFonts w:hint="eastAsia" w:asciiTheme="minorEastAsia" w:hAnsiTheme="minorEastAsia" w:eastAsiaTheme="minorEastAsia" w:cstheme="minorEastAsia"/>
          <w:bCs/>
          <w:snapToGrid w:val="0"/>
          <w:color w:val="000000" w:themeColor="text1"/>
          <w:szCs w:val="24"/>
          <w:highlight w:val="none"/>
          <w14:textFill>
            <w14:solidFill>
              <w14:schemeClr w14:val="tx1"/>
            </w14:solidFill>
          </w14:textFill>
        </w:rPr>
      </w:pPr>
      <w:bookmarkStart w:id="558" w:name="_Toc22091"/>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snapToGrid w:val="0"/>
          <w:color w:val="000000" w:themeColor="text1"/>
          <w:szCs w:val="24"/>
          <w:highlight w:val="none"/>
          <w:lang w:val="en-US" w:eastAsia="zh-CN"/>
          <w14:textFill>
            <w14:solidFill>
              <w14:schemeClr w14:val="tx1"/>
            </w14:solidFill>
          </w14:textFill>
        </w:rPr>
        <w:t>二</w:t>
      </w:r>
      <w:r>
        <w:rPr>
          <w:rFonts w:hint="eastAsia" w:asciiTheme="minorEastAsia" w:hAnsiTheme="minorEastAsia" w:eastAsiaTheme="minorEastAsia" w:cstheme="minorEastAsia"/>
          <w:b/>
          <w:snapToGrid w:val="0"/>
          <w:color w:val="000000" w:themeColor="text1"/>
          <w:szCs w:val="24"/>
          <w:highlight w:val="none"/>
          <w14:textFill>
            <w14:solidFill>
              <w14:schemeClr w14:val="tx1"/>
            </w14:solidFill>
          </w14:textFill>
        </w:rPr>
        <w:t xml:space="preserve"> 项目管理机构组成表</w:t>
      </w:r>
      <w:bookmarkEnd w:id="556"/>
      <w:bookmarkEnd w:id="558"/>
    </w:p>
    <w:p w14:paraId="6AB277B4">
      <w:pPr>
        <w:wordWrap w:val="0"/>
        <w:adjustRightInd w:val="0"/>
        <w:snapToGrid w:val="0"/>
        <w:spacing w:before="260" w:after="260" w:line="440" w:lineRule="exact"/>
        <w:jc w:val="cente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kern w:val="0"/>
          <w:szCs w:val="24"/>
          <w:highlight w:val="none"/>
          <w14:textFill>
            <w14:solidFill>
              <w14:schemeClr w14:val="tx1"/>
            </w14:solidFill>
          </w14:textFill>
        </w:rPr>
        <w:t>项目管理机构组成表</w:t>
      </w:r>
    </w:p>
    <w:tbl>
      <w:tblPr>
        <w:tblStyle w:val="21"/>
        <w:tblW w:w="8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14:paraId="4266FB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ign w:val="center"/>
          </w:tcPr>
          <w:p w14:paraId="605DFE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序号</w:t>
            </w:r>
          </w:p>
        </w:tc>
        <w:tc>
          <w:tcPr>
            <w:tcW w:w="1424" w:type="dxa"/>
            <w:tcBorders>
              <w:top w:val="single" w:color="auto" w:sz="6" w:space="0"/>
              <w:left w:val="single" w:color="auto" w:sz="6" w:space="0"/>
              <w:bottom w:val="single" w:color="auto" w:sz="6" w:space="0"/>
              <w:right w:val="single" w:color="auto" w:sz="6" w:space="0"/>
            </w:tcBorders>
            <w:noWrap/>
            <w:vAlign w:val="center"/>
          </w:tcPr>
          <w:p w14:paraId="1A40264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职务</w:t>
            </w:r>
          </w:p>
        </w:tc>
        <w:tc>
          <w:tcPr>
            <w:tcW w:w="1358" w:type="dxa"/>
            <w:tcBorders>
              <w:top w:val="single" w:color="auto" w:sz="6" w:space="0"/>
              <w:left w:val="single" w:color="auto" w:sz="6" w:space="0"/>
              <w:bottom w:val="single" w:color="auto" w:sz="6" w:space="0"/>
              <w:right w:val="single" w:color="auto" w:sz="6" w:space="0"/>
            </w:tcBorders>
            <w:noWrap/>
            <w:vAlign w:val="center"/>
          </w:tcPr>
          <w:p w14:paraId="008A8A2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姓名</w:t>
            </w:r>
          </w:p>
        </w:tc>
        <w:tc>
          <w:tcPr>
            <w:tcW w:w="902" w:type="dxa"/>
            <w:tcBorders>
              <w:top w:val="single" w:color="auto" w:sz="6" w:space="0"/>
              <w:left w:val="single" w:color="auto" w:sz="6" w:space="0"/>
              <w:bottom w:val="single" w:color="auto" w:sz="6" w:space="0"/>
              <w:right w:val="single" w:color="auto" w:sz="6" w:space="0"/>
            </w:tcBorders>
            <w:noWrap/>
            <w:vAlign w:val="center"/>
          </w:tcPr>
          <w:p w14:paraId="0EA3C27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性别</w:t>
            </w:r>
          </w:p>
        </w:tc>
        <w:tc>
          <w:tcPr>
            <w:tcW w:w="819" w:type="dxa"/>
            <w:tcBorders>
              <w:top w:val="single" w:color="auto" w:sz="6" w:space="0"/>
              <w:left w:val="single" w:color="auto" w:sz="6" w:space="0"/>
              <w:bottom w:val="single" w:color="auto" w:sz="6" w:space="0"/>
              <w:right w:val="single" w:color="auto" w:sz="6" w:space="0"/>
            </w:tcBorders>
            <w:noWrap/>
            <w:vAlign w:val="center"/>
          </w:tcPr>
          <w:p w14:paraId="16E7F36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年龄</w:t>
            </w:r>
          </w:p>
        </w:tc>
        <w:tc>
          <w:tcPr>
            <w:tcW w:w="1541" w:type="dxa"/>
            <w:tcBorders>
              <w:top w:val="single" w:color="auto" w:sz="6" w:space="0"/>
              <w:left w:val="single" w:color="auto" w:sz="6" w:space="0"/>
              <w:bottom w:val="single" w:color="auto" w:sz="6" w:space="0"/>
              <w:right w:val="single" w:color="auto" w:sz="6" w:space="0"/>
            </w:tcBorders>
            <w:noWrap/>
            <w:vAlign w:val="center"/>
          </w:tcPr>
          <w:p w14:paraId="1AAB05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职称</w:t>
            </w:r>
          </w:p>
        </w:tc>
        <w:tc>
          <w:tcPr>
            <w:tcW w:w="2169" w:type="dxa"/>
            <w:tcBorders>
              <w:top w:val="single" w:color="auto" w:sz="6" w:space="0"/>
              <w:left w:val="single" w:color="auto" w:sz="6" w:space="0"/>
              <w:bottom w:val="single" w:color="auto" w:sz="6" w:space="0"/>
              <w:right w:val="single" w:color="auto" w:sz="6" w:space="0"/>
            </w:tcBorders>
            <w:noWrap/>
            <w:vAlign w:val="center"/>
          </w:tcPr>
          <w:p w14:paraId="6E76902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备注</w:t>
            </w:r>
          </w:p>
        </w:tc>
      </w:tr>
      <w:tr w14:paraId="19940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ign w:val="center"/>
          </w:tcPr>
          <w:p w14:paraId="256C31E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w:t>
            </w:r>
          </w:p>
        </w:tc>
        <w:tc>
          <w:tcPr>
            <w:tcW w:w="1424" w:type="dxa"/>
            <w:tcBorders>
              <w:top w:val="single" w:color="auto" w:sz="6" w:space="0"/>
              <w:left w:val="single" w:color="auto" w:sz="6" w:space="0"/>
              <w:right w:val="single" w:color="auto" w:sz="6" w:space="0"/>
            </w:tcBorders>
            <w:noWrap/>
            <w:vAlign w:val="center"/>
          </w:tcPr>
          <w:p w14:paraId="5AA3CDF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项目经理</w:t>
            </w:r>
          </w:p>
        </w:tc>
        <w:tc>
          <w:tcPr>
            <w:tcW w:w="1358" w:type="dxa"/>
            <w:tcBorders>
              <w:top w:val="single" w:color="auto" w:sz="6" w:space="0"/>
              <w:left w:val="single" w:color="auto" w:sz="6" w:space="0"/>
              <w:bottom w:val="single" w:color="auto" w:sz="6" w:space="0"/>
              <w:right w:val="single" w:color="auto" w:sz="6" w:space="0"/>
            </w:tcBorders>
            <w:noWrap/>
            <w:vAlign w:val="center"/>
          </w:tcPr>
          <w:p w14:paraId="5529107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D46A7D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3F7343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30A522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56F953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91D49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59B3CC8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w:t>
            </w:r>
          </w:p>
        </w:tc>
        <w:tc>
          <w:tcPr>
            <w:tcW w:w="1424" w:type="dxa"/>
            <w:tcBorders>
              <w:top w:val="single" w:color="auto" w:sz="6" w:space="0"/>
              <w:left w:val="single" w:color="auto" w:sz="6" w:space="0"/>
              <w:right w:val="single" w:color="auto" w:sz="6" w:space="0"/>
            </w:tcBorders>
            <w:noWrap/>
            <w:vAlign w:val="center"/>
          </w:tcPr>
          <w:p w14:paraId="0A21FE6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项目技术</w:t>
            </w:r>
          </w:p>
          <w:p w14:paraId="093217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1968084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CB37C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597E1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FD97D6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C8D29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1857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ign w:val="center"/>
          </w:tcPr>
          <w:p w14:paraId="710297A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w:t>
            </w:r>
          </w:p>
        </w:tc>
        <w:tc>
          <w:tcPr>
            <w:tcW w:w="1424" w:type="dxa"/>
            <w:tcBorders>
              <w:top w:val="single" w:color="auto" w:sz="6" w:space="0"/>
              <w:left w:val="single" w:color="auto" w:sz="6" w:space="0"/>
              <w:right w:val="single" w:color="auto" w:sz="6" w:space="0"/>
            </w:tcBorders>
            <w:noWrap/>
            <w:vAlign w:val="center"/>
          </w:tcPr>
          <w:p w14:paraId="2AC5FB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项目设计</w:t>
            </w:r>
          </w:p>
          <w:p w14:paraId="3294081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负责人</w:t>
            </w:r>
          </w:p>
        </w:tc>
        <w:tc>
          <w:tcPr>
            <w:tcW w:w="1358" w:type="dxa"/>
            <w:tcBorders>
              <w:top w:val="single" w:color="auto" w:sz="6" w:space="0"/>
              <w:left w:val="single" w:color="auto" w:sz="6" w:space="0"/>
              <w:bottom w:val="single" w:color="auto" w:sz="6" w:space="0"/>
              <w:right w:val="single" w:color="auto" w:sz="6" w:space="0"/>
            </w:tcBorders>
            <w:noWrap/>
            <w:vAlign w:val="center"/>
          </w:tcPr>
          <w:p w14:paraId="721184F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C7128D">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49E38B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543D8F2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1A542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5B40E2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restart"/>
            <w:tcBorders>
              <w:top w:val="single" w:color="auto" w:sz="6" w:space="0"/>
              <w:left w:val="single" w:color="auto" w:sz="6" w:space="0"/>
              <w:right w:val="single" w:color="auto" w:sz="6" w:space="0"/>
            </w:tcBorders>
            <w:shd w:val="clear" w:color="auto" w:fill="auto"/>
            <w:noWrap/>
            <w:vAlign w:val="center"/>
          </w:tcPr>
          <w:p w14:paraId="0E90B66B">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w:t>
            </w:r>
          </w:p>
        </w:tc>
        <w:tc>
          <w:tcPr>
            <w:tcW w:w="1424" w:type="dxa"/>
            <w:tcBorders>
              <w:top w:val="single" w:color="auto" w:sz="6" w:space="0"/>
              <w:left w:val="single" w:color="auto" w:sz="6" w:space="0"/>
              <w:bottom w:val="single" w:color="auto" w:sz="6" w:space="0"/>
              <w:right w:val="single" w:color="auto" w:sz="6" w:space="0"/>
            </w:tcBorders>
            <w:noWrap/>
            <w:vAlign w:val="center"/>
          </w:tcPr>
          <w:p w14:paraId="70A1A83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1</w:t>
            </w:r>
          </w:p>
        </w:tc>
        <w:tc>
          <w:tcPr>
            <w:tcW w:w="1358" w:type="dxa"/>
            <w:tcBorders>
              <w:top w:val="single" w:color="auto" w:sz="6" w:space="0"/>
              <w:left w:val="single" w:color="auto" w:sz="6" w:space="0"/>
              <w:bottom w:val="single" w:color="auto" w:sz="6" w:space="0"/>
              <w:right w:val="single" w:color="auto" w:sz="6" w:space="0"/>
            </w:tcBorders>
            <w:noWrap/>
            <w:vAlign w:val="center"/>
          </w:tcPr>
          <w:p w14:paraId="47A6AEF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E0D289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A77DE2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54A6BD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1BA0822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E4ADE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right w:val="single" w:color="auto" w:sz="6" w:space="0"/>
            </w:tcBorders>
            <w:shd w:val="clear" w:color="auto" w:fill="auto"/>
            <w:noWrap/>
            <w:vAlign w:val="center"/>
          </w:tcPr>
          <w:p w14:paraId="1CC9C28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237911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2</w:t>
            </w:r>
          </w:p>
        </w:tc>
        <w:tc>
          <w:tcPr>
            <w:tcW w:w="1358" w:type="dxa"/>
            <w:tcBorders>
              <w:top w:val="single" w:color="auto" w:sz="6" w:space="0"/>
              <w:left w:val="single" w:color="auto" w:sz="6" w:space="0"/>
              <w:bottom w:val="single" w:color="auto" w:sz="6" w:space="0"/>
              <w:right w:val="single" w:color="auto" w:sz="6" w:space="0"/>
            </w:tcBorders>
            <w:noWrap/>
            <w:vAlign w:val="center"/>
          </w:tcPr>
          <w:p w14:paraId="0764AED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316FDAC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4B9144D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EC92B6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FF05D2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284468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vMerge w:val="continue"/>
            <w:tcBorders>
              <w:left w:val="single" w:color="auto" w:sz="6" w:space="0"/>
              <w:bottom w:val="single" w:color="auto" w:sz="6" w:space="0"/>
              <w:right w:val="single" w:color="auto" w:sz="6" w:space="0"/>
            </w:tcBorders>
            <w:shd w:val="clear" w:color="auto" w:fill="auto"/>
            <w:noWrap/>
            <w:vAlign w:val="center"/>
          </w:tcPr>
          <w:p w14:paraId="157DA6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7530AE0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专职安全员</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3</w:t>
            </w:r>
          </w:p>
        </w:tc>
        <w:tc>
          <w:tcPr>
            <w:tcW w:w="1358" w:type="dxa"/>
            <w:tcBorders>
              <w:top w:val="single" w:color="auto" w:sz="6" w:space="0"/>
              <w:left w:val="single" w:color="auto" w:sz="6" w:space="0"/>
              <w:bottom w:val="single" w:color="auto" w:sz="6" w:space="0"/>
              <w:right w:val="single" w:color="auto" w:sz="6" w:space="0"/>
            </w:tcBorders>
            <w:noWrap/>
            <w:vAlign w:val="center"/>
          </w:tcPr>
          <w:p w14:paraId="405E027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63CCF45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2C02FE8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61CC66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0E16CF40">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70793E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65709FC">
            <w:pPr>
              <w:wordWrap w:val="0"/>
              <w:adjustRightInd w:val="0"/>
              <w:snapToGrid w:val="0"/>
              <w:ind w:firstLine="360" w:firstLineChars="150"/>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w:t>
            </w:r>
          </w:p>
        </w:tc>
        <w:tc>
          <w:tcPr>
            <w:tcW w:w="1424" w:type="dxa"/>
            <w:tcBorders>
              <w:top w:val="single" w:color="auto" w:sz="6" w:space="0"/>
              <w:left w:val="single" w:color="auto" w:sz="6" w:space="0"/>
              <w:bottom w:val="single" w:color="auto" w:sz="6" w:space="0"/>
              <w:right w:val="single" w:color="auto" w:sz="6" w:space="0"/>
            </w:tcBorders>
            <w:noWrap/>
            <w:vAlign w:val="center"/>
          </w:tcPr>
          <w:p w14:paraId="30A1CB3C">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施工员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2AD16D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F5043C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976571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6708130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D2D9B4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6F5BF8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C19DB7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6</w:t>
            </w:r>
          </w:p>
        </w:tc>
        <w:tc>
          <w:tcPr>
            <w:tcW w:w="1424" w:type="dxa"/>
            <w:tcBorders>
              <w:top w:val="single" w:color="auto" w:sz="6" w:space="0"/>
              <w:left w:val="single" w:color="auto" w:sz="6" w:space="0"/>
              <w:bottom w:val="single" w:color="auto" w:sz="6" w:space="0"/>
              <w:right w:val="single" w:color="auto" w:sz="6" w:space="0"/>
            </w:tcBorders>
            <w:noWrap/>
            <w:vAlign w:val="center"/>
          </w:tcPr>
          <w:p w14:paraId="4E33F5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质量员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34FA99D6">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7957E6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6FE400D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21BB1A0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581F071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091D08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04A19C">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7</w:t>
            </w:r>
          </w:p>
        </w:tc>
        <w:tc>
          <w:tcPr>
            <w:tcW w:w="1424" w:type="dxa"/>
            <w:tcBorders>
              <w:top w:val="single" w:color="auto" w:sz="6" w:space="0"/>
              <w:left w:val="single" w:color="auto" w:sz="6" w:space="0"/>
              <w:bottom w:val="single" w:color="auto" w:sz="6" w:space="0"/>
              <w:right w:val="single" w:color="auto" w:sz="6" w:space="0"/>
            </w:tcBorders>
            <w:noWrap/>
            <w:vAlign w:val="center"/>
          </w:tcPr>
          <w:p w14:paraId="6A32E8C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材料员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474891E5">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4C08C0D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F2EA53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29BF67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3109CBA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4E4F6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30E99B9">
            <w:pPr>
              <w:wordWrap w:val="0"/>
              <w:adjustRightInd w:val="0"/>
              <w:snapToGrid w:val="0"/>
              <w:jc w:val="center"/>
              <w:rPr>
                <w:rFonts w:hint="eastAsia" w:asciiTheme="minorEastAsia" w:hAnsiTheme="minorEastAsia" w:eastAsiaTheme="minorEastAsia" w:cstheme="minorEastAsia"/>
                <w:snapToGrid w:val="0"/>
                <w:color w:val="000000" w:themeColor="text1"/>
                <w:kern w:val="0"/>
                <w:sz w:val="24"/>
                <w:szCs w:val="24"/>
                <w:highlight w:val="none"/>
                <w:lang w:val="en-US" w:eastAsia="zh-CN" w:bidi="ar-SA"/>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8</w:t>
            </w:r>
          </w:p>
        </w:tc>
        <w:tc>
          <w:tcPr>
            <w:tcW w:w="1424" w:type="dxa"/>
            <w:tcBorders>
              <w:top w:val="single" w:color="auto" w:sz="6" w:space="0"/>
              <w:left w:val="single" w:color="auto" w:sz="6" w:space="0"/>
              <w:bottom w:val="single" w:color="auto" w:sz="6" w:space="0"/>
              <w:right w:val="single" w:color="auto" w:sz="6" w:space="0"/>
            </w:tcBorders>
            <w:noWrap/>
            <w:vAlign w:val="center"/>
          </w:tcPr>
          <w:p w14:paraId="3CDC75F9">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资料员</w:t>
            </w:r>
          </w:p>
        </w:tc>
        <w:tc>
          <w:tcPr>
            <w:tcW w:w="1358" w:type="dxa"/>
            <w:tcBorders>
              <w:top w:val="single" w:color="auto" w:sz="6" w:space="0"/>
              <w:left w:val="single" w:color="auto" w:sz="6" w:space="0"/>
              <w:bottom w:val="single" w:color="auto" w:sz="6" w:space="0"/>
              <w:right w:val="single" w:color="auto" w:sz="6" w:space="0"/>
            </w:tcBorders>
            <w:noWrap/>
            <w:vAlign w:val="center"/>
          </w:tcPr>
          <w:p w14:paraId="001F7A4A">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1C3B98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06626CAE">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41754093">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2CAE6B7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tr w14:paraId="38F693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ign w:val="center"/>
          </w:tcPr>
          <w:p w14:paraId="3E5DA711">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424" w:type="dxa"/>
            <w:tcBorders>
              <w:top w:val="single" w:color="auto" w:sz="6" w:space="0"/>
              <w:left w:val="single" w:color="auto" w:sz="6" w:space="0"/>
              <w:bottom w:val="single" w:color="auto" w:sz="6" w:space="0"/>
              <w:right w:val="single" w:color="auto" w:sz="6" w:space="0"/>
            </w:tcBorders>
            <w:noWrap/>
            <w:vAlign w:val="center"/>
          </w:tcPr>
          <w:p w14:paraId="5B4D2DB4">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w:t>
            </w:r>
          </w:p>
        </w:tc>
        <w:tc>
          <w:tcPr>
            <w:tcW w:w="1358" w:type="dxa"/>
            <w:tcBorders>
              <w:top w:val="single" w:color="auto" w:sz="6" w:space="0"/>
              <w:left w:val="single" w:color="auto" w:sz="6" w:space="0"/>
              <w:bottom w:val="single" w:color="auto" w:sz="6" w:space="0"/>
              <w:right w:val="single" w:color="auto" w:sz="6" w:space="0"/>
            </w:tcBorders>
            <w:noWrap/>
            <w:vAlign w:val="center"/>
          </w:tcPr>
          <w:p w14:paraId="4CFE553B">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902" w:type="dxa"/>
            <w:tcBorders>
              <w:top w:val="single" w:color="auto" w:sz="6" w:space="0"/>
              <w:left w:val="single" w:color="auto" w:sz="6" w:space="0"/>
              <w:bottom w:val="single" w:color="auto" w:sz="6" w:space="0"/>
              <w:right w:val="single" w:color="auto" w:sz="6" w:space="0"/>
            </w:tcBorders>
            <w:noWrap/>
            <w:vAlign w:val="center"/>
          </w:tcPr>
          <w:p w14:paraId="0917E9B8">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819" w:type="dxa"/>
            <w:tcBorders>
              <w:top w:val="single" w:color="auto" w:sz="6" w:space="0"/>
              <w:left w:val="single" w:color="auto" w:sz="6" w:space="0"/>
              <w:bottom w:val="single" w:color="auto" w:sz="6" w:space="0"/>
              <w:right w:val="single" w:color="auto" w:sz="6" w:space="0"/>
            </w:tcBorders>
            <w:noWrap/>
            <w:vAlign w:val="center"/>
          </w:tcPr>
          <w:p w14:paraId="7E9B9D47">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1541" w:type="dxa"/>
            <w:tcBorders>
              <w:top w:val="single" w:color="auto" w:sz="6" w:space="0"/>
              <w:left w:val="single" w:color="auto" w:sz="6" w:space="0"/>
              <w:bottom w:val="single" w:color="auto" w:sz="6" w:space="0"/>
              <w:right w:val="single" w:color="auto" w:sz="6" w:space="0"/>
            </w:tcBorders>
            <w:noWrap/>
            <w:vAlign w:val="center"/>
          </w:tcPr>
          <w:p w14:paraId="11A0BCD2">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c>
          <w:tcPr>
            <w:tcW w:w="2169" w:type="dxa"/>
            <w:tcBorders>
              <w:top w:val="single" w:color="auto" w:sz="6" w:space="0"/>
              <w:left w:val="single" w:color="auto" w:sz="6" w:space="0"/>
              <w:bottom w:val="single" w:color="auto" w:sz="6" w:space="0"/>
              <w:right w:val="single" w:color="auto" w:sz="6" w:space="0"/>
            </w:tcBorders>
            <w:noWrap/>
            <w:vAlign w:val="center"/>
          </w:tcPr>
          <w:p w14:paraId="68EA27DF">
            <w:pPr>
              <w:wordWrap w:val="0"/>
              <w:adjustRightInd w:val="0"/>
              <w:snapToGrid w:val="0"/>
              <w:jc w:val="cente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p>
        </w:tc>
      </w:tr>
      <w:bookmarkEnd w:id="557"/>
    </w:tbl>
    <w:p w14:paraId="15B0C16F">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bookmarkStart w:id="559" w:name="_Toc8648"/>
      <w:bookmarkStart w:id="560" w:name="_Toc25577"/>
      <w:bookmarkStart w:id="561" w:name="_Toc36804690"/>
    </w:p>
    <w:p w14:paraId="24A36270">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说明：</w:t>
      </w:r>
    </w:p>
    <w:p w14:paraId="66447872">
      <w:pPr>
        <w:wordWrap w:val="0"/>
        <w:adjustRightInd w:val="0"/>
        <w:snapToGrid w:val="0"/>
        <w:spacing w:line="400" w:lineRule="exact"/>
        <w:ind w:firstLine="480" w:firstLineChars="200"/>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1．《项目管理机构组成表》后应附表中拟派人员（项目经理、项目技术负责人、项目设计负责人除外）以下资料：</w:t>
      </w:r>
    </w:p>
    <w:p w14:paraId="772B27C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（1）身份证证彩色扫描件；</w:t>
      </w:r>
    </w:p>
    <w:p w14:paraId="1944BBE8">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（2）职称证或岗位证或培训证</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或执业证书</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w:t>
      </w:r>
    </w:p>
    <w:p w14:paraId="076B6F6A">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（3）专职安全员须提供C类安全生产考核合格证书证彩色扫描件或“广东省建筑施工企业管理人员安全生产考核系统”考核合格信息打印页；</w:t>
      </w:r>
    </w:p>
    <w:p w14:paraId="2CA76E52">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（4）在本单位缴纳社保的证明（</w:t>
      </w:r>
      <w:r>
        <w:rPr>
          <w:rFonts w:hint="eastAsia" w:asciiTheme="minorEastAsia" w:hAnsiTheme="minorEastAsia" w:eastAsiaTheme="minorEastAsia" w:cstheme="minorEastAsia"/>
          <w:snapToGrid w:val="0"/>
          <w:color w:val="000000" w:themeColor="text1"/>
          <w:kern w:val="0"/>
          <w:szCs w:val="24"/>
          <w:highlight w:val="none"/>
          <w:lang w:val="en-US" w:eastAsia="zh-CN"/>
          <w14:textFill>
            <w14:solidFill>
              <w14:schemeClr w14:val="tx1"/>
            </w14:solidFill>
          </w14:textFill>
        </w:rPr>
        <w:t>至少1个</w:t>
      </w:r>
      <w:r>
        <w:rPr>
          <w:rFonts w:hint="eastAsia" w:asciiTheme="minorEastAsia" w:hAnsiTheme="minorEastAsia" w:eastAsiaTheme="minorEastAsia" w:cstheme="minorEastAsia"/>
          <w:snapToGrid w:val="0"/>
          <w:color w:val="000000" w:themeColor="text1"/>
          <w:kern w:val="0"/>
          <w:szCs w:val="24"/>
          <w:highlight w:val="none"/>
          <w:lang w:eastAsia="zh-CN"/>
          <w14:textFill>
            <w14:solidFill>
              <w14:schemeClr w14:val="tx1"/>
            </w14:solidFill>
          </w14:textFill>
        </w:rPr>
        <w:t>月，其中必须中2025年2月</w:t>
      </w: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）彩色扫描件；拟派人员为退休返聘人员无法提供社保证明的，提供退休证和劳动合同彩色扫描件；</w:t>
      </w:r>
    </w:p>
    <w:p w14:paraId="0714650D">
      <w:pPr>
        <w:wordWrap w:val="0"/>
        <w:adjustRightInd w:val="0"/>
        <w:snapToGrid w:val="0"/>
        <w:spacing w:line="400" w:lineRule="exact"/>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（5）“进粤企业和人员诚信信息登记平台”个人信息情况截图。（适用于省外建筑企业）。</w:t>
      </w:r>
    </w:p>
    <w:p w14:paraId="7D66C205">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Cs w:val="24"/>
          <w:highlight w:val="none"/>
          <w14:textFill>
            <w14:solidFill>
              <w14:schemeClr w14:val="tx1"/>
            </w14:solidFill>
          </w14:textFill>
        </w:rPr>
        <w:t xml:space="preserve">    2．联合体投标的，《项目管理机构组成表》应包括联合体成员单位参与项目管理机构的人员，并提供以上所需资料。</w:t>
      </w:r>
    </w:p>
    <w:p w14:paraId="32BAE3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251EEB96">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1BC61B8E">
      <w:pPr>
        <w:pStyle w:val="4"/>
        <w:spacing w:before="136"/>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bookmarkStart w:id="562" w:name="_Toc193"/>
      <w:bookmarkStart w:id="563" w:name="_Toc27948"/>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格式十</w:t>
      </w:r>
      <w:r>
        <w:rPr>
          <w:rFonts w:hint="eastAsia" w:asciiTheme="minorEastAsia" w:hAnsiTheme="minorEastAsia" w:eastAsiaTheme="minorEastAsia" w:cstheme="minorEastAsia"/>
          <w:b/>
          <w:bCs/>
          <w:color w:val="000000" w:themeColor="text1"/>
          <w:szCs w:val="24"/>
          <w:highlight w:val="none"/>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t xml:space="preserve"> 原件一览表</w:t>
      </w:r>
      <w:bookmarkEnd w:id="562"/>
      <w:bookmarkEnd w:id="563"/>
    </w:p>
    <w:p w14:paraId="483AC83E">
      <w:pPr>
        <w:spacing w:line="336" w:lineRule="auto"/>
        <w:contextualSpacing/>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bl>
      <w:tblPr>
        <w:tblStyle w:val="21"/>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0"/>
        <w:gridCol w:w="1505"/>
        <w:gridCol w:w="623"/>
        <w:gridCol w:w="1369"/>
        <w:gridCol w:w="1623"/>
        <w:gridCol w:w="753"/>
        <w:gridCol w:w="957"/>
        <w:gridCol w:w="1570"/>
      </w:tblGrid>
      <w:tr w14:paraId="133A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0" w:hRule="atLeast"/>
        </w:trPr>
        <w:tc>
          <w:tcPr>
            <w:tcW w:w="9100" w:type="dxa"/>
            <w:gridSpan w:val="8"/>
            <w:noWrap/>
            <w:tcMar>
              <w:left w:w="108" w:type="dxa"/>
              <w:right w:w="108" w:type="dxa"/>
            </w:tcMar>
            <w:vAlign w:val="center"/>
          </w:tcPr>
          <w:p w14:paraId="7A1E61B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color w:val="000000" w:themeColor="text1"/>
                <w:szCs w:val="24"/>
                <w:highlight w:val="none"/>
                <w14:textFill>
                  <w14:solidFill>
                    <w14:schemeClr w14:val="tx1"/>
                  </w14:solidFill>
                </w14:textFill>
              </w:rPr>
              <w:t>原件一览表</w:t>
            </w:r>
          </w:p>
        </w:tc>
      </w:tr>
      <w:tr w14:paraId="11C11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6AA5542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工程名称</w:t>
            </w:r>
          </w:p>
        </w:tc>
        <w:tc>
          <w:tcPr>
            <w:tcW w:w="6272" w:type="dxa"/>
            <w:gridSpan w:val="5"/>
            <w:noWrap/>
            <w:tcMar>
              <w:left w:w="108" w:type="dxa"/>
              <w:right w:w="108" w:type="dxa"/>
            </w:tcMar>
            <w:vAlign w:val="center"/>
          </w:tcPr>
          <w:p w14:paraId="6B40717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6E9E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388CAC08">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投标人名称                （请务必填写单位全称）</w:t>
            </w:r>
          </w:p>
        </w:tc>
        <w:tc>
          <w:tcPr>
            <w:tcW w:w="6272" w:type="dxa"/>
            <w:gridSpan w:val="5"/>
            <w:noWrap/>
            <w:tcMar>
              <w:left w:w="108" w:type="dxa"/>
              <w:right w:w="108" w:type="dxa"/>
            </w:tcMar>
            <w:vAlign w:val="center"/>
          </w:tcPr>
          <w:p w14:paraId="31AA044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4D253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2828" w:type="dxa"/>
            <w:gridSpan w:val="3"/>
            <w:noWrap/>
            <w:tcMar>
              <w:left w:w="108" w:type="dxa"/>
              <w:right w:w="108" w:type="dxa"/>
            </w:tcMar>
            <w:vAlign w:val="center"/>
          </w:tcPr>
          <w:p w14:paraId="051B511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投标人法定代表人或其</w:t>
            </w:r>
          </w:p>
          <w:p w14:paraId="1B2DB12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委托代理人签名</w:t>
            </w:r>
          </w:p>
        </w:tc>
        <w:tc>
          <w:tcPr>
            <w:tcW w:w="2992" w:type="dxa"/>
            <w:gridSpan w:val="2"/>
            <w:noWrap/>
            <w:tcMar>
              <w:left w:w="108" w:type="dxa"/>
              <w:right w:w="108" w:type="dxa"/>
            </w:tcMar>
            <w:vAlign w:val="center"/>
          </w:tcPr>
          <w:p w14:paraId="5DF9AB8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c>
          <w:tcPr>
            <w:tcW w:w="753" w:type="dxa"/>
            <w:noWrap/>
            <w:tcMar>
              <w:left w:w="108" w:type="dxa"/>
              <w:right w:w="108" w:type="dxa"/>
            </w:tcMar>
            <w:vAlign w:val="center"/>
          </w:tcPr>
          <w:p w14:paraId="5064241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手机号码</w:t>
            </w:r>
          </w:p>
        </w:tc>
        <w:tc>
          <w:tcPr>
            <w:tcW w:w="2527" w:type="dxa"/>
            <w:gridSpan w:val="2"/>
            <w:noWrap/>
            <w:tcMar>
              <w:left w:w="108" w:type="dxa"/>
              <w:right w:w="108" w:type="dxa"/>
            </w:tcMar>
            <w:vAlign w:val="center"/>
          </w:tcPr>
          <w:p w14:paraId="17F4AE2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483B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100" w:type="dxa"/>
            <w:gridSpan w:val="8"/>
            <w:noWrap/>
            <w:tcMar>
              <w:left w:w="108" w:type="dxa"/>
              <w:right w:w="108" w:type="dxa"/>
            </w:tcMar>
            <w:vAlign w:val="center"/>
          </w:tcPr>
          <w:p w14:paraId="24B9911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递交的证明材料原件如下：</w:t>
            </w:r>
          </w:p>
        </w:tc>
      </w:tr>
      <w:tr w14:paraId="2C9BD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577EA55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序号</w:t>
            </w:r>
          </w:p>
        </w:tc>
        <w:tc>
          <w:tcPr>
            <w:tcW w:w="5120" w:type="dxa"/>
            <w:gridSpan w:val="4"/>
            <w:noWrap/>
            <w:tcMar>
              <w:left w:w="108" w:type="dxa"/>
              <w:right w:w="108" w:type="dxa"/>
            </w:tcMar>
            <w:vAlign w:val="center"/>
          </w:tcPr>
          <w:p w14:paraId="59AC212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证明材料原件名称</w:t>
            </w:r>
          </w:p>
        </w:tc>
        <w:tc>
          <w:tcPr>
            <w:tcW w:w="1710" w:type="dxa"/>
            <w:gridSpan w:val="2"/>
            <w:noWrap/>
            <w:tcMar>
              <w:left w:w="108" w:type="dxa"/>
              <w:right w:w="108" w:type="dxa"/>
            </w:tcMar>
            <w:vAlign w:val="center"/>
          </w:tcPr>
          <w:p w14:paraId="68DB2E0F">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单位</w:t>
            </w:r>
          </w:p>
        </w:tc>
        <w:tc>
          <w:tcPr>
            <w:tcW w:w="1570" w:type="dxa"/>
            <w:noWrap/>
            <w:tcMar>
              <w:left w:w="108" w:type="dxa"/>
              <w:right w:w="108" w:type="dxa"/>
            </w:tcMar>
            <w:vAlign w:val="center"/>
          </w:tcPr>
          <w:p w14:paraId="09C2EA9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数量</w:t>
            </w:r>
          </w:p>
        </w:tc>
      </w:tr>
      <w:tr w14:paraId="7B13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CE9AF0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w:t>
            </w:r>
          </w:p>
        </w:tc>
        <w:tc>
          <w:tcPr>
            <w:tcW w:w="5120" w:type="dxa"/>
            <w:gridSpan w:val="4"/>
            <w:noWrap/>
            <w:tcMar>
              <w:left w:w="108" w:type="dxa"/>
              <w:right w:w="108" w:type="dxa"/>
            </w:tcMar>
            <w:vAlign w:val="center"/>
          </w:tcPr>
          <w:p w14:paraId="6AA9A8AA">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551C0982">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6592B39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5A239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3C983A57">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w:t>
            </w:r>
          </w:p>
        </w:tc>
        <w:tc>
          <w:tcPr>
            <w:tcW w:w="5120" w:type="dxa"/>
            <w:gridSpan w:val="4"/>
            <w:noWrap/>
            <w:tcMar>
              <w:left w:w="108" w:type="dxa"/>
              <w:right w:w="108" w:type="dxa"/>
            </w:tcMar>
            <w:vAlign w:val="center"/>
          </w:tcPr>
          <w:p w14:paraId="3F676136">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6D6CEDA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2DD7533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1D9C6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1DAC6AE3">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w:t>
            </w:r>
          </w:p>
        </w:tc>
        <w:tc>
          <w:tcPr>
            <w:tcW w:w="5120" w:type="dxa"/>
            <w:gridSpan w:val="4"/>
            <w:noWrap/>
            <w:tcMar>
              <w:left w:w="108" w:type="dxa"/>
              <w:right w:w="108" w:type="dxa"/>
            </w:tcMar>
            <w:vAlign w:val="center"/>
          </w:tcPr>
          <w:p w14:paraId="44D0A20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488AB50">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7C087D9E">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r>
      <w:tr w14:paraId="2CAE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700" w:type="dxa"/>
            <w:noWrap/>
            <w:tcMar>
              <w:left w:w="108" w:type="dxa"/>
              <w:right w:w="108" w:type="dxa"/>
            </w:tcMar>
            <w:vAlign w:val="center"/>
          </w:tcPr>
          <w:p w14:paraId="64F799F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tc>
        <w:tc>
          <w:tcPr>
            <w:tcW w:w="5120" w:type="dxa"/>
            <w:gridSpan w:val="4"/>
            <w:noWrap/>
            <w:tcMar>
              <w:left w:w="108" w:type="dxa"/>
              <w:right w:w="108" w:type="dxa"/>
            </w:tcMar>
            <w:vAlign w:val="center"/>
          </w:tcPr>
          <w:p w14:paraId="1659CA85">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710" w:type="dxa"/>
            <w:gridSpan w:val="2"/>
            <w:noWrap/>
            <w:tcMar>
              <w:left w:w="108" w:type="dxa"/>
              <w:right w:w="108" w:type="dxa"/>
            </w:tcMar>
            <w:vAlign w:val="center"/>
          </w:tcPr>
          <w:p w14:paraId="3DA24B9B">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570" w:type="dxa"/>
            <w:noWrap/>
            <w:tcMar>
              <w:left w:w="108" w:type="dxa"/>
              <w:right w:w="108" w:type="dxa"/>
            </w:tcMar>
            <w:vAlign w:val="center"/>
          </w:tcPr>
          <w:p w14:paraId="155705CC">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w:t>
            </w:r>
          </w:p>
        </w:tc>
      </w:tr>
      <w:tr w14:paraId="3F246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28" w:hRule="atLeast"/>
        </w:trPr>
        <w:tc>
          <w:tcPr>
            <w:tcW w:w="700" w:type="dxa"/>
            <w:noWrap/>
            <w:tcMar>
              <w:left w:w="108" w:type="dxa"/>
              <w:right w:w="108" w:type="dxa"/>
            </w:tcMar>
            <w:vAlign w:val="center"/>
          </w:tcPr>
          <w:p w14:paraId="08DE73B5">
            <w:pPr>
              <w:ind w:left="8" w:hanging="94"/>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注意：</w:t>
            </w:r>
          </w:p>
        </w:tc>
        <w:tc>
          <w:tcPr>
            <w:tcW w:w="8400" w:type="dxa"/>
            <w:gridSpan w:val="7"/>
            <w:noWrap/>
            <w:tcMar>
              <w:left w:w="108" w:type="dxa"/>
              <w:right w:w="108" w:type="dxa"/>
            </w:tcMar>
            <w:vAlign w:val="center"/>
          </w:tcPr>
          <w:p w14:paraId="39011553">
            <w:pPr>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14:paraId="713E4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15" w:hRule="atLeast"/>
        </w:trPr>
        <w:tc>
          <w:tcPr>
            <w:tcW w:w="2205" w:type="dxa"/>
            <w:gridSpan w:val="2"/>
            <w:noWrap/>
            <w:tcMar>
              <w:left w:w="108" w:type="dxa"/>
              <w:right w:w="108" w:type="dxa"/>
            </w:tcMar>
            <w:vAlign w:val="center"/>
          </w:tcPr>
          <w:p w14:paraId="03248E8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接收原件经办人（招标代理）：</w:t>
            </w:r>
          </w:p>
        </w:tc>
        <w:tc>
          <w:tcPr>
            <w:tcW w:w="1992" w:type="dxa"/>
            <w:gridSpan w:val="2"/>
            <w:noWrap/>
            <w:tcMar>
              <w:left w:w="108" w:type="dxa"/>
              <w:right w:w="108" w:type="dxa"/>
            </w:tcMar>
            <w:vAlign w:val="center"/>
          </w:tcPr>
          <w:p w14:paraId="5BCE5A61">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43254EA9">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接收时间：</w:t>
            </w:r>
          </w:p>
        </w:tc>
        <w:tc>
          <w:tcPr>
            <w:tcW w:w="3280" w:type="dxa"/>
            <w:gridSpan w:val="3"/>
            <w:noWrap/>
            <w:tcMar>
              <w:left w:w="108" w:type="dxa"/>
              <w:right w:w="108" w:type="dxa"/>
            </w:tcMar>
            <w:vAlign w:val="center"/>
          </w:tcPr>
          <w:p w14:paraId="6922A9E2">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r w14:paraId="44B11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89" w:hRule="atLeast"/>
        </w:trPr>
        <w:tc>
          <w:tcPr>
            <w:tcW w:w="2205" w:type="dxa"/>
            <w:gridSpan w:val="2"/>
            <w:noWrap/>
            <w:tcMar>
              <w:left w:w="108" w:type="dxa"/>
              <w:right w:w="108" w:type="dxa"/>
            </w:tcMar>
            <w:vAlign w:val="center"/>
          </w:tcPr>
          <w:p w14:paraId="1772F5DD">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退还原件接收人（投标人）：</w:t>
            </w:r>
          </w:p>
        </w:tc>
        <w:tc>
          <w:tcPr>
            <w:tcW w:w="1992" w:type="dxa"/>
            <w:gridSpan w:val="2"/>
            <w:noWrap/>
            <w:tcMar>
              <w:left w:w="108" w:type="dxa"/>
              <w:right w:w="108" w:type="dxa"/>
            </w:tcMar>
            <w:vAlign w:val="center"/>
          </w:tcPr>
          <w:p w14:paraId="74892C5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tc>
        <w:tc>
          <w:tcPr>
            <w:tcW w:w="1623" w:type="dxa"/>
            <w:noWrap/>
            <w:tcMar>
              <w:left w:w="108" w:type="dxa"/>
              <w:right w:w="108" w:type="dxa"/>
            </w:tcMar>
            <w:vAlign w:val="center"/>
          </w:tcPr>
          <w:p w14:paraId="3627CE04">
            <w:pPr>
              <w:jc w:val="center"/>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退还时间：</w:t>
            </w:r>
          </w:p>
        </w:tc>
        <w:tc>
          <w:tcPr>
            <w:tcW w:w="3280" w:type="dxa"/>
            <w:gridSpan w:val="3"/>
            <w:noWrap/>
            <w:tcMar>
              <w:left w:w="108" w:type="dxa"/>
              <w:right w:w="108" w:type="dxa"/>
            </w:tcMar>
            <w:vAlign w:val="center"/>
          </w:tcPr>
          <w:p w14:paraId="425E27C0">
            <w:pPr>
              <w:ind w:firstLine="480" w:firstLineChars="200"/>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   月   日   时  分</w:t>
            </w:r>
          </w:p>
        </w:tc>
      </w:tr>
    </w:tbl>
    <w:p w14:paraId="75A82B2E">
      <w:pPr>
        <w:snapToGrid w:val="0"/>
        <w:spacing w:line="44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b/>
          <w:snapToGrid w:val="0"/>
          <w:color w:val="000000" w:themeColor="text1"/>
          <w:highlight w:val="none"/>
          <w14:textFill>
            <w14:solidFill>
              <w14:schemeClr w14:val="tx1"/>
            </w14:solidFill>
          </w14:textFill>
        </w:rPr>
        <w:br w:type="page"/>
      </w:r>
    </w:p>
    <w:p w14:paraId="6BBFCDD9">
      <w:pPr>
        <w:wordWrap w:val="0"/>
        <w:adjustRightInd w:val="0"/>
        <w:snapToGrid w:val="0"/>
        <w:spacing w:line="400" w:lineRule="exac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8133A92">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p w14:paraId="3E7D8623">
      <w:pPr>
        <w:spacing w:before="136"/>
        <w:outlineLvl w:val="9"/>
        <w:rPr>
          <w:rFonts w:hint="eastAsia" w:asciiTheme="minorEastAsia" w:hAnsiTheme="minorEastAsia" w:eastAsiaTheme="minorEastAsia" w:cstheme="minorEastAsia"/>
          <w:b/>
          <w:bCs/>
          <w:color w:val="000000" w:themeColor="text1"/>
          <w:szCs w:val="24"/>
          <w:highlight w:val="none"/>
          <w14:textFill>
            <w14:solidFill>
              <w14:schemeClr w14:val="tx1"/>
            </w14:solidFill>
          </w14:textFill>
        </w:rPr>
      </w:pPr>
    </w:p>
    <w:bookmarkEnd w:id="559"/>
    <w:bookmarkEnd w:id="560"/>
    <w:bookmarkEnd w:id="561"/>
    <w:p w14:paraId="2082FE14">
      <w:pPr>
        <w:pStyle w:val="3"/>
        <w:jc w:val="cente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pPr>
      <w:bookmarkStart w:id="564" w:name="_Toc6918"/>
      <w:bookmarkStart w:id="565" w:name="_Toc8821"/>
      <w:bookmarkStart w:id="566" w:name="_Toc20094"/>
      <w:bookmarkStart w:id="567" w:name="_Toc26638"/>
      <w:bookmarkStart w:id="568" w:name="_Toc23446"/>
      <w:bookmarkStart w:id="569" w:name="_Toc8121"/>
      <w:bookmarkStart w:id="570" w:name="_Toc26622"/>
      <w:bookmarkStart w:id="571" w:name="_Toc9816"/>
      <w:bookmarkStart w:id="572" w:name="_Toc22541"/>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Cs w:val="30"/>
          <w:highlight w:val="none"/>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kern w:val="44"/>
          <w:szCs w:val="30"/>
          <w:highlight w:val="none"/>
          <w14:textFill>
            <w14:solidFill>
              <w14:schemeClr w14:val="tx1"/>
            </w14:solidFill>
          </w14:textFill>
        </w:rPr>
        <w:t>章  廉政合同、履约保函、预付款保函、支付保函</w:t>
      </w:r>
      <w:bookmarkEnd w:id="564"/>
      <w:bookmarkEnd w:id="565"/>
      <w:bookmarkEnd w:id="566"/>
      <w:bookmarkEnd w:id="567"/>
      <w:bookmarkEnd w:id="568"/>
      <w:bookmarkEnd w:id="569"/>
      <w:bookmarkEnd w:id="570"/>
      <w:bookmarkEnd w:id="571"/>
      <w:bookmarkEnd w:id="572"/>
    </w:p>
    <w:p w14:paraId="172855D5">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92C8A41">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73" w:name="_Toc2994"/>
      <w:bookmarkStart w:id="574" w:name="_Toc32046"/>
      <w:bookmarkStart w:id="575" w:name="_Toc10603"/>
      <w:bookmarkStart w:id="576" w:name="_Toc5870"/>
      <w:bookmarkStart w:id="577" w:name="_Toc5845"/>
      <w:bookmarkStart w:id="578" w:name="_Toc16029"/>
      <w:bookmarkStart w:id="579" w:name="_Toc1617"/>
      <w:bookmarkStart w:id="580" w:name="_Toc10193"/>
      <w:bookmarkStart w:id="581" w:name="_Toc29713"/>
      <w:bookmarkStart w:id="582" w:name="_Toc20232"/>
      <w:bookmarkStart w:id="583" w:name="_Toc30503"/>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廉政合同</w:t>
      </w:r>
      <w:bookmarkEnd w:id="573"/>
      <w:bookmarkEnd w:id="574"/>
      <w:bookmarkEnd w:id="575"/>
      <w:bookmarkEnd w:id="576"/>
      <w:bookmarkEnd w:id="577"/>
      <w:bookmarkEnd w:id="578"/>
      <w:bookmarkEnd w:id="579"/>
      <w:bookmarkEnd w:id="580"/>
      <w:bookmarkEnd w:id="581"/>
      <w:bookmarkEnd w:id="582"/>
      <w:bookmarkEnd w:id="583"/>
    </w:p>
    <w:p w14:paraId="4CEB01C0">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767DC3F8">
      <w:pPr>
        <w:tabs>
          <w:tab w:val="left" w:pos="9100"/>
        </w:tabs>
        <w:autoSpaceDE w:val="0"/>
        <w:autoSpaceDN w:val="0"/>
        <w:adjustRightInd w:val="0"/>
        <w:spacing w:line="460" w:lineRule="atLeast"/>
        <w:ind w:left="101" w:right="101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中标人：（全称）</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p>
    <w:p w14:paraId="110241E6">
      <w:pPr>
        <w:autoSpaceDE w:val="0"/>
        <w:autoSpaceDN w:val="0"/>
        <w:adjustRightInd w:val="0"/>
        <w:spacing w:before="6" w:line="150" w:lineRule="exact"/>
        <w:jc w:val="left"/>
        <w:rPr>
          <w:rFonts w:hint="eastAsia" w:asciiTheme="minorEastAsia" w:hAnsiTheme="minorEastAsia" w:eastAsiaTheme="minorEastAsia" w:cstheme="minorEastAsia"/>
          <w:color w:val="000000" w:themeColor="text1"/>
          <w:kern w:val="0"/>
          <w:szCs w:val="15"/>
          <w:highlight w:val="none"/>
          <w14:textFill>
            <w14:solidFill>
              <w14:schemeClr w14:val="tx1"/>
            </w14:solidFill>
          </w14:textFill>
        </w:rPr>
      </w:pPr>
    </w:p>
    <w:p w14:paraId="30964C2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F3807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44F84AE7">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3"/>
          <w:highlight w:val="none"/>
          <w14:textFill>
            <w14:solidFill>
              <w14:schemeClr w14:val="tx1"/>
            </w14:solidFill>
          </w14:textFill>
        </w:rPr>
        <w:t>根据国家、省有关廉政建设的规定，为做好合同工程的廉政建设，保证工程质量与施工安</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全，提高建设资金的有效使用和投资效益，合同双方当事人就加强合同工程的廉政建设，订立本合同。</w:t>
      </w:r>
    </w:p>
    <w:p w14:paraId="3524FAB7">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1</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双方权利和义务</w:t>
      </w:r>
    </w:p>
    <w:p w14:paraId="545CBDD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严格遵守国家、省有关法律法规的规定。</w:t>
      </w:r>
    </w:p>
    <w:p w14:paraId="7DF0856F">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严格执行合同工程一切合同文件，自觉按合同办事。</w:t>
      </w:r>
    </w:p>
    <w:p w14:paraId="7DF08E7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合同双方当事人的业务活动应坚持公平</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公开</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公正和诚信的原</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则</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（法律认定的商业 秘密和合同文件另有规定除外</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，不得损害国家和集体利益，不得违反工程建设管理规章制度。</w:t>
      </w:r>
    </w:p>
    <w:p w14:paraId="1BBA8BB4">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建立健全廉政制度</w:t>
      </w:r>
      <w:r>
        <w:rPr>
          <w:rFonts w:hint="eastAsia" w:asciiTheme="minorEastAsia" w:hAnsiTheme="minorEastAsia" w:eastAsiaTheme="minorEastAsia" w:cstheme="minorEastAsia"/>
          <w:color w:val="000000" w:themeColor="text1"/>
          <w:spacing w:val="-1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开展廉政教育</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设立廉政告示牌</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公布举报电话</w:t>
      </w:r>
      <w:r>
        <w:rPr>
          <w:rFonts w:hint="eastAsia" w:asciiTheme="minorEastAsia" w:hAnsiTheme="minorEastAsia" w:eastAsiaTheme="minorEastAsia" w:cstheme="minorEastAsia"/>
          <w:color w:val="000000" w:themeColor="text1"/>
          <w:spacing w:val="-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监督并认真查 处违法违纪行为。</w:t>
      </w:r>
    </w:p>
    <w:p w14:paraId="394BCC7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发现对方在业务活动中有违反廉政建设规定的行为，应及时给予提醒和纠正。</w:t>
      </w:r>
    </w:p>
    <w:p w14:paraId="3A3CCFA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1.6</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发现对方严重违反合同的行为</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有向其上级部门举报</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建议给予处理并要求告知处理 结果的权利。没有上级部门的，可按本合同第二部分《通用条款》第87 条规定处理。</w:t>
      </w:r>
    </w:p>
    <w:p w14:paraId="7D2BCF75">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2</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招标人义务</w:t>
      </w:r>
    </w:p>
    <w:p w14:paraId="250A1280">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招标人及其工作人员不得索取或接受中标人的礼金</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有价证券和贵重物品</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不得在承 包人报销任何应由招标人或其工作人员个人支付的费用。</w:t>
      </w:r>
    </w:p>
    <w:p w14:paraId="224220B2">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招标人及其工作人员不得参加中标人安排的宴</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和娱乐活动</w:t>
      </w:r>
      <w:r>
        <w:rPr>
          <w:rFonts w:hint="eastAsia" w:asciiTheme="minorEastAsia" w:hAnsiTheme="minorEastAsia" w:eastAsiaTheme="minorEastAsia" w:cstheme="minorEastAsia"/>
          <w:color w:val="000000" w:themeColor="text1"/>
          <w:spacing w:val="-12"/>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不得接受中标人提供的通讯、交通工具和高档办公用品等物品。</w:t>
      </w:r>
    </w:p>
    <w:p w14:paraId="5F6DD461">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2.3</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招标人及其工作人员不得要求或者接受中标人为其住房装修</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position w:val="-2"/>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position w:val="-2"/>
          <w:highlight w:val="none"/>
          <w14:textFill>
            <w14:solidFill>
              <w14:schemeClr w14:val="tx1"/>
            </w14:solidFill>
          </w14:textFill>
        </w:rPr>
        <w:t>配偶子</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女工作安排以及出国出境、旅游等提供方便。</w:t>
      </w:r>
    </w:p>
    <w:p w14:paraId="346DF012">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2.4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招标人及其工作人员不得以任何理由向中标人推荐</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分</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包人、推销材料和工程设备，不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得要求中标人购买合同以外的材料和工程设备。</w:t>
      </w:r>
    </w:p>
    <w:p w14:paraId="14AA02E8">
      <w:pPr>
        <w:autoSpaceDE w:val="0"/>
        <w:autoSpaceDN w:val="0"/>
        <w:adjustRightInd w:val="0"/>
        <w:spacing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2.5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招标人及其工作人员要秉公办事</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不准营私舞弊</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不准利用职权私自为合同工程安排 施工队伍，也不得从事与合同工程有关的各种有偿中介活动。</w:t>
      </w:r>
    </w:p>
    <w:p w14:paraId="3B719603">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2.6 </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招标人及其工作人员（含其配偶、子女）不得从事</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与</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 xml:space="preserve">合同工程有关的材料和工程设备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供应、工程分包、劳务等经济活动。</w:t>
      </w:r>
    </w:p>
    <w:p w14:paraId="4D9BB120">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3</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中标人义务</w:t>
      </w:r>
    </w:p>
    <w:p w14:paraId="394B952F">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中标人不得以任何理由向招标人及其工作人员行贿或馈赠礼金</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有价证券</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贵重礼品。</w:t>
      </w:r>
    </w:p>
    <w:p w14:paraId="63B51EC7">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spacing w:val="5"/>
          <w:kern w:val="0"/>
          <w:highlight w:val="none"/>
          <w14:textFill>
            <w14:solidFill>
              <w14:schemeClr w14:val="tx1"/>
            </w14:solidFill>
          </w14:textFill>
        </w:rPr>
        <w:t>中标人不得以任何名义为招标人及其</w:t>
      </w:r>
      <w:r>
        <w:rPr>
          <w:rFonts w:hint="eastAsia" w:asciiTheme="minorEastAsia" w:hAnsiTheme="minorEastAsia" w:eastAsiaTheme="minorEastAsia" w:cstheme="minorEastAsia"/>
          <w:color w:val="000000" w:themeColor="text1"/>
          <w:spacing w:val="4"/>
          <w:kern w:val="0"/>
          <w:highlight w:val="none"/>
          <w14:textFill>
            <w14:solidFill>
              <w14:schemeClr w14:val="tx1"/>
            </w14:solidFill>
          </w14:textFill>
        </w:rPr>
        <w:t>工</w:t>
      </w:r>
      <w:r>
        <w:rPr>
          <w:rFonts w:hint="eastAsia" w:asciiTheme="minorEastAsia" w:hAnsiTheme="minorEastAsia" w:eastAsiaTheme="minorEastAsia" w:cstheme="minorEastAsia"/>
          <w:color w:val="000000" w:themeColor="text1"/>
          <w:spacing w:val="6"/>
          <w:kern w:val="0"/>
          <w:highlight w:val="none"/>
          <w14:textFill>
            <w14:solidFill>
              <w14:schemeClr w14:val="tx1"/>
            </w14:solidFill>
          </w14:textFill>
        </w:rPr>
        <w:t xml:space="preserve">作人员报销应由招标人或其工作人员个人支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付的任何费用。</w:t>
      </w:r>
    </w:p>
    <w:p w14:paraId="644D8D3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3.3</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中标人不得以任何理由安排招标人及其工作人员参加宴</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请</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（工作餐除外</w:t>
      </w:r>
      <w:r>
        <w:rPr>
          <w:rFonts w:hint="eastAsia" w:asciiTheme="minorEastAsia" w:hAnsiTheme="minorEastAsia" w:eastAsiaTheme="minorEastAsia" w:cstheme="minorEastAsia"/>
          <w:color w:val="000000" w:themeColor="text1"/>
          <w:spacing w:val="-7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及娱乐活动。</w:t>
      </w:r>
    </w:p>
    <w:p w14:paraId="27DD60F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3.4</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中标人不得为招标人和个人购置或提供通讯、交通工具和高档办公用品等物品。</w:t>
      </w:r>
    </w:p>
    <w:p w14:paraId="57149C64">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3.5</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中标人不得为招标人及其工作人员的住房装修</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婚丧嫁娶活动</w:t>
      </w:r>
      <w:r>
        <w:rPr>
          <w:rFonts w:hint="eastAsia" w:asciiTheme="minorEastAsia" w:hAnsiTheme="minorEastAsia" w:eastAsiaTheme="minorEastAsia" w:cstheme="minorEastAsia"/>
          <w:color w:val="000000" w:themeColor="text1"/>
          <w:spacing w:val="-18"/>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配偶子女工作安排以 及出国出境、旅游等提供方便。</w:t>
      </w:r>
    </w:p>
    <w:p w14:paraId="0EC4B34F">
      <w:pPr>
        <w:autoSpaceDE w:val="0"/>
        <w:autoSpaceDN w:val="0"/>
        <w:adjustRightInd w:val="0"/>
        <w:spacing w:before="72" w:line="360" w:lineRule="auto"/>
        <w:ind w:right="185"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4</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违约责任</w:t>
      </w:r>
    </w:p>
    <w:p w14:paraId="7B8FD472">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4.1</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招标人及其工作人员违反本合同第1 条和第2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予处分；涉嫌犯罪的，移交司法机关追究刑事责任；给中标人造成损失的，应予赔偿。</w:t>
      </w:r>
    </w:p>
    <w:p w14:paraId="34408EEB">
      <w:pPr>
        <w:autoSpaceDE w:val="0"/>
        <w:autoSpaceDN w:val="0"/>
        <w:adjustRightInd w:val="0"/>
        <w:spacing w:before="72" w:line="360" w:lineRule="auto"/>
        <w:ind w:right="185"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4.2</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中标人及其工作人员违反本合同第1 条和第3 条规定</w:t>
      </w:r>
      <w:r>
        <w:rPr>
          <w:rFonts w:hint="eastAsia" w:asciiTheme="minorEastAsia" w:hAnsiTheme="minorEastAsia" w:eastAsiaTheme="minorEastAsia" w:cstheme="minorEastAsia"/>
          <w:color w:val="000000" w:themeColor="text1"/>
          <w:spacing w:val="-36"/>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应按照廉政建设的有关规定给 予处分</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情节严重的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给予中标人1～3 年内不得进入工程建设市场的处罚</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涉嫌犯罪的</w:t>
      </w:r>
      <w:r>
        <w:rPr>
          <w:rFonts w:hint="eastAsia" w:asciiTheme="minorEastAsia" w:hAnsiTheme="minorEastAsia" w:eastAsiaTheme="minorEastAsia" w:cstheme="minorEastAsia"/>
          <w:color w:val="000000" w:themeColor="text1"/>
          <w:spacing w:val="-24"/>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移交 司法机关追究刑事责任；给招标人造成损失的，应予赔偿；</w:t>
      </w:r>
    </w:p>
    <w:p w14:paraId="731F24BE">
      <w:pPr>
        <w:autoSpaceDE w:val="0"/>
        <w:autoSpaceDN w:val="0"/>
        <w:adjustRightInd w:val="0"/>
        <w:spacing w:before="16" w:line="360" w:lineRule="auto"/>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    5</w:t>
      </w:r>
      <w:r>
        <w:rPr>
          <w:rFonts w:hint="eastAsia" w:asciiTheme="minorEastAsia" w:hAnsiTheme="minorEastAsia" w:eastAsiaTheme="minorEastAsia" w:cstheme="minorEastAsia"/>
          <w:b/>
          <w:bCs/>
          <w:color w:val="000000" w:themeColor="text1"/>
          <w:kern w:val="0"/>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双方约定</w:t>
      </w:r>
    </w:p>
    <w:p w14:paraId="655B6D52">
      <w:pPr>
        <w:autoSpaceDE w:val="0"/>
        <w:autoSpaceDN w:val="0"/>
        <w:adjustRightInd w:val="0"/>
        <w:spacing w:line="360" w:lineRule="auto"/>
        <w:ind w:right="184" w:firstLine="484"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本合同由合同双方当事人或其上</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级</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部门负责监督执行，并由合</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同</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 xml:space="preserve">双方当事人或其上级部门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相互约请对本合同执行情况进行检查。</w:t>
      </w:r>
    </w:p>
    <w:p w14:paraId="08A9DD8D">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 xml:space="preserve">6 </w:t>
      </w:r>
      <w:r>
        <w:rPr>
          <w:rFonts w:hint="eastAsia" w:asciiTheme="minorEastAsia" w:hAnsiTheme="minorEastAsia" w:eastAsiaTheme="minorEastAsia" w:cstheme="minorEastAsia"/>
          <w:b/>
          <w:bCs/>
          <w:color w:val="000000" w:themeColor="text1"/>
          <w:kern w:val="0"/>
          <w:szCs w:val="28"/>
          <w:highlight w:val="non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合同法律效力</w:t>
      </w:r>
    </w:p>
    <w:p w14:paraId="2A7B8DB8">
      <w:pPr>
        <w:autoSpaceDE w:val="0"/>
        <w:autoSpaceDN w:val="0"/>
        <w:adjustRightInd w:val="0"/>
        <w:spacing w:line="360" w:lineRule="auto"/>
        <w:ind w:right="184"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本合同作为</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bCs/>
          <w:color w:val="000000" w:themeColor="text1"/>
          <w:szCs w:val="28"/>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（工程名称） 工程施工合同的附件，与施工合同具有同等的法律效力。</w:t>
      </w:r>
    </w:p>
    <w:p w14:paraId="2BAC4CB3">
      <w:pPr>
        <w:autoSpaceDE w:val="0"/>
        <w:autoSpaceDN w:val="0"/>
        <w:adjustRightInd w:val="0"/>
        <w:spacing w:line="360" w:lineRule="auto"/>
        <w:ind w:right="184" w:firstLine="482" w:firstLineChars="200"/>
        <w:jc w:val="left"/>
        <w:rPr>
          <w:rFonts w:hint="eastAsia" w:asciiTheme="minorEastAsia" w:hAnsiTheme="minorEastAsia" w:eastAsiaTheme="minorEastAsia" w:cstheme="minorEastAsia"/>
          <w:color w:val="000000" w:themeColor="text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7</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合同生效</w:t>
      </w:r>
    </w:p>
    <w:p w14:paraId="134C56EE">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本合同自合同双方当事人签署之日起生效，至合同工程竣工验收合格之日后失效。</w:t>
      </w:r>
    </w:p>
    <w:p w14:paraId="1A78F3FF">
      <w:pPr>
        <w:autoSpaceDE w:val="0"/>
        <w:autoSpaceDN w:val="0"/>
        <w:adjustRightInd w:val="0"/>
        <w:spacing w:line="360" w:lineRule="auto"/>
        <w:ind w:firstLine="482" w:firstLineChars="200"/>
        <w:jc w:val="left"/>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pP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8</w:t>
      </w:r>
      <w:r>
        <w:rPr>
          <w:rFonts w:hint="eastAsia" w:asciiTheme="minorEastAsia" w:hAnsiTheme="minorEastAsia" w:eastAsiaTheme="minorEastAsia" w:cstheme="minorEastAsia"/>
          <w:b/>
          <w:bCs/>
          <w:color w:val="000000" w:themeColor="text1"/>
          <w:kern w:val="0"/>
          <w:szCs w:val="28"/>
          <w:highlight w:val="none"/>
          <w14:textFill>
            <w14:solidFill>
              <w14:schemeClr w14:val="tx1"/>
            </w14:solidFill>
          </w14:textFill>
        </w:rPr>
        <w:tab/>
      </w:r>
      <w:r>
        <w:rPr>
          <w:rFonts w:hint="eastAsia" w:asciiTheme="minorEastAsia" w:hAnsiTheme="minorEastAsia" w:eastAsiaTheme="minorEastAsia" w:cstheme="minorEastAsia"/>
          <w:b/>
          <w:bCs/>
          <w:color w:val="000000" w:themeColor="text1"/>
          <w:spacing w:val="1"/>
          <w:kern w:val="0"/>
          <w:szCs w:val="28"/>
          <w:highlight w:val="none"/>
          <w14:textFill>
            <w14:solidFill>
              <w14:schemeClr w14:val="tx1"/>
            </w14:solidFill>
          </w14:textFill>
        </w:rPr>
        <w:t>合同份数</w:t>
      </w:r>
    </w:p>
    <w:p w14:paraId="3A8DD19D">
      <w:pPr>
        <w:autoSpaceDE w:val="0"/>
        <w:autoSpaceDN w:val="0"/>
        <w:adjustRightInd w:val="0"/>
        <w:spacing w:line="360" w:lineRule="auto"/>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本合同一</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式</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份，合同双方当事人各</w:t>
      </w:r>
      <w:r>
        <w:rPr>
          <w:rFonts w:hint="eastAsia" w:asciiTheme="minorEastAsia" w:hAnsiTheme="minorEastAsia" w:eastAsiaTheme="minorEastAsia" w:cstheme="minorEastAsia"/>
          <w:color w:val="000000" w:themeColor="text1"/>
          <w:spacing w:val="2"/>
          <w:kern w:val="0"/>
          <w:highlight w:val="none"/>
          <w14:textFill>
            <w14:solidFill>
              <w14:schemeClr w14:val="tx1"/>
            </w14:solidFill>
          </w14:textFill>
        </w:rPr>
        <w:t>执</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
          <w:kern w:val="0"/>
          <w:highlight w:val="none"/>
          <w14:textFill>
            <w14:solidFill>
              <w14:schemeClr w14:val="tx1"/>
            </w14:solidFill>
          </w14:textFill>
        </w:rPr>
        <w:t>份。有上级部门的，合同双方当事人应各送</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交其上级部门一份。</w:t>
      </w:r>
    </w:p>
    <w:p w14:paraId="0C0C2F81">
      <w:pPr>
        <w:autoSpaceDE w:val="0"/>
        <w:autoSpaceDN w:val="0"/>
        <w:adjustRightInd w:val="0"/>
        <w:spacing w:before="3" w:line="130" w:lineRule="exact"/>
        <w:jc w:val="left"/>
        <w:rPr>
          <w:rFonts w:hint="eastAsia" w:asciiTheme="minorEastAsia" w:hAnsiTheme="minorEastAsia" w:eastAsiaTheme="minorEastAsia" w:cstheme="minorEastAsia"/>
          <w:color w:val="000000" w:themeColor="text1"/>
          <w:kern w:val="0"/>
          <w:szCs w:val="13"/>
          <w:highlight w:val="none"/>
          <w14:textFill>
            <w14:solidFill>
              <w14:schemeClr w14:val="tx1"/>
            </w14:solidFill>
          </w14:textFill>
        </w:rPr>
      </w:pPr>
    </w:p>
    <w:p w14:paraId="5C8AC97B">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322891E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CE59F3">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62C1492">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6303B017">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4BE5EA4">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2B51DA5E">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A1B5A90">
      <w:pPr>
        <w:autoSpaceDE w:val="0"/>
        <w:autoSpaceDN w:val="0"/>
        <w:adjustRightInd w:val="0"/>
        <w:spacing w:line="200" w:lineRule="exact"/>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0DFF45E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发 包 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（公章）</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承 包 人 </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（公章） </w:t>
      </w:r>
    </w:p>
    <w:p w14:paraId="019529E9">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（签字）</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法定代表人</w:t>
      </w:r>
      <w:r>
        <w:rPr>
          <w:rFonts w:hint="eastAsia" w:asciiTheme="minorEastAsia" w:hAnsiTheme="minorEastAsia" w:eastAsiaTheme="minorEastAsia" w:cstheme="minorEastAsia"/>
          <w:color w:val="000000" w:themeColor="text1"/>
          <w:spacing w:val="-120"/>
          <w:kern w:val="0"/>
          <w:highlight w:val="none"/>
          <w14:textFill>
            <w14:solidFill>
              <w14:schemeClr w14:val="tx1"/>
            </w14:solidFill>
          </w14:textFill>
        </w:rPr>
        <w:t>：</w:t>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（签字） </w:t>
      </w:r>
    </w:p>
    <w:p w14:paraId="0BA17DB5">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u w:val="single"/>
          <w14:textFill>
            <w14:solidFill>
              <w14:schemeClr w14:val="tx1"/>
            </w14:solidFill>
          </w14:textFill>
        </w:rPr>
        <w:tab/>
      </w: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联系电话：</w:t>
      </w:r>
    </w:p>
    <w:p w14:paraId="15F9B04F">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上级部门：（公章）                     上级部门：（公章）</w:t>
      </w:r>
    </w:p>
    <w:p w14:paraId="044AF42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7A1987DD">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p>
    <w:p w14:paraId="19C15ACC">
      <w:pPr>
        <w:autoSpaceDE w:val="0"/>
        <w:autoSpaceDN w:val="0"/>
        <w:adjustRightInd w:val="0"/>
        <w:spacing w:line="400" w:lineRule="exact"/>
        <w:ind w:firstLine="480" w:firstLineChars="200"/>
        <w:jc w:val="left"/>
        <w:rPr>
          <w:rFonts w:hint="eastAsia" w:asciiTheme="minorEastAsia" w:hAnsiTheme="minorEastAsia" w:eastAsiaTheme="minorEastAsia" w:cstheme="minorEastAsia"/>
          <w:color w:val="000000" w:themeColor="text1"/>
          <w:kern w:val="0"/>
          <w:highlight w:val="none"/>
          <w14:textFill>
            <w14:solidFill>
              <w14:schemeClr w14:val="tx1"/>
            </w14:solidFill>
          </w14:textFill>
        </w:rPr>
      </w:pPr>
      <w:r>
        <w:rPr>
          <w:rFonts w:hint="eastAsia" w:asciiTheme="minorEastAsia" w:hAnsiTheme="minorEastAsia" w:eastAsiaTheme="minorEastAsia" w:cstheme="minorEastAsia"/>
          <w:color w:val="000000" w:themeColor="text1"/>
          <w:kern w:val="0"/>
          <w:highlight w:val="none"/>
          <w14:textFill>
            <w14:solidFill>
              <w14:schemeClr w14:val="tx1"/>
            </w14:solidFill>
          </w14:textFill>
        </w:rPr>
        <w:t xml:space="preserve">          年   月    日                                年   月   日</w:t>
      </w:r>
    </w:p>
    <w:p w14:paraId="461225E5">
      <w:pPr>
        <w:spacing w:line="360" w:lineRule="auto"/>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4480BB62">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84" w:name="_Toc20715"/>
      <w:bookmarkStart w:id="585" w:name="_Toc29017"/>
      <w:bookmarkStart w:id="586" w:name="_Toc18530"/>
      <w:bookmarkStart w:id="587" w:name="_Toc126"/>
      <w:bookmarkStart w:id="588" w:name="_Toc24859"/>
      <w:bookmarkStart w:id="589" w:name="_Toc28513"/>
      <w:bookmarkStart w:id="590" w:name="_Toc11559"/>
      <w:bookmarkStart w:id="591" w:name="_Toc6897"/>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br w:type="page"/>
      </w:r>
      <w:bookmarkStart w:id="592" w:name="_Toc10245"/>
      <w:bookmarkStart w:id="593" w:name="_Toc8814"/>
      <w:bookmarkStart w:id="594" w:name="_Toc30796"/>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履约保函</w:t>
      </w:r>
      <w:bookmarkEnd w:id="584"/>
      <w:bookmarkEnd w:id="585"/>
      <w:bookmarkEnd w:id="586"/>
      <w:bookmarkEnd w:id="587"/>
      <w:bookmarkEnd w:id="588"/>
      <w:bookmarkEnd w:id="589"/>
      <w:bookmarkEnd w:id="590"/>
      <w:bookmarkEnd w:id="591"/>
      <w:bookmarkEnd w:id="592"/>
      <w:bookmarkEnd w:id="593"/>
      <w:bookmarkEnd w:id="594"/>
    </w:p>
    <w:p w14:paraId="3B9F6898">
      <w:pPr>
        <w:spacing w:line="360" w:lineRule="auto"/>
        <w:jc w:val="center"/>
        <w:rPr>
          <w:rFonts w:hint="eastAsia" w:asciiTheme="minorEastAsia" w:hAnsiTheme="minorEastAsia" w:eastAsiaTheme="minorEastAsia" w:cstheme="minorEastAsia"/>
          <w:b/>
          <w:bCs/>
          <w:color w:val="000000" w:themeColor="text1"/>
          <w:sz w:val="32"/>
          <w:szCs w:val="32"/>
          <w:highlight w:val="none"/>
          <w14:textFill>
            <w14:solidFill>
              <w14:schemeClr w14:val="tx1"/>
            </w14:solidFill>
          </w14:textFill>
        </w:rPr>
      </w:pPr>
    </w:p>
    <w:p w14:paraId="221D34C8">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EC7C4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D23A14C">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39ED37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240D116">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2374388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43292334">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78C9AAC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900612E">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7A1B804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中标人，受益人为基础合同项下之招标人，基于申请人的请求，我方同意就申请人履行与贵方签订的基础合同项下的义务，向贵方提供不可撤销、不可转让的见索即付独立保函（以下简称“本保函”）。 </w:t>
      </w:r>
    </w:p>
    <w:p w14:paraId="0539FD0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一、本保函担保范围：中标人未按照基础合同的约定履行义务，应当向贵方承担的违约责任和赔偿因此造成的损失、利息、律师费、诉讼费用等实现债权的费用。</w:t>
      </w:r>
    </w:p>
    <w:p w14:paraId="59B1FBF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70D9D6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三、本保函有效期自开立之日起至基础合同约定的缺陷责任期后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5CD8E593">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068B7B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23CE61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430F2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28A18F3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7909BCE6">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4A12453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7CF41E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732B5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071B8B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9A0E54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81E583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4A7335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045BD6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29DFEFD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21D4725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6A252FB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4C1423B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8AA204F">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开立时间：      年      月    </w:t>
      </w:r>
    </w:p>
    <w:p w14:paraId="2C43A4FD">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sectPr>
          <w:headerReference r:id="rId8" w:type="default"/>
          <w:footerReference r:id="rId9" w:type="default"/>
          <w:pgSz w:w="11907" w:h="16840"/>
          <w:pgMar w:top="1247" w:right="1474" w:bottom="1247" w:left="1361" w:header="680" w:footer="680" w:gutter="0"/>
          <w:pgNumType w:fmt="decimal"/>
          <w:cols w:space="720" w:num="1"/>
        </w:sectPr>
      </w:pPr>
    </w:p>
    <w:p w14:paraId="56D93505">
      <w:pPr>
        <w:pStyle w:val="60"/>
        <w:spacing w:line="440" w:lineRule="exact"/>
        <w:ind w:firstLine="0" w:firstLineChars="0"/>
        <w:rPr>
          <w:rFonts w:hint="eastAsia" w:asciiTheme="minorEastAsia" w:hAnsiTheme="minorEastAsia" w:eastAsiaTheme="minorEastAsia" w:cstheme="minorEastAsia"/>
          <w:dstrike/>
          <w:color w:val="000000" w:themeColor="text1"/>
          <w:kern w:val="0"/>
          <w:highlight w:val="none"/>
          <w14:textFill>
            <w14:solidFill>
              <w14:schemeClr w14:val="tx1"/>
            </w14:solidFill>
          </w14:textFill>
        </w:rPr>
      </w:pPr>
    </w:p>
    <w:p w14:paraId="598954D0">
      <w:pPr>
        <w:pStyle w:val="5"/>
        <w:ind w:left="4511" w:leftChars="174" w:hanging="4093" w:hangingChars="1274"/>
        <w:jc w:val="cente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pPr>
      <w:bookmarkStart w:id="595" w:name="_Toc24975"/>
      <w:bookmarkStart w:id="596" w:name="_Toc3541"/>
      <w:bookmarkStart w:id="597" w:name="_Toc15298"/>
      <w:bookmarkStart w:id="598" w:name="_Toc4768"/>
      <w:bookmarkStart w:id="599" w:name="_Toc16010"/>
      <w:bookmarkStart w:id="600" w:name="_Toc26369"/>
      <w:bookmarkStart w:id="601" w:name="_Toc31569"/>
      <w:bookmarkStart w:id="602" w:name="_Toc3712"/>
      <w:bookmarkStart w:id="603" w:name="_Toc19146"/>
      <w:bookmarkStart w:id="604" w:name="_Toc2375"/>
      <w:bookmarkStart w:id="605" w:name="_Toc20309"/>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预付款保函</w:t>
      </w:r>
      <w:bookmarkEnd w:id="595"/>
      <w:bookmarkEnd w:id="596"/>
      <w:bookmarkEnd w:id="597"/>
      <w:bookmarkEnd w:id="598"/>
      <w:bookmarkEnd w:id="599"/>
      <w:bookmarkEnd w:id="600"/>
      <w:bookmarkEnd w:id="601"/>
      <w:bookmarkEnd w:id="602"/>
      <w:bookmarkEnd w:id="603"/>
      <w:bookmarkEnd w:id="604"/>
      <w:bookmarkEnd w:id="605"/>
    </w:p>
    <w:p w14:paraId="1C67E614">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81634F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49B56C3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6F85FA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61D8709">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1AFCAA2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AC82563">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3C2D6EC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508EFD4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396C4E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p w14:paraId="551E53E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主合同了解到申请人为主合同项下之中标人，受益人为主合同项下之招标人，基于申请人的请求，我方同意就申请人按照合同约定正确和合理地为合同目的使用预付款，向贵方提供不可撤销、不可转让的见索即付独立保函（以下简称“本保函”）。 </w:t>
      </w:r>
    </w:p>
    <w:p w14:paraId="22B4A5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2A69F37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A329F1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三、本保函有效期自开立之日起至招标人全额扣回预付款后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w:t>
      </w:r>
    </w:p>
    <w:p w14:paraId="4793DA5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164254A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0F9939A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5217755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2F569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5683766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091CD43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4AFE5C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6319DED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2AF21A0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236310A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4513A148">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九、本保函自我方法定代表人或授权代表签字并加盖公章之日起生效。 </w:t>
      </w:r>
    </w:p>
    <w:p w14:paraId="28DEE95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7C060BF">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57122C8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29B6781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C2D208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67E18D19">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260AD82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05B2D6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5B834146">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5D072775">
      <w:pPr>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43B20B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371FFDF7">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73554A24">
      <w:pPr>
        <w:rPr>
          <w:rFonts w:hint="eastAsia" w:asciiTheme="minorEastAsia" w:hAnsiTheme="minorEastAsia" w:eastAsiaTheme="minorEastAsia" w:cstheme="minorEastAsia"/>
          <w:color w:val="000000" w:themeColor="text1"/>
          <w:highlight w:val="none"/>
          <w14:textFill>
            <w14:solidFill>
              <w14:schemeClr w14:val="tx1"/>
            </w14:solidFill>
          </w14:textFill>
        </w:rPr>
      </w:pPr>
      <w:bookmarkStart w:id="606" w:name="_Toc6524"/>
    </w:p>
    <w:p w14:paraId="0388EE1B">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1A83B68F">
      <w:pPr>
        <w:pStyle w:val="5"/>
        <w:ind w:left="3488" w:leftChars="174" w:hanging="3070" w:hangingChars="1274"/>
        <w:jc w:val="center"/>
        <w:rPr>
          <w:rFonts w:hint="eastAsia" w:asciiTheme="minorEastAsia" w:hAnsiTheme="minorEastAsia" w:eastAsiaTheme="minorEastAsia" w:cstheme="minorEastAsia"/>
          <w:bCs/>
          <w:color w:val="000000" w:themeColor="text1"/>
          <w:szCs w:val="32"/>
          <w:highlight w:val="none"/>
          <w14:textFill>
            <w14:solidFill>
              <w14:schemeClr w14:val="tx1"/>
            </w14:solidFill>
          </w14:textFill>
        </w:rPr>
      </w:pPr>
      <w:bookmarkStart w:id="607" w:name="_Toc27131"/>
      <w:bookmarkStart w:id="608" w:name="_Toc3493"/>
      <w:bookmarkStart w:id="609" w:name="_Toc12376"/>
      <w:bookmarkStart w:id="610" w:name="_Toc18000"/>
      <w:bookmarkStart w:id="611" w:name="_Toc1401"/>
      <w:bookmarkStart w:id="612" w:name="_Toc1606"/>
      <w:bookmarkStart w:id="613" w:name="_Toc7920"/>
      <w:bookmarkStart w:id="614" w:name="_Toc25691"/>
      <w:r>
        <w:rPr>
          <w:rFonts w:hint="eastAsia" w:asciiTheme="minorEastAsia" w:hAnsiTheme="minorEastAsia" w:eastAsiaTheme="minorEastAsia" w:cstheme="minorEastAsia"/>
          <w:color w:val="000000" w:themeColor="text1"/>
          <w:highlight w:val="none"/>
          <w14:textFill>
            <w14:solidFill>
              <w14:schemeClr w14:val="tx1"/>
            </w14:solidFill>
          </w14:textFill>
        </w:rPr>
        <w:br w:type="page"/>
      </w:r>
      <w:bookmarkStart w:id="615" w:name="_Toc14563"/>
      <w:bookmarkStart w:id="616" w:name="_Toc9772"/>
      <w:bookmarkStart w:id="617" w:name="_Toc10067"/>
      <w:r>
        <w:rPr>
          <w:rFonts w:hint="eastAsia" w:asciiTheme="minorEastAsia" w:hAnsiTheme="minorEastAsia" w:eastAsiaTheme="minorEastAsia" w:cstheme="minorEastAsia"/>
          <w:bCs/>
          <w:color w:val="000000" w:themeColor="text1"/>
          <w:sz w:val="32"/>
          <w:szCs w:val="32"/>
          <w:highlight w:val="none"/>
          <w14:textFill>
            <w14:solidFill>
              <w14:schemeClr w14:val="tx1"/>
            </w14:solidFill>
          </w14:textFill>
        </w:rPr>
        <w:t>支付保函</w:t>
      </w:r>
      <w:bookmarkEnd w:id="606"/>
      <w:bookmarkEnd w:id="607"/>
      <w:bookmarkEnd w:id="608"/>
      <w:bookmarkEnd w:id="609"/>
      <w:bookmarkEnd w:id="610"/>
      <w:bookmarkEnd w:id="611"/>
      <w:bookmarkEnd w:id="612"/>
      <w:bookmarkEnd w:id="613"/>
      <w:bookmarkEnd w:id="614"/>
      <w:bookmarkEnd w:id="615"/>
      <w:bookmarkEnd w:id="616"/>
      <w:bookmarkEnd w:id="617"/>
    </w:p>
    <w:p w14:paraId="607F1C3F">
      <w:pPr>
        <w:wordWrap w:val="0"/>
        <w:spacing w:line="360" w:lineRule="auto"/>
        <w:jc w:val="right"/>
        <w:rPr>
          <w:rFonts w:hint="eastAsia" w:asciiTheme="minorEastAsia" w:hAnsiTheme="minorEastAsia" w:eastAsiaTheme="minorEastAsia" w:cstheme="minorEastAsia"/>
          <w:color w:val="000000" w:themeColor="text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1"/>
          <w:highlight w:val="none"/>
          <w14:textFill>
            <w14:solidFill>
              <w14:schemeClr w14:val="tx1"/>
            </w14:solidFill>
          </w14:textFill>
        </w:rPr>
        <w:t xml:space="preserve">编号：           </w:t>
      </w:r>
    </w:p>
    <w:p w14:paraId="1D883AF7">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申请人：</w:t>
      </w:r>
    </w:p>
    <w:p w14:paraId="3571A6A2">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9A1257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w:t>
      </w:r>
    </w:p>
    <w:p w14:paraId="32252B3F">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0E36229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开立人：</w:t>
      </w:r>
    </w:p>
    <w:p w14:paraId="1DE9EC30">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地址：</w:t>
      </w:r>
    </w:p>
    <w:p w14:paraId="395CEEE5">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30C631">
      <w:pPr>
        <w:spacing w:line="360" w:lineRule="auto"/>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bookmarkStart w:id="618" w:name="_Hlk40355074"/>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（受益人名称）： </w:t>
      </w:r>
    </w:p>
    <w:bookmarkEnd w:id="618"/>
    <w:p w14:paraId="605C041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鉴于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（以下简称“受益人”）与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（以下简称“申请人”）于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日就</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工程（以下简称“本工程”）施工和有关事项协商一致共同签订</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以下简称“基础合同”），我方（即“开立人”）根据基础合同了解到申请人为基础合同项下之招标人，受益人为基础合同项下之中标人，基于申请人的请求，我方同意就申请人履行与贵方签订的基础合同项下的工程款（指基础合同约定的除工程质量保修金以外的工程款）付款义务，向贵方提供不可撤销、不可转让的见索即付独立保函（以下简称“本保函”）。 </w:t>
      </w:r>
    </w:p>
    <w:p w14:paraId="5074AB72">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一、本保函担保范围：申请人未履行基础合同约定的工程款支付义务，应当向贵方承担的违约责任和赔偿因此造成的损失、利息、律师费、诉讼费用等实现债权的费用。</w:t>
      </w:r>
    </w:p>
    <w:p w14:paraId="267D714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二、本保函担保金额最高不超过人民币（大写）</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元（¥</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66B3D9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三、本保函有效期自开立之日起至基础合同约定的除工程质量保修金以外的全部工程结算款项支付之日后</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日止，最迟不超过</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年</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月</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日。 </w:t>
      </w:r>
    </w:p>
    <w:p w14:paraId="68ACDA2C">
      <w:pPr>
        <w:spacing w:line="360" w:lineRule="auto"/>
        <w:ind w:firstLine="48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四、我方承诺，在收到受益人发来的书面付款通知后的</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日内无条件支付，前述书面付款通知即为付款要求之单据，且应满足以下要求：</w:t>
      </w:r>
    </w:p>
    <w:p w14:paraId="36E9387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（1）付款通知到达的日期在本保函的有效期内；</w:t>
      </w:r>
    </w:p>
    <w:p w14:paraId="16604FC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（2）载明要求支付的金额；</w:t>
      </w:r>
    </w:p>
    <w:p w14:paraId="185C230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（3）载明申请人违反合同义务的条款和内容；</w:t>
      </w:r>
    </w:p>
    <w:p w14:paraId="6E90FF64">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（4）声明不存在合同文件约定或我国法律规定免除申请人或开立人支付责任的情形；</w:t>
      </w:r>
    </w:p>
    <w:p w14:paraId="0B42AB5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（5）付款通知应在本保函有效期内到达的地址是：</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w:t>
      </w:r>
    </w:p>
    <w:p w14:paraId="1D58AEF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受益人发出的书面付款通知应由其为鉴明受益人法定代表人（负责人）或授权代理人签字并加盖公章。</w:t>
      </w:r>
    </w:p>
    <w:p w14:paraId="2B69039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五、本保函项下的权利不得转让，不得设定担保。贵方未经我方书面同意转 让本保函或其项下任何权利，对我方不发生法律效力。 </w:t>
      </w:r>
    </w:p>
    <w:p w14:paraId="03F6F6B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六、与本保函有关的基础合同不成立、不生效、无效、被撤销、被解除，不影响本保函的独立有效。 </w:t>
      </w:r>
    </w:p>
    <w:p w14:paraId="708B2913">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1BB365EC">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八、本保函适用的法律为中华人民共和国法律，争议裁判管辖地为中华人民共和国</w:t>
      </w:r>
      <w:r>
        <w:rPr>
          <w:rFonts w:hint="eastAsia" w:asciiTheme="minorEastAsia" w:hAnsiTheme="minorEastAsia" w:eastAsiaTheme="minorEastAsia" w:cstheme="minorEastAsia"/>
          <w:color w:val="000000" w:themeColor="text1"/>
          <w:szCs w:val="24"/>
          <w:highlight w:val="none"/>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w:t>
      </w:r>
    </w:p>
    <w:p w14:paraId="342C2E4D">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九、本保函自我方法定代表人</w:t>
      </w:r>
      <w:bookmarkStart w:id="619" w:name="_Hlk58487855"/>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或授权代表</w:t>
      </w:r>
      <w:bookmarkEnd w:id="619"/>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签字并加盖公章之日起生效。 </w:t>
      </w:r>
    </w:p>
    <w:p w14:paraId="669B9000">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6FCFA16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3DDD303E">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开 立 人：                              （公章） </w:t>
      </w:r>
    </w:p>
    <w:p w14:paraId="3E911487">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法定代表人（或授权代表）：               （签字） </w:t>
      </w:r>
    </w:p>
    <w:p w14:paraId="708DD72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地    址：                                       </w:t>
      </w:r>
    </w:p>
    <w:p w14:paraId="0308D6B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邮政编码：                 </w:t>
      </w:r>
    </w:p>
    <w:p w14:paraId="59CD7EE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电    话：                 </w:t>
      </w:r>
    </w:p>
    <w:p w14:paraId="73F9AA0A">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传    真：                 </w:t>
      </w:r>
    </w:p>
    <w:p w14:paraId="4C1BA48D">
      <w:pPr>
        <w:spacing w:line="360" w:lineRule="auto"/>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开立时间：      年      月        日</w:t>
      </w:r>
    </w:p>
    <w:p w14:paraId="2A47D1DD">
      <w:pPr>
        <w:spacing w:line="374" w:lineRule="auto"/>
        <w:ind w:left="698" w:right="524"/>
        <w:jc w:val="left"/>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p>
    <w:p w14:paraId="15FBFA56">
      <w:pPr>
        <w:pStyle w:val="3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7C8AF6FC">
      <w:pPr>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5F5A5F2E">
      <w:pPr>
        <w:pStyle w:val="30"/>
        <w:rPr>
          <w:rFonts w:hint="eastAsia" w:asciiTheme="minorEastAsia" w:hAnsiTheme="minorEastAsia" w:eastAsiaTheme="minorEastAsia" w:cstheme="minorEastAsia"/>
          <w:color w:val="000000" w:themeColor="text1"/>
          <w:sz w:val="24"/>
          <w:highlight w:val="none"/>
          <w14:textFill>
            <w14:solidFill>
              <w14:schemeClr w14:val="tx1"/>
            </w14:solidFill>
          </w14:textFill>
        </w:rPr>
      </w:pPr>
    </w:p>
    <w:p w14:paraId="54C9F0E0">
      <w:pPr>
        <w:spacing w:line="374" w:lineRule="auto"/>
        <w:ind w:left="698" w:right="524"/>
        <w:jc w:val="left"/>
        <w:rPr>
          <w:rFonts w:hint="eastAsia" w:asciiTheme="minorEastAsia" w:hAnsiTheme="minorEastAsia" w:eastAsiaTheme="minorEastAsia" w:cstheme="minorEastAsia"/>
          <w:strike/>
          <w:color w:val="000000" w:themeColor="text1"/>
          <w:szCs w:val="24"/>
          <w:highlight w:val="none"/>
          <w14:textFill>
            <w14:solidFill>
              <w14:schemeClr w14:val="tx1"/>
            </w14:solidFill>
          </w14:textFill>
        </w:rPr>
      </w:pPr>
    </w:p>
    <w:p w14:paraId="33E7C08A">
      <w:pPr>
        <w:rPr>
          <w:rFonts w:hint="eastAsia" w:asciiTheme="minorEastAsia" w:hAnsiTheme="minorEastAsia" w:eastAsiaTheme="minorEastAsia" w:cstheme="minorEastAsia"/>
          <w:color w:val="000000" w:themeColor="text1"/>
          <w:highlight w:val="none"/>
          <w14:textFill>
            <w14:solidFill>
              <w14:schemeClr w14:val="tx1"/>
            </w14:solidFill>
          </w14:textFill>
        </w:rPr>
        <w:sectPr>
          <w:pgSz w:w="11907" w:h="16840"/>
          <w:pgMar w:top="1247" w:right="1474" w:bottom="1247" w:left="1361" w:header="680" w:footer="680" w:gutter="0"/>
          <w:pgNumType w:fmt="decimal"/>
          <w:cols w:space="720" w:num="1"/>
        </w:sectPr>
      </w:pPr>
    </w:p>
    <w:p w14:paraId="30942E89">
      <w:pPr>
        <w:pStyle w:val="60"/>
        <w:spacing w:line="440" w:lineRule="exact"/>
        <w:ind w:firstLine="0" w:firstLineChars="0"/>
        <w:rPr>
          <w:rFonts w:hint="eastAsia" w:asciiTheme="minorEastAsia" w:hAnsiTheme="minorEastAsia" w:eastAsiaTheme="minorEastAsia" w:cstheme="minorEastAsia"/>
          <w:color w:val="000000" w:themeColor="text1"/>
          <w:szCs w:val="32"/>
          <w:highlight w:val="none"/>
          <w14:textFill>
            <w14:solidFill>
              <w14:schemeClr w14:val="tx1"/>
            </w14:solidFill>
          </w14:textFill>
        </w:rPr>
      </w:pPr>
    </w:p>
    <w:p w14:paraId="7205DE45">
      <w:pPr>
        <w:pStyle w:val="3"/>
        <w:jc w:val="cente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pPr>
      <w:bookmarkStart w:id="620" w:name="_Toc466640622"/>
      <w:bookmarkStart w:id="621" w:name="_Toc9802"/>
      <w:bookmarkStart w:id="622" w:name="_Toc1879"/>
      <w:bookmarkStart w:id="623" w:name="_Toc19434"/>
      <w:bookmarkStart w:id="624" w:name="_Toc3242"/>
      <w:bookmarkStart w:id="625" w:name="_Toc19022"/>
      <w:bookmarkStart w:id="626" w:name="_Toc13641"/>
      <w:bookmarkStart w:id="627" w:name="_Toc26594"/>
      <w:bookmarkStart w:id="628" w:name="_Toc3894"/>
      <w:bookmarkStart w:id="629" w:name="_Toc42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第</w:t>
      </w:r>
      <w:r>
        <w:rPr>
          <w:rFonts w:hint="eastAsia" w:asciiTheme="minorEastAsia" w:hAnsiTheme="minorEastAsia" w:eastAsiaTheme="minorEastAsia" w:cstheme="minorEastAsia"/>
          <w:b/>
          <w:color w:val="000000" w:themeColor="text1"/>
          <w:kern w:val="44"/>
          <w:sz w:val="36"/>
          <w:szCs w:val="36"/>
          <w:highlight w:val="none"/>
          <w:lang w:val="en-US" w:eastAsia="zh-CN"/>
          <w14:textFill>
            <w14:solidFill>
              <w14:schemeClr w14:val="tx1"/>
            </w14:solidFill>
          </w14:textFill>
        </w:rPr>
        <w:t>八</w:t>
      </w:r>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 xml:space="preserve">章  </w:t>
      </w:r>
      <w:bookmarkEnd w:id="477"/>
      <w:bookmarkEnd w:id="478"/>
      <w:bookmarkEnd w:id="479"/>
      <w:bookmarkEnd w:id="480"/>
      <w:bookmarkEnd w:id="620"/>
      <w:r>
        <w:rPr>
          <w:rFonts w:hint="eastAsia" w:asciiTheme="minorEastAsia" w:hAnsiTheme="minorEastAsia" w:eastAsiaTheme="minorEastAsia" w:cstheme="minorEastAsia"/>
          <w:b/>
          <w:color w:val="000000" w:themeColor="text1"/>
          <w:kern w:val="44"/>
          <w:sz w:val="36"/>
          <w:szCs w:val="36"/>
          <w:highlight w:val="none"/>
          <w14:textFill>
            <w14:solidFill>
              <w14:schemeClr w14:val="tx1"/>
            </w14:solidFill>
          </w14:textFill>
        </w:rPr>
        <w:t>建设工程合同</w:t>
      </w:r>
      <w:bookmarkEnd w:id="621"/>
      <w:bookmarkEnd w:id="622"/>
      <w:bookmarkEnd w:id="623"/>
      <w:bookmarkEnd w:id="624"/>
      <w:bookmarkEnd w:id="625"/>
      <w:bookmarkEnd w:id="626"/>
      <w:bookmarkEnd w:id="627"/>
      <w:bookmarkEnd w:id="628"/>
      <w:bookmarkEnd w:id="629"/>
    </w:p>
    <w:p w14:paraId="2B1FD30E">
      <w:pPr>
        <w:rPr>
          <w:rFonts w:hint="eastAsia" w:asciiTheme="minorEastAsia" w:hAnsiTheme="minorEastAsia" w:eastAsiaTheme="minorEastAsia" w:cstheme="minorEastAsia"/>
          <w:color w:val="000000" w:themeColor="text1"/>
          <w:highlight w:val="none"/>
          <w14:textFill>
            <w14:solidFill>
              <w14:schemeClr w14:val="tx1"/>
            </w14:solidFill>
          </w14:textFill>
        </w:rPr>
      </w:pPr>
    </w:p>
    <w:bookmarkEnd w:id="481"/>
    <w:bookmarkEnd w:id="482"/>
    <w:p w14:paraId="429AE631">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 略。总承包合同参照住房城乡建设部、国家工商行政管理总局制定的《建设项目工程总承包合同（示范文本）》GF-2020-0216。</w:t>
      </w:r>
    </w:p>
    <w:p w14:paraId="33E07525">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施工合同按广东省建设厅《广东省建设工程标准施工合同》范本（2009）执行。</w:t>
      </w:r>
    </w:p>
    <w:p w14:paraId="36D352AB">
      <w:pPr>
        <w:spacing w:line="360" w:lineRule="auto"/>
        <w:ind w:firstLine="480" w:firstLineChars="200"/>
        <w:rPr>
          <w:rFonts w:hint="eastAsia" w:asciiTheme="minorEastAsia" w:hAnsiTheme="minorEastAsia" w:eastAsiaTheme="minorEastAsia" w:cstheme="minorEastAsia"/>
          <w:color w:val="000000" w:themeColor="text1"/>
          <w:szCs w:val="24"/>
          <w:highlight w:val="none"/>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 xml:space="preserve">设计合同按住房城乡建设部、国家工商行政管理总局制定《建设工程设计合同示范文本（市政公用工程）》（GF-2015-0209）、《建设工程设计合同示范文本（专业建设工程）》（GF-2015-0210）执行。 </w:t>
      </w:r>
    </w:p>
    <w:p w14:paraId="4779F3EE">
      <w:pPr>
        <w:spacing w:line="360" w:lineRule="auto"/>
        <w:ind w:firstLine="480" w:firstLineChars="200"/>
        <w:rPr>
          <w:rFonts w:hint="default" w:asciiTheme="minorEastAsia" w:hAnsiTheme="minorEastAsia" w:eastAsiaTheme="minorEastAsia" w:cstheme="minorEastAsia"/>
          <w:color w:val="000000" w:themeColor="text1"/>
          <w:szCs w:val="24"/>
          <w:highlight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勘察合同按</w:t>
      </w:r>
      <w:r>
        <w:rPr>
          <w:rFonts w:hint="eastAsia" w:asciiTheme="minorEastAsia" w:hAnsiTheme="minorEastAsia" w:eastAsiaTheme="minorEastAsia" w:cstheme="minorEastAsia"/>
          <w:color w:val="000000" w:themeColor="text1"/>
          <w:szCs w:val="24"/>
          <w:highlight w:val="none"/>
          <w14:textFill>
            <w14:solidFill>
              <w14:schemeClr w14:val="tx1"/>
            </w14:solidFill>
          </w14:textFill>
        </w:rPr>
        <w:t>住房城乡建设部、国家工商行政管理总局制定建设工程勘察合同(示范文本)(GF-2016-0203)</w:t>
      </w:r>
      <w:r>
        <w:rPr>
          <w:rFonts w:hint="eastAsia" w:asciiTheme="minorEastAsia" w:hAnsiTheme="minorEastAsia" w:eastAsiaTheme="minorEastAsia" w:cstheme="minorEastAsia"/>
          <w:color w:val="000000" w:themeColor="text1"/>
          <w:szCs w:val="24"/>
          <w:highlight w:val="none"/>
          <w:lang w:val="en-US" w:eastAsia="zh-CN"/>
          <w14:textFill>
            <w14:solidFill>
              <w14:schemeClr w14:val="tx1"/>
            </w14:solidFill>
          </w14:textFill>
        </w:rPr>
        <w:t>执行。</w:t>
      </w:r>
    </w:p>
    <w:p w14:paraId="388C85E6">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D486A02">
      <w:pPr>
        <w:spacing w:line="420" w:lineRule="atLeast"/>
        <w:ind w:firstLine="480" w:firstLineChars="200"/>
        <w:rPr>
          <w:rFonts w:hint="eastAsia" w:asciiTheme="minorEastAsia" w:hAnsiTheme="minorEastAsia" w:eastAsiaTheme="minorEastAsia" w:cstheme="minorEastAsia"/>
          <w:color w:val="000000" w:themeColor="text1"/>
          <w:highlight w:val="none"/>
          <w14:textFill>
            <w14:solidFill>
              <w14:schemeClr w14:val="tx1"/>
            </w14:solidFill>
          </w14:textFill>
        </w:rPr>
      </w:pPr>
    </w:p>
    <w:p w14:paraId="6B4AE7FF">
      <w:pPr>
        <w:rPr>
          <w:rFonts w:hint="eastAsia" w:asciiTheme="minorEastAsia" w:hAnsiTheme="minorEastAsia" w:eastAsiaTheme="minorEastAsia" w:cstheme="minorEastAsia"/>
          <w:color w:val="000000" w:themeColor="text1"/>
          <w:highlight w:val="none"/>
          <w14:textFill>
            <w14:solidFill>
              <w14:schemeClr w14:val="tx1"/>
            </w14:solidFill>
          </w14:textFill>
        </w:rPr>
      </w:pPr>
    </w:p>
    <w:sectPr>
      <w:endnotePr>
        <w:numFmt w:val="decimal"/>
      </w:endnotePr>
      <w:pgSz w:w="11907" w:h="16840"/>
      <w:pgMar w:top="1134" w:right="1134" w:bottom="1021" w:left="1418" w:header="567" w:footer="510" w:gutter="0"/>
      <w:pgNumType w:fmt="decimal"/>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91F8">
    <w:pPr>
      <w:pStyle w:val="69"/>
      <w:tabs>
        <w:tab w:val="left" w:pos="4803"/>
        <w:tab w:val="clear" w:pos="4153"/>
      </w:tabs>
    </w:pPr>
    <w:r>
      <w:rPr>
        <w:rFonts w:hint="eastAsia"/>
      </w:rPr>
      <w:tab/>
    </w:r>
  </w:p>
  <w:p w14:paraId="4AFCE7F2">
    <w:pPr>
      <w:pStyle w:val="6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7DE61">
    <w:pPr>
      <w:pStyle w:val="69"/>
      <w:tabs>
        <w:tab w:val="left" w:pos="4803"/>
        <w:tab w:val="clear" w:pos="4153"/>
      </w:tabs>
    </w:pPr>
    <w:r>
      <w:rPr>
        <w:rFonts w:hint="eastAsia"/>
      </w:rPr>
      <w:tab/>
    </w:r>
  </w:p>
  <w:p w14:paraId="686904C8">
    <w:pPr>
      <w:pStyle w:val="6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45C18">
    <w:pPr>
      <w:pStyle w:val="69"/>
      <w:tabs>
        <w:tab w:val="left" w:pos="4803"/>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0430D3">
                          <w:pPr>
                            <w:pStyle w:val="1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pfMzMkBAACZ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l8zMyQEAAJkDAAAOAAAAAAAAAAEAIAAAAB4BAABkcnMvZTJvRG9j&#10;LnhtbFBLBQYAAAAABgAGAFkBAABZBQAAAAA=&#10;">
              <v:fill on="f" focussize="0,0"/>
              <v:stroke on="f"/>
              <v:imagedata o:title=""/>
              <o:lock v:ext="edit" aspectratio="f"/>
              <v:textbox inset="0mm,0mm,0mm,0mm" style="mso-fit-shape-to-text:t;">
                <w:txbxContent>
                  <w:p w14:paraId="370430D3">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rPr>
      <w:tab/>
    </w:r>
  </w:p>
  <w:p w14:paraId="5C7F47BF">
    <w:pPr>
      <w:pStyle w:val="6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FFD58">
    <w:pPr>
      <w:pStyle w:val="69"/>
      <w:tabs>
        <w:tab w:val="left" w:pos="480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1000AA">
                          <w:pPr>
                            <w:pStyle w:val="13"/>
                          </w:pPr>
                          <w:r>
                            <w:fldChar w:fldCharType="begin"/>
                          </w:r>
                          <w:r>
                            <w:instrText xml:space="preserve"> PAGE  \* MERGEFORMAT </w:instrText>
                          </w:r>
                          <w:r>
                            <w:fldChar w:fldCharType="separate"/>
                          </w:r>
                          <w:r>
                            <w:t>105</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vF7+8kBAACZAwAADgAAAGRycy9lMm9Eb2MueG1srVPNjtMwEL4j8Q6W&#10;79TZI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C8Xv7yQEAAJkDAAAOAAAAAAAAAAEAIAAAAB4BAABkcnMvZTJvRG9j&#10;LnhtbFBLBQYAAAAABgAGAFkBAABZBQAAAAA=&#10;">
              <v:fill on="f" focussize="0,0"/>
              <v:stroke on="f"/>
              <v:imagedata o:title=""/>
              <o:lock v:ext="edit" aspectratio="f"/>
              <v:textbox inset="0mm,0mm,0mm,0mm" style="mso-fit-shape-to-text:t;">
                <w:txbxContent>
                  <w:p w14:paraId="701000AA">
                    <w:pPr>
                      <w:pStyle w:val="13"/>
                    </w:pPr>
                    <w:r>
                      <w:fldChar w:fldCharType="begin"/>
                    </w:r>
                    <w:r>
                      <w:instrText xml:space="preserve"> PAGE  \* MERGEFORMAT </w:instrText>
                    </w:r>
                    <w:r>
                      <w:fldChar w:fldCharType="separate"/>
                    </w:r>
                    <w:r>
                      <w:t>105</w:t>
                    </w:r>
                    <w:r>
                      <w:fldChar w:fldCharType="end"/>
                    </w:r>
                  </w:p>
                </w:txbxContent>
              </v:textbox>
            </v:shape>
          </w:pict>
        </mc:Fallback>
      </mc:AlternateContent>
    </w:r>
    <w:r>
      <w:rPr>
        <w:rFonts w:hint="eastAsia"/>
      </w:rPr>
      <w:tab/>
    </w:r>
  </w:p>
  <w:p w14:paraId="73FD3302">
    <w:pPr>
      <w:pStyle w:val="6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7BD87">
    <w:pPr>
      <w:pStyle w:val="13"/>
      <w:jc w:val="center"/>
      <w:rPr>
        <w:rFonts w:hint="default"/>
        <w:szCs w:val="24"/>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1D0D853">
                          <w:pPr>
                            <w:pStyle w:val="13"/>
                          </w:pPr>
                          <w:r>
                            <w:fldChar w:fldCharType="begin"/>
                          </w:r>
                          <w:r>
                            <w:instrText xml:space="preserve"> PAGE  \* MERGEFORMAT </w:instrText>
                          </w:r>
                          <w:r>
                            <w:fldChar w:fldCharType="separate"/>
                          </w:r>
                          <w:r>
                            <w:t>117</w:t>
                          </w:r>
                          <w:r>
                            <w:fldChar w:fldCharType="end"/>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tUyEMkBAACZAwAADgAAAGRycy9lMm9Eb2MueG1srVPNjtMwEL4j8Q6W&#10;79TZC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W1TIQyQEAAJkDAAAOAAAAAAAAAAEAIAAAAB4BAABkcnMvZTJvRG9j&#10;LnhtbFBLBQYAAAAABgAGAFkBAABZBQAAAAA=&#10;">
              <v:fill on="f" focussize="0,0"/>
              <v:stroke on="f"/>
              <v:imagedata o:title=""/>
              <o:lock v:ext="edit" aspectratio="f"/>
              <v:textbox inset="0mm,0mm,0mm,0mm" style="mso-fit-shape-to-text:t;">
                <w:txbxContent>
                  <w:p w14:paraId="61D0D853">
                    <w:pPr>
                      <w:pStyle w:val="13"/>
                    </w:pPr>
                    <w:r>
                      <w:fldChar w:fldCharType="begin"/>
                    </w:r>
                    <w:r>
                      <w:instrText xml:space="preserve"> PAGE  \* MERGEFORMAT </w:instrText>
                    </w:r>
                    <w:r>
                      <w:fldChar w:fldCharType="separate"/>
                    </w:r>
                    <w:r>
                      <w:t>117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1C487">
    <w:pPr>
      <w:jc w:val="center"/>
      <w:rPr>
        <w:rFonts w:hint="default"/>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4B371">
    <w:pPr>
      <w:pStyle w:val="14"/>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52DEF9"/>
    <w:multiLevelType w:val="singleLevel"/>
    <w:tmpl w:val="8152DEF9"/>
    <w:lvl w:ilvl="0" w:tentative="0">
      <w:start w:val="1"/>
      <w:numFmt w:val="decimal"/>
      <w:suff w:val="nothing"/>
      <w:lvlText w:val="（%1）"/>
      <w:lvlJc w:val="left"/>
    </w:lvl>
  </w:abstractNum>
  <w:abstractNum w:abstractNumId="1">
    <w:nsid w:val="9A22DE3C"/>
    <w:multiLevelType w:val="singleLevel"/>
    <w:tmpl w:val="9A22DE3C"/>
    <w:lvl w:ilvl="0" w:tentative="0">
      <w:start w:val="5"/>
      <w:numFmt w:val="decimal"/>
      <w:suff w:val="space"/>
      <w:lvlText w:val="%1."/>
      <w:lvlJc w:val="left"/>
    </w:lvl>
  </w:abstractNum>
  <w:abstractNum w:abstractNumId="2">
    <w:nsid w:val="C099E3A4"/>
    <w:multiLevelType w:val="singleLevel"/>
    <w:tmpl w:val="C099E3A4"/>
    <w:lvl w:ilvl="0" w:tentative="0">
      <w:start w:val="1"/>
      <w:numFmt w:val="chineseCounting"/>
      <w:suff w:val="nothing"/>
      <w:lvlText w:val="第%1、"/>
      <w:lvlJc w:val="left"/>
      <w:rPr>
        <w:rFonts w:hint="eastAsia"/>
      </w:rPr>
    </w:lvl>
  </w:abstractNum>
  <w:abstractNum w:abstractNumId="3">
    <w:nsid w:val="CFABDD9F"/>
    <w:multiLevelType w:val="singleLevel"/>
    <w:tmpl w:val="CFABDD9F"/>
    <w:lvl w:ilvl="0" w:tentative="0">
      <w:start w:val="1"/>
      <w:numFmt w:val="decimal"/>
      <w:suff w:val="nothing"/>
      <w:lvlText w:val="（%1）"/>
      <w:lvlJc w:val="left"/>
    </w:lvl>
  </w:abstractNum>
  <w:abstractNum w:abstractNumId="4">
    <w:nsid w:val="00000009"/>
    <w:multiLevelType w:val="multilevel"/>
    <w:tmpl w:val="00000009"/>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35F3164D"/>
    <w:multiLevelType w:val="singleLevel"/>
    <w:tmpl w:val="35F3164D"/>
    <w:lvl w:ilvl="0" w:tentative="0">
      <w:start w:val="1"/>
      <w:numFmt w:val="decimal"/>
      <w:lvlText w:val="%1."/>
      <w:lvlJc w:val="left"/>
      <w:pPr>
        <w:tabs>
          <w:tab w:val="left" w:pos="312"/>
        </w:tabs>
      </w:pPr>
    </w:lvl>
  </w:abstractNum>
  <w:abstractNum w:abstractNumId="6">
    <w:nsid w:val="3E86BFEE"/>
    <w:multiLevelType w:val="singleLevel"/>
    <w:tmpl w:val="3E86BFEE"/>
    <w:lvl w:ilvl="0" w:tentative="0">
      <w:start w:val="1"/>
      <w:numFmt w:val="decimal"/>
      <w:lvlText w:val="%1."/>
      <w:lvlJc w:val="left"/>
      <w:pPr>
        <w:tabs>
          <w:tab w:val="left" w:pos="312"/>
        </w:tabs>
      </w:pPr>
    </w:lvl>
  </w:abstractNum>
  <w:num w:numId="1">
    <w:abstractNumId w:val="4"/>
  </w:num>
  <w:num w:numId="2">
    <w:abstractNumId w:val="3"/>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NTZhM2Y3Y2VjMzYxMDhmOTE1NzQzN2U4NjM5NzEifQ=="/>
    <w:docVar w:name="KSO_WPS_MARK_KEY" w:val="2b56eff9-4bef-4219-8874-9567fb1cde91"/>
  </w:docVars>
  <w:rsids>
    <w:rsidRoot w:val="4C5944B1"/>
    <w:rsid w:val="000B7698"/>
    <w:rsid w:val="000F7646"/>
    <w:rsid w:val="0011760F"/>
    <w:rsid w:val="001E0850"/>
    <w:rsid w:val="00281ECB"/>
    <w:rsid w:val="002F176F"/>
    <w:rsid w:val="003A1942"/>
    <w:rsid w:val="003B643A"/>
    <w:rsid w:val="003E2709"/>
    <w:rsid w:val="004218C1"/>
    <w:rsid w:val="004F7FD5"/>
    <w:rsid w:val="0055689E"/>
    <w:rsid w:val="005E6BB8"/>
    <w:rsid w:val="0064163D"/>
    <w:rsid w:val="007C3F91"/>
    <w:rsid w:val="008C4168"/>
    <w:rsid w:val="00901845"/>
    <w:rsid w:val="00936991"/>
    <w:rsid w:val="00943625"/>
    <w:rsid w:val="00954357"/>
    <w:rsid w:val="00954A54"/>
    <w:rsid w:val="00A322B9"/>
    <w:rsid w:val="00A80EA7"/>
    <w:rsid w:val="00AF685C"/>
    <w:rsid w:val="00B16179"/>
    <w:rsid w:val="00B37196"/>
    <w:rsid w:val="00C04E0C"/>
    <w:rsid w:val="00CB07F4"/>
    <w:rsid w:val="00CD4D5B"/>
    <w:rsid w:val="00D561CD"/>
    <w:rsid w:val="00DA5A23"/>
    <w:rsid w:val="00E76514"/>
    <w:rsid w:val="00ED4B12"/>
    <w:rsid w:val="00F95669"/>
    <w:rsid w:val="01284AF4"/>
    <w:rsid w:val="012C10F1"/>
    <w:rsid w:val="016A5229"/>
    <w:rsid w:val="0189664D"/>
    <w:rsid w:val="01A93FA3"/>
    <w:rsid w:val="01C53654"/>
    <w:rsid w:val="01E704A0"/>
    <w:rsid w:val="01F123E4"/>
    <w:rsid w:val="02665093"/>
    <w:rsid w:val="02673FAD"/>
    <w:rsid w:val="027F7030"/>
    <w:rsid w:val="029933CC"/>
    <w:rsid w:val="02D70973"/>
    <w:rsid w:val="02D84414"/>
    <w:rsid w:val="033923C2"/>
    <w:rsid w:val="0348159A"/>
    <w:rsid w:val="03541A8A"/>
    <w:rsid w:val="03681C3C"/>
    <w:rsid w:val="03724869"/>
    <w:rsid w:val="0385459C"/>
    <w:rsid w:val="03C50E3C"/>
    <w:rsid w:val="03F46BE4"/>
    <w:rsid w:val="041A1188"/>
    <w:rsid w:val="042E69E2"/>
    <w:rsid w:val="04360B53"/>
    <w:rsid w:val="04965C00"/>
    <w:rsid w:val="049727D9"/>
    <w:rsid w:val="04EA57F9"/>
    <w:rsid w:val="05735E79"/>
    <w:rsid w:val="06204F50"/>
    <w:rsid w:val="06310B6D"/>
    <w:rsid w:val="06505A75"/>
    <w:rsid w:val="06656ADB"/>
    <w:rsid w:val="068308FE"/>
    <w:rsid w:val="068A58D2"/>
    <w:rsid w:val="0694486B"/>
    <w:rsid w:val="06F37A6F"/>
    <w:rsid w:val="06FF1426"/>
    <w:rsid w:val="0741366C"/>
    <w:rsid w:val="074849DB"/>
    <w:rsid w:val="075527EB"/>
    <w:rsid w:val="077C17D7"/>
    <w:rsid w:val="07A10088"/>
    <w:rsid w:val="07A76DE7"/>
    <w:rsid w:val="07C40809"/>
    <w:rsid w:val="081E0766"/>
    <w:rsid w:val="08397E54"/>
    <w:rsid w:val="083E11BD"/>
    <w:rsid w:val="08915791"/>
    <w:rsid w:val="08C47915"/>
    <w:rsid w:val="092752BD"/>
    <w:rsid w:val="09B554AF"/>
    <w:rsid w:val="09C86F91"/>
    <w:rsid w:val="09EB1836"/>
    <w:rsid w:val="0A560A40"/>
    <w:rsid w:val="0A873975"/>
    <w:rsid w:val="0A9E2D09"/>
    <w:rsid w:val="0AB36DB1"/>
    <w:rsid w:val="0AD7112E"/>
    <w:rsid w:val="0AFD4502"/>
    <w:rsid w:val="0B633415"/>
    <w:rsid w:val="0BDA37C7"/>
    <w:rsid w:val="0C183B2E"/>
    <w:rsid w:val="0C3C08C2"/>
    <w:rsid w:val="0C5C7E64"/>
    <w:rsid w:val="0C711B61"/>
    <w:rsid w:val="0C7358DA"/>
    <w:rsid w:val="0C74196B"/>
    <w:rsid w:val="0C7D5BCC"/>
    <w:rsid w:val="0C8F023A"/>
    <w:rsid w:val="0CBC40CB"/>
    <w:rsid w:val="0CC53C5B"/>
    <w:rsid w:val="0CDD0FA5"/>
    <w:rsid w:val="0CF40FAA"/>
    <w:rsid w:val="0D1B00F8"/>
    <w:rsid w:val="0D2B56E9"/>
    <w:rsid w:val="0D4A769B"/>
    <w:rsid w:val="0D5374B9"/>
    <w:rsid w:val="0D724D63"/>
    <w:rsid w:val="0D8D045B"/>
    <w:rsid w:val="0D9642F0"/>
    <w:rsid w:val="0DA63A8D"/>
    <w:rsid w:val="0DB937C0"/>
    <w:rsid w:val="0DBB25A8"/>
    <w:rsid w:val="0DC53787"/>
    <w:rsid w:val="0DDA28D6"/>
    <w:rsid w:val="0DDE4FD5"/>
    <w:rsid w:val="0DE6650F"/>
    <w:rsid w:val="0DF73507"/>
    <w:rsid w:val="0DFA207C"/>
    <w:rsid w:val="0E554708"/>
    <w:rsid w:val="0E554C7C"/>
    <w:rsid w:val="0EAD0264"/>
    <w:rsid w:val="0F0A0D37"/>
    <w:rsid w:val="0F4E10F7"/>
    <w:rsid w:val="0F640D2F"/>
    <w:rsid w:val="0F930041"/>
    <w:rsid w:val="0FB24E29"/>
    <w:rsid w:val="0FE90846"/>
    <w:rsid w:val="0FF7412C"/>
    <w:rsid w:val="10093E5F"/>
    <w:rsid w:val="101C0036"/>
    <w:rsid w:val="10264A11"/>
    <w:rsid w:val="10667503"/>
    <w:rsid w:val="10725EA8"/>
    <w:rsid w:val="10BD6F35"/>
    <w:rsid w:val="10CD6B01"/>
    <w:rsid w:val="10E34150"/>
    <w:rsid w:val="11584D75"/>
    <w:rsid w:val="11845E93"/>
    <w:rsid w:val="11DB4B38"/>
    <w:rsid w:val="123E21E9"/>
    <w:rsid w:val="12BB3B36"/>
    <w:rsid w:val="13156E63"/>
    <w:rsid w:val="131F5532"/>
    <w:rsid w:val="13426006"/>
    <w:rsid w:val="13734957"/>
    <w:rsid w:val="13B512A1"/>
    <w:rsid w:val="143C0CA7"/>
    <w:rsid w:val="14430A9C"/>
    <w:rsid w:val="146E4B4E"/>
    <w:rsid w:val="149763D6"/>
    <w:rsid w:val="14BB4DC8"/>
    <w:rsid w:val="14E1675A"/>
    <w:rsid w:val="1525173B"/>
    <w:rsid w:val="159F14ED"/>
    <w:rsid w:val="15BC4477"/>
    <w:rsid w:val="15D85784"/>
    <w:rsid w:val="160E6248"/>
    <w:rsid w:val="161F586A"/>
    <w:rsid w:val="16201F02"/>
    <w:rsid w:val="164E4741"/>
    <w:rsid w:val="16E178E4"/>
    <w:rsid w:val="175E7186"/>
    <w:rsid w:val="17AF3CDA"/>
    <w:rsid w:val="17B73663"/>
    <w:rsid w:val="17FF3E14"/>
    <w:rsid w:val="18426433"/>
    <w:rsid w:val="18770500"/>
    <w:rsid w:val="18AE7C99"/>
    <w:rsid w:val="18F546F2"/>
    <w:rsid w:val="19212219"/>
    <w:rsid w:val="19363AFA"/>
    <w:rsid w:val="19B600B0"/>
    <w:rsid w:val="19CB4621"/>
    <w:rsid w:val="19F37903"/>
    <w:rsid w:val="1A04743A"/>
    <w:rsid w:val="1A241393"/>
    <w:rsid w:val="1A3B37AF"/>
    <w:rsid w:val="1A495ECC"/>
    <w:rsid w:val="1A602AAD"/>
    <w:rsid w:val="1A8506D5"/>
    <w:rsid w:val="1A937147"/>
    <w:rsid w:val="1AA650CC"/>
    <w:rsid w:val="1AC63078"/>
    <w:rsid w:val="1ACF42A1"/>
    <w:rsid w:val="1AF94774"/>
    <w:rsid w:val="1AF97567"/>
    <w:rsid w:val="1B1742F2"/>
    <w:rsid w:val="1B2E4C6C"/>
    <w:rsid w:val="1B690B70"/>
    <w:rsid w:val="1B754A9E"/>
    <w:rsid w:val="1B8076CB"/>
    <w:rsid w:val="1B8A59D6"/>
    <w:rsid w:val="1BAF4AA0"/>
    <w:rsid w:val="1BC03F6C"/>
    <w:rsid w:val="1BC05D1A"/>
    <w:rsid w:val="1BC11A92"/>
    <w:rsid w:val="1BC21D75"/>
    <w:rsid w:val="1BC62A56"/>
    <w:rsid w:val="1BF80445"/>
    <w:rsid w:val="1C01417E"/>
    <w:rsid w:val="1C381D54"/>
    <w:rsid w:val="1C4C1CA3"/>
    <w:rsid w:val="1C4C3F1D"/>
    <w:rsid w:val="1C6061C5"/>
    <w:rsid w:val="1C8F1025"/>
    <w:rsid w:val="1CDD25B2"/>
    <w:rsid w:val="1CDD28FB"/>
    <w:rsid w:val="1CDE71ED"/>
    <w:rsid w:val="1D3F2962"/>
    <w:rsid w:val="1D750002"/>
    <w:rsid w:val="1D7B63DC"/>
    <w:rsid w:val="1DB4365C"/>
    <w:rsid w:val="1DB7314C"/>
    <w:rsid w:val="1DC85359"/>
    <w:rsid w:val="1DE504BC"/>
    <w:rsid w:val="1DEB51E9"/>
    <w:rsid w:val="1E480248"/>
    <w:rsid w:val="1E5310C7"/>
    <w:rsid w:val="1E787E3F"/>
    <w:rsid w:val="1E896032"/>
    <w:rsid w:val="1EA41352"/>
    <w:rsid w:val="1ED02718"/>
    <w:rsid w:val="1EE14055"/>
    <w:rsid w:val="1F0B09EA"/>
    <w:rsid w:val="1F26208B"/>
    <w:rsid w:val="1F27633C"/>
    <w:rsid w:val="1F505606"/>
    <w:rsid w:val="1F7F413E"/>
    <w:rsid w:val="1F9951FF"/>
    <w:rsid w:val="1FBD45F2"/>
    <w:rsid w:val="20012DA5"/>
    <w:rsid w:val="20315438"/>
    <w:rsid w:val="206C46C2"/>
    <w:rsid w:val="20941E5C"/>
    <w:rsid w:val="20B144DF"/>
    <w:rsid w:val="20E92EC4"/>
    <w:rsid w:val="20EF49EE"/>
    <w:rsid w:val="211046C7"/>
    <w:rsid w:val="211D59BC"/>
    <w:rsid w:val="213212B7"/>
    <w:rsid w:val="21933ED0"/>
    <w:rsid w:val="2252621C"/>
    <w:rsid w:val="225278E7"/>
    <w:rsid w:val="225A40A6"/>
    <w:rsid w:val="225A5C6B"/>
    <w:rsid w:val="225B51D9"/>
    <w:rsid w:val="22A26860"/>
    <w:rsid w:val="22AC263C"/>
    <w:rsid w:val="22DC6741"/>
    <w:rsid w:val="22E42C35"/>
    <w:rsid w:val="2305495A"/>
    <w:rsid w:val="230C5CE8"/>
    <w:rsid w:val="235F6EB5"/>
    <w:rsid w:val="23A2739A"/>
    <w:rsid w:val="23BE3486"/>
    <w:rsid w:val="23DF51AB"/>
    <w:rsid w:val="242F6132"/>
    <w:rsid w:val="24491954"/>
    <w:rsid w:val="24704055"/>
    <w:rsid w:val="24EE1B49"/>
    <w:rsid w:val="25153BB3"/>
    <w:rsid w:val="253B5A69"/>
    <w:rsid w:val="2578303A"/>
    <w:rsid w:val="257D5076"/>
    <w:rsid w:val="25972C96"/>
    <w:rsid w:val="25A01B67"/>
    <w:rsid w:val="25BF256F"/>
    <w:rsid w:val="25C1100C"/>
    <w:rsid w:val="25D36F91"/>
    <w:rsid w:val="25E8104B"/>
    <w:rsid w:val="266F2816"/>
    <w:rsid w:val="268F110A"/>
    <w:rsid w:val="26C0203C"/>
    <w:rsid w:val="271D6716"/>
    <w:rsid w:val="27247B73"/>
    <w:rsid w:val="272F01F7"/>
    <w:rsid w:val="274572A5"/>
    <w:rsid w:val="274577C6"/>
    <w:rsid w:val="27462BA9"/>
    <w:rsid w:val="275131CB"/>
    <w:rsid w:val="276445C9"/>
    <w:rsid w:val="278C73F8"/>
    <w:rsid w:val="27AC35F6"/>
    <w:rsid w:val="27EB411E"/>
    <w:rsid w:val="28310773"/>
    <w:rsid w:val="28335AC5"/>
    <w:rsid w:val="283B4DC5"/>
    <w:rsid w:val="28461C9C"/>
    <w:rsid w:val="285F2D5E"/>
    <w:rsid w:val="28910741"/>
    <w:rsid w:val="28C411E9"/>
    <w:rsid w:val="28FD4CC9"/>
    <w:rsid w:val="29061A4D"/>
    <w:rsid w:val="297D16EE"/>
    <w:rsid w:val="298736A5"/>
    <w:rsid w:val="298F4F7D"/>
    <w:rsid w:val="29D86AEC"/>
    <w:rsid w:val="2A0F2112"/>
    <w:rsid w:val="2A475858"/>
    <w:rsid w:val="2A6B3832"/>
    <w:rsid w:val="2A793900"/>
    <w:rsid w:val="2A7F1496"/>
    <w:rsid w:val="2A881CEC"/>
    <w:rsid w:val="2A994305"/>
    <w:rsid w:val="2AA85E3B"/>
    <w:rsid w:val="2AAA4765"/>
    <w:rsid w:val="2AB80DCB"/>
    <w:rsid w:val="2AB90504"/>
    <w:rsid w:val="2AEA4B61"/>
    <w:rsid w:val="2B167CAC"/>
    <w:rsid w:val="2B4C6B5C"/>
    <w:rsid w:val="2B777082"/>
    <w:rsid w:val="2B8C7C7C"/>
    <w:rsid w:val="2BA456FE"/>
    <w:rsid w:val="2BEF49DC"/>
    <w:rsid w:val="2C1B0D4A"/>
    <w:rsid w:val="2C302A48"/>
    <w:rsid w:val="2C5D5807"/>
    <w:rsid w:val="2C733DC5"/>
    <w:rsid w:val="2C861EB2"/>
    <w:rsid w:val="2CA60F5C"/>
    <w:rsid w:val="2CAA4940"/>
    <w:rsid w:val="2CBF3E97"/>
    <w:rsid w:val="2CD57184"/>
    <w:rsid w:val="2CE466AC"/>
    <w:rsid w:val="2CE53DF2"/>
    <w:rsid w:val="2D145EC5"/>
    <w:rsid w:val="2D652012"/>
    <w:rsid w:val="2D6A1F89"/>
    <w:rsid w:val="2DFA155F"/>
    <w:rsid w:val="2E222864"/>
    <w:rsid w:val="2E3F3416"/>
    <w:rsid w:val="2E3F6DC0"/>
    <w:rsid w:val="2E5A3DAC"/>
    <w:rsid w:val="2F0C7FE5"/>
    <w:rsid w:val="2F34284F"/>
    <w:rsid w:val="2F77098D"/>
    <w:rsid w:val="2F7E7F6E"/>
    <w:rsid w:val="2F7F0633"/>
    <w:rsid w:val="2F8530AA"/>
    <w:rsid w:val="2FC35981"/>
    <w:rsid w:val="2FC90D1F"/>
    <w:rsid w:val="2FEC3129"/>
    <w:rsid w:val="303625F7"/>
    <w:rsid w:val="30890978"/>
    <w:rsid w:val="313C1E8F"/>
    <w:rsid w:val="3150593A"/>
    <w:rsid w:val="31557F29"/>
    <w:rsid w:val="315947EF"/>
    <w:rsid w:val="317B7E20"/>
    <w:rsid w:val="31C91C1F"/>
    <w:rsid w:val="31CA56EC"/>
    <w:rsid w:val="31E9733B"/>
    <w:rsid w:val="31FB42D0"/>
    <w:rsid w:val="32696CB3"/>
    <w:rsid w:val="326B7E18"/>
    <w:rsid w:val="32830F54"/>
    <w:rsid w:val="3286265A"/>
    <w:rsid w:val="32891103"/>
    <w:rsid w:val="328A4FFE"/>
    <w:rsid w:val="329A44C1"/>
    <w:rsid w:val="32B653FC"/>
    <w:rsid w:val="32DE4292"/>
    <w:rsid w:val="32EB37B8"/>
    <w:rsid w:val="32EC5E34"/>
    <w:rsid w:val="330A2D02"/>
    <w:rsid w:val="33594898"/>
    <w:rsid w:val="33784CD4"/>
    <w:rsid w:val="33B71CA0"/>
    <w:rsid w:val="33CD3272"/>
    <w:rsid w:val="33E800AC"/>
    <w:rsid w:val="33F87B2A"/>
    <w:rsid w:val="33FB1B8D"/>
    <w:rsid w:val="343C4C08"/>
    <w:rsid w:val="34441BD5"/>
    <w:rsid w:val="346317C9"/>
    <w:rsid w:val="34924516"/>
    <w:rsid w:val="34A55F9D"/>
    <w:rsid w:val="34A5706F"/>
    <w:rsid w:val="34AB28E5"/>
    <w:rsid w:val="34B14EA3"/>
    <w:rsid w:val="34C33404"/>
    <w:rsid w:val="34F1756F"/>
    <w:rsid w:val="34FA62E8"/>
    <w:rsid w:val="35325511"/>
    <w:rsid w:val="35C12962"/>
    <w:rsid w:val="35C4206C"/>
    <w:rsid w:val="360F7B72"/>
    <w:rsid w:val="365437D6"/>
    <w:rsid w:val="3670318E"/>
    <w:rsid w:val="36BF209F"/>
    <w:rsid w:val="36D13957"/>
    <w:rsid w:val="36D466C5"/>
    <w:rsid w:val="36F11025"/>
    <w:rsid w:val="36FA44D9"/>
    <w:rsid w:val="37436ACA"/>
    <w:rsid w:val="37691503"/>
    <w:rsid w:val="377C4D93"/>
    <w:rsid w:val="37AF33BA"/>
    <w:rsid w:val="37D70CAE"/>
    <w:rsid w:val="37DD0002"/>
    <w:rsid w:val="37ED2BA2"/>
    <w:rsid w:val="37FC5ED4"/>
    <w:rsid w:val="381E5756"/>
    <w:rsid w:val="382F17A6"/>
    <w:rsid w:val="384358B1"/>
    <w:rsid w:val="386859FD"/>
    <w:rsid w:val="38B44A00"/>
    <w:rsid w:val="38CD6618"/>
    <w:rsid w:val="390E5CB1"/>
    <w:rsid w:val="39177E14"/>
    <w:rsid w:val="39232DB5"/>
    <w:rsid w:val="39495F16"/>
    <w:rsid w:val="39657AA9"/>
    <w:rsid w:val="397321C6"/>
    <w:rsid w:val="39AE77D7"/>
    <w:rsid w:val="39F8091D"/>
    <w:rsid w:val="3A0745CE"/>
    <w:rsid w:val="3A0A0D7C"/>
    <w:rsid w:val="3A21319F"/>
    <w:rsid w:val="3A223F8F"/>
    <w:rsid w:val="3A350062"/>
    <w:rsid w:val="3A3F654C"/>
    <w:rsid w:val="3A6313BE"/>
    <w:rsid w:val="3AAF722D"/>
    <w:rsid w:val="3AD6600A"/>
    <w:rsid w:val="3AD959D6"/>
    <w:rsid w:val="3B2154F6"/>
    <w:rsid w:val="3B286FE0"/>
    <w:rsid w:val="3B3E2DB3"/>
    <w:rsid w:val="3C1E33AE"/>
    <w:rsid w:val="3C3001B4"/>
    <w:rsid w:val="3C836701"/>
    <w:rsid w:val="3CA52FDE"/>
    <w:rsid w:val="3CC22946"/>
    <w:rsid w:val="3CD01F3B"/>
    <w:rsid w:val="3CD7328C"/>
    <w:rsid w:val="3CE753A4"/>
    <w:rsid w:val="3CEC5ACA"/>
    <w:rsid w:val="3CF96E86"/>
    <w:rsid w:val="3D204801"/>
    <w:rsid w:val="3D287F80"/>
    <w:rsid w:val="3D361E88"/>
    <w:rsid w:val="3D3A3C3D"/>
    <w:rsid w:val="3D4C4431"/>
    <w:rsid w:val="3D697A37"/>
    <w:rsid w:val="3D864BBD"/>
    <w:rsid w:val="3D9646D4"/>
    <w:rsid w:val="3DC95243"/>
    <w:rsid w:val="3DD358A6"/>
    <w:rsid w:val="3DE07FF0"/>
    <w:rsid w:val="3E06185A"/>
    <w:rsid w:val="3E0D42F0"/>
    <w:rsid w:val="3E3363C7"/>
    <w:rsid w:val="3E976956"/>
    <w:rsid w:val="3ECC2B23"/>
    <w:rsid w:val="3F0538C0"/>
    <w:rsid w:val="3F073ADC"/>
    <w:rsid w:val="3F390778"/>
    <w:rsid w:val="3FA62879"/>
    <w:rsid w:val="3FB5786C"/>
    <w:rsid w:val="3FB672B0"/>
    <w:rsid w:val="3FE306FB"/>
    <w:rsid w:val="3FEA0D08"/>
    <w:rsid w:val="3FEB51AC"/>
    <w:rsid w:val="3FEC021E"/>
    <w:rsid w:val="400242A3"/>
    <w:rsid w:val="4004001B"/>
    <w:rsid w:val="400B3176"/>
    <w:rsid w:val="401122A5"/>
    <w:rsid w:val="40112738"/>
    <w:rsid w:val="401F4E55"/>
    <w:rsid w:val="40582115"/>
    <w:rsid w:val="4099576A"/>
    <w:rsid w:val="410B1343"/>
    <w:rsid w:val="411C1395"/>
    <w:rsid w:val="414032D5"/>
    <w:rsid w:val="414E5376"/>
    <w:rsid w:val="41566655"/>
    <w:rsid w:val="41626E05"/>
    <w:rsid w:val="4196079D"/>
    <w:rsid w:val="419D0246"/>
    <w:rsid w:val="41DD28D2"/>
    <w:rsid w:val="41E33C60"/>
    <w:rsid w:val="42114C71"/>
    <w:rsid w:val="42150157"/>
    <w:rsid w:val="421C10AE"/>
    <w:rsid w:val="425D3A13"/>
    <w:rsid w:val="42912938"/>
    <w:rsid w:val="429E3AD6"/>
    <w:rsid w:val="42B44D10"/>
    <w:rsid w:val="42BA41B0"/>
    <w:rsid w:val="42C13FA2"/>
    <w:rsid w:val="430C15CB"/>
    <w:rsid w:val="430C699F"/>
    <w:rsid w:val="435D2698"/>
    <w:rsid w:val="437943F5"/>
    <w:rsid w:val="439E2535"/>
    <w:rsid w:val="43A80694"/>
    <w:rsid w:val="43B6162D"/>
    <w:rsid w:val="43DF5FA7"/>
    <w:rsid w:val="43F403A7"/>
    <w:rsid w:val="44220A07"/>
    <w:rsid w:val="442C7B41"/>
    <w:rsid w:val="445F5FF9"/>
    <w:rsid w:val="44A578BE"/>
    <w:rsid w:val="44AD5AB7"/>
    <w:rsid w:val="44BA339E"/>
    <w:rsid w:val="44E64193"/>
    <w:rsid w:val="44F93EC7"/>
    <w:rsid w:val="44FA73AF"/>
    <w:rsid w:val="45280308"/>
    <w:rsid w:val="45967968"/>
    <w:rsid w:val="45AC718B"/>
    <w:rsid w:val="45E61DF3"/>
    <w:rsid w:val="46144D30"/>
    <w:rsid w:val="46893028"/>
    <w:rsid w:val="46A02C50"/>
    <w:rsid w:val="46A674BD"/>
    <w:rsid w:val="46B458C0"/>
    <w:rsid w:val="46C40504"/>
    <w:rsid w:val="46E77832"/>
    <w:rsid w:val="46EA736D"/>
    <w:rsid w:val="472879B0"/>
    <w:rsid w:val="474D04FA"/>
    <w:rsid w:val="47617388"/>
    <w:rsid w:val="47777520"/>
    <w:rsid w:val="4796702E"/>
    <w:rsid w:val="484418FD"/>
    <w:rsid w:val="48657A71"/>
    <w:rsid w:val="487429ED"/>
    <w:rsid w:val="487E3BD5"/>
    <w:rsid w:val="48C37705"/>
    <w:rsid w:val="48D11064"/>
    <w:rsid w:val="48D6451F"/>
    <w:rsid w:val="48F34DB8"/>
    <w:rsid w:val="48FA020D"/>
    <w:rsid w:val="490620D6"/>
    <w:rsid w:val="49350787"/>
    <w:rsid w:val="493E5947"/>
    <w:rsid w:val="49697141"/>
    <w:rsid w:val="497004D0"/>
    <w:rsid w:val="49A53A73"/>
    <w:rsid w:val="49BA59AE"/>
    <w:rsid w:val="49FA4868"/>
    <w:rsid w:val="4A080708"/>
    <w:rsid w:val="4A17094B"/>
    <w:rsid w:val="4A91694F"/>
    <w:rsid w:val="4B3D2633"/>
    <w:rsid w:val="4B524331"/>
    <w:rsid w:val="4BC55F37"/>
    <w:rsid w:val="4C1E4213"/>
    <w:rsid w:val="4C5944B1"/>
    <w:rsid w:val="4C6F3A23"/>
    <w:rsid w:val="4C8F5C62"/>
    <w:rsid w:val="4CA77A88"/>
    <w:rsid w:val="4D0168EA"/>
    <w:rsid w:val="4D027EED"/>
    <w:rsid w:val="4D355CB8"/>
    <w:rsid w:val="4D4001B9"/>
    <w:rsid w:val="4D4B557E"/>
    <w:rsid w:val="4D690DDD"/>
    <w:rsid w:val="4D6E32E7"/>
    <w:rsid w:val="4DB320D6"/>
    <w:rsid w:val="4DD67651"/>
    <w:rsid w:val="4DD958BA"/>
    <w:rsid w:val="4DEB3918"/>
    <w:rsid w:val="4DEF4911"/>
    <w:rsid w:val="4E192EE4"/>
    <w:rsid w:val="4E267A1C"/>
    <w:rsid w:val="4E74636C"/>
    <w:rsid w:val="4EA9414C"/>
    <w:rsid w:val="4EC779CB"/>
    <w:rsid w:val="4EE87ACC"/>
    <w:rsid w:val="4EEF1E97"/>
    <w:rsid w:val="4EFE47D1"/>
    <w:rsid w:val="4F122A8C"/>
    <w:rsid w:val="4F244236"/>
    <w:rsid w:val="4F802EB1"/>
    <w:rsid w:val="4FF63749"/>
    <w:rsid w:val="50102AE1"/>
    <w:rsid w:val="50605398"/>
    <w:rsid w:val="507408A5"/>
    <w:rsid w:val="507F0A3C"/>
    <w:rsid w:val="50832EE6"/>
    <w:rsid w:val="508A67B9"/>
    <w:rsid w:val="512A23E5"/>
    <w:rsid w:val="51654692"/>
    <w:rsid w:val="51D14ACF"/>
    <w:rsid w:val="51E073BF"/>
    <w:rsid w:val="51FA638D"/>
    <w:rsid w:val="5200056D"/>
    <w:rsid w:val="52181704"/>
    <w:rsid w:val="5237602E"/>
    <w:rsid w:val="52392F23"/>
    <w:rsid w:val="525A17EE"/>
    <w:rsid w:val="525A3919"/>
    <w:rsid w:val="52741030"/>
    <w:rsid w:val="527E5A0B"/>
    <w:rsid w:val="52923265"/>
    <w:rsid w:val="52B551A5"/>
    <w:rsid w:val="52D3458B"/>
    <w:rsid w:val="52DE0C04"/>
    <w:rsid w:val="52E516B4"/>
    <w:rsid w:val="52ED43B9"/>
    <w:rsid w:val="53043E75"/>
    <w:rsid w:val="53084363"/>
    <w:rsid w:val="533D4D64"/>
    <w:rsid w:val="535B3F9E"/>
    <w:rsid w:val="53933738"/>
    <w:rsid w:val="53B460FE"/>
    <w:rsid w:val="53BF452D"/>
    <w:rsid w:val="543A0058"/>
    <w:rsid w:val="544E5CE1"/>
    <w:rsid w:val="545A24A8"/>
    <w:rsid w:val="547509DC"/>
    <w:rsid w:val="5496745E"/>
    <w:rsid w:val="54A454D1"/>
    <w:rsid w:val="54A82930"/>
    <w:rsid w:val="54DE6C35"/>
    <w:rsid w:val="5521008A"/>
    <w:rsid w:val="553E1687"/>
    <w:rsid w:val="55750DBC"/>
    <w:rsid w:val="558772CD"/>
    <w:rsid w:val="55985036"/>
    <w:rsid w:val="55C20305"/>
    <w:rsid w:val="55D94182"/>
    <w:rsid w:val="55E97640"/>
    <w:rsid w:val="55F07786"/>
    <w:rsid w:val="55FE3948"/>
    <w:rsid w:val="5624780D"/>
    <w:rsid w:val="56290384"/>
    <w:rsid w:val="568D0913"/>
    <w:rsid w:val="56B20706"/>
    <w:rsid w:val="56E46059"/>
    <w:rsid w:val="56F73FDE"/>
    <w:rsid w:val="570F1E19"/>
    <w:rsid w:val="574A6804"/>
    <w:rsid w:val="577C3646"/>
    <w:rsid w:val="57827F81"/>
    <w:rsid w:val="579730CB"/>
    <w:rsid w:val="57D91936"/>
    <w:rsid w:val="57DF13E7"/>
    <w:rsid w:val="57E13CEA"/>
    <w:rsid w:val="585A4825"/>
    <w:rsid w:val="587D7E5A"/>
    <w:rsid w:val="58D04CC8"/>
    <w:rsid w:val="58D77C23"/>
    <w:rsid w:val="58EF1411"/>
    <w:rsid w:val="58F419FA"/>
    <w:rsid w:val="590B1FC3"/>
    <w:rsid w:val="594340A3"/>
    <w:rsid w:val="59725B9E"/>
    <w:rsid w:val="59B166C6"/>
    <w:rsid w:val="59DD570D"/>
    <w:rsid w:val="5AA9356E"/>
    <w:rsid w:val="5AE34FA5"/>
    <w:rsid w:val="5AE66844"/>
    <w:rsid w:val="5B1D63D9"/>
    <w:rsid w:val="5B2E3D47"/>
    <w:rsid w:val="5BA1276A"/>
    <w:rsid w:val="5BA32F4B"/>
    <w:rsid w:val="5BC22E0D"/>
    <w:rsid w:val="5BC40C35"/>
    <w:rsid w:val="5BDC19F5"/>
    <w:rsid w:val="5C007491"/>
    <w:rsid w:val="5C0C052C"/>
    <w:rsid w:val="5C0E3D80"/>
    <w:rsid w:val="5C3754AC"/>
    <w:rsid w:val="5C6A0DAE"/>
    <w:rsid w:val="5CB100A4"/>
    <w:rsid w:val="5CE943C9"/>
    <w:rsid w:val="5D641CA2"/>
    <w:rsid w:val="5D6F2B20"/>
    <w:rsid w:val="5DE80ECD"/>
    <w:rsid w:val="5DE828D3"/>
    <w:rsid w:val="5E062D59"/>
    <w:rsid w:val="5E134C8C"/>
    <w:rsid w:val="5E677C9B"/>
    <w:rsid w:val="5EAA7148"/>
    <w:rsid w:val="5F217E4A"/>
    <w:rsid w:val="5FB4382E"/>
    <w:rsid w:val="60152BED"/>
    <w:rsid w:val="60885E2E"/>
    <w:rsid w:val="60A03B80"/>
    <w:rsid w:val="613B0F6B"/>
    <w:rsid w:val="615C359C"/>
    <w:rsid w:val="615D7326"/>
    <w:rsid w:val="61B72CE8"/>
    <w:rsid w:val="6256605D"/>
    <w:rsid w:val="62774225"/>
    <w:rsid w:val="62813D56"/>
    <w:rsid w:val="628A3F58"/>
    <w:rsid w:val="62AD76C0"/>
    <w:rsid w:val="62C507C9"/>
    <w:rsid w:val="62D11B87"/>
    <w:rsid w:val="63272A98"/>
    <w:rsid w:val="63294227"/>
    <w:rsid w:val="63422A85"/>
    <w:rsid w:val="634405AB"/>
    <w:rsid w:val="63460C52"/>
    <w:rsid w:val="63621217"/>
    <w:rsid w:val="6390559E"/>
    <w:rsid w:val="63B30F2E"/>
    <w:rsid w:val="63B53257"/>
    <w:rsid w:val="63C96D02"/>
    <w:rsid w:val="640161A2"/>
    <w:rsid w:val="640518EE"/>
    <w:rsid w:val="640C1C55"/>
    <w:rsid w:val="64557053"/>
    <w:rsid w:val="64754DD6"/>
    <w:rsid w:val="647E0D38"/>
    <w:rsid w:val="64986EFA"/>
    <w:rsid w:val="64A60857"/>
    <w:rsid w:val="64AB2B3B"/>
    <w:rsid w:val="64DE6447"/>
    <w:rsid w:val="65041398"/>
    <w:rsid w:val="650A75D2"/>
    <w:rsid w:val="65285AD1"/>
    <w:rsid w:val="65885901"/>
    <w:rsid w:val="65D5198E"/>
    <w:rsid w:val="66A93C9E"/>
    <w:rsid w:val="66B27F22"/>
    <w:rsid w:val="66E77BCB"/>
    <w:rsid w:val="66F525EC"/>
    <w:rsid w:val="674E6C15"/>
    <w:rsid w:val="675114E9"/>
    <w:rsid w:val="67867202"/>
    <w:rsid w:val="67966EFB"/>
    <w:rsid w:val="67A96C2F"/>
    <w:rsid w:val="67AC671F"/>
    <w:rsid w:val="67AE2497"/>
    <w:rsid w:val="67AF7FBD"/>
    <w:rsid w:val="67C617E9"/>
    <w:rsid w:val="67C63C85"/>
    <w:rsid w:val="67E450CE"/>
    <w:rsid w:val="68300192"/>
    <w:rsid w:val="687F09E7"/>
    <w:rsid w:val="688356D2"/>
    <w:rsid w:val="6888718C"/>
    <w:rsid w:val="688A4CB2"/>
    <w:rsid w:val="688C44B1"/>
    <w:rsid w:val="68DE4FFE"/>
    <w:rsid w:val="68E32614"/>
    <w:rsid w:val="68F13666"/>
    <w:rsid w:val="693410C2"/>
    <w:rsid w:val="693B7312"/>
    <w:rsid w:val="6949691B"/>
    <w:rsid w:val="697274F4"/>
    <w:rsid w:val="69765236"/>
    <w:rsid w:val="69787200"/>
    <w:rsid w:val="697F233D"/>
    <w:rsid w:val="69B2159C"/>
    <w:rsid w:val="69BE7BAE"/>
    <w:rsid w:val="69C90AA3"/>
    <w:rsid w:val="6A060AF0"/>
    <w:rsid w:val="6A0B4E3E"/>
    <w:rsid w:val="6A30135A"/>
    <w:rsid w:val="6A387B61"/>
    <w:rsid w:val="6A542DAB"/>
    <w:rsid w:val="6A6D39FC"/>
    <w:rsid w:val="6ABE0C43"/>
    <w:rsid w:val="6ABF0529"/>
    <w:rsid w:val="6AD13784"/>
    <w:rsid w:val="6B3158B9"/>
    <w:rsid w:val="6B37171D"/>
    <w:rsid w:val="6B3A2BB1"/>
    <w:rsid w:val="6B493A4E"/>
    <w:rsid w:val="6B601CFA"/>
    <w:rsid w:val="6BF16DF6"/>
    <w:rsid w:val="6C3F4006"/>
    <w:rsid w:val="6C4F72C1"/>
    <w:rsid w:val="6C7A503E"/>
    <w:rsid w:val="6C946959"/>
    <w:rsid w:val="6CB9494B"/>
    <w:rsid w:val="6CEB1A97"/>
    <w:rsid w:val="6CF84455"/>
    <w:rsid w:val="6D1B2659"/>
    <w:rsid w:val="6D374CDD"/>
    <w:rsid w:val="6D390A55"/>
    <w:rsid w:val="6D4A2C62"/>
    <w:rsid w:val="6DEE254B"/>
    <w:rsid w:val="6DF2723B"/>
    <w:rsid w:val="6DFD5F26"/>
    <w:rsid w:val="6E100C6D"/>
    <w:rsid w:val="6E105C5A"/>
    <w:rsid w:val="6E290AC9"/>
    <w:rsid w:val="6E4006B2"/>
    <w:rsid w:val="6E427DDD"/>
    <w:rsid w:val="6E62222D"/>
    <w:rsid w:val="6E8F4FD4"/>
    <w:rsid w:val="6E9D4ECA"/>
    <w:rsid w:val="6F1060F6"/>
    <w:rsid w:val="6F541B76"/>
    <w:rsid w:val="6F7E1B58"/>
    <w:rsid w:val="6F8B7B20"/>
    <w:rsid w:val="6FAE548E"/>
    <w:rsid w:val="6FE0165C"/>
    <w:rsid w:val="6FE74798"/>
    <w:rsid w:val="70633D9B"/>
    <w:rsid w:val="706A0C87"/>
    <w:rsid w:val="7072466B"/>
    <w:rsid w:val="708741CD"/>
    <w:rsid w:val="709A7A5C"/>
    <w:rsid w:val="70A95EF1"/>
    <w:rsid w:val="70B76860"/>
    <w:rsid w:val="70C66AA3"/>
    <w:rsid w:val="70CE7706"/>
    <w:rsid w:val="70F16E84"/>
    <w:rsid w:val="70F9549B"/>
    <w:rsid w:val="70FA04FB"/>
    <w:rsid w:val="710E3FA6"/>
    <w:rsid w:val="716C2EFB"/>
    <w:rsid w:val="71765B16"/>
    <w:rsid w:val="71894E49"/>
    <w:rsid w:val="71D71745"/>
    <w:rsid w:val="724203AC"/>
    <w:rsid w:val="725026E2"/>
    <w:rsid w:val="725325B9"/>
    <w:rsid w:val="725351DA"/>
    <w:rsid w:val="727A15DA"/>
    <w:rsid w:val="72987FCC"/>
    <w:rsid w:val="72D54D7C"/>
    <w:rsid w:val="72E41463"/>
    <w:rsid w:val="72EA7879"/>
    <w:rsid w:val="73014D0C"/>
    <w:rsid w:val="730F43F8"/>
    <w:rsid w:val="731628F2"/>
    <w:rsid w:val="7343262D"/>
    <w:rsid w:val="7346093C"/>
    <w:rsid w:val="73490DFC"/>
    <w:rsid w:val="73B9469D"/>
    <w:rsid w:val="73DD1399"/>
    <w:rsid w:val="73EE0CA0"/>
    <w:rsid w:val="74126433"/>
    <w:rsid w:val="74356371"/>
    <w:rsid w:val="74485A21"/>
    <w:rsid w:val="74512B28"/>
    <w:rsid w:val="74885923"/>
    <w:rsid w:val="74D66009"/>
    <w:rsid w:val="75071439"/>
    <w:rsid w:val="752244C4"/>
    <w:rsid w:val="75623F7A"/>
    <w:rsid w:val="757203DB"/>
    <w:rsid w:val="75750A98"/>
    <w:rsid w:val="757D05AD"/>
    <w:rsid w:val="75862CA5"/>
    <w:rsid w:val="76092CCA"/>
    <w:rsid w:val="76257DC8"/>
    <w:rsid w:val="763837E6"/>
    <w:rsid w:val="76426A32"/>
    <w:rsid w:val="768A40CF"/>
    <w:rsid w:val="76EA0007"/>
    <w:rsid w:val="77130569"/>
    <w:rsid w:val="771A5453"/>
    <w:rsid w:val="773A0865"/>
    <w:rsid w:val="77784870"/>
    <w:rsid w:val="77B358A8"/>
    <w:rsid w:val="77C80DE4"/>
    <w:rsid w:val="77C83101"/>
    <w:rsid w:val="77E13BA0"/>
    <w:rsid w:val="77FC724F"/>
    <w:rsid w:val="783B1B25"/>
    <w:rsid w:val="7871571C"/>
    <w:rsid w:val="78B33397"/>
    <w:rsid w:val="78BF0CEF"/>
    <w:rsid w:val="78EA76EE"/>
    <w:rsid w:val="78FE2050"/>
    <w:rsid w:val="7955517B"/>
    <w:rsid w:val="79664F44"/>
    <w:rsid w:val="79CD432C"/>
    <w:rsid w:val="79FA5A10"/>
    <w:rsid w:val="7A067F11"/>
    <w:rsid w:val="7A1A0F94"/>
    <w:rsid w:val="7A1B1294"/>
    <w:rsid w:val="7A1C7878"/>
    <w:rsid w:val="7A2111EE"/>
    <w:rsid w:val="7A2544C3"/>
    <w:rsid w:val="7A37631C"/>
    <w:rsid w:val="7A401675"/>
    <w:rsid w:val="7A5D5924"/>
    <w:rsid w:val="7A603412"/>
    <w:rsid w:val="7A955AA3"/>
    <w:rsid w:val="7AB17498"/>
    <w:rsid w:val="7AB20E73"/>
    <w:rsid w:val="7AE069B4"/>
    <w:rsid w:val="7AEB57A3"/>
    <w:rsid w:val="7AF70927"/>
    <w:rsid w:val="7B4231CA"/>
    <w:rsid w:val="7B62481E"/>
    <w:rsid w:val="7B971942"/>
    <w:rsid w:val="7B9E3DFA"/>
    <w:rsid w:val="7BB63A0E"/>
    <w:rsid w:val="7C137C33"/>
    <w:rsid w:val="7C1F2ED6"/>
    <w:rsid w:val="7C501917"/>
    <w:rsid w:val="7C5E5EE7"/>
    <w:rsid w:val="7C7C270C"/>
    <w:rsid w:val="7C857813"/>
    <w:rsid w:val="7CBE4AD3"/>
    <w:rsid w:val="7CC9189C"/>
    <w:rsid w:val="7CDC31AB"/>
    <w:rsid w:val="7CF60710"/>
    <w:rsid w:val="7D7F551F"/>
    <w:rsid w:val="7D937D1A"/>
    <w:rsid w:val="7D9B4867"/>
    <w:rsid w:val="7DC3365B"/>
    <w:rsid w:val="7E2F3AA9"/>
    <w:rsid w:val="7E4F2B52"/>
    <w:rsid w:val="7E68119A"/>
    <w:rsid w:val="7E6E5448"/>
    <w:rsid w:val="7E70110E"/>
    <w:rsid w:val="7EDE145C"/>
    <w:rsid w:val="7EEA1BAF"/>
    <w:rsid w:val="7F231565"/>
    <w:rsid w:val="7F403D11"/>
    <w:rsid w:val="7F631961"/>
    <w:rsid w:val="7F9E2999"/>
    <w:rsid w:val="7FCA5830"/>
    <w:rsid w:val="7FE42AA2"/>
    <w:rsid w:val="7FF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宋体" w:hAnsi="等线" w:eastAsia="等线" w:cs="Times New Roman"/>
      <w:kern w:val="2"/>
      <w:sz w:val="24"/>
      <w:lang w:val="en-US" w:eastAsia="zh-CN" w:bidi="ar-SA"/>
    </w:rPr>
  </w:style>
  <w:style w:type="paragraph" w:styleId="3">
    <w:name w:val="heading 1"/>
    <w:basedOn w:val="1"/>
    <w:next w:val="1"/>
    <w:qFormat/>
    <w:uiPriority w:val="0"/>
    <w:pPr>
      <w:autoSpaceDE w:val="0"/>
      <w:autoSpaceDN w:val="0"/>
      <w:adjustRightInd w:val="0"/>
      <w:jc w:val="left"/>
      <w:outlineLvl w:val="0"/>
    </w:pPr>
    <w:rPr>
      <w:kern w:val="0"/>
      <w:sz w:val="30"/>
    </w:rPr>
  </w:style>
  <w:style w:type="paragraph" w:styleId="4">
    <w:name w:val="heading 2"/>
    <w:basedOn w:val="1"/>
    <w:next w:val="1"/>
    <w:qFormat/>
    <w:uiPriority w:val="0"/>
    <w:pPr>
      <w:autoSpaceDE w:val="0"/>
      <w:autoSpaceDN w:val="0"/>
      <w:adjustRightInd w:val="0"/>
      <w:jc w:val="left"/>
      <w:outlineLvl w:val="1"/>
    </w:pPr>
    <w:rPr>
      <w:kern w:val="0"/>
    </w:rPr>
  </w:style>
  <w:style w:type="paragraph" w:styleId="5">
    <w:name w:val="heading 3"/>
    <w:basedOn w:val="1"/>
    <w:next w:val="1"/>
    <w:link w:val="49"/>
    <w:qFormat/>
    <w:uiPriority w:val="0"/>
    <w:pPr>
      <w:keepNext/>
      <w:keepLines/>
      <w:outlineLvl w:val="2"/>
    </w:pPr>
    <w:rPr>
      <w:rFonts w:hint="default" w:ascii="Times New Roman" w:hAnsi="Times New Roman" w:eastAsia="宋体"/>
      <w:b/>
    </w:rPr>
  </w:style>
  <w:style w:type="paragraph" w:styleId="2">
    <w:name w:val="heading 4"/>
    <w:basedOn w:val="1"/>
    <w:next w:val="1"/>
    <w:qFormat/>
    <w:uiPriority w:val="0"/>
    <w:pPr>
      <w:keepNext/>
      <w:keepLines/>
      <w:spacing w:line="372" w:lineRule="auto"/>
      <w:outlineLvl w:val="3"/>
    </w:pPr>
    <w:rPr>
      <w:rFonts w:ascii="Arial" w:hAnsi="Arial" w:eastAsia="黑体"/>
      <w:b/>
      <w:sz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annotation text"/>
    <w:basedOn w:val="1"/>
    <w:next w:val="1"/>
    <w:qFormat/>
    <w:uiPriority w:val="0"/>
    <w:pPr>
      <w:jc w:val="left"/>
    </w:pPr>
    <w:rPr>
      <w:rFonts w:hint="default" w:ascii="Times New Roman" w:hAnsi="Times New Roman" w:eastAsia="宋体"/>
      <w:sz w:val="21"/>
    </w:rPr>
  </w:style>
  <w:style w:type="paragraph" w:styleId="8">
    <w:name w:val="Body Text"/>
    <w:basedOn w:val="1"/>
    <w:qFormat/>
    <w:uiPriority w:val="0"/>
  </w:style>
  <w:style w:type="paragraph" w:styleId="9">
    <w:name w:val="Body Text Indent"/>
    <w:basedOn w:val="1"/>
    <w:qFormat/>
    <w:uiPriority w:val="0"/>
    <w:pPr>
      <w:ind w:firstLine="560" w:firstLineChars="200"/>
    </w:pPr>
  </w:style>
  <w:style w:type="paragraph" w:styleId="10">
    <w:name w:val="toc 3"/>
    <w:basedOn w:val="1"/>
    <w:next w:val="1"/>
    <w:qFormat/>
    <w:uiPriority w:val="39"/>
    <w:pPr>
      <w:ind w:left="840" w:leftChars="400"/>
    </w:pPr>
  </w:style>
  <w:style w:type="paragraph" w:styleId="11">
    <w:name w:val="Body Text Indent 2"/>
    <w:basedOn w:val="1"/>
    <w:qFormat/>
    <w:uiPriority w:val="0"/>
    <w:pPr>
      <w:spacing w:line="480" w:lineRule="auto"/>
      <w:ind w:firstLine="561"/>
    </w:pPr>
  </w:style>
  <w:style w:type="paragraph" w:styleId="12">
    <w:name w:val="Balloon Text"/>
    <w:basedOn w:val="1"/>
    <w:link w:val="70"/>
    <w:qFormat/>
    <w:uiPriority w:val="0"/>
    <w:rPr>
      <w:sz w:val="18"/>
      <w:szCs w:val="18"/>
    </w:rPr>
  </w:style>
  <w:style w:type="paragraph" w:styleId="13">
    <w:name w:val="footer"/>
    <w:basedOn w:val="1"/>
    <w:next w:val="1"/>
    <w:qFormat/>
    <w:uiPriority w:val="0"/>
    <w:pPr>
      <w:tabs>
        <w:tab w:val="center" w:pos="4153"/>
        <w:tab w:val="right" w:pos="8306"/>
      </w:tabs>
      <w:snapToGrid w:val="0"/>
      <w:jc w:val="left"/>
    </w:pPr>
    <w:rPr>
      <w:sz w:val="18"/>
    </w:rPr>
  </w:style>
  <w:style w:type="paragraph" w:styleId="14">
    <w:name w:val="header"/>
    <w:basedOn w:val="1"/>
    <w:next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5">
    <w:name w:val="toc 1"/>
    <w:basedOn w:val="16"/>
    <w:next w:val="1"/>
    <w:qFormat/>
    <w:uiPriority w:val="39"/>
  </w:style>
  <w:style w:type="paragraph" w:styleId="16">
    <w:name w:val="index 1"/>
    <w:basedOn w:val="1"/>
    <w:next w:val="1"/>
    <w:unhideWhenUsed/>
    <w:qFormat/>
    <w:uiPriority w:val="0"/>
  </w:style>
  <w:style w:type="paragraph" w:styleId="17">
    <w:name w:val="toc 4"/>
    <w:basedOn w:val="1"/>
    <w:next w:val="1"/>
    <w:qFormat/>
    <w:uiPriority w:val="0"/>
    <w:pPr>
      <w:ind w:left="1260" w:leftChars="600"/>
    </w:pPr>
  </w:style>
  <w:style w:type="paragraph" w:styleId="18">
    <w:name w:val="toc 2"/>
    <w:basedOn w:val="1"/>
    <w:next w:val="1"/>
    <w:qFormat/>
    <w:uiPriority w:val="39"/>
    <w:pPr>
      <w:ind w:left="420" w:leftChars="200"/>
    </w:pPr>
  </w:style>
  <w:style w:type="paragraph" w:styleId="19">
    <w:name w:val="Body Text 2"/>
    <w:basedOn w:val="1"/>
    <w:qFormat/>
    <w:uiPriority w:val="0"/>
    <w:pPr>
      <w:spacing w:line="500" w:lineRule="exact"/>
    </w:pPr>
  </w:style>
  <w:style w:type="paragraph" w:styleId="20">
    <w:name w:val="Normal (Web)"/>
    <w:basedOn w:val="1"/>
    <w:qFormat/>
    <w:uiPriority w:val="0"/>
    <w:pPr>
      <w:widowControl/>
      <w:spacing w:beforeAutospacing="1" w:afterAutospacing="1"/>
      <w:jc w:val="left"/>
    </w:pPr>
    <w:rPr>
      <w:rFonts w:hAnsi="宋体" w:cs="宋体"/>
      <w:color w:val="000000"/>
      <w:kern w:val="0"/>
      <w:szCs w:val="24"/>
    </w:rPr>
  </w:style>
  <w:style w:type="character" w:styleId="23">
    <w:name w:val="Strong"/>
    <w:basedOn w:val="22"/>
    <w:qFormat/>
    <w:uiPriority w:val="0"/>
    <w:rPr>
      <w:b/>
    </w:rPr>
  </w:style>
  <w:style w:type="character" w:styleId="24">
    <w:name w:val="FollowedHyperlink"/>
    <w:basedOn w:val="22"/>
    <w:qFormat/>
    <w:uiPriority w:val="0"/>
    <w:rPr>
      <w:color w:val="333333"/>
      <w:u w:val="none"/>
    </w:rPr>
  </w:style>
  <w:style w:type="character" w:styleId="25">
    <w:name w:val="Emphasis"/>
    <w:basedOn w:val="22"/>
    <w:qFormat/>
    <w:uiPriority w:val="0"/>
    <w:rPr>
      <w:i/>
    </w:rPr>
  </w:style>
  <w:style w:type="character" w:styleId="26">
    <w:name w:val="HTML Variable"/>
    <w:basedOn w:val="22"/>
    <w:qFormat/>
    <w:uiPriority w:val="0"/>
    <w:rPr>
      <w:i/>
    </w:rPr>
  </w:style>
  <w:style w:type="character" w:styleId="27">
    <w:name w:val="Hyperlink"/>
    <w:basedOn w:val="22"/>
    <w:qFormat/>
    <w:uiPriority w:val="0"/>
    <w:rPr>
      <w:color w:val="333333"/>
      <w:u w:val="none"/>
    </w:rPr>
  </w:style>
  <w:style w:type="character" w:styleId="28">
    <w:name w:val="HTML Code"/>
    <w:basedOn w:val="22"/>
    <w:qFormat/>
    <w:uiPriority w:val="0"/>
    <w:rPr>
      <w:rFonts w:ascii="Courier New" w:hAnsi="Courier New"/>
      <w:sz w:val="20"/>
    </w:rPr>
  </w:style>
  <w:style w:type="character" w:styleId="29">
    <w:name w:val="HTML Cite"/>
    <w:basedOn w:val="22"/>
    <w:qFormat/>
    <w:uiPriority w:val="0"/>
    <w:rPr>
      <w:i/>
    </w:rPr>
  </w:style>
  <w:style w:type="paragraph" w:customStyle="1" w:styleId="30">
    <w:name w:val="样式 宋体 行距: 1.5 倍行距"/>
    <w:basedOn w:val="31"/>
    <w:next w:val="1"/>
    <w:qFormat/>
    <w:uiPriority w:val="0"/>
    <w:pPr>
      <w:jc w:val="center"/>
    </w:pPr>
    <w:rPr>
      <w:rFonts w:ascii="Times New Roman" w:hAnsi="Times New Roman" w:cs="Times New Roman"/>
      <w:b/>
    </w:rPr>
  </w:style>
  <w:style w:type="paragraph" w:customStyle="1" w:styleId="3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2">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34">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5">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36">
    <w:name w:val="标题 1 New"/>
    <w:basedOn w:val="35"/>
    <w:next w:val="35"/>
    <w:qFormat/>
    <w:uiPriority w:val="0"/>
    <w:pPr>
      <w:autoSpaceDE w:val="0"/>
      <w:autoSpaceDN w:val="0"/>
      <w:adjustRightInd w:val="0"/>
      <w:jc w:val="left"/>
      <w:outlineLvl w:val="0"/>
    </w:pPr>
    <w:rPr>
      <w:kern w:val="0"/>
      <w:sz w:val="30"/>
    </w:rPr>
  </w:style>
  <w:style w:type="paragraph" w:customStyle="1" w:styleId="37">
    <w:name w:val="标题 2 New New"/>
    <w:basedOn w:val="35"/>
    <w:next w:val="35"/>
    <w:qFormat/>
    <w:uiPriority w:val="0"/>
    <w:pPr>
      <w:autoSpaceDE w:val="0"/>
      <w:autoSpaceDN w:val="0"/>
      <w:adjustRightInd w:val="0"/>
      <w:jc w:val="left"/>
      <w:outlineLvl w:val="1"/>
    </w:pPr>
    <w:rPr>
      <w:kern w:val="0"/>
    </w:rPr>
  </w:style>
  <w:style w:type="paragraph" w:customStyle="1" w:styleId="38">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Normal Indent1"/>
    <w:basedOn w:val="1"/>
    <w:qFormat/>
    <w:uiPriority w:val="0"/>
    <w:pPr>
      <w:widowControl/>
      <w:spacing w:line="360" w:lineRule="auto"/>
      <w:ind w:firstLine="420"/>
      <w:jc w:val="left"/>
    </w:pPr>
    <w:rPr>
      <w:rFonts w:hAnsi="Times New Roman"/>
      <w:kern w:val="0"/>
      <w:sz w:val="20"/>
    </w:rPr>
  </w:style>
  <w:style w:type="paragraph" w:customStyle="1" w:styleId="40">
    <w:name w:val="正文缩进1"/>
    <w:basedOn w:val="1"/>
    <w:qFormat/>
    <w:uiPriority w:val="0"/>
    <w:pPr>
      <w:widowControl/>
      <w:spacing w:line="360" w:lineRule="auto"/>
      <w:ind w:firstLine="420"/>
      <w:jc w:val="left"/>
    </w:pPr>
    <w:rPr>
      <w:rFonts w:hAnsi="Times New Roman"/>
      <w:kern w:val="0"/>
      <w:sz w:val="20"/>
    </w:rPr>
  </w:style>
  <w:style w:type="paragraph" w:customStyle="1" w:styleId="41">
    <w:name w:val="正文 New New New New New New New New New New New New New New New New New New New New New New New New New New New New New New New New New New New New New New New New New New New New New New New New New New New New New New New New New New New New New New Ne1"/>
    <w:next w:val="30"/>
    <w:qFormat/>
    <w:uiPriority w:val="0"/>
    <w:pPr>
      <w:widowControl w:val="0"/>
      <w:jc w:val="both"/>
    </w:pPr>
    <w:rPr>
      <w:rFonts w:ascii="Calibri" w:hAnsi="Calibri" w:eastAsia="宋体" w:cs="黑体"/>
      <w:kern w:val="2"/>
      <w:sz w:val="21"/>
      <w:szCs w:val="24"/>
      <w:lang w:val="en-US" w:eastAsia="zh-CN" w:bidi="ar-SA"/>
    </w:rPr>
  </w:style>
  <w:style w:type="paragraph" w:customStyle="1" w:styleId="4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43">
    <w:name w:val="正文文本缩进 New New"/>
    <w:basedOn w:val="35"/>
    <w:qFormat/>
    <w:uiPriority w:val="0"/>
    <w:pPr>
      <w:ind w:firstLine="560" w:firstLineChars="200"/>
    </w:pPr>
  </w:style>
  <w:style w:type="paragraph" w:customStyle="1" w:styleId="44">
    <w:name w:val="正文文本缩进 3 New"/>
    <w:basedOn w:val="35"/>
    <w:qFormat/>
    <w:uiPriority w:val="0"/>
    <w:pPr>
      <w:ind w:firstLine="560"/>
    </w:pPr>
    <w:rPr>
      <w:color w:val="FF0000"/>
    </w:rPr>
  </w:style>
  <w:style w:type="paragraph" w:customStyle="1" w:styleId="45">
    <w:name w:val="标题 3 New New New"/>
    <w:basedOn w:val="46"/>
    <w:next w:val="46"/>
    <w:qFormat/>
    <w:uiPriority w:val="0"/>
    <w:pPr>
      <w:keepNext/>
      <w:keepLines/>
      <w:jc w:val="center"/>
      <w:outlineLvl w:val="2"/>
    </w:pPr>
    <w:rPr>
      <w:sz w:val="24"/>
    </w:rPr>
  </w:style>
  <w:style w:type="paragraph" w:customStyle="1" w:styleId="46">
    <w:name w:val="正文缩进 New"/>
    <w:basedOn w:val="47"/>
    <w:qFormat/>
    <w:uiPriority w:val="0"/>
    <w:pPr>
      <w:widowControl/>
      <w:ind w:firstLine="420"/>
      <w:jc w:val="left"/>
    </w:pPr>
    <w:rPr>
      <w:kern w:val="0"/>
      <w:sz w:val="20"/>
    </w:rPr>
  </w:style>
  <w:style w:type="paragraph" w:customStyle="1" w:styleId="47">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8">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49">
    <w:name w:val="标题 3 Char"/>
    <w:link w:val="5"/>
    <w:qFormat/>
    <w:uiPriority w:val="0"/>
    <w:rPr>
      <w:rFonts w:hint="default" w:ascii="Times New Roman" w:hAnsi="Times New Roman" w:eastAsia="宋体"/>
      <w:b/>
    </w:rPr>
  </w:style>
  <w:style w:type="character" w:customStyle="1" w:styleId="50">
    <w:name w:val="NormalCharacter"/>
    <w:semiHidden/>
    <w:qFormat/>
    <w:uiPriority w:val="0"/>
    <w:rPr>
      <w:rFonts w:ascii="宋体"/>
      <w:kern w:val="2"/>
      <w:sz w:val="24"/>
      <w:lang w:val="en-US" w:eastAsia="zh-CN" w:bidi="ar-SA"/>
    </w:rPr>
  </w:style>
  <w:style w:type="paragraph" w:customStyle="1" w:styleId="51">
    <w:name w:val="标题 2 New New New"/>
    <w:basedOn w:val="52"/>
    <w:next w:val="52"/>
    <w:qFormat/>
    <w:uiPriority w:val="0"/>
    <w:pPr>
      <w:autoSpaceDE w:val="0"/>
      <w:autoSpaceDN w:val="0"/>
      <w:adjustRightInd w:val="0"/>
      <w:jc w:val="left"/>
      <w:outlineLvl w:val="1"/>
    </w:pPr>
  </w:style>
  <w:style w:type="paragraph" w:customStyle="1" w:styleId="5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53">
    <w:name w:val="普通(网站) New"/>
    <w:basedOn w:val="54"/>
    <w:qFormat/>
    <w:uiPriority w:val="0"/>
    <w:rPr>
      <w:sz w:val="24"/>
    </w:rPr>
  </w:style>
  <w:style w:type="paragraph" w:customStyle="1" w:styleId="54">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5">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6">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57">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8">
    <w:name w:val="YJ22 Char"/>
    <w:link w:val="59"/>
    <w:qFormat/>
    <w:uiPriority w:val="0"/>
    <w:rPr>
      <w:rFonts w:ascii="Times New Roman" w:hAnsi="宋体"/>
      <w:b/>
      <w:kern w:val="0"/>
      <w:sz w:val="20"/>
    </w:rPr>
  </w:style>
  <w:style w:type="paragraph" w:customStyle="1" w:styleId="59">
    <w:name w:val="YJ22"/>
    <w:basedOn w:val="35"/>
    <w:next w:val="35"/>
    <w:link w:val="58"/>
    <w:qFormat/>
    <w:uiPriority w:val="0"/>
    <w:pPr>
      <w:autoSpaceDE w:val="0"/>
      <w:autoSpaceDN w:val="0"/>
      <w:adjustRightInd w:val="0"/>
      <w:jc w:val="left"/>
      <w:outlineLvl w:val="1"/>
    </w:pPr>
    <w:rPr>
      <w:rFonts w:ascii="Times New Roman" w:hAnsi="宋体"/>
      <w:b/>
      <w:kern w:val="0"/>
      <w:sz w:val="20"/>
    </w:rPr>
  </w:style>
  <w:style w:type="paragraph" w:customStyle="1" w:styleId="60">
    <w:name w:val="正文文本缩进 New"/>
    <w:basedOn w:val="61"/>
    <w:qFormat/>
    <w:uiPriority w:val="0"/>
    <w:pPr>
      <w:ind w:firstLine="560" w:firstLineChars="200"/>
    </w:pPr>
  </w:style>
  <w:style w:type="paragraph" w:customStyle="1" w:styleId="61">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2">
    <w:name w:val="正文文本缩进 New New New New"/>
    <w:basedOn w:val="63"/>
    <w:qFormat/>
    <w:uiPriority w:val="0"/>
    <w:pPr>
      <w:ind w:firstLine="560" w:firstLineChars="200"/>
    </w:pPr>
    <w:rPr>
      <w:szCs w:val="28"/>
    </w:rPr>
  </w:style>
  <w:style w:type="paragraph" w:customStyle="1" w:styleId="63">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64">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5">
    <w:name w:val="正文文本缩进 New New New New New New New"/>
    <w:basedOn w:val="64"/>
    <w:qFormat/>
    <w:uiPriority w:val="0"/>
    <w:pPr>
      <w:ind w:left="420" w:leftChars="200"/>
    </w:pPr>
    <w:rPr>
      <w:szCs w:val="24"/>
    </w:rPr>
  </w:style>
  <w:style w:type="paragraph" w:customStyle="1" w:styleId="66">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7">
    <w:name w:val="正文文本缩进 New New New New New New New New"/>
    <w:basedOn w:val="66"/>
    <w:qFormat/>
    <w:uiPriority w:val="0"/>
    <w:pPr>
      <w:ind w:left="420" w:leftChars="200"/>
    </w:pPr>
    <w:rPr>
      <w:szCs w:val="24"/>
    </w:rPr>
  </w:style>
  <w:style w:type="paragraph" w:customStyle="1" w:styleId="68">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9">
    <w:name w:val="页脚 New"/>
    <w:basedOn w:val="35"/>
    <w:qFormat/>
    <w:uiPriority w:val="0"/>
    <w:pPr>
      <w:widowControl/>
      <w:tabs>
        <w:tab w:val="center" w:pos="4153"/>
        <w:tab w:val="right" w:pos="8306"/>
      </w:tabs>
      <w:snapToGrid w:val="0"/>
      <w:jc w:val="left"/>
    </w:pPr>
    <w:rPr>
      <w:kern w:val="0"/>
      <w:sz w:val="18"/>
    </w:rPr>
  </w:style>
  <w:style w:type="character" w:customStyle="1" w:styleId="70">
    <w:name w:val="批注框文本 Char"/>
    <w:basedOn w:val="22"/>
    <w:link w:val="12"/>
    <w:qFormat/>
    <w:uiPriority w:val="0"/>
    <w:rPr>
      <w:rFonts w:ascii="宋体" w:hAnsi="等线" w:eastAsia="等线" w:cs="Times New Roman"/>
      <w:kern w:val="2"/>
      <w:sz w:val="18"/>
      <w:szCs w:val="18"/>
    </w:rPr>
  </w:style>
  <w:style w:type="character" w:customStyle="1" w:styleId="71">
    <w:name w:val="hover21"/>
    <w:basedOn w:val="22"/>
    <w:qFormat/>
    <w:uiPriority w:val="0"/>
    <w:rPr>
      <w:color w:val="5FB878"/>
    </w:rPr>
  </w:style>
  <w:style w:type="character" w:customStyle="1" w:styleId="72">
    <w:name w:val="hover22"/>
    <w:basedOn w:val="22"/>
    <w:qFormat/>
    <w:uiPriority w:val="0"/>
    <w:rPr>
      <w:color w:val="5FB878"/>
    </w:rPr>
  </w:style>
  <w:style w:type="character" w:customStyle="1" w:styleId="73">
    <w:name w:val="hover23"/>
    <w:basedOn w:val="22"/>
    <w:qFormat/>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120</Pages>
  <Words>727</Words>
  <Characters>808</Characters>
  <Lines>731</Lines>
  <Paragraphs>205</Paragraphs>
  <TotalTime>1</TotalTime>
  <ScaleCrop>false</ScaleCrop>
  <LinksUpToDate>false</LinksUpToDate>
  <CharactersWithSpaces>919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2023-11-10T02:36:00Z</dcterms:created>
  <dc:creator>Chen~小璇</dc:creator>
  <cp:lastModifiedBy>Administrator</cp:lastModifiedBy>
  <cp:lastPrinted>2025-03-25T06:42:00Z</cp:lastPrinted>
  <dcterms:modified xsi:type="dcterms:W3CDTF">2025-03-26T07:49:32Z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F47328D7C0A04247B8A59E9980838131_13</vt:lpwstr>
  </property>
  <property fmtid="{D5CDD505-2E9C-101B-9397-08002B2CF9AE}" pid="4" name="KSOTemplateDocerSaveRecord">
    <vt:lpwstr>eyJoZGlkIjoiOTk3YmY4ZmQ2Y2RhNThjY2JhMzI3NmFjZjM2YTY5MTgiLCJ1c2VySWQiOiIzNTEyNjg2NDQifQ==</vt:lpwstr>
  </property>
</Properties>
</file>